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485A2" w14:textId="77777777" w:rsidR="00907FD8" w:rsidRDefault="00000000">
      <w:pPr>
        <w:jc w:val="center"/>
      </w:pPr>
      <w:r>
        <w:rPr>
          <w:b/>
          <w:sz w:val="32"/>
        </w:rPr>
        <w:t>The Impact of Strategic Risk Governance on Banking Resilience: Evidence from Commercial Banks in Bangladesh</w:t>
      </w:r>
    </w:p>
    <w:p w14:paraId="6E877369" w14:textId="77777777" w:rsidR="00907FD8" w:rsidRDefault="00907FD8">
      <w:pPr>
        <w:jc w:val="center"/>
      </w:pPr>
    </w:p>
    <w:p w14:paraId="5D6381FF" w14:textId="1987D904" w:rsidR="00907FD8" w:rsidRPr="00FB0FC5" w:rsidRDefault="00000000">
      <w:pPr>
        <w:jc w:val="center"/>
        <w:rPr>
          <w:b/>
          <w:bCs/>
        </w:rPr>
      </w:pPr>
      <w:r w:rsidRPr="00FB0FC5">
        <w:rPr>
          <w:b/>
          <w:bCs/>
        </w:rPr>
        <w:t xml:space="preserve">A Quantitative </w:t>
      </w:r>
      <w:r w:rsidR="00032E4E" w:rsidRPr="00FB0FC5">
        <w:rPr>
          <w:b/>
          <w:bCs/>
        </w:rPr>
        <w:t>Project</w:t>
      </w:r>
      <w:r w:rsidRPr="00FB0FC5">
        <w:rPr>
          <w:b/>
          <w:bCs/>
        </w:rPr>
        <w:t xml:space="preserve"> Report</w:t>
      </w:r>
    </w:p>
    <w:p w14:paraId="55A5C8E3" w14:textId="4ACE5C8D" w:rsidR="00FB0FC5" w:rsidRDefault="00FB0FC5" w:rsidP="00FB0FC5">
      <w:pPr>
        <w:spacing w:after="0" w:line="360" w:lineRule="auto"/>
        <w:jc w:val="center"/>
      </w:pPr>
      <w:r>
        <w:t>Prepared using primary survey data from 120 banking professionals</w:t>
      </w:r>
    </w:p>
    <w:p w14:paraId="54187F09" w14:textId="77777777" w:rsidR="00FB0FC5" w:rsidRDefault="00FB0FC5" w:rsidP="00FB0FC5">
      <w:pPr>
        <w:spacing w:after="0" w:line="360" w:lineRule="auto"/>
        <w:jc w:val="center"/>
      </w:pPr>
      <w:r>
        <w:t>Software used for analysis: IBM SPSS Statistics</w:t>
      </w:r>
    </w:p>
    <w:p w14:paraId="01B1896B" w14:textId="77777777" w:rsidR="00FB0FC5" w:rsidRDefault="00FB0FC5">
      <w:pPr>
        <w:jc w:val="center"/>
      </w:pPr>
    </w:p>
    <w:p w14:paraId="4D7F0168" w14:textId="77777777" w:rsidR="00907FD8" w:rsidRDefault="00907FD8">
      <w:pPr>
        <w:jc w:val="center"/>
      </w:pPr>
    </w:p>
    <w:p w14:paraId="1C65D098" w14:textId="187E2BB6" w:rsidR="00907FD8" w:rsidRDefault="00000000" w:rsidP="00032E4E">
      <w:pPr>
        <w:spacing w:after="0" w:line="360" w:lineRule="auto"/>
        <w:jc w:val="center"/>
      </w:pPr>
      <w:r>
        <w:t>Course: Quantitative Research Method</w:t>
      </w:r>
      <w:r w:rsidR="00FB0FC5">
        <w:t xml:space="preserve"> (LCDB7011)</w:t>
      </w:r>
    </w:p>
    <w:p w14:paraId="4951E4DB" w14:textId="77777777" w:rsidR="00032E4E" w:rsidRDefault="00032E4E">
      <w:pPr>
        <w:jc w:val="center"/>
      </w:pPr>
    </w:p>
    <w:p w14:paraId="1038CB86" w14:textId="77777777" w:rsidR="00032E4E" w:rsidRPr="008013D2" w:rsidRDefault="00032E4E" w:rsidP="00032E4E">
      <w:pPr>
        <w:spacing w:before="100" w:beforeAutospacing="1" w:after="100" w:afterAutospacing="1"/>
        <w:rPr>
          <w:b/>
          <w:bCs/>
        </w:rPr>
      </w:pPr>
      <w:r w:rsidRPr="008013D2">
        <w:rPr>
          <w:b/>
          <w:bCs/>
        </w:rPr>
        <w:t>Submitted by:</w:t>
      </w:r>
    </w:p>
    <w:p w14:paraId="6DE49949" w14:textId="77777777" w:rsidR="00032E4E" w:rsidRPr="00D7266D" w:rsidRDefault="00032E4E" w:rsidP="00032E4E">
      <w:pPr>
        <w:spacing w:before="100" w:beforeAutospacing="1" w:after="100" w:afterAutospacing="1"/>
      </w:pPr>
      <w:r w:rsidRPr="00D7266D">
        <w:t>MD Abul Monsur</w:t>
      </w:r>
    </w:p>
    <w:p w14:paraId="75D97BE7" w14:textId="77777777" w:rsidR="00032E4E" w:rsidRPr="00D7266D" w:rsidRDefault="00032E4E" w:rsidP="00032E4E">
      <w:pPr>
        <w:spacing w:before="100" w:beforeAutospacing="1" w:after="100" w:afterAutospacing="1"/>
      </w:pPr>
      <w:r w:rsidRPr="00D7266D">
        <w:t xml:space="preserve">Doctor of Business Administration </w:t>
      </w:r>
    </w:p>
    <w:p w14:paraId="33734CD2" w14:textId="77777777" w:rsidR="00032E4E" w:rsidRPr="00D7266D" w:rsidRDefault="00032E4E" w:rsidP="00032E4E">
      <w:pPr>
        <w:spacing w:before="100" w:beforeAutospacing="1" w:after="100" w:afterAutospacing="1"/>
      </w:pPr>
      <w:r w:rsidRPr="00D7266D">
        <w:t>Term: 3</w:t>
      </w:r>
    </w:p>
    <w:p w14:paraId="6956F086" w14:textId="77777777" w:rsidR="00032E4E" w:rsidRPr="00D7266D" w:rsidRDefault="00032E4E" w:rsidP="00032E4E">
      <w:pPr>
        <w:spacing w:before="100" w:beforeAutospacing="1" w:after="100" w:afterAutospacing="1"/>
      </w:pPr>
      <w:r w:rsidRPr="00D7266D">
        <w:t>Student ID: 2432235</w:t>
      </w:r>
      <w:r w:rsidRPr="00D7266D">
        <w:br/>
      </w:r>
    </w:p>
    <w:p w14:paraId="51501E49" w14:textId="77777777" w:rsidR="00032E4E" w:rsidRPr="00D7266D" w:rsidRDefault="00032E4E" w:rsidP="00032E4E">
      <w:pPr>
        <w:spacing w:before="100" w:beforeAutospacing="1" w:after="100" w:afterAutospacing="1"/>
      </w:pPr>
    </w:p>
    <w:p w14:paraId="09A6B0BD" w14:textId="6EBE7789" w:rsidR="00032E4E" w:rsidRPr="00D7266D" w:rsidRDefault="00032E4E" w:rsidP="00032E4E">
      <w:pPr>
        <w:spacing w:before="100" w:beforeAutospacing="1" w:after="100" w:afterAutospacing="1"/>
      </w:pPr>
      <w:r w:rsidRPr="008013D2">
        <w:rPr>
          <w:b/>
          <w:bCs/>
        </w:rPr>
        <w:t>Supervised By:</w:t>
      </w:r>
      <w:r w:rsidRPr="00D7266D">
        <w:t xml:space="preserve"> </w:t>
      </w:r>
      <w:r>
        <w:t>Dr. Akshay Narayanan</w:t>
      </w:r>
    </w:p>
    <w:p w14:paraId="5AD6EA72" w14:textId="77777777" w:rsidR="00032E4E" w:rsidRPr="00D7266D" w:rsidRDefault="00032E4E" w:rsidP="00032E4E">
      <w:pPr>
        <w:spacing w:before="100" w:beforeAutospacing="1" w:after="100" w:afterAutospacing="1"/>
      </w:pPr>
      <w:r w:rsidRPr="00D7266D">
        <w:t xml:space="preserve">                        University of Wales Trinity Saint David, London</w:t>
      </w:r>
    </w:p>
    <w:p w14:paraId="01ED0291" w14:textId="77777777" w:rsidR="00032E4E" w:rsidRPr="00D7266D" w:rsidRDefault="00032E4E" w:rsidP="00032E4E">
      <w:pPr>
        <w:spacing w:before="100" w:beforeAutospacing="1" w:after="100" w:afterAutospacing="1"/>
      </w:pPr>
    </w:p>
    <w:p w14:paraId="7C881E68" w14:textId="77777777" w:rsidR="00032E4E" w:rsidRPr="00D7266D" w:rsidRDefault="00032E4E" w:rsidP="00032E4E">
      <w:pPr>
        <w:spacing w:before="100" w:beforeAutospacing="1" w:after="100" w:afterAutospacing="1"/>
      </w:pPr>
    </w:p>
    <w:p w14:paraId="0D0382A8" w14:textId="77777777" w:rsidR="00032E4E" w:rsidRPr="00D7266D" w:rsidRDefault="00032E4E" w:rsidP="00032E4E">
      <w:pPr>
        <w:spacing w:before="100" w:beforeAutospacing="1" w:after="100" w:afterAutospacing="1"/>
      </w:pPr>
    </w:p>
    <w:p w14:paraId="79F6E840" w14:textId="27A40831" w:rsidR="00032E4E" w:rsidRDefault="00032E4E" w:rsidP="00032E4E">
      <w:pPr>
        <w:jc w:val="center"/>
      </w:pPr>
      <w:r w:rsidRPr="00D7266D">
        <w:t>Date of Submission: April 2</w:t>
      </w:r>
      <w:r>
        <w:t>2</w:t>
      </w:r>
      <w:r w:rsidRPr="00D7266D">
        <w:t>, 2026</w:t>
      </w:r>
      <w:r w:rsidRPr="00D7266D">
        <w:br/>
      </w:r>
    </w:p>
    <w:p w14:paraId="09001A95" w14:textId="77777777" w:rsidR="00907FD8" w:rsidRDefault="00907FD8">
      <w:pPr>
        <w:jc w:val="center"/>
      </w:pPr>
    </w:p>
    <w:p w14:paraId="5A1D023E" w14:textId="4F732107" w:rsidR="00907FD8" w:rsidRDefault="00907FD8"/>
    <w:p w14:paraId="25EBFC09" w14:textId="77777777" w:rsidR="00907FD8" w:rsidRPr="00032E4E" w:rsidRDefault="00000000">
      <w:pPr>
        <w:pStyle w:val="Heading1"/>
        <w:rPr>
          <w:color w:val="000000" w:themeColor="text1"/>
        </w:rPr>
      </w:pPr>
      <w:r w:rsidRPr="00032E4E">
        <w:rPr>
          <w:color w:val="000000" w:themeColor="text1"/>
        </w:rPr>
        <w:t>Table of Contents</w:t>
      </w:r>
    </w:p>
    <w:p w14:paraId="6930B43E" w14:textId="77777777" w:rsidR="00907FD8" w:rsidRDefault="00000000">
      <w:pPr>
        <w:pStyle w:val="ListBullet"/>
      </w:pPr>
      <w:r>
        <w:t>Abstract</w:t>
      </w:r>
    </w:p>
    <w:p w14:paraId="0C7F9999" w14:textId="77777777" w:rsidR="00907FD8" w:rsidRDefault="00000000">
      <w:pPr>
        <w:pStyle w:val="ListBullet"/>
      </w:pPr>
      <w:r>
        <w:t>1. Introduction</w:t>
      </w:r>
    </w:p>
    <w:p w14:paraId="16344BB7" w14:textId="77777777" w:rsidR="00907FD8" w:rsidRDefault="00000000">
      <w:pPr>
        <w:pStyle w:val="ListBullet"/>
      </w:pPr>
      <w:r>
        <w:t>2. Literature Review</w:t>
      </w:r>
    </w:p>
    <w:p w14:paraId="6F4969BE" w14:textId="77777777" w:rsidR="00907FD8" w:rsidRDefault="00000000">
      <w:pPr>
        <w:pStyle w:val="ListBullet"/>
      </w:pPr>
      <w:r>
        <w:t>3. Methodology</w:t>
      </w:r>
    </w:p>
    <w:p w14:paraId="6E6A9C0D" w14:textId="77777777" w:rsidR="00907FD8" w:rsidRDefault="00000000">
      <w:pPr>
        <w:pStyle w:val="ListBullet"/>
      </w:pPr>
      <w:r>
        <w:t>Conceptual Framework</w:t>
      </w:r>
    </w:p>
    <w:p w14:paraId="0AF18C7F" w14:textId="77777777" w:rsidR="00907FD8" w:rsidRDefault="00000000">
      <w:pPr>
        <w:pStyle w:val="ListBullet"/>
      </w:pPr>
      <w:r>
        <w:t>4. Results and Analysis</w:t>
      </w:r>
    </w:p>
    <w:p w14:paraId="6FA79BA8" w14:textId="77777777" w:rsidR="00907FD8" w:rsidRDefault="00000000">
      <w:pPr>
        <w:pStyle w:val="ListBullet"/>
      </w:pPr>
      <w:r>
        <w:t>5. Discussion</w:t>
      </w:r>
    </w:p>
    <w:p w14:paraId="0C0B6CBA" w14:textId="77777777" w:rsidR="00907FD8" w:rsidRDefault="00000000">
      <w:pPr>
        <w:pStyle w:val="ListBullet"/>
      </w:pPr>
      <w:r>
        <w:t>6. Conclusion</w:t>
      </w:r>
    </w:p>
    <w:p w14:paraId="2D56D63E" w14:textId="77777777" w:rsidR="00907FD8" w:rsidRDefault="00000000">
      <w:pPr>
        <w:pStyle w:val="ListBullet"/>
      </w:pPr>
      <w:r>
        <w:t>7. Recommendations</w:t>
      </w:r>
    </w:p>
    <w:p w14:paraId="7765C49D" w14:textId="77777777" w:rsidR="00907FD8" w:rsidRDefault="00000000">
      <w:pPr>
        <w:pStyle w:val="ListBullet"/>
      </w:pPr>
      <w:r>
        <w:t>References</w:t>
      </w:r>
    </w:p>
    <w:p w14:paraId="1634AECD" w14:textId="77777777" w:rsidR="00907FD8" w:rsidRDefault="00000000">
      <w:pPr>
        <w:pStyle w:val="ListBullet"/>
      </w:pPr>
      <w:r>
        <w:t>Appendix A. Survey items used in the analysis</w:t>
      </w:r>
    </w:p>
    <w:p w14:paraId="7E22BA5F" w14:textId="77777777" w:rsidR="00907FD8" w:rsidRDefault="00000000">
      <w:pPr>
        <w:pStyle w:val="ListBullet"/>
      </w:pPr>
      <w:r>
        <w:t>Appendix B. Key SPSS outputs incorporated into the report</w:t>
      </w:r>
    </w:p>
    <w:p w14:paraId="1554CECB" w14:textId="77777777" w:rsidR="00907FD8" w:rsidRDefault="00907FD8"/>
    <w:p w14:paraId="718DF405" w14:textId="77777777" w:rsidR="00907FD8" w:rsidRPr="00032E4E" w:rsidRDefault="00000000">
      <w:pPr>
        <w:pStyle w:val="IntenseQuote"/>
        <w:rPr>
          <w:color w:val="000000" w:themeColor="text1"/>
        </w:rPr>
      </w:pPr>
      <w:r w:rsidRPr="00032E4E">
        <w:rPr>
          <w:color w:val="000000" w:themeColor="text1"/>
        </w:rPr>
        <w:t>List of Tables</w:t>
      </w:r>
    </w:p>
    <w:p w14:paraId="6DD75F72" w14:textId="77777777" w:rsidR="00907FD8" w:rsidRDefault="00000000">
      <w:pPr>
        <w:pStyle w:val="ListBullet"/>
      </w:pPr>
      <w:r>
        <w:t>Table 1. Reliability statistics for study constructs</w:t>
      </w:r>
    </w:p>
    <w:p w14:paraId="7A758D60" w14:textId="77777777" w:rsidR="00907FD8" w:rsidRDefault="00000000">
      <w:pPr>
        <w:pStyle w:val="ListBullet"/>
      </w:pPr>
      <w:r>
        <w:t>Table 2. Item-level descriptive statistics</w:t>
      </w:r>
    </w:p>
    <w:p w14:paraId="0ABD8A8C" w14:textId="77777777" w:rsidR="00907FD8" w:rsidRDefault="00000000">
      <w:pPr>
        <w:pStyle w:val="ListBullet"/>
      </w:pPr>
      <w:r>
        <w:t>Table 3. Descriptive statistics for composite variables</w:t>
      </w:r>
    </w:p>
    <w:p w14:paraId="2478DB47" w14:textId="77777777" w:rsidR="00907FD8" w:rsidRDefault="00000000">
      <w:pPr>
        <w:pStyle w:val="ListBullet"/>
      </w:pPr>
      <w:r>
        <w:t>Table 4. Correlation analysis</w:t>
      </w:r>
    </w:p>
    <w:p w14:paraId="4B80F208" w14:textId="77777777" w:rsidR="00907FD8" w:rsidRDefault="00000000">
      <w:pPr>
        <w:pStyle w:val="ListBullet"/>
      </w:pPr>
      <w:r>
        <w:t>Table 5. Regression model summary</w:t>
      </w:r>
    </w:p>
    <w:p w14:paraId="2CD20270" w14:textId="77777777" w:rsidR="00907FD8" w:rsidRDefault="00000000">
      <w:pPr>
        <w:pStyle w:val="ListBullet"/>
      </w:pPr>
      <w:r>
        <w:t>Table 6. ANOVA for regression model</w:t>
      </w:r>
    </w:p>
    <w:p w14:paraId="0FB43AE3" w14:textId="77777777" w:rsidR="00907FD8" w:rsidRDefault="00000000">
      <w:pPr>
        <w:pStyle w:val="ListBullet"/>
      </w:pPr>
      <w:r>
        <w:t>Table 7. Regression coefficients</w:t>
      </w:r>
    </w:p>
    <w:p w14:paraId="1043D2C9" w14:textId="77777777" w:rsidR="00907FD8" w:rsidRPr="00032E4E" w:rsidRDefault="00000000">
      <w:pPr>
        <w:pStyle w:val="IntenseQuote"/>
        <w:rPr>
          <w:color w:val="000000" w:themeColor="text1"/>
        </w:rPr>
      </w:pPr>
      <w:r w:rsidRPr="00032E4E">
        <w:rPr>
          <w:color w:val="000000" w:themeColor="text1"/>
        </w:rPr>
        <w:t>List of Figures</w:t>
      </w:r>
    </w:p>
    <w:p w14:paraId="14FA24F7" w14:textId="77777777" w:rsidR="00907FD8" w:rsidRDefault="00000000">
      <w:pPr>
        <w:pStyle w:val="ListBullet"/>
      </w:pPr>
      <w:r>
        <w:t>Figure 1. Conceptual framework of the study</w:t>
      </w:r>
    </w:p>
    <w:p w14:paraId="5B68D732" w14:textId="77777777" w:rsidR="00907FD8" w:rsidRDefault="00000000">
      <w:pPr>
        <w:pStyle w:val="ListBullet"/>
      </w:pPr>
      <w:r>
        <w:t>Figure 2. Mean scores for questionnaire items Q1-Q19</w:t>
      </w:r>
    </w:p>
    <w:p w14:paraId="60146D3B" w14:textId="77777777" w:rsidR="00907FD8" w:rsidRDefault="00000000">
      <w:pPr>
        <w:pStyle w:val="ListBullet"/>
      </w:pPr>
      <w:r>
        <w:t>Figure 3. Scatter plot showing the positive association between SRG and BR</w:t>
      </w:r>
    </w:p>
    <w:p w14:paraId="0AAF68FF" w14:textId="77777777" w:rsidR="00907FD8" w:rsidRDefault="00000000">
      <w:r>
        <w:br w:type="page"/>
      </w:r>
    </w:p>
    <w:p w14:paraId="065BBC15" w14:textId="77777777" w:rsidR="00907FD8" w:rsidRPr="00032E4E" w:rsidRDefault="00000000" w:rsidP="005030BC">
      <w:pPr>
        <w:pStyle w:val="Heading1"/>
        <w:spacing w:line="360" w:lineRule="auto"/>
        <w:rPr>
          <w:color w:val="000000" w:themeColor="text1"/>
        </w:rPr>
      </w:pPr>
      <w:r w:rsidRPr="00032E4E">
        <w:rPr>
          <w:color w:val="000000" w:themeColor="text1"/>
        </w:rPr>
        <w:lastRenderedPageBreak/>
        <w:t>Abstract</w:t>
      </w:r>
    </w:p>
    <w:p w14:paraId="084B2303" w14:textId="6DFF0021" w:rsidR="00907FD8" w:rsidRDefault="00000000" w:rsidP="005030BC">
      <w:pPr>
        <w:spacing w:after="0" w:line="360" w:lineRule="auto"/>
        <w:jc w:val="both"/>
      </w:pPr>
      <w:r>
        <w:t xml:space="preserve">This study examines the impact of Strategic Risk Governance (SRG) on Banking Resilience (BR) in the context of Bangladesh's commercial banking sector. The study is motivated by the growing importance of governance quality, board-level risk oversight, internal controls, and strategic risk management systems in maintaining bank stability in emerging economies. Primary data were collected from 120 banking professionals using a structured questionnaire measured on a five-point Likert scale. The research adopted a quantitative, cross-sectional design and analyzed the data in IBM SPSS Statistics using reliability analysis, descriptive statistics, </w:t>
      </w:r>
      <w:r w:rsidR="005030BC">
        <w:t xml:space="preserve">  </w:t>
      </w:r>
      <w:r>
        <w:t>frequency analysis</w:t>
      </w:r>
      <w:r w:rsidR="00032E4E">
        <w:t xml:space="preserve"> </w:t>
      </w:r>
      <w:r>
        <w:t>, Pearson correlation, and simple linear regression.</w:t>
      </w:r>
      <w:r>
        <w:br/>
        <w:t>The reliability analysis demonstrates that the measurement scales are highly consistent, with Cronbach's alpha values of .936 for SRG and .892 for BR. Descriptive statistics indicate moderately favorable perceptions of both governance and resilience among respondents, with mean scores of 3.469 for SRG and 3.513 for BR. Correlation analysis identifies a statistically significant positive relationship between SRG and BR (r = .575, p &lt; .001). Regression results further show that SRG has a significant positive effect on BR (B = .585, beta = .575, t = 7.635, p &lt; .001), with the model explaining 33.1% of the variance in banking resilience (R square = .331).</w:t>
      </w:r>
      <w:r>
        <w:br/>
        <w:t>The findings suggest that stronger strategic risk governance contributes meaningfully to the resilience of commercial banks in Bangladesh. The study provides practical implications for bank boards, senior management, and regulators by demonstrating that governance mechanisms are not merely compliance tools but strategic capabilities that strengthen financial stability. It also contributes to the literature by providing primary-data evidence from an emerging market context where empirical evidence remains comparatively limited.</w:t>
      </w:r>
      <w:r>
        <w:br/>
      </w:r>
      <w:r>
        <w:br/>
      </w:r>
      <w:r w:rsidRPr="005030BC">
        <w:rPr>
          <w:b/>
          <w:bCs/>
        </w:rPr>
        <w:t>Keywords:</w:t>
      </w:r>
      <w:r>
        <w:t xml:space="preserve"> </w:t>
      </w:r>
      <w:r w:rsidR="005030BC">
        <w:t>S</w:t>
      </w:r>
      <w:r>
        <w:t>trategic risk governance, banking resilience, Bangladesh</w:t>
      </w:r>
      <w:r w:rsidR="005030BC">
        <w:t xml:space="preserve"> </w:t>
      </w:r>
      <w:r>
        <w:t>commercial banks</w:t>
      </w:r>
      <w:r w:rsidR="005030BC">
        <w:t>.</w:t>
      </w:r>
    </w:p>
    <w:p w14:paraId="38496FBE" w14:textId="77777777" w:rsidR="005030BC" w:rsidRDefault="005030BC" w:rsidP="005030BC">
      <w:pPr>
        <w:spacing w:after="0" w:line="360" w:lineRule="auto"/>
        <w:jc w:val="both"/>
      </w:pPr>
    </w:p>
    <w:p w14:paraId="52995C3E" w14:textId="77777777" w:rsidR="005030BC" w:rsidRDefault="005030BC" w:rsidP="005030BC">
      <w:pPr>
        <w:spacing w:after="0" w:line="360" w:lineRule="auto"/>
        <w:jc w:val="both"/>
      </w:pPr>
    </w:p>
    <w:p w14:paraId="7698E600" w14:textId="77777777" w:rsidR="005030BC" w:rsidRDefault="005030BC" w:rsidP="005030BC">
      <w:pPr>
        <w:spacing w:after="0" w:line="360" w:lineRule="auto"/>
        <w:jc w:val="both"/>
      </w:pPr>
    </w:p>
    <w:p w14:paraId="760CF99E" w14:textId="77777777" w:rsidR="005030BC" w:rsidRDefault="005030BC" w:rsidP="005030BC">
      <w:pPr>
        <w:spacing w:after="0" w:line="360" w:lineRule="auto"/>
        <w:jc w:val="both"/>
      </w:pPr>
    </w:p>
    <w:p w14:paraId="73FE218E" w14:textId="77777777" w:rsidR="005030BC" w:rsidRDefault="005030BC" w:rsidP="005030BC">
      <w:pPr>
        <w:spacing w:after="0" w:line="360" w:lineRule="auto"/>
        <w:jc w:val="both"/>
      </w:pPr>
    </w:p>
    <w:p w14:paraId="458AD21A" w14:textId="4133CA41" w:rsidR="00907FD8" w:rsidRDefault="00000000" w:rsidP="00322115">
      <w:pPr>
        <w:pStyle w:val="Heading1"/>
        <w:numPr>
          <w:ilvl w:val="0"/>
          <w:numId w:val="10"/>
        </w:numPr>
        <w:spacing w:line="360" w:lineRule="auto"/>
        <w:jc w:val="both"/>
        <w:rPr>
          <w:color w:val="000000" w:themeColor="text1"/>
        </w:rPr>
      </w:pPr>
      <w:r w:rsidRPr="005030BC">
        <w:rPr>
          <w:color w:val="000000" w:themeColor="text1"/>
        </w:rPr>
        <w:lastRenderedPageBreak/>
        <w:t>Introduction</w:t>
      </w:r>
    </w:p>
    <w:p w14:paraId="2FC55AA9" w14:textId="77777777" w:rsidR="00322115" w:rsidRPr="00322115" w:rsidRDefault="00322115" w:rsidP="00322115"/>
    <w:p w14:paraId="3A852945" w14:textId="77777777" w:rsidR="00322115" w:rsidRPr="00D7266D" w:rsidRDefault="00322115" w:rsidP="00322115">
      <w:pPr>
        <w:pStyle w:val="NormalWeb"/>
        <w:spacing w:line="360" w:lineRule="auto"/>
        <w:jc w:val="both"/>
        <w:rPr>
          <w:color w:val="000000"/>
        </w:rPr>
      </w:pPr>
      <w:r w:rsidRPr="00D7266D">
        <w:rPr>
          <w:color w:val="000000"/>
        </w:rPr>
        <w:t>The global financial system has experienced significant instability over recent decades, particularly following events such as the 2008 financial crisis, which exposed critical weaknesses in risk governance frameworks within banking institutions (Basel Committee on Banking Supervision, 2011). These disruptions have underscored the necessity for banks to not only manage risks effectively but also to develop resilience—the capacity to absorb shocks, adapt to changing conditions, and sustain operations during periods of crisis (Haldane, 2009; Barroso et al., 2017).</w:t>
      </w:r>
    </w:p>
    <w:p w14:paraId="218D1B27" w14:textId="77777777" w:rsidR="00322115" w:rsidRPr="00D7266D" w:rsidRDefault="00322115" w:rsidP="00322115">
      <w:pPr>
        <w:pStyle w:val="NormalWeb"/>
        <w:spacing w:line="360" w:lineRule="auto"/>
        <w:jc w:val="both"/>
        <w:rPr>
          <w:color w:val="000000"/>
        </w:rPr>
      </w:pPr>
      <w:r w:rsidRPr="00D7266D">
        <w:rPr>
          <w:color w:val="000000"/>
        </w:rPr>
        <w:t>In emerging economies such as</w:t>
      </w:r>
      <w:r w:rsidRPr="00D7266D">
        <w:rPr>
          <w:rStyle w:val="apple-converted-space"/>
          <w:color w:val="000000"/>
        </w:rPr>
        <w:t> </w:t>
      </w:r>
      <w:r w:rsidRPr="00D7266D">
        <w:rPr>
          <w:rStyle w:val="whitespace-normal"/>
          <w:color w:val="000000"/>
        </w:rPr>
        <w:t>Bangladesh</w:t>
      </w:r>
      <w:r w:rsidRPr="00D7266D">
        <w:rPr>
          <w:color w:val="000000"/>
        </w:rPr>
        <w:t>, the banking sector plays a pivotal role in supporting economic growth and financial inclusion. However, it is also characterised by structural vulnerabilities, including regulatory limitations, governance inefficiencies, and exposure to both domestic and global financial risks (Uddin &amp; Suzuki, 2011). These challenges make the study of strategic risk governance particularly significant, as effective governance mechanisms can enhance transparency, accountability, and institutional resilience.</w:t>
      </w:r>
    </w:p>
    <w:p w14:paraId="7F0DF513" w14:textId="59EF772D" w:rsidR="008142EC" w:rsidRPr="008142EC" w:rsidRDefault="00322115" w:rsidP="008142EC">
      <w:pPr>
        <w:spacing w:before="100" w:beforeAutospacing="1" w:after="100" w:afterAutospacing="1" w:line="360" w:lineRule="auto"/>
        <w:jc w:val="both"/>
        <w:rPr>
          <w:color w:val="000000"/>
        </w:rPr>
      </w:pPr>
      <w:r w:rsidRPr="008142EC">
        <w:rPr>
          <w:color w:val="000000"/>
        </w:rPr>
        <w:t xml:space="preserve">The concept of </w:t>
      </w:r>
      <w:r w:rsidR="008142EC" w:rsidRPr="008142EC">
        <w:rPr>
          <w:b/>
          <w:bCs/>
          <w:color w:val="000000"/>
        </w:rPr>
        <w:t xml:space="preserve">Strategic risk </w:t>
      </w:r>
      <w:r w:rsidR="008142EC">
        <w:rPr>
          <w:b/>
          <w:bCs/>
          <w:color w:val="000000"/>
        </w:rPr>
        <w:t>G</w:t>
      </w:r>
      <w:r w:rsidR="008142EC" w:rsidRPr="008142EC">
        <w:rPr>
          <w:b/>
          <w:bCs/>
          <w:color w:val="000000"/>
        </w:rPr>
        <w:t>overnance</w:t>
      </w:r>
      <w:r w:rsidR="008142EC" w:rsidRPr="008142EC">
        <w:rPr>
          <w:color w:val="000000"/>
        </w:rPr>
        <w:t xml:space="preserve"> refers to the system of structures, processes, and controls through which an </w:t>
      </w:r>
      <w:r w:rsidR="00E77DE7">
        <w:rPr>
          <w:color w:val="000000"/>
        </w:rPr>
        <w:t>organization's</w:t>
      </w:r>
      <w:r w:rsidR="008142EC" w:rsidRPr="008142EC">
        <w:rPr>
          <w:color w:val="000000"/>
        </w:rPr>
        <w:t xml:space="preserve"> board and senior management identify, assess, monitor, and manage risks that may affect the achievement of long-term strategic objectives. It integrates risk oversight into corporate governance to ensure that strategic decisions align with the </w:t>
      </w:r>
      <w:proofErr w:type="spellStart"/>
      <w:r w:rsidR="008142EC" w:rsidRPr="008142EC">
        <w:rPr>
          <w:color w:val="000000"/>
        </w:rPr>
        <w:t>organisation’s</w:t>
      </w:r>
      <w:proofErr w:type="spellEnd"/>
      <w:r w:rsidR="008142EC" w:rsidRPr="008142EC">
        <w:rPr>
          <w:color w:val="000000"/>
        </w:rPr>
        <w:t xml:space="preserve"> risk appetite and long-term sustainability, particularly in highly regulated sectors such as banking.</w:t>
      </w:r>
      <w:r w:rsidR="00E77DE7">
        <w:rPr>
          <w:color w:val="000000"/>
        </w:rPr>
        <w:t xml:space="preserve"> </w:t>
      </w:r>
      <w:r w:rsidR="008142EC" w:rsidRPr="008142EC">
        <w:rPr>
          <w:color w:val="000000"/>
        </w:rPr>
        <w:t>In banking literature, strategic risk governance is often viewed as part of enterprise risk governance, where boards ensure that risk considerations are embedded into strategy-setting, performance monitoring, and decision-making processes (Basel Committee on Banking Supervision, 2015; McConnell, 2012).</w:t>
      </w:r>
    </w:p>
    <w:p w14:paraId="56B6F238" w14:textId="0E8EFBC0" w:rsidR="008142EC" w:rsidRPr="008142EC" w:rsidRDefault="008142EC" w:rsidP="008142EC">
      <w:pPr>
        <w:spacing w:before="100" w:beforeAutospacing="1" w:after="100" w:afterAutospacing="1" w:line="360" w:lineRule="auto"/>
        <w:jc w:val="both"/>
        <w:rPr>
          <w:color w:val="000000"/>
        </w:rPr>
      </w:pPr>
      <w:r w:rsidRPr="008142EC">
        <w:rPr>
          <w:b/>
          <w:bCs/>
          <w:color w:val="000000"/>
        </w:rPr>
        <w:t>Banking resilience</w:t>
      </w:r>
      <w:r w:rsidRPr="008142EC">
        <w:rPr>
          <w:color w:val="000000"/>
        </w:rPr>
        <w:t> refers to the ability of a bank to withstand financial shocks, operational disruptions, and economic stress while continuing to perform its critical functions, such as lending, payments, and financial intermediation. It reflects how well a bank can absorb losses, maintain adequate capital and liquidity, and recover quickly from crises without threatening its stability or the wider financial system.</w:t>
      </w:r>
      <w:r w:rsidR="00E77DE7">
        <w:rPr>
          <w:color w:val="000000"/>
        </w:rPr>
        <w:t xml:space="preserve"> </w:t>
      </w:r>
      <w:r w:rsidRPr="008142EC">
        <w:rPr>
          <w:color w:val="000000"/>
        </w:rPr>
        <w:t xml:space="preserve">In regulatory and academic literature, banking resilience is closely </w:t>
      </w:r>
      <w:r w:rsidRPr="008142EC">
        <w:rPr>
          <w:color w:val="000000"/>
        </w:rPr>
        <w:lastRenderedPageBreak/>
        <w:t>linked to strong capital adequacy, effective liquidity management, sound risk governance, and robust supervision frameworks that ensure banks remain stable during periods of uncertainty (Basel Committee on Banking Supervision, 2025; McConnell, 2012).</w:t>
      </w:r>
    </w:p>
    <w:p w14:paraId="6257D19E" w14:textId="77777777" w:rsidR="00907FD8" w:rsidRDefault="00000000" w:rsidP="005030BC">
      <w:pPr>
        <w:spacing w:line="360" w:lineRule="auto"/>
        <w:jc w:val="both"/>
      </w:pPr>
      <w:r>
        <w:t>Bangladesh provides a particularly relevant context for examining this relationship. Although the banking sector has expanded substantially, it has also faced challenges related to loan quality, governance weaknesses, compliance concerns, and variable risk management standards across institutions. Commercial banks operate in an environment where macroeconomic volatility, competitive pressure, and regulatory expectations create a need for stronger governance systems. Yet, while governance is often discussed in policy and supervisory terms, fewer studies have examined how banking professionals themselves perceive the relationship between strategic governance arrangements and resilience outcomes. This creates a meaningful empirical gap.</w:t>
      </w:r>
    </w:p>
    <w:p w14:paraId="5E11938E" w14:textId="77777777" w:rsidR="00907FD8" w:rsidRDefault="00000000" w:rsidP="005030BC">
      <w:pPr>
        <w:spacing w:line="360" w:lineRule="auto"/>
        <w:jc w:val="both"/>
      </w:pPr>
      <w:r>
        <w:t>The present study addresses that gap by analyzing primary data collected from 120 banking professionals in Bangladesh. The research asks whether stronger Strategic Risk Governance is associated with stronger Banking Resilience. Using a structured questionnaire and SPSS-based quantitative methods, the study evaluates the reliability of the constructs, describes respondent perceptions, and tests the relationship between the two variables through correlation and regression analysis.</w:t>
      </w:r>
    </w:p>
    <w:p w14:paraId="6356A3C6" w14:textId="77777777" w:rsidR="00907FD8" w:rsidRDefault="00000000" w:rsidP="005030BC">
      <w:pPr>
        <w:spacing w:line="360" w:lineRule="auto"/>
        <w:jc w:val="both"/>
      </w:pPr>
      <w:r>
        <w:t>This report is important for several reasons. First, it contributes empirical evidence from an emerging market context where governance-resilience research remains comparatively limited. Second, it provides an applied understanding of strategic risk governance based on responses from practitioners in commercial banks rather than relying only on secondary financial indicators. Third, it offers practical implications for boards, regulators, and bank management by identifying governance as a potentially powerful driver of resilience.</w:t>
      </w:r>
    </w:p>
    <w:p w14:paraId="0DD5C012" w14:textId="77777777" w:rsidR="00907FD8" w:rsidRDefault="00000000" w:rsidP="005030BC">
      <w:pPr>
        <w:spacing w:line="360" w:lineRule="auto"/>
        <w:jc w:val="both"/>
      </w:pPr>
      <w:r>
        <w:t xml:space="preserve">The report is structured as follows. Following this introduction, the literature review develops the theoretical and empirical basis for the study and identifies the gap in prior research. The methodology chapter explains the research design, sampling strategy, instrument, measurement, and analytical techniques. The results chapter presents the empirical findings from reliability testing, descriptive analysis, correlation, and regression. The discussion chapter interprets the </w:t>
      </w:r>
      <w:r>
        <w:lastRenderedPageBreak/>
        <w:t>findings in light of the literature and the Bangladeshi banking context. The report then concludes with implications, limitations, and recommendations for future research.</w:t>
      </w:r>
    </w:p>
    <w:p w14:paraId="5C361D8C" w14:textId="77777777" w:rsidR="00907FD8" w:rsidRPr="00E77DE7" w:rsidRDefault="00000000" w:rsidP="00E77DE7">
      <w:pPr>
        <w:pStyle w:val="Heading1"/>
        <w:spacing w:line="360" w:lineRule="auto"/>
        <w:jc w:val="both"/>
        <w:rPr>
          <w:color w:val="000000" w:themeColor="text1"/>
        </w:rPr>
      </w:pPr>
      <w:r w:rsidRPr="00E77DE7">
        <w:rPr>
          <w:color w:val="000000" w:themeColor="text1"/>
        </w:rPr>
        <w:t>2. Literature Review</w:t>
      </w:r>
    </w:p>
    <w:p w14:paraId="231867BE" w14:textId="77777777" w:rsidR="00907FD8" w:rsidRDefault="00000000" w:rsidP="00E77DE7">
      <w:pPr>
        <w:spacing w:line="360" w:lineRule="auto"/>
        <w:jc w:val="both"/>
      </w:pPr>
      <w:r>
        <w:t>Strategic Risk Governance has become an increasingly prominent theme in banking, corporate governance, and risk management research. The concept brings together governance theory, enterprise risk management, internal control systems, and strategic decision making. It rests on the idea that risk should not be treated as a narrow technical issue but as an integral component of organizational strategy and accountability. In the banking context, this view is especially relevant because banks are highly leveraged, interconnected institutions whose failures can generate significant systemic costs.</w:t>
      </w:r>
    </w:p>
    <w:p w14:paraId="7A509C5E" w14:textId="77777777" w:rsidR="00907FD8" w:rsidRDefault="00000000" w:rsidP="00E77DE7">
      <w:pPr>
        <w:spacing w:line="360" w:lineRule="auto"/>
        <w:jc w:val="both"/>
      </w:pPr>
      <w:r>
        <w:t>The Basel Committee on Banking Supervision (2015) provides one of the clearest foundational statements on corporate governance in banks. The Committee argues that sound governance promotes public confidence and contributes to the safety and soundness of the banking system. Its principles emphasize board responsibility, senior management oversight, risk appetite frameworks, internal control, compliance, internal audit, compensation alignment, and transparency. Importantly, the Basel principles frame governance not merely as formal structure but as an operating system through which institutions make, monitor, and correct strategic decisions under uncertainty. This perspective aligns closely with the concept of Strategic Risk Governance used in the present study.</w:t>
      </w:r>
    </w:p>
    <w:p w14:paraId="018BB2C5" w14:textId="77777777" w:rsidR="00907FD8" w:rsidRDefault="00000000" w:rsidP="00E77DE7">
      <w:pPr>
        <w:spacing w:line="360" w:lineRule="auto"/>
        <w:jc w:val="both"/>
      </w:pPr>
      <w:r>
        <w:t>A major strand of the literature focuses on the role of the board of directors. Boards are expected to approve strategy, oversee risk appetite, monitor management, and ensure that risk information reaches decision makers in a timely way. McConnell (2012) argues that effective board oversight is central to strategic governance because it aligns management action with organizational objectives and stakeholder protection. In the context of banking, weak board engagement can produce poor strategic judgment, delayed responses to emerging threats, and inadequate accountability. Conversely, engaged and informed boards can strengthen oversight, promote challenge, and improve the quality of high-level decisions.</w:t>
      </w:r>
    </w:p>
    <w:p w14:paraId="6755E357" w14:textId="77777777" w:rsidR="00907FD8" w:rsidRDefault="00000000" w:rsidP="00E77DE7">
      <w:pPr>
        <w:spacing w:line="360" w:lineRule="auto"/>
        <w:jc w:val="both"/>
      </w:pPr>
      <w:r>
        <w:lastRenderedPageBreak/>
        <w:t>Related to the board's role is the issue of risk committees and specialized oversight mechanisms. Risk committees provide a formal structure through which banks can review risk exposures, monitor emerging threats, and connect strategic choices to risk implications. Battaglia and Gallo (2015), in their study of Asian banks, show that risk governance characteristics matter for performance, particularly under crisis conditions. Their findings support the broader argument that formal governance architecture can shape resilience-related outcomes by improving discipline and strategic response.</w:t>
      </w:r>
    </w:p>
    <w:p w14:paraId="64FF6E26" w14:textId="77777777" w:rsidR="00907FD8" w:rsidRDefault="00000000" w:rsidP="00E77DE7">
      <w:pPr>
        <w:spacing w:line="360" w:lineRule="auto"/>
        <w:jc w:val="both"/>
      </w:pPr>
      <w:r>
        <w:t>Another important component of Strategic Risk Governance is enterprise risk management. ERM aims to integrate risk management across the organization rather than treating individual risks in silos. Korableva and Kalimullina (2016) note that integrated risk systems can improve transparency, coordination, and managerial awareness. In banks, this integration is especially important because credit, liquidity, operational, compliance, and reputational risks often interact. A fragmented governance model may overlook those interactions, whereas a strategically oriented governance model can connect risk information across functions and levels of authority. This supports better prioritization, earlier warning, and more consistent execution.</w:t>
      </w:r>
    </w:p>
    <w:p w14:paraId="3631A28A" w14:textId="77777777" w:rsidR="00907FD8" w:rsidRDefault="00000000" w:rsidP="00E77DE7">
      <w:pPr>
        <w:spacing w:line="360" w:lineRule="auto"/>
        <w:jc w:val="both"/>
      </w:pPr>
      <w:r>
        <w:t>Internal controls and compliance mechanisms form another pillar of the literature. Internal controls protect asset integrity, improve reporting quality, support regulatory compliance, and reduce the likelihood that operational weaknesses will evolve into strategic failures. In banking, strong internal controls are often associated with better monitoring of risk exposure and better response to regulatory requirements. Nahar, Jubb, and Azim (2016), although focusing on disclosure, performance, and governance-related issues in banking, reinforce the broader insight that governance quality affects organizational outcomes. Governance systems shape not only control effectiveness but also credibility with regulators, investors, and other stakeholders.</w:t>
      </w:r>
    </w:p>
    <w:p w14:paraId="29354FD7" w14:textId="77777777" w:rsidR="00907FD8" w:rsidRDefault="00000000" w:rsidP="00E77DE7">
      <w:pPr>
        <w:spacing w:line="360" w:lineRule="auto"/>
        <w:jc w:val="both"/>
      </w:pPr>
      <w:r>
        <w:t xml:space="preserve">A related dimension is risk culture. Formal structures matter, but governance also depends on behavior, communication, and norms. Stein, Wiedemann, and Bouten (2019) argue that risk governance should be understood as a framing process that influences how organizations interpret and act on uncertainty. This view suggests that governance is not limited to policies and committees; it also depends on whether employees feel encouraged to report risks, whether risk awareness is embedded in daily operations, and whether escalation channels function effectively. These behavioral elements are highly relevant to banking resilience because the usefulness of a </w:t>
      </w:r>
      <w:r>
        <w:lastRenderedPageBreak/>
        <w:t>governance framework depends on whether information actually travels through it and whether decision makers act on that information.</w:t>
      </w:r>
    </w:p>
    <w:p w14:paraId="7D44BE6C" w14:textId="77777777" w:rsidR="00907FD8" w:rsidRDefault="00000000" w:rsidP="00E77DE7">
      <w:pPr>
        <w:spacing w:line="360" w:lineRule="auto"/>
        <w:jc w:val="both"/>
      </w:pPr>
      <w:r>
        <w:t>The literature on banking resilience complements the governance literature by focusing on institutional stability under stress. Banking resilience is commonly defined as the ability of a bank to absorb shocks, continue essential operations, and recover from adverse events. While resilience can be measured in many ways, recurring themes include capital adequacy, liquidity strength, profitability stability, shock absorption, adaptability, and continuity. Battaglia and Gallo (2015) connect governance features to stability-related outcomes, reinforcing the argument that resilient performance is partly governance-driven. More broadly, resilience theory in finance suggests that institutions with stronger capabilities for anticipation, adaptation, and coordinated response are better able to withstand turbulence.</w:t>
      </w:r>
    </w:p>
    <w:p w14:paraId="514A34D6" w14:textId="77777777" w:rsidR="00907FD8" w:rsidRDefault="00000000" w:rsidP="00E77DE7">
      <w:pPr>
        <w:spacing w:line="360" w:lineRule="auto"/>
        <w:jc w:val="both"/>
      </w:pPr>
      <w:r>
        <w:t>The relationship between governance and resilience can be explained through several theoretical lenses. Agency theory suggests that governance mechanisms reduce managerial opportunism and information asymmetry, thereby improving monitoring and protecting stakeholder interests. In banks, this may reduce the chance that managers take excessive risks that later undermine resilience. Resource dependence theory emphasizes that boards and governance structures help organizations access information, expertise, legitimacy, and external relationships. These resources can strengthen preparedness and strategic response. Dynamic capability theory adds that organizations with superior sensing, learning, and adaptation mechanisms are better able to respond to environmental change. Strategic Risk Governance can be understood as one institutional expression of those capabilities because it shapes how risk information is gathered, interpreted, and translated into strategic action.</w:t>
      </w:r>
    </w:p>
    <w:p w14:paraId="26D9DC79" w14:textId="77777777" w:rsidR="00907FD8" w:rsidRDefault="00000000" w:rsidP="00E77DE7">
      <w:pPr>
        <w:spacing w:line="360" w:lineRule="auto"/>
        <w:jc w:val="both"/>
      </w:pPr>
      <w:r>
        <w:t>Despite these valuable insights, several gaps remain in the literature. First, a substantial body of empirical work has focused on developed economies or broad cross-country samples, while fewer studies provide context-specific evidence from emerging markets such as Bangladesh. Yet emerging markets often differ in terms of regulatory enforcement, ownership patterns, governance maturity, and market conditions. These contextual differences may affect how governance mechanisms operate in practice.</w:t>
      </w:r>
    </w:p>
    <w:p w14:paraId="0EEBC28F" w14:textId="77777777" w:rsidR="00907FD8" w:rsidRDefault="00000000" w:rsidP="00E77DE7">
      <w:pPr>
        <w:spacing w:line="360" w:lineRule="auto"/>
        <w:jc w:val="both"/>
      </w:pPr>
      <w:r>
        <w:lastRenderedPageBreak/>
        <w:t>Second, many prior studies use secondary financial data, governance indices, or archival disclosures. Those approaches are valuable but may not fully capture how governance is experienced internally by banking professionals who participate in risk processes. Primary survey data can provide a complementary perspective by measuring perceptions of oversight quality, risk awareness, control effectiveness, and resilience-related capabilities. Such practitioner-level evidence is particularly useful in contexts where public governance data may be incomplete or where institutional practices vary across banks.</w:t>
      </w:r>
    </w:p>
    <w:p w14:paraId="0593AF0F" w14:textId="77777777" w:rsidR="00907FD8" w:rsidRDefault="00000000" w:rsidP="00E77DE7">
      <w:pPr>
        <w:spacing w:line="360" w:lineRule="auto"/>
        <w:jc w:val="both"/>
      </w:pPr>
      <w:r>
        <w:t>Third, much of the governance literature concentrates on performance, disclosure, or risk-taking rather than resilience itself. Performance and resilience are related but not identical. A bank may perform well in the short term while remaining vulnerable to shocks if governance encourages excessive risk. Resilience adds a longer-term and stress-oriented dimension, focusing on continuity, recovery, and adaptability. Examining resilience directly therefore adds conceptual and practical value.</w:t>
      </w:r>
    </w:p>
    <w:p w14:paraId="0DAF9464" w14:textId="77777777" w:rsidR="00907FD8" w:rsidRDefault="00000000" w:rsidP="00E77DE7">
      <w:pPr>
        <w:spacing w:line="360" w:lineRule="auto"/>
        <w:jc w:val="both"/>
      </w:pPr>
      <w:r>
        <w:t>Fourth, while many studies discuss governance components separately, fewer integrate them into a broader Strategic Risk Governance construct that includes board oversight, management commitment, role clarity, risk frameworks, policy review, reporting openness, risk culture, internal controls, compliance, and monitoring systems. The present study addresses this by operationalizing SRG through a multi-item survey instrument and linking it to a resilience construct measured through financial stability, capital adequacy, shock absorption, mitigation effectiveness, recovery capacity, adaptability, and long-term sustainability.</w:t>
      </w:r>
    </w:p>
    <w:p w14:paraId="23DC6DD0" w14:textId="77777777" w:rsidR="00907FD8" w:rsidRDefault="00000000" w:rsidP="00E77DE7">
      <w:pPr>
        <w:spacing w:line="360" w:lineRule="auto"/>
        <w:jc w:val="both"/>
      </w:pPr>
      <w:r>
        <w:t>In Bangladesh, the relevance of this topic is amplified by persistent sectoral challenges. Public discussion about non-performing loans, governance quality, accountability, and regulatory enforcement has made resilience a practical concern rather than a purely academic one. Commercial banks operate under significant expectations from regulators, depositors, investors, and the wider economy. In this setting, a strategic governance perspective is especially useful because it shifts attention from isolated control activities to the broader organizational capability to recognize and manage strategic risks before they escalate.</w:t>
      </w:r>
    </w:p>
    <w:p w14:paraId="11121F69" w14:textId="77777777" w:rsidR="00E77DE7" w:rsidRDefault="00000000" w:rsidP="00E77DE7">
      <w:pPr>
        <w:spacing w:line="360" w:lineRule="auto"/>
        <w:jc w:val="both"/>
      </w:pPr>
      <w:r>
        <w:t xml:space="preserve">Based on the literature, the present study proposes a simple conceptual relationship: stronger Strategic Risk Governance leads to stronger Banking Resilience. This relationship is grounded in </w:t>
      </w:r>
      <w:r>
        <w:lastRenderedPageBreak/>
        <w:t xml:space="preserve">the idea that effective governance improves oversight, strengthens coordination, promotes transparency, supports learning, and increases the ability of institutions to absorb and adapt to shocks. </w:t>
      </w:r>
    </w:p>
    <w:p w14:paraId="5A6D81DA" w14:textId="1645DBE8" w:rsidR="00907FD8" w:rsidRDefault="00000000" w:rsidP="00E77DE7">
      <w:pPr>
        <w:spacing w:line="360" w:lineRule="auto"/>
        <w:jc w:val="both"/>
      </w:pPr>
      <w:r>
        <w:t>The study therefore tests the following hypothesis:</w:t>
      </w:r>
    </w:p>
    <w:p w14:paraId="361B785D" w14:textId="77777777" w:rsidR="00907FD8" w:rsidRPr="00E77DE7" w:rsidRDefault="00000000" w:rsidP="00E77DE7">
      <w:pPr>
        <w:spacing w:line="360" w:lineRule="auto"/>
        <w:jc w:val="both"/>
        <w:rPr>
          <w:b/>
          <w:bCs/>
        </w:rPr>
      </w:pPr>
      <w:r w:rsidRPr="00E77DE7">
        <w:rPr>
          <w:b/>
          <w:bCs/>
        </w:rPr>
        <w:t>H1: Strategic Risk Governance has a significant positive impact on Banking Resilience in commercial banks in Bangladesh.</w:t>
      </w:r>
    </w:p>
    <w:p w14:paraId="56E55E67" w14:textId="77777777" w:rsidR="00907FD8" w:rsidRDefault="00000000" w:rsidP="00E77DE7">
      <w:pPr>
        <w:spacing w:line="360" w:lineRule="auto"/>
        <w:jc w:val="both"/>
      </w:pPr>
      <w:r>
        <w:t>This hypothesis is consistent with the cumulative logic of the literature, but it remains important to test it empirically in the Bangladesh context using primary data. By doing so, the study contributes to the risk governance literature, the banking resilience literature, and the applied understanding of governance in emerging banking systems.</w:t>
      </w:r>
    </w:p>
    <w:p w14:paraId="38636E5C" w14:textId="77777777" w:rsidR="00907FD8" w:rsidRPr="00E77DE7" w:rsidRDefault="00000000" w:rsidP="00E77DE7">
      <w:pPr>
        <w:pStyle w:val="Heading1"/>
        <w:spacing w:line="360" w:lineRule="auto"/>
        <w:jc w:val="both"/>
        <w:rPr>
          <w:color w:val="000000" w:themeColor="text1"/>
        </w:rPr>
      </w:pPr>
      <w:r w:rsidRPr="00E77DE7">
        <w:rPr>
          <w:color w:val="000000" w:themeColor="text1"/>
        </w:rPr>
        <w:t>3. Methodology</w:t>
      </w:r>
    </w:p>
    <w:p w14:paraId="598D8A33" w14:textId="77777777" w:rsidR="00907FD8" w:rsidRDefault="00000000" w:rsidP="00E77DE7">
      <w:pPr>
        <w:spacing w:line="360" w:lineRule="auto"/>
        <w:jc w:val="both"/>
      </w:pPr>
      <w:r>
        <w:t>This study uses a quantitative research design because the main objective is to test a hypothesized relationship between Strategic Risk Governance and Banking Resilience using numerical data and statistical analysis. Quantitative research is appropriate when the researcher seeks to measure variables, evaluate relationships among them, and draw conclusions on the basis of systematic evidence (Creswell &amp; Creswell, 2018). In line with the assignment requirement and the nature of the research question, the study adopts a cross-sectional survey design and uses SPSS to perform descriptive and inferential analysis.</w:t>
      </w:r>
    </w:p>
    <w:p w14:paraId="25FBAB02" w14:textId="77777777" w:rsidR="00907FD8" w:rsidRDefault="00000000" w:rsidP="00E77DE7">
      <w:pPr>
        <w:spacing w:line="360" w:lineRule="auto"/>
        <w:jc w:val="both"/>
      </w:pPr>
      <w:r>
        <w:t>The target context of the study is the commercial banking sector in Bangladesh. The respondents were banking professionals considered capable of providing informed judgments about governance practices and resilience in their institutions. Because the topic concerns board oversight, risk policies, reporting, internal control, compliance, and strategic decision making, respondents needed to have sufficient familiarity with banking processes and governance arrangements. For this reason, purposive sampling was used. Purposive sampling is appropriate when respondents are selected based on their relevance to the research objectives rather than through purely random selection.</w:t>
      </w:r>
    </w:p>
    <w:p w14:paraId="42DC3575" w14:textId="77777777" w:rsidR="00907FD8" w:rsidRDefault="00000000" w:rsidP="00E77DE7">
      <w:pPr>
        <w:spacing w:line="360" w:lineRule="auto"/>
        <w:jc w:val="both"/>
      </w:pPr>
      <w:r>
        <w:lastRenderedPageBreak/>
        <w:t>A total of 120 valid responses were included in the analysis. The sample size is suitable for the methods used in this report, particularly reliability analysis, correlation, and linear regression. While larger samples can strengthen precision and generalizability, the current sample is acceptable for an applied quantitative study of this type and allows meaningful statistical testing.</w:t>
      </w:r>
    </w:p>
    <w:p w14:paraId="14FB9928" w14:textId="77777777" w:rsidR="00907FD8" w:rsidRDefault="00000000" w:rsidP="00E77DE7">
      <w:pPr>
        <w:spacing w:line="360" w:lineRule="auto"/>
        <w:jc w:val="both"/>
      </w:pPr>
      <w:r>
        <w:t>Primary data were collected using a structured questionnaire measured on a five-point Likert scale, where 1 represented stronger disagreement and 5 represented stronger agreement. The survey instrument contained 19 items. Items Q1 to Q12 measured Strategic Risk Governance, while items Q13 to Q19 measured Banking Resilience. The wording of the items reflects concepts widely discussed in the literature and in supervisory guidance, especially board oversight, senior management prioritization, role clarity, formal frameworks, policy review, effective identification and assessment, openness in reporting risks, risk awareness, training, internal controls, compliance, and risk monitoring. The Banking Resilience items covered stable financial performance during crises, capital absorption capacity, ability to withstand shocks, mitigation of disruptions, speed of recovery, adaptability to changing market conditions, and support for long-term sustainability.</w:t>
      </w:r>
    </w:p>
    <w:p w14:paraId="132F4A3B" w14:textId="77777777" w:rsidR="00907FD8" w:rsidRDefault="00000000" w:rsidP="00E77DE7">
      <w:pPr>
        <w:spacing w:line="360" w:lineRule="auto"/>
        <w:jc w:val="both"/>
      </w:pPr>
      <w:r>
        <w:t>The choice of a Likert-type instrument is appropriate for several reasons. First, perceptions of governance quality and resilience often involve latent constructs that cannot be directly observed through a single objective indicator. Second, a structured questionnaire facilitates comparison across respondents and enables scale construction for multivariate analysis. Third, Likert scales are widely used in management and banking research because they are intuitive for respondents and straightforward to analyze statistically when combined into composite indices.</w:t>
      </w:r>
    </w:p>
    <w:p w14:paraId="183F83D7" w14:textId="77777777" w:rsidR="00907FD8" w:rsidRDefault="00000000" w:rsidP="00E77DE7">
      <w:pPr>
        <w:spacing w:line="360" w:lineRule="auto"/>
        <w:jc w:val="both"/>
      </w:pPr>
      <w:r>
        <w:t>For this study, composite variables were created after data collection. Strategic Risk Governance was operationalized as SRG_Index, computed as the mean of Q1 through Q12. Banking Resilience was operationalized as BR_Index, computed as the mean of Q13 through Q19. Using mean scores maintains the original scale metric and allows easier interpretation. Composite indices are also consistent with the logic of construct measurement in survey-based research, where multiple indicators together capture a broader latent variable.</w:t>
      </w:r>
    </w:p>
    <w:p w14:paraId="57B190BE" w14:textId="77777777" w:rsidR="00907FD8" w:rsidRDefault="00000000" w:rsidP="00E77DE7">
      <w:pPr>
        <w:spacing w:line="360" w:lineRule="auto"/>
        <w:jc w:val="both"/>
      </w:pPr>
      <w:r>
        <w:t xml:space="preserve">Before hypothesis testing, the study assessed reliability. Reliability refers to the extent to which the scale items consistently measure the same underlying construct. Cronbach's alpha was used </w:t>
      </w:r>
      <w:r>
        <w:lastRenderedPageBreak/>
        <w:t>because it is a widely accepted measure of internal consistency in social science research. Values above .70 are generally considered acceptable, values above .80 are considered good, and values above .90 are often interpreted as excellent, although very high values may sometimes suggest item redundancy. In this case, the alpha values were used primarily to confirm that the instruments were sufficiently consistent for subsequent analysis.</w:t>
      </w:r>
    </w:p>
    <w:p w14:paraId="520AA75B" w14:textId="77777777" w:rsidR="00907FD8" w:rsidRDefault="00000000" w:rsidP="00E77DE7">
      <w:pPr>
        <w:spacing w:line="360" w:lineRule="auto"/>
        <w:jc w:val="both"/>
      </w:pPr>
      <w:r>
        <w:t>The analytical strategy proceeded in several stages. First, frequency analysis was used to describe the distribution of responses across questionnaire items. This step helps identify whether responses cluster around disagreement, neutrality, or agreement. Second, descriptive statistics, including mean, standard deviation, minimum, and maximum, were generated for the composite variables SRG_Index and BR_Index. These values provide an overview of central tendency and variability. Third, Pearson correlation analysis was used to test whether a linear relationship exists between Strategic Risk Governance and Banking Resilience. Pearson's r is suitable when variables are continuous and approximately interval-scaled, as in the case of composite Likert indices. Fourth, simple linear regression was used to evaluate the predictive effect of SRG on BR.</w:t>
      </w:r>
    </w:p>
    <w:p w14:paraId="7DC34232" w14:textId="77777777" w:rsidR="00907FD8" w:rsidRDefault="00000000" w:rsidP="00E77DE7">
      <w:pPr>
        <w:spacing w:line="360" w:lineRule="auto"/>
        <w:jc w:val="both"/>
      </w:pPr>
      <w:r>
        <w:t>The use of simple regression is consistent with the conceptual model of this study, which contains one independent variable and one dependent variable. The model tests whether changes in SRG are associated with systematic changes in BR. The relevant outputs are the coefficient of determination (R square), the ANOVA significance test for the model, and the unstandardized and standardized regression coefficients. R square indicates the proportion of variance in the dependent variable explained by the independent variable. The ANOVA test indicates whether the model as a whole is statistically significant. The coefficient for SRG indicates the direction and strength of the effect on BR.</w:t>
      </w:r>
    </w:p>
    <w:p w14:paraId="46CF66D5" w14:textId="77777777" w:rsidR="00907FD8" w:rsidRDefault="00000000" w:rsidP="00E77DE7">
      <w:pPr>
        <w:spacing w:line="360" w:lineRule="auto"/>
        <w:jc w:val="both"/>
      </w:pPr>
      <w:r>
        <w:t>The hypothesis testing rule is based on the conventional significance level of .05. If the p-value associated with the SRG coefficient is less than .05, the null hypothesis of no effect is rejected and the research hypothesis is supported. In addition to significance, the direction and magnitude of the effect are interpreted.</w:t>
      </w:r>
    </w:p>
    <w:p w14:paraId="1DA8DE29" w14:textId="77777777" w:rsidR="00907FD8" w:rsidRDefault="00000000" w:rsidP="00E77DE7">
      <w:pPr>
        <w:spacing w:line="360" w:lineRule="auto"/>
        <w:jc w:val="both"/>
      </w:pPr>
      <w:r>
        <w:t>This report also draws on item-level means computed from the survey dataset to provide a richer descriptive picture. These statistics complement the SPSS output pasted by the researcher and help connect the numerical results to the content of the questionnaire.</w:t>
      </w:r>
    </w:p>
    <w:p w14:paraId="725F8A22" w14:textId="77777777" w:rsidR="00907FD8" w:rsidRDefault="00000000" w:rsidP="00E77DE7">
      <w:pPr>
        <w:spacing w:line="360" w:lineRule="auto"/>
        <w:jc w:val="both"/>
      </w:pPr>
      <w:r>
        <w:lastRenderedPageBreak/>
        <w:t>Like any research design, this study has limitations. The cross-sectional nature of the data means that causal language should be used with caution, even though regression is employed. The data are perception-based and therefore may be influenced by respondent subjectivity or social desirability bias. The use of purposive sampling limits formal generalization to the entire banking sector. Nevertheless, the design is well suited to the objectives of the study: it provides systematic practitioner-level evidence on how strategic risk governance is associated with banking resilience in commercial banks in Bangladesh.</w:t>
      </w:r>
    </w:p>
    <w:p w14:paraId="56431FE1" w14:textId="77777777" w:rsidR="00907FD8" w:rsidRDefault="00000000" w:rsidP="00E77DE7">
      <w:pPr>
        <w:spacing w:line="360" w:lineRule="auto"/>
        <w:jc w:val="both"/>
      </w:pPr>
      <w:r>
        <w:t>Ethically, the study assumes that participation was voluntary and that responses were used for academic purposes. No individual respondent or bank-level identifiers are reported in this document, preserving confidentiality. The focus is on aggregate findings rather than the evaluation of specific institutions.</w:t>
      </w:r>
    </w:p>
    <w:p w14:paraId="682AD95F" w14:textId="77777777" w:rsidR="00907FD8" w:rsidRDefault="00000000" w:rsidP="00E77DE7">
      <w:pPr>
        <w:spacing w:line="360" w:lineRule="auto"/>
        <w:jc w:val="both"/>
      </w:pPr>
      <w:r>
        <w:t>Overall, the methodology is appropriate for the research question, coherent with the theoretical framework, and aligned with the quantitative requirements of the course. The next chapter presents the empirical findings.</w:t>
      </w:r>
    </w:p>
    <w:p w14:paraId="606E05BF" w14:textId="77777777" w:rsidR="00E77DE7" w:rsidRDefault="00E77DE7">
      <w:pPr>
        <w:pStyle w:val="Heading2"/>
      </w:pPr>
    </w:p>
    <w:p w14:paraId="4EE1FB29" w14:textId="77DF5D2E" w:rsidR="00907FD8" w:rsidRPr="00E77DE7" w:rsidRDefault="00000000">
      <w:pPr>
        <w:pStyle w:val="Heading2"/>
        <w:rPr>
          <w:color w:val="000000" w:themeColor="text1"/>
        </w:rPr>
      </w:pPr>
      <w:r w:rsidRPr="00E77DE7">
        <w:rPr>
          <w:color w:val="000000" w:themeColor="text1"/>
        </w:rPr>
        <w:t>Conceptual Framework</w:t>
      </w:r>
    </w:p>
    <w:p w14:paraId="4E6D3214" w14:textId="77777777" w:rsidR="00907FD8" w:rsidRDefault="00000000">
      <w:r>
        <w:t>The study tests a direct positive effect of Strategic Risk Governance on Banking Resilience.</w:t>
      </w:r>
    </w:p>
    <w:p w14:paraId="4E270F78" w14:textId="77777777" w:rsidR="00907FD8" w:rsidRDefault="00000000">
      <w:r>
        <w:rPr>
          <w:noProof/>
        </w:rPr>
        <w:drawing>
          <wp:inline distT="0" distB="0" distL="0" distR="0" wp14:anchorId="3849A433" wp14:editId="7C2D0686">
            <wp:extent cx="5852160" cy="17151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conceptual.png"/>
                    <pic:cNvPicPr/>
                  </pic:nvPicPr>
                  <pic:blipFill>
                    <a:blip r:embed="rId6"/>
                    <a:stretch>
                      <a:fillRect/>
                    </a:stretch>
                  </pic:blipFill>
                  <pic:spPr>
                    <a:xfrm>
                      <a:off x="0" y="0"/>
                      <a:ext cx="5852160" cy="1715135"/>
                    </a:xfrm>
                    <a:prstGeom prst="rect">
                      <a:avLst/>
                    </a:prstGeom>
                  </pic:spPr>
                </pic:pic>
              </a:graphicData>
            </a:graphic>
          </wp:inline>
        </w:drawing>
      </w:r>
    </w:p>
    <w:p w14:paraId="4B893F24" w14:textId="77777777" w:rsidR="00907FD8" w:rsidRDefault="00000000">
      <w:pPr>
        <w:jc w:val="center"/>
        <w:rPr>
          <w:i/>
        </w:rPr>
      </w:pPr>
      <w:r>
        <w:rPr>
          <w:i/>
        </w:rPr>
        <w:t>Figure 1. Conceptual framework of the study.</w:t>
      </w:r>
    </w:p>
    <w:p w14:paraId="02C905CB" w14:textId="77777777" w:rsidR="00E77DE7" w:rsidRDefault="00E77DE7">
      <w:pPr>
        <w:jc w:val="center"/>
      </w:pPr>
    </w:p>
    <w:p w14:paraId="6B482C08" w14:textId="77777777" w:rsidR="00907FD8" w:rsidRPr="00E77DE7" w:rsidRDefault="00000000" w:rsidP="00E77DE7">
      <w:pPr>
        <w:pStyle w:val="Heading1"/>
        <w:spacing w:line="360" w:lineRule="auto"/>
        <w:rPr>
          <w:color w:val="000000" w:themeColor="text1"/>
        </w:rPr>
      </w:pPr>
      <w:r w:rsidRPr="00E77DE7">
        <w:rPr>
          <w:color w:val="000000" w:themeColor="text1"/>
        </w:rPr>
        <w:lastRenderedPageBreak/>
        <w:t>4. Results and Analysis</w:t>
      </w:r>
    </w:p>
    <w:p w14:paraId="4ACE1495" w14:textId="77777777" w:rsidR="00907FD8" w:rsidRDefault="00000000" w:rsidP="00E77DE7">
      <w:pPr>
        <w:spacing w:line="360" w:lineRule="auto"/>
      </w:pPr>
      <w:r>
        <w:t>This chapter presents the empirical findings of the study. The analysis begins with reliability assessment, followed by item-level descriptive evidence, construct-level descriptive statistics, correlation analysis, regression analysis, and hypothesis testing. Together, these results provide a comprehensive picture of the relationship between Strategic Risk Governance and Banking Resilience.</w:t>
      </w:r>
    </w:p>
    <w:p w14:paraId="5EF884B3" w14:textId="77777777" w:rsidR="00907FD8" w:rsidRDefault="00000000" w:rsidP="00E77DE7">
      <w:pPr>
        <w:spacing w:line="360" w:lineRule="auto"/>
      </w:pPr>
      <w:r>
        <w:t>Reliability analysis was conducted separately for the SRG and BR scales. For Strategic Risk Governance, the SPSS output reports Cronbach's alpha of .936 across 12 items. For Banking Resilience, Cronbach's alpha is .892 across 7 items. These values indicate that both scales possess strong internal consistency. The SRG scale falls within the excellent range, and the BR scale falls within the good-to-excellent range. This suggests that the items under each construct work together coherently and justify the use of composite indices in the later analyses. In practical terms, respondents answered the items in a sufficiently consistent manner for the constructs to be treated as reliable measures.</w:t>
      </w:r>
    </w:p>
    <w:p w14:paraId="7F07A86E" w14:textId="77777777" w:rsidR="00907FD8" w:rsidRDefault="00000000" w:rsidP="00E77DE7">
      <w:pPr>
        <w:spacing w:line="360" w:lineRule="auto"/>
        <w:jc w:val="center"/>
      </w:pPr>
      <w:r>
        <w:rPr>
          <w:b/>
        </w:rPr>
        <w:t>Table 1. Reliability statistics for study constructs</w:t>
      </w:r>
    </w:p>
    <w:tbl>
      <w:tblPr>
        <w:tblStyle w:val="TableGrid"/>
        <w:tblW w:w="0" w:type="auto"/>
        <w:jc w:val="center"/>
        <w:tblLook w:val="04A0" w:firstRow="1" w:lastRow="0" w:firstColumn="1" w:lastColumn="0" w:noHBand="0" w:noVBand="1"/>
      </w:tblPr>
      <w:tblGrid>
        <w:gridCol w:w="4531"/>
        <w:gridCol w:w="2694"/>
        <w:gridCol w:w="2125"/>
      </w:tblGrid>
      <w:tr w:rsidR="00907FD8" w14:paraId="4DC35819" w14:textId="77777777" w:rsidTr="00E77DE7">
        <w:trPr>
          <w:jc w:val="center"/>
        </w:trPr>
        <w:tc>
          <w:tcPr>
            <w:tcW w:w="4531" w:type="dxa"/>
            <w:vAlign w:val="center"/>
          </w:tcPr>
          <w:p w14:paraId="63D58942" w14:textId="77777777" w:rsidR="00907FD8" w:rsidRDefault="00000000" w:rsidP="00E77DE7">
            <w:pPr>
              <w:spacing w:line="360" w:lineRule="auto"/>
            </w:pPr>
            <w:r>
              <w:t>Construct</w:t>
            </w:r>
          </w:p>
        </w:tc>
        <w:tc>
          <w:tcPr>
            <w:tcW w:w="2694" w:type="dxa"/>
            <w:vAlign w:val="center"/>
          </w:tcPr>
          <w:p w14:paraId="11FF8837" w14:textId="77777777" w:rsidR="00907FD8" w:rsidRDefault="00000000" w:rsidP="00E77DE7">
            <w:pPr>
              <w:spacing w:line="360" w:lineRule="auto"/>
            </w:pPr>
            <w:r>
              <w:t>Cronbach's alpha</w:t>
            </w:r>
          </w:p>
        </w:tc>
        <w:tc>
          <w:tcPr>
            <w:tcW w:w="2125" w:type="dxa"/>
            <w:vAlign w:val="center"/>
          </w:tcPr>
          <w:p w14:paraId="1319544A" w14:textId="77777777" w:rsidR="00907FD8" w:rsidRDefault="00000000" w:rsidP="00E77DE7">
            <w:pPr>
              <w:spacing w:line="360" w:lineRule="auto"/>
            </w:pPr>
            <w:r>
              <w:t>Number of items</w:t>
            </w:r>
          </w:p>
        </w:tc>
      </w:tr>
      <w:tr w:rsidR="00907FD8" w14:paraId="287BA9C7" w14:textId="77777777" w:rsidTr="00E77DE7">
        <w:trPr>
          <w:jc w:val="center"/>
        </w:trPr>
        <w:tc>
          <w:tcPr>
            <w:tcW w:w="4531" w:type="dxa"/>
          </w:tcPr>
          <w:p w14:paraId="5A17A048" w14:textId="77777777" w:rsidR="00907FD8" w:rsidRDefault="00000000" w:rsidP="00E77DE7">
            <w:pPr>
              <w:spacing w:line="360" w:lineRule="auto"/>
            </w:pPr>
            <w:r>
              <w:t>Strategic Risk Governance (Q1-Q12)</w:t>
            </w:r>
          </w:p>
        </w:tc>
        <w:tc>
          <w:tcPr>
            <w:tcW w:w="2694" w:type="dxa"/>
          </w:tcPr>
          <w:p w14:paraId="576CC4E5" w14:textId="77777777" w:rsidR="00907FD8" w:rsidRDefault="00000000" w:rsidP="00E77DE7">
            <w:pPr>
              <w:spacing w:line="360" w:lineRule="auto"/>
            </w:pPr>
            <w:r>
              <w:t>.936</w:t>
            </w:r>
          </w:p>
        </w:tc>
        <w:tc>
          <w:tcPr>
            <w:tcW w:w="2125" w:type="dxa"/>
          </w:tcPr>
          <w:p w14:paraId="02CA5DC3" w14:textId="77777777" w:rsidR="00907FD8" w:rsidRDefault="00000000" w:rsidP="00E77DE7">
            <w:pPr>
              <w:spacing w:line="360" w:lineRule="auto"/>
            </w:pPr>
            <w:r>
              <w:t>12</w:t>
            </w:r>
          </w:p>
        </w:tc>
      </w:tr>
      <w:tr w:rsidR="00907FD8" w14:paraId="1F965A83" w14:textId="77777777" w:rsidTr="00E77DE7">
        <w:trPr>
          <w:jc w:val="center"/>
        </w:trPr>
        <w:tc>
          <w:tcPr>
            <w:tcW w:w="4531" w:type="dxa"/>
          </w:tcPr>
          <w:p w14:paraId="2B2D0A05" w14:textId="77777777" w:rsidR="00907FD8" w:rsidRDefault="00000000" w:rsidP="00E77DE7">
            <w:pPr>
              <w:spacing w:line="360" w:lineRule="auto"/>
            </w:pPr>
            <w:r>
              <w:t>Banking Resilience (Q13-Q19)</w:t>
            </w:r>
          </w:p>
        </w:tc>
        <w:tc>
          <w:tcPr>
            <w:tcW w:w="2694" w:type="dxa"/>
          </w:tcPr>
          <w:p w14:paraId="79E61A4F" w14:textId="77777777" w:rsidR="00907FD8" w:rsidRDefault="00000000" w:rsidP="00E77DE7">
            <w:pPr>
              <w:spacing w:line="360" w:lineRule="auto"/>
            </w:pPr>
            <w:r>
              <w:t>.892</w:t>
            </w:r>
          </w:p>
        </w:tc>
        <w:tc>
          <w:tcPr>
            <w:tcW w:w="2125" w:type="dxa"/>
          </w:tcPr>
          <w:p w14:paraId="0B8C4742" w14:textId="77777777" w:rsidR="00907FD8" w:rsidRDefault="00000000" w:rsidP="00E77DE7">
            <w:pPr>
              <w:spacing w:line="360" w:lineRule="auto"/>
            </w:pPr>
            <w:r>
              <w:t>7</w:t>
            </w:r>
          </w:p>
        </w:tc>
      </w:tr>
    </w:tbl>
    <w:p w14:paraId="029A25E5" w14:textId="77777777" w:rsidR="00E77DE7" w:rsidRDefault="00E77DE7" w:rsidP="00E77DE7">
      <w:pPr>
        <w:spacing w:line="360" w:lineRule="auto"/>
      </w:pPr>
    </w:p>
    <w:p w14:paraId="661B1B85" w14:textId="4C12A6E9" w:rsidR="00907FD8" w:rsidRDefault="00000000" w:rsidP="00E77DE7">
      <w:pPr>
        <w:spacing w:line="360" w:lineRule="auto"/>
      </w:pPr>
      <w:r>
        <w:t>The reliability coefficients are above the widely accepted .70 threshold, indicating strong internal consistency and supporting the construction of composite indices for both variables.</w:t>
      </w:r>
    </w:p>
    <w:p w14:paraId="6833BDEA" w14:textId="77777777" w:rsidR="00E77DE7" w:rsidRDefault="00E77DE7" w:rsidP="00E77DE7">
      <w:pPr>
        <w:spacing w:line="360" w:lineRule="auto"/>
      </w:pPr>
    </w:p>
    <w:p w14:paraId="2336C6EE" w14:textId="77777777" w:rsidR="00E77DE7" w:rsidRDefault="00E77DE7" w:rsidP="00E77DE7">
      <w:pPr>
        <w:spacing w:line="360" w:lineRule="auto"/>
      </w:pPr>
    </w:p>
    <w:p w14:paraId="7D85DC67" w14:textId="77777777" w:rsidR="00E77DE7" w:rsidRDefault="00E77DE7" w:rsidP="00E77DE7">
      <w:pPr>
        <w:spacing w:line="360" w:lineRule="auto"/>
      </w:pPr>
    </w:p>
    <w:p w14:paraId="31DD7B7E" w14:textId="77777777" w:rsidR="00E77DE7" w:rsidRDefault="00E77DE7" w:rsidP="00E77DE7">
      <w:pPr>
        <w:spacing w:line="360" w:lineRule="auto"/>
      </w:pPr>
    </w:p>
    <w:p w14:paraId="1AF6BCA6" w14:textId="77777777" w:rsidR="00E77DE7" w:rsidRDefault="00E77DE7" w:rsidP="00E77DE7">
      <w:pPr>
        <w:spacing w:line="360" w:lineRule="auto"/>
      </w:pPr>
    </w:p>
    <w:p w14:paraId="38FBA58B" w14:textId="77777777" w:rsidR="00907FD8" w:rsidRDefault="00000000" w:rsidP="00E77DE7">
      <w:pPr>
        <w:spacing w:line="360" w:lineRule="auto"/>
        <w:jc w:val="center"/>
      </w:pPr>
      <w:r>
        <w:rPr>
          <w:b/>
        </w:rPr>
        <w:lastRenderedPageBreak/>
        <w:t>Table 2. Item-level descriptive statistics</w:t>
      </w:r>
    </w:p>
    <w:tbl>
      <w:tblPr>
        <w:tblStyle w:val="TableGrid"/>
        <w:tblW w:w="0" w:type="auto"/>
        <w:jc w:val="center"/>
        <w:tblLook w:val="04A0" w:firstRow="1" w:lastRow="0" w:firstColumn="1" w:lastColumn="0" w:noHBand="0" w:noVBand="1"/>
      </w:tblPr>
      <w:tblGrid>
        <w:gridCol w:w="846"/>
        <w:gridCol w:w="5670"/>
        <w:gridCol w:w="1417"/>
        <w:gridCol w:w="1417"/>
      </w:tblGrid>
      <w:tr w:rsidR="00907FD8" w14:paraId="132A7327" w14:textId="77777777" w:rsidTr="00E77DE7">
        <w:trPr>
          <w:jc w:val="center"/>
        </w:trPr>
        <w:tc>
          <w:tcPr>
            <w:tcW w:w="846" w:type="dxa"/>
            <w:vAlign w:val="center"/>
          </w:tcPr>
          <w:p w14:paraId="290A9260" w14:textId="77777777" w:rsidR="00907FD8" w:rsidRDefault="00000000" w:rsidP="00E77DE7">
            <w:pPr>
              <w:spacing w:line="360" w:lineRule="auto"/>
            </w:pPr>
            <w:r>
              <w:t>Item</w:t>
            </w:r>
          </w:p>
        </w:tc>
        <w:tc>
          <w:tcPr>
            <w:tcW w:w="5670" w:type="dxa"/>
            <w:vAlign w:val="center"/>
          </w:tcPr>
          <w:p w14:paraId="159E2E4A" w14:textId="77777777" w:rsidR="00907FD8" w:rsidRDefault="00000000" w:rsidP="00E77DE7">
            <w:pPr>
              <w:spacing w:line="360" w:lineRule="auto"/>
            </w:pPr>
            <w:r>
              <w:t>Statement (abridged)</w:t>
            </w:r>
          </w:p>
        </w:tc>
        <w:tc>
          <w:tcPr>
            <w:tcW w:w="1417" w:type="dxa"/>
            <w:vAlign w:val="center"/>
          </w:tcPr>
          <w:p w14:paraId="7062964F" w14:textId="77777777" w:rsidR="00907FD8" w:rsidRDefault="00000000" w:rsidP="00E77DE7">
            <w:pPr>
              <w:spacing w:line="360" w:lineRule="auto"/>
            </w:pPr>
            <w:r>
              <w:t>Mean</w:t>
            </w:r>
          </w:p>
        </w:tc>
        <w:tc>
          <w:tcPr>
            <w:tcW w:w="1417" w:type="dxa"/>
            <w:vAlign w:val="center"/>
          </w:tcPr>
          <w:p w14:paraId="112D5534" w14:textId="77777777" w:rsidR="00907FD8" w:rsidRDefault="00000000" w:rsidP="00E77DE7">
            <w:pPr>
              <w:spacing w:line="360" w:lineRule="auto"/>
            </w:pPr>
            <w:r>
              <w:t>SD</w:t>
            </w:r>
          </w:p>
        </w:tc>
      </w:tr>
      <w:tr w:rsidR="00907FD8" w14:paraId="12F84655" w14:textId="77777777" w:rsidTr="00E77DE7">
        <w:trPr>
          <w:jc w:val="center"/>
        </w:trPr>
        <w:tc>
          <w:tcPr>
            <w:tcW w:w="846" w:type="dxa"/>
          </w:tcPr>
          <w:p w14:paraId="5E9048AD" w14:textId="77777777" w:rsidR="00907FD8" w:rsidRDefault="00000000" w:rsidP="00E77DE7">
            <w:pPr>
              <w:spacing w:line="360" w:lineRule="auto"/>
            </w:pPr>
            <w:r>
              <w:t>Q1</w:t>
            </w:r>
          </w:p>
        </w:tc>
        <w:tc>
          <w:tcPr>
            <w:tcW w:w="5670" w:type="dxa"/>
          </w:tcPr>
          <w:p w14:paraId="604106D0" w14:textId="77777777" w:rsidR="00907FD8" w:rsidRDefault="00000000" w:rsidP="00E77DE7">
            <w:pPr>
              <w:spacing w:line="360" w:lineRule="auto"/>
            </w:pPr>
            <w:r>
              <w:t>Board actively oversees risk management policies</w:t>
            </w:r>
          </w:p>
        </w:tc>
        <w:tc>
          <w:tcPr>
            <w:tcW w:w="1417" w:type="dxa"/>
          </w:tcPr>
          <w:p w14:paraId="39AF3DF8" w14:textId="77777777" w:rsidR="00907FD8" w:rsidRDefault="00000000" w:rsidP="00E77DE7">
            <w:pPr>
              <w:spacing w:line="360" w:lineRule="auto"/>
            </w:pPr>
            <w:r>
              <w:t>3.442</w:t>
            </w:r>
          </w:p>
        </w:tc>
        <w:tc>
          <w:tcPr>
            <w:tcW w:w="1417" w:type="dxa"/>
          </w:tcPr>
          <w:p w14:paraId="12E915DC" w14:textId="77777777" w:rsidR="00907FD8" w:rsidRDefault="00000000" w:rsidP="00E77DE7">
            <w:pPr>
              <w:spacing w:line="360" w:lineRule="auto"/>
            </w:pPr>
            <w:r>
              <w:t>0.742</w:t>
            </w:r>
          </w:p>
        </w:tc>
      </w:tr>
      <w:tr w:rsidR="00907FD8" w14:paraId="304E6C04" w14:textId="77777777" w:rsidTr="00E77DE7">
        <w:trPr>
          <w:jc w:val="center"/>
        </w:trPr>
        <w:tc>
          <w:tcPr>
            <w:tcW w:w="846" w:type="dxa"/>
          </w:tcPr>
          <w:p w14:paraId="59AEE133" w14:textId="77777777" w:rsidR="00907FD8" w:rsidRDefault="00000000" w:rsidP="00E77DE7">
            <w:pPr>
              <w:spacing w:line="360" w:lineRule="auto"/>
            </w:pPr>
            <w:r>
              <w:t>Q2</w:t>
            </w:r>
          </w:p>
        </w:tc>
        <w:tc>
          <w:tcPr>
            <w:tcW w:w="5670" w:type="dxa"/>
          </w:tcPr>
          <w:p w14:paraId="250255D1" w14:textId="77777777" w:rsidR="00907FD8" w:rsidRDefault="00000000" w:rsidP="00E77DE7">
            <w:pPr>
              <w:spacing w:line="360" w:lineRule="auto"/>
            </w:pPr>
            <w:r>
              <w:t>Senior management prioritizes risk governance in decision-making</w:t>
            </w:r>
          </w:p>
        </w:tc>
        <w:tc>
          <w:tcPr>
            <w:tcW w:w="1417" w:type="dxa"/>
          </w:tcPr>
          <w:p w14:paraId="65A3092B" w14:textId="77777777" w:rsidR="00907FD8" w:rsidRDefault="00000000" w:rsidP="00E77DE7">
            <w:pPr>
              <w:spacing w:line="360" w:lineRule="auto"/>
            </w:pPr>
            <w:r>
              <w:t>3.500</w:t>
            </w:r>
          </w:p>
        </w:tc>
        <w:tc>
          <w:tcPr>
            <w:tcW w:w="1417" w:type="dxa"/>
          </w:tcPr>
          <w:p w14:paraId="3AA39315" w14:textId="77777777" w:rsidR="00907FD8" w:rsidRDefault="00000000" w:rsidP="00E77DE7">
            <w:pPr>
              <w:spacing w:line="360" w:lineRule="auto"/>
            </w:pPr>
            <w:r>
              <w:t>0.799</w:t>
            </w:r>
          </w:p>
        </w:tc>
      </w:tr>
      <w:tr w:rsidR="00907FD8" w14:paraId="3450492D" w14:textId="77777777" w:rsidTr="00E77DE7">
        <w:trPr>
          <w:jc w:val="center"/>
        </w:trPr>
        <w:tc>
          <w:tcPr>
            <w:tcW w:w="846" w:type="dxa"/>
          </w:tcPr>
          <w:p w14:paraId="4B9291B2" w14:textId="77777777" w:rsidR="00907FD8" w:rsidRDefault="00000000" w:rsidP="00E77DE7">
            <w:pPr>
              <w:spacing w:line="360" w:lineRule="auto"/>
            </w:pPr>
            <w:r>
              <w:t>Q3</w:t>
            </w:r>
          </w:p>
        </w:tc>
        <w:tc>
          <w:tcPr>
            <w:tcW w:w="5670" w:type="dxa"/>
          </w:tcPr>
          <w:p w14:paraId="50EC3500" w14:textId="77777777" w:rsidR="00907FD8" w:rsidRDefault="00000000" w:rsidP="00E77DE7">
            <w:pPr>
              <w:spacing w:line="360" w:lineRule="auto"/>
            </w:pPr>
            <w:r>
              <w:t>Clear roles and responsibilities for risk management are defined</w:t>
            </w:r>
          </w:p>
        </w:tc>
        <w:tc>
          <w:tcPr>
            <w:tcW w:w="1417" w:type="dxa"/>
          </w:tcPr>
          <w:p w14:paraId="10BA2AF4" w14:textId="77777777" w:rsidR="00907FD8" w:rsidRDefault="00000000" w:rsidP="00E77DE7">
            <w:pPr>
              <w:spacing w:line="360" w:lineRule="auto"/>
            </w:pPr>
            <w:r>
              <w:t>3.500</w:t>
            </w:r>
          </w:p>
        </w:tc>
        <w:tc>
          <w:tcPr>
            <w:tcW w:w="1417" w:type="dxa"/>
          </w:tcPr>
          <w:p w14:paraId="510E7FF9" w14:textId="77777777" w:rsidR="00907FD8" w:rsidRDefault="00000000" w:rsidP="00E77DE7">
            <w:pPr>
              <w:spacing w:line="360" w:lineRule="auto"/>
            </w:pPr>
            <w:r>
              <w:t>0.710</w:t>
            </w:r>
          </w:p>
        </w:tc>
      </w:tr>
      <w:tr w:rsidR="00907FD8" w14:paraId="0C26F483" w14:textId="77777777" w:rsidTr="00E77DE7">
        <w:trPr>
          <w:jc w:val="center"/>
        </w:trPr>
        <w:tc>
          <w:tcPr>
            <w:tcW w:w="846" w:type="dxa"/>
          </w:tcPr>
          <w:p w14:paraId="07141566" w14:textId="77777777" w:rsidR="00907FD8" w:rsidRDefault="00000000" w:rsidP="00E77DE7">
            <w:pPr>
              <w:spacing w:line="360" w:lineRule="auto"/>
            </w:pPr>
            <w:r>
              <w:t>Q4</w:t>
            </w:r>
          </w:p>
        </w:tc>
        <w:tc>
          <w:tcPr>
            <w:tcW w:w="5670" w:type="dxa"/>
          </w:tcPr>
          <w:p w14:paraId="28859990" w14:textId="77777777" w:rsidR="00907FD8" w:rsidRDefault="00000000" w:rsidP="00E77DE7">
            <w:pPr>
              <w:spacing w:line="360" w:lineRule="auto"/>
            </w:pPr>
            <w:r>
              <w:t>Bank has a well-structured risk management framework</w:t>
            </w:r>
          </w:p>
        </w:tc>
        <w:tc>
          <w:tcPr>
            <w:tcW w:w="1417" w:type="dxa"/>
          </w:tcPr>
          <w:p w14:paraId="2860E2EF" w14:textId="77777777" w:rsidR="00907FD8" w:rsidRDefault="00000000" w:rsidP="00E77DE7">
            <w:pPr>
              <w:spacing w:line="360" w:lineRule="auto"/>
            </w:pPr>
            <w:r>
              <w:t>3.433</w:t>
            </w:r>
          </w:p>
        </w:tc>
        <w:tc>
          <w:tcPr>
            <w:tcW w:w="1417" w:type="dxa"/>
          </w:tcPr>
          <w:p w14:paraId="27EEB874" w14:textId="77777777" w:rsidR="00907FD8" w:rsidRDefault="00000000" w:rsidP="00E77DE7">
            <w:pPr>
              <w:spacing w:line="360" w:lineRule="auto"/>
            </w:pPr>
            <w:r>
              <w:t>0.683</w:t>
            </w:r>
          </w:p>
        </w:tc>
      </w:tr>
      <w:tr w:rsidR="00907FD8" w14:paraId="580A03BF" w14:textId="77777777" w:rsidTr="00E77DE7">
        <w:trPr>
          <w:jc w:val="center"/>
        </w:trPr>
        <w:tc>
          <w:tcPr>
            <w:tcW w:w="846" w:type="dxa"/>
          </w:tcPr>
          <w:p w14:paraId="4D7F0C2C" w14:textId="77777777" w:rsidR="00907FD8" w:rsidRDefault="00000000" w:rsidP="00E77DE7">
            <w:pPr>
              <w:spacing w:line="360" w:lineRule="auto"/>
            </w:pPr>
            <w:r>
              <w:t>Q5</w:t>
            </w:r>
          </w:p>
        </w:tc>
        <w:tc>
          <w:tcPr>
            <w:tcW w:w="5670" w:type="dxa"/>
          </w:tcPr>
          <w:p w14:paraId="1E02D1DF" w14:textId="77777777" w:rsidR="00907FD8" w:rsidRDefault="00000000" w:rsidP="00E77DE7">
            <w:pPr>
              <w:spacing w:line="360" w:lineRule="auto"/>
            </w:pPr>
            <w:r>
              <w:t>Risk policies are regularly reviewed and updated</w:t>
            </w:r>
          </w:p>
        </w:tc>
        <w:tc>
          <w:tcPr>
            <w:tcW w:w="1417" w:type="dxa"/>
          </w:tcPr>
          <w:p w14:paraId="6D3A2257" w14:textId="77777777" w:rsidR="00907FD8" w:rsidRDefault="00000000" w:rsidP="00E77DE7">
            <w:pPr>
              <w:spacing w:line="360" w:lineRule="auto"/>
            </w:pPr>
            <w:r>
              <w:t>3.500</w:t>
            </w:r>
          </w:p>
        </w:tc>
        <w:tc>
          <w:tcPr>
            <w:tcW w:w="1417" w:type="dxa"/>
          </w:tcPr>
          <w:p w14:paraId="6A4444A3" w14:textId="77777777" w:rsidR="00907FD8" w:rsidRDefault="00000000" w:rsidP="00E77DE7">
            <w:pPr>
              <w:spacing w:line="360" w:lineRule="auto"/>
            </w:pPr>
            <w:r>
              <w:t>0.810</w:t>
            </w:r>
          </w:p>
        </w:tc>
      </w:tr>
      <w:tr w:rsidR="00907FD8" w14:paraId="32D1FA30" w14:textId="77777777" w:rsidTr="00E77DE7">
        <w:trPr>
          <w:jc w:val="center"/>
        </w:trPr>
        <w:tc>
          <w:tcPr>
            <w:tcW w:w="846" w:type="dxa"/>
          </w:tcPr>
          <w:p w14:paraId="133E8AC2" w14:textId="77777777" w:rsidR="00907FD8" w:rsidRDefault="00000000" w:rsidP="00E77DE7">
            <w:pPr>
              <w:spacing w:line="360" w:lineRule="auto"/>
            </w:pPr>
            <w:r>
              <w:t>Q6</w:t>
            </w:r>
          </w:p>
        </w:tc>
        <w:tc>
          <w:tcPr>
            <w:tcW w:w="5670" w:type="dxa"/>
          </w:tcPr>
          <w:p w14:paraId="615DFC2E" w14:textId="77777777" w:rsidR="00907FD8" w:rsidRDefault="00000000" w:rsidP="00E77DE7">
            <w:pPr>
              <w:spacing w:line="360" w:lineRule="auto"/>
            </w:pPr>
            <w:r>
              <w:t>Risk identification and assessment processes are effective</w:t>
            </w:r>
          </w:p>
        </w:tc>
        <w:tc>
          <w:tcPr>
            <w:tcW w:w="1417" w:type="dxa"/>
          </w:tcPr>
          <w:p w14:paraId="6DA06A64" w14:textId="77777777" w:rsidR="00907FD8" w:rsidRDefault="00000000" w:rsidP="00E77DE7">
            <w:pPr>
              <w:spacing w:line="360" w:lineRule="auto"/>
            </w:pPr>
            <w:r>
              <w:t>3.517</w:t>
            </w:r>
          </w:p>
        </w:tc>
        <w:tc>
          <w:tcPr>
            <w:tcW w:w="1417" w:type="dxa"/>
          </w:tcPr>
          <w:p w14:paraId="3E1E7DEE" w14:textId="77777777" w:rsidR="00907FD8" w:rsidRDefault="00000000" w:rsidP="00E77DE7">
            <w:pPr>
              <w:spacing w:line="360" w:lineRule="auto"/>
            </w:pPr>
            <w:r>
              <w:t>0.673</w:t>
            </w:r>
          </w:p>
        </w:tc>
      </w:tr>
      <w:tr w:rsidR="00907FD8" w14:paraId="10042533" w14:textId="77777777" w:rsidTr="00E77DE7">
        <w:trPr>
          <w:jc w:val="center"/>
        </w:trPr>
        <w:tc>
          <w:tcPr>
            <w:tcW w:w="846" w:type="dxa"/>
          </w:tcPr>
          <w:p w14:paraId="3C77DE67" w14:textId="77777777" w:rsidR="00907FD8" w:rsidRDefault="00000000" w:rsidP="00E77DE7">
            <w:pPr>
              <w:spacing w:line="360" w:lineRule="auto"/>
            </w:pPr>
            <w:r>
              <w:t>Q7</w:t>
            </w:r>
          </w:p>
        </w:tc>
        <w:tc>
          <w:tcPr>
            <w:tcW w:w="5670" w:type="dxa"/>
          </w:tcPr>
          <w:p w14:paraId="5D9BDC86" w14:textId="77777777" w:rsidR="00907FD8" w:rsidRDefault="00000000" w:rsidP="00E77DE7">
            <w:pPr>
              <w:spacing w:line="360" w:lineRule="auto"/>
            </w:pPr>
            <w:r>
              <w:t>Employees are encouraged to report risks openly</w:t>
            </w:r>
          </w:p>
        </w:tc>
        <w:tc>
          <w:tcPr>
            <w:tcW w:w="1417" w:type="dxa"/>
          </w:tcPr>
          <w:p w14:paraId="3F67E8FB" w14:textId="77777777" w:rsidR="00907FD8" w:rsidRDefault="00000000" w:rsidP="00E77DE7">
            <w:pPr>
              <w:spacing w:line="360" w:lineRule="auto"/>
            </w:pPr>
            <w:r>
              <w:t>3.425</w:t>
            </w:r>
          </w:p>
        </w:tc>
        <w:tc>
          <w:tcPr>
            <w:tcW w:w="1417" w:type="dxa"/>
          </w:tcPr>
          <w:p w14:paraId="1061B908" w14:textId="77777777" w:rsidR="00907FD8" w:rsidRDefault="00000000" w:rsidP="00E77DE7">
            <w:pPr>
              <w:spacing w:line="360" w:lineRule="auto"/>
            </w:pPr>
            <w:r>
              <w:t>0.752</w:t>
            </w:r>
          </w:p>
        </w:tc>
      </w:tr>
      <w:tr w:rsidR="00907FD8" w14:paraId="4035837A" w14:textId="77777777" w:rsidTr="00E77DE7">
        <w:trPr>
          <w:jc w:val="center"/>
        </w:trPr>
        <w:tc>
          <w:tcPr>
            <w:tcW w:w="846" w:type="dxa"/>
          </w:tcPr>
          <w:p w14:paraId="0A13DF56" w14:textId="77777777" w:rsidR="00907FD8" w:rsidRDefault="00000000" w:rsidP="00E77DE7">
            <w:pPr>
              <w:spacing w:line="360" w:lineRule="auto"/>
            </w:pPr>
            <w:r>
              <w:t>Q8</w:t>
            </w:r>
          </w:p>
        </w:tc>
        <w:tc>
          <w:tcPr>
            <w:tcW w:w="5670" w:type="dxa"/>
          </w:tcPr>
          <w:p w14:paraId="376B967F" w14:textId="77777777" w:rsidR="00907FD8" w:rsidRDefault="00000000" w:rsidP="00E77DE7">
            <w:pPr>
              <w:spacing w:line="360" w:lineRule="auto"/>
            </w:pPr>
            <w:r>
              <w:t>Risk awareness is embedded in daily operations</w:t>
            </w:r>
          </w:p>
        </w:tc>
        <w:tc>
          <w:tcPr>
            <w:tcW w:w="1417" w:type="dxa"/>
          </w:tcPr>
          <w:p w14:paraId="35795F14" w14:textId="77777777" w:rsidR="00907FD8" w:rsidRDefault="00000000" w:rsidP="00E77DE7">
            <w:pPr>
              <w:spacing w:line="360" w:lineRule="auto"/>
            </w:pPr>
            <w:r>
              <w:t>3.417</w:t>
            </w:r>
          </w:p>
        </w:tc>
        <w:tc>
          <w:tcPr>
            <w:tcW w:w="1417" w:type="dxa"/>
          </w:tcPr>
          <w:p w14:paraId="0C414D0C" w14:textId="77777777" w:rsidR="00907FD8" w:rsidRDefault="00000000" w:rsidP="00E77DE7">
            <w:pPr>
              <w:spacing w:line="360" w:lineRule="auto"/>
            </w:pPr>
            <w:r>
              <w:t>0.773</w:t>
            </w:r>
          </w:p>
        </w:tc>
      </w:tr>
      <w:tr w:rsidR="00907FD8" w14:paraId="33C717D6" w14:textId="77777777" w:rsidTr="00E77DE7">
        <w:trPr>
          <w:jc w:val="center"/>
        </w:trPr>
        <w:tc>
          <w:tcPr>
            <w:tcW w:w="846" w:type="dxa"/>
          </w:tcPr>
          <w:p w14:paraId="6001A90C" w14:textId="77777777" w:rsidR="00907FD8" w:rsidRDefault="00000000" w:rsidP="00E77DE7">
            <w:pPr>
              <w:spacing w:line="360" w:lineRule="auto"/>
            </w:pPr>
            <w:r>
              <w:t>Q9</w:t>
            </w:r>
          </w:p>
        </w:tc>
        <w:tc>
          <w:tcPr>
            <w:tcW w:w="5670" w:type="dxa"/>
          </w:tcPr>
          <w:p w14:paraId="3ABF275F" w14:textId="77777777" w:rsidR="00907FD8" w:rsidRDefault="00000000" w:rsidP="00E77DE7">
            <w:pPr>
              <w:spacing w:line="360" w:lineRule="auto"/>
            </w:pPr>
            <w:r>
              <w:t>Training programs improve employees' risk management skills</w:t>
            </w:r>
          </w:p>
        </w:tc>
        <w:tc>
          <w:tcPr>
            <w:tcW w:w="1417" w:type="dxa"/>
          </w:tcPr>
          <w:p w14:paraId="52564492" w14:textId="77777777" w:rsidR="00907FD8" w:rsidRDefault="00000000" w:rsidP="00E77DE7">
            <w:pPr>
              <w:spacing w:line="360" w:lineRule="auto"/>
            </w:pPr>
            <w:r>
              <w:t>3.517</w:t>
            </w:r>
          </w:p>
        </w:tc>
        <w:tc>
          <w:tcPr>
            <w:tcW w:w="1417" w:type="dxa"/>
          </w:tcPr>
          <w:p w14:paraId="529185CE" w14:textId="77777777" w:rsidR="00907FD8" w:rsidRDefault="00000000" w:rsidP="00E77DE7">
            <w:pPr>
              <w:spacing w:line="360" w:lineRule="auto"/>
            </w:pPr>
            <w:r>
              <w:t>0.733</w:t>
            </w:r>
          </w:p>
        </w:tc>
      </w:tr>
      <w:tr w:rsidR="00907FD8" w14:paraId="6BD33B5A" w14:textId="77777777" w:rsidTr="00E77DE7">
        <w:trPr>
          <w:jc w:val="center"/>
        </w:trPr>
        <w:tc>
          <w:tcPr>
            <w:tcW w:w="846" w:type="dxa"/>
          </w:tcPr>
          <w:p w14:paraId="77EA4B13" w14:textId="77777777" w:rsidR="00907FD8" w:rsidRDefault="00000000" w:rsidP="00E77DE7">
            <w:pPr>
              <w:spacing w:line="360" w:lineRule="auto"/>
            </w:pPr>
            <w:r>
              <w:t>Q10</w:t>
            </w:r>
          </w:p>
        </w:tc>
        <w:tc>
          <w:tcPr>
            <w:tcW w:w="5670" w:type="dxa"/>
          </w:tcPr>
          <w:p w14:paraId="724F0C0A" w14:textId="77777777" w:rsidR="00907FD8" w:rsidRDefault="00000000" w:rsidP="00E77DE7">
            <w:pPr>
              <w:spacing w:line="360" w:lineRule="auto"/>
            </w:pPr>
            <w:r>
              <w:t>Strong internal control systems are in place</w:t>
            </w:r>
          </w:p>
        </w:tc>
        <w:tc>
          <w:tcPr>
            <w:tcW w:w="1417" w:type="dxa"/>
          </w:tcPr>
          <w:p w14:paraId="5D8DCA4D" w14:textId="77777777" w:rsidR="00907FD8" w:rsidRDefault="00000000" w:rsidP="00E77DE7">
            <w:pPr>
              <w:spacing w:line="360" w:lineRule="auto"/>
            </w:pPr>
            <w:r>
              <w:t>3.433</w:t>
            </w:r>
          </w:p>
        </w:tc>
        <w:tc>
          <w:tcPr>
            <w:tcW w:w="1417" w:type="dxa"/>
          </w:tcPr>
          <w:p w14:paraId="2396D0C1" w14:textId="77777777" w:rsidR="00907FD8" w:rsidRDefault="00000000" w:rsidP="00E77DE7">
            <w:pPr>
              <w:spacing w:line="360" w:lineRule="auto"/>
            </w:pPr>
            <w:r>
              <w:t>0.695</w:t>
            </w:r>
          </w:p>
        </w:tc>
      </w:tr>
      <w:tr w:rsidR="00907FD8" w14:paraId="6077404F" w14:textId="77777777" w:rsidTr="00E77DE7">
        <w:trPr>
          <w:jc w:val="center"/>
        </w:trPr>
        <w:tc>
          <w:tcPr>
            <w:tcW w:w="846" w:type="dxa"/>
          </w:tcPr>
          <w:p w14:paraId="2198D13A" w14:textId="77777777" w:rsidR="00907FD8" w:rsidRDefault="00000000" w:rsidP="00E77DE7">
            <w:pPr>
              <w:spacing w:line="360" w:lineRule="auto"/>
            </w:pPr>
            <w:r>
              <w:t>Q11</w:t>
            </w:r>
          </w:p>
        </w:tc>
        <w:tc>
          <w:tcPr>
            <w:tcW w:w="5670" w:type="dxa"/>
          </w:tcPr>
          <w:p w14:paraId="7E9F5657" w14:textId="77777777" w:rsidR="00907FD8" w:rsidRDefault="00000000" w:rsidP="00E77DE7">
            <w:pPr>
              <w:spacing w:line="360" w:lineRule="auto"/>
            </w:pPr>
            <w:r>
              <w:t>Compliance with regulatory requirements is strictly maintained</w:t>
            </w:r>
          </w:p>
        </w:tc>
        <w:tc>
          <w:tcPr>
            <w:tcW w:w="1417" w:type="dxa"/>
          </w:tcPr>
          <w:p w14:paraId="41C03141" w14:textId="77777777" w:rsidR="00907FD8" w:rsidRDefault="00000000" w:rsidP="00E77DE7">
            <w:pPr>
              <w:spacing w:line="360" w:lineRule="auto"/>
            </w:pPr>
            <w:r>
              <w:t>3.483</w:t>
            </w:r>
          </w:p>
        </w:tc>
        <w:tc>
          <w:tcPr>
            <w:tcW w:w="1417" w:type="dxa"/>
          </w:tcPr>
          <w:p w14:paraId="052E68CD" w14:textId="77777777" w:rsidR="00907FD8" w:rsidRDefault="00000000" w:rsidP="00E77DE7">
            <w:pPr>
              <w:spacing w:line="360" w:lineRule="auto"/>
            </w:pPr>
            <w:r>
              <w:t>0.722</w:t>
            </w:r>
          </w:p>
        </w:tc>
      </w:tr>
      <w:tr w:rsidR="00907FD8" w14:paraId="61F0A088" w14:textId="77777777" w:rsidTr="00E77DE7">
        <w:trPr>
          <w:jc w:val="center"/>
        </w:trPr>
        <w:tc>
          <w:tcPr>
            <w:tcW w:w="846" w:type="dxa"/>
          </w:tcPr>
          <w:p w14:paraId="59EB0D9C" w14:textId="77777777" w:rsidR="00907FD8" w:rsidRDefault="00000000" w:rsidP="00E77DE7">
            <w:pPr>
              <w:spacing w:line="360" w:lineRule="auto"/>
            </w:pPr>
            <w:r>
              <w:t>Q12</w:t>
            </w:r>
          </w:p>
        </w:tc>
        <w:tc>
          <w:tcPr>
            <w:tcW w:w="5670" w:type="dxa"/>
          </w:tcPr>
          <w:p w14:paraId="2975FDA1" w14:textId="77777777" w:rsidR="00907FD8" w:rsidRDefault="00000000" w:rsidP="00E77DE7">
            <w:pPr>
              <w:spacing w:line="360" w:lineRule="auto"/>
            </w:pPr>
            <w:r>
              <w:t>Risk monitoring systems effectively detect potential threats</w:t>
            </w:r>
          </w:p>
        </w:tc>
        <w:tc>
          <w:tcPr>
            <w:tcW w:w="1417" w:type="dxa"/>
          </w:tcPr>
          <w:p w14:paraId="2E8FC8CE" w14:textId="77777777" w:rsidR="00907FD8" w:rsidRDefault="00000000" w:rsidP="00E77DE7">
            <w:pPr>
              <w:spacing w:line="360" w:lineRule="auto"/>
            </w:pPr>
            <w:r>
              <w:t>3.467</w:t>
            </w:r>
          </w:p>
        </w:tc>
        <w:tc>
          <w:tcPr>
            <w:tcW w:w="1417" w:type="dxa"/>
          </w:tcPr>
          <w:p w14:paraId="5D174CF8" w14:textId="77777777" w:rsidR="00907FD8" w:rsidRDefault="00000000" w:rsidP="00E77DE7">
            <w:pPr>
              <w:spacing w:line="360" w:lineRule="auto"/>
            </w:pPr>
            <w:r>
              <w:t>0.721</w:t>
            </w:r>
          </w:p>
        </w:tc>
      </w:tr>
      <w:tr w:rsidR="00907FD8" w14:paraId="6537A084" w14:textId="77777777" w:rsidTr="00E77DE7">
        <w:trPr>
          <w:jc w:val="center"/>
        </w:trPr>
        <w:tc>
          <w:tcPr>
            <w:tcW w:w="846" w:type="dxa"/>
          </w:tcPr>
          <w:p w14:paraId="674B6476" w14:textId="77777777" w:rsidR="00907FD8" w:rsidRDefault="00000000" w:rsidP="00E77DE7">
            <w:pPr>
              <w:spacing w:line="360" w:lineRule="auto"/>
            </w:pPr>
            <w:r>
              <w:t>Q13</w:t>
            </w:r>
          </w:p>
        </w:tc>
        <w:tc>
          <w:tcPr>
            <w:tcW w:w="5670" w:type="dxa"/>
          </w:tcPr>
          <w:p w14:paraId="5259E1A7" w14:textId="77777777" w:rsidR="00907FD8" w:rsidRDefault="00000000" w:rsidP="00E77DE7">
            <w:pPr>
              <w:spacing w:line="360" w:lineRule="auto"/>
            </w:pPr>
            <w:r>
              <w:t>Bank maintains stable financial performance during crises</w:t>
            </w:r>
          </w:p>
        </w:tc>
        <w:tc>
          <w:tcPr>
            <w:tcW w:w="1417" w:type="dxa"/>
          </w:tcPr>
          <w:p w14:paraId="5D3294E4" w14:textId="77777777" w:rsidR="00907FD8" w:rsidRDefault="00000000" w:rsidP="00E77DE7">
            <w:pPr>
              <w:spacing w:line="360" w:lineRule="auto"/>
            </w:pPr>
            <w:r>
              <w:t>3.450</w:t>
            </w:r>
          </w:p>
        </w:tc>
        <w:tc>
          <w:tcPr>
            <w:tcW w:w="1417" w:type="dxa"/>
          </w:tcPr>
          <w:p w14:paraId="7886C4C5" w14:textId="77777777" w:rsidR="00907FD8" w:rsidRDefault="00000000" w:rsidP="00E77DE7">
            <w:pPr>
              <w:spacing w:line="360" w:lineRule="auto"/>
            </w:pPr>
            <w:r>
              <w:t>0.754</w:t>
            </w:r>
          </w:p>
        </w:tc>
      </w:tr>
      <w:tr w:rsidR="00907FD8" w14:paraId="78A788E9" w14:textId="77777777" w:rsidTr="00E77DE7">
        <w:trPr>
          <w:jc w:val="center"/>
        </w:trPr>
        <w:tc>
          <w:tcPr>
            <w:tcW w:w="846" w:type="dxa"/>
          </w:tcPr>
          <w:p w14:paraId="2215D7D3" w14:textId="77777777" w:rsidR="00907FD8" w:rsidRDefault="00000000" w:rsidP="00E77DE7">
            <w:pPr>
              <w:spacing w:line="360" w:lineRule="auto"/>
            </w:pPr>
            <w:r>
              <w:t>Q14</w:t>
            </w:r>
          </w:p>
        </w:tc>
        <w:tc>
          <w:tcPr>
            <w:tcW w:w="5670" w:type="dxa"/>
          </w:tcPr>
          <w:p w14:paraId="3B057466" w14:textId="77777777" w:rsidR="00907FD8" w:rsidRDefault="00000000" w:rsidP="00E77DE7">
            <w:pPr>
              <w:spacing w:line="360" w:lineRule="auto"/>
            </w:pPr>
            <w:r>
              <w:t>Bank has sufficient capital to absorb unexpected losses</w:t>
            </w:r>
          </w:p>
        </w:tc>
        <w:tc>
          <w:tcPr>
            <w:tcW w:w="1417" w:type="dxa"/>
          </w:tcPr>
          <w:p w14:paraId="5B4F301D" w14:textId="77777777" w:rsidR="00907FD8" w:rsidRDefault="00000000" w:rsidP="00E77DE7">
            <w:pPr>
              <w:spacing w:line="360" w:lineRule="auto"/>
            </w:pPr>
            <w:r>
              <w:t>3.517</w:t>
            </w:r>
          </w:p>
        </w:tc>
        <w:tc>
          <w:tcPr>
            <w:tcW w:w="1417" w:type="dxa"/>
          </w:tcPr>
          <w:p w14:paraId="07F5B82F" w14:textId="77777777" w:rsidR="00907FD8" w:rsidRDefault="00000000" w:rsidP="00E77DE7">
            <w:pPr>
              <w:spacing w:line="360" w:lineRule="auto"/>
            </w:pPr>
            <w:r>
              <w:t>0.756</w:t>
            </w:r>
          </w:p>
        </w:tc>
      </w:tr>
      <w:tr w:rsidR="00907FD8" w14:paraId="4B3450A4" w14:textId="77777777" w:rsidTr="00E77DE7">
        <w:trPr>
          <w:jc w:val="center"/>
        </w:trPr>
        <w:tc>
          <w:tcPr>
            <w:tcW w:w="846" w:type="dxa"/>
          </w:tcPr>
          <w:p w14:paraId="4E3C486E" w14:textId="77777777" w:rsidR="00907FD8" w:rsidRDefault="00000000" w:rsidP="00E77DE7">
            <w:pPr>
              <w:spacing w:line="360" w:lineRule="auto"/>
            </w:pPr>
            <w:r>
              <w:t>Q15</w:t>
            </w:r>
          </w:p>
        </w:tc>
        <w:tc>
          <w:tcPr>
            <w:tcW w:w="5670" w:type="dxa"/>
          </w:tcPr>
          <w:p w14:paraId="79B3927A" w14:textId="77777777" w:rsidR="00907FD8" w:rsidRDefault="00000000" w:rsidP="00E77DE7">
            <w:pPr>
              <w:spacing w:line="360" w:lineRule="auto"/>
            </w:pPr>
            <w:r>
              <w:t>Bank can withstand economic or financial shocks</w:t>
            </w:r>
          </w:p>
        </w:tc>
        <w:tc>
          <w:tcPr>
            <w:tcW w:w="1417" w:type="dxa"/>
          </w:tcPr>
          <w:p w14:paraId="79074F73" w14:textId="77777777" w:rsidR="00907FD8" w:rsidRDefault="00000000" w:rsidP="00E77DE7">
            <w:pPr>
              <w:spacing w:line="360" w:lineRule="auto"/>
            </w:pPr>
            <w:r>
              <w:t>3.508</w:t>
            </w:r>
          </w:p>
        </w:tc>
        <w:tc>
          <w:tcPr>
            <w:tcW w:w="1417" w:type="dxa"/>
          </w:tcPr>
          <w:p w14:paraId="287FD5A8" w14:textId="77777777" w:rsidR="00907FD8" w:rsidRDefault="00000000" w:rsidP="00E77DE7">
            <w:pPr>
              <w:spacing w:line="360" w:lineRule="auto"/>
            </w:pPr>
            <w:r>
              <w:t>0.686</w:t>
            </w:r>
          </w:p>
        </w:tc>
      </w:tr>
      <w:tr w:rsidR="00907FD8" w14:paraId="05E4DD76" w14:textId="77777777" w:rsidTr="00E77DE7">
        <w:trPr>
          <w:jc w:val="center"/>
        </w:trPr>
        <w:tc>
          <w:tcPr>
            <w:tcW w:w="846" w:type="dxa"/>
          </w:tcPr>
          <w:p w14:paraId="31068FC7" w14:textId="77777777" w:rsidR="00907FD8" w:rsidRDefault="00000000" w:rsidP="00E77DE7">
            <w:pPr>
              <w:spacing w:line="360" w:lineRule="auto"/>
            </w:pPr>
            <w:r>
              <w:t>Q16</w:t>
            </w:r>
          </w:p>
        </w:tc>
        <w:tc>
          <w:tcPr>
            <w:tcW w:w="5670" w:type="dxa"/>
          </w:tcPr>
          <w:p w14:paraId="63C683DB" w14:textId="77777777" w:rsidR="00907FD8" w:rsidRDefault="00000000" w:rsidP="00E77DE7">
            <w:pPr>
              <w:spacing w:line="360" w:lineRule="auto"/>
            </w:pPr>
            <w:r>
              <w:t>Risk mitigation strategies reduce impact of disruptions</w:t>
            </w:r>
          </w:p>
        </w:tc>
        <w:tc>
          <w:tcPr>
            <w:tcW w:w="1417" w:type="dxa"/>
          </w:tcPr>
          <w:p w14:paraId="51BD5C19" w14:textId="77777777" w:rsidR="00907FD8" w:rsidRDefault="00000000" w:rsidP="00E77DE7">
            <w:pPr>
              <w:spacing w:line="360" w:lineRule="auto"/>
            </w:pPr>
            <w:r>
              <w:t>3.533</w:t>
            </w:r>
          </w:p>
        </w:tc>
        <w:tc>
          <w:tcPr>
            <w:tcW w:w="1417" w:type="dxa"/>
          </w:tcPr>
          <w:p w14:paraId="6883085E" w14:textId="77777777" w:rsidR="00907FD8" w:rsidRDefault="00000000" w:rsidP="00E77DE7">
            <w:pPr>
              <w:spacing w:line="360" w:lineRule="auto"/>
            </w:pPr>
            <w:r>
              <w:t>0.721</w:t>
            </w:r>
          </w:p>
        </w:tc>
      </w:tr>
      <w:tr w:rsidR="00907FD8" w14:paraId="10F7AA45" w14:textId="77777777" w:rsidTr="00E77DE7">
        <w:trPr>
          <w:jc w:val="center"/>
        </w:trPr>
        <w:tc>
          <w:tcPr>
            <w:tcW w:w="846" w:type="dxa"/>
          </w:tcPr>
          <w:p w14:paraId="3810AD24" w14:textId="77777777" w:rsidR="00907FD8" w:rsidRDefault="00000000" w:rsidP="00E77DE7">
            <w:pPr>
              <w:spacing w:line="360" w:lineRule="auto"/>
            </w:pPr>
            <w:r>
              <w:t>Q17</w:t>
            </w:r>
          </w:p>
        </w:tc>
        <w:tc>
          <w:tcPr>
            <w:tcW w:w="5670" w:type="dxa"/>
          </w:tcPr>
          <w:p w14:paraId="72CF1D89" w14:textId="77777777" w:rsidR="00907FD8" w:rsidRDefault="00000000" w:rsidP="00E77DE7">
            <w:pPr>
              <w:spacing w:line="360" w:lineRule="auto"/>
            </w:pPr>
            <w:r>
              <w:t>Bank recovers quickly after financial stress</w:t>
            </w:r>
          </w:p>
        </w:tc>
        <w:tc>
          <w:tcPr>
            <w:tcW w:w="1417" w:type="dxa"/>
          </w:tcPr>
          <w:p w14:paraId="0EACFA59" w14:textId="77777777" w:rsidR="00907FD8" w:rsidRDefault="00000000" w:rsidP="00E77DE7">
            <w:pPr>
              <w:spacing w:line="360" w:lineRule="auto"/>
            </w:pPr>
            <w:r>
              <w:t>3.492</w:t>
            </w:r>
          </w:p>
        </w:tc>
        <w:tc>
          <w:tcPr>
            <w:tcW w:w="1417" w:type="dxa"/>
          </w:tcPr>
          <w:p w14:paraId="1D0CD943" w14:textId="77777777" w:rsidR="00907FD8" w:rsidRDefault="00000000" w:rsidP="00E77DE7">
            <w:pPr>
              <w:spacing w:line="360" w:lineRule="auto"/>
            </w:pPr>
            <w:r>
              <w:t>0.778</w:t>
            </w:r>
          </w:p>
        </w:tc>
      </w:tr>
      <w:tr w:rsidR="00907FD8" w14:paraId="42762A36" w14:textId="77777777" w:rsidTr="00E77DE7">
        <w:trPr>
          <w:jc w:val="center"/>
        </w:trPr>
        <w:tc>
          <w:tcPr>
            <w:tcW w:w="846" w:type="dxa"/>
          </w:tcPr>
          <w:p w14:paraId="084BE51F" w14:textId="77777777" w:rsidR="00907FD8" w:rsidRDefault="00000000" w:rsidP="00E77DE7">
            <w:pPr>
              <w:spacing w:line="360" w:lineRule="auto"/>
            </w:pPr>
            <w:r>
              <w:t>Q18</w:t>
            </w:r>
          </w:p>
        </w:tc>
        <w:tc>
          <w:tcPr>
            <w:tcW w:w="5670" w:type="dxa"/>
          </w:tcPr>
          <w:p w14:paraId="62A197BF" w14:textId="77777777" w:rsidR="00907FD8" w:rsidRDefault="00000000" w:rsidP="00E77DE7">
            <w:pPr>
              <w:spacing w:line="360" w:lineRule="auto"/>
            </w:pPr>
            <w:r>
              <w:t>Bank adapts effectively to changing market conditions</w:t>
            </w:r>
          </w:p>
        </w:tc>
        <w:tc>
          <w:tcPr>
            <w:tcW w:w="1417" w:type="dxa"/>
          </w:tcPr>
          <w:p w14:paraId="6C477125" w14:textId="77777777" w:rsidR="00907FD8" w:rsidRDefault="00000000" w:rsidP="00E77DE7">
            <w:pPr>
              <w:spacing w:line="360" w:lineRule="auto"/>
            </w:pPr>
            <w:r>
              <w:t>3.508</w:t>
            </w:r>
          </w:p>
        </w:tc>
        <w:tc>
          <w:tcPr>
            <w:tcW w:w="1417" w:type="dxa"/>
          </w:tcPr>
          <w:p w14:paraId="0BCC94D3" w14:textId="77777777" w:rsidR="00907FD8" w:rsidRDefault="00000000" w:rsidP="00E77DE7">
            <w:pPr>
              <w:spacing w:line="360" w:lineRule="auto"/>
            </w:pPr>
            <w:r>
              <w:t>0.710</w:t>
            </w:r>
          </w:p>
        </w:tc>
      </w:tr>
      <w:tr w:rsidR="00907FD8" w14:paraId="536AB87B" w14:textId="77777777" w:rsidTr="00E77DE7">
        <w:trPr>
          <w:jc w:val="center"/>
        </w:trPr>
        <w:tc>
          <w:tcPr>
            <w:tcW w:w="846" w:type="dxa"/>
          </w:tcPr>
          <w:p w14:paraId="4A3E1F00" w14:textId="77777777" w:rsidR="00907FD8" w:rsidRDefault="00000000" w:rsidP="00E77DE7">
            <w:pPr>
              <w:spacing w:line="360" w:lineRule="auto"/>
            </w:pPr>
            <w:r>
              <w:t>Q19</w:t>
            </w:r>
          </w:p>
        </w:tc>
        <w:tc>
          <w:tcPr>
            <w:tcW w:w="5670" w:type="dxa"/>
          </w:tcPr>
          <w:p w14:paraId="4C38247B" w14:textId="77777777" w:rsidR="00907FD8" w:rsidRDefault="00000000" w:rsidP="00E77DE7">
            <w:pPr>
              <w:spacing w:line="360" w:lineRule="auto"/>
            </w:pPr>
            <w:r>
              <w:t>Strategic decisions support long-term sustainability</w:t>
            </w:r>
          </w:p>
        </w:tc>
        <w:tc>
          <w:tcPr>
            <w:tcW w:w="1417" w:type="dxa"/>
          </w:tcPr>
          <w:p w14:paraId="20DC6897" w14:textId="77777777" w:rsidR="00907FD8" w:rsidRDefault="00000000" w:rsidP="00E77DE7">
            <w:pPr>
              <w:spacing w:line="360" w:lineRule="auto"/>
            </w:pPr>
            <w:r>
              <w:t>3.583</w:t>
            </w:r>
          </w:p>
        </w:tc>
        <w:tc>
          <w:tcPr>
            <w:tcW w:w="1417" w:type="dxa"/>
          </w:tcPr>
          <w:p w14:paraId="42A51D88" w14:textId="77777777" w:rsidR="00907FD8" w:rsidRDefault="00000000" w:rsidP="00E77DE7">
            <w:pPr>
              <w:spacing w:line="360" w:lineRule="auto"/>
            </w:pPr>
            <w:r>
              <w:t>0.740</w:t>
            </w:r>
          </w:p>
        </w:tc>
      </w:tr>
    </w:tbl>
    <w:p w14:paraId="26ED4CC3" w14:textId="77777777" w:rsidR="00C818CF" w:rsidRDefault="00C818CF" w:rsidP="00E77DE7">
      <w:pPr>
        <w:spacing w:line="360" w:lineRule="auto"/>
      </w:pPr>
    </w:p>
    <w:p w14:paraId="40342ADD" w14:textId="05FBC626" w:rsidR="00907FD8" w:rsidRDefault="00000000" w:rsidP="00E77DE7">
      <w:pPr>
        <w:spacing w:line="360" w:lineRule="auto"/>
      </w:pPr>
      <w:r>
        <w:lastRenderedPageBreak/>
        <w:t>All item means are above the neutral midpoint of 3.00, indicating that respondents generally perceive both governance and resilience dimensions positively.</w:t>
      </w:r>
    </w:p>
    <w:p w14:paraId="2C5D3482" w14:textId="77777777" w:rsidR="00907FD8" w:rsidRDefault="00000000">
      <w:r>
        <w:rPr>
          <w:noProof/>
        </w:rPr>
        <w:drawing>
          <wp:inline distT="0" distB="0" distL="0" distR="0" wp14:anchorId="66604640" wp14:editId="167403F5">
            <wp:extent cx="5943600" cy="26649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item_means.png"/>
                    <pic:cNvPicPr/>
                  </pic:nvPicPr>
                  <pic:blipFill>
                    <a:blip r:embed="rId7"/>
                    <a:stretch>
                      <a:fillRect/>
                    </a:stretch>
                  </pic:blipFill>
                  <pic:spPr>
                    <a:xfrm>
                      <a:off x="0" y="0"/>
                      <a:ext cx="5943600" cy="2664937"/>
                    </a:xfrm>
                    <a:prstGeom prst="rect">
                      <a:avLst/>
                    </a:prstGeom>
                  </pic:spPr>
                </pic:pic>
              </a:graphicData>
            </a:graphic>
          </wp:inline>
        </w:drawing>
      </w:r>
    </w:p>
    <w:p w14:paraId="0EB41900" w14:textId="77777777" w:rsidR="00907FD8" w:rsidRDefault="00000000">
      <w:pPr>
        <w:jc w:val="center"/>
      </w:pPr>
      <w:r>
        <w:rPr>
          <w:i/>
        </w:rPr>
        <w:t>Figure 2. Mean scores for questionnaire items Q1-Q19.</w:t>
      </w:r>
    </w:p>
    <w:p w14:paraId="2E2FCA33" w14:textId="77777777" w:rsidR="00907FD8" w:rsidRDefault="00000000" w:rsidP="00C818CF">
      <w:pPr>
        <w:spacing w:line="360" w:lineRule="auto"/>
        <w:jc w:val="both"/>
      </w:pPr>
      <w:r>
        <w:rPr>
          <w:b/>
        </w:rPr>
        <w:t>Table 3. Descriptive statistics for composite variables</w:t>
      </w:r>
    </w:p>
    <w:tbl>
      <w:tblPr>
        <w:tblStyle w:val="TableGrid"/>
        <w:tblW w:w="0" w:type="auto"/>
        <w:jc w:val="center"/>
        <w:tblLook w:val="04A0" w:firstRow="1" w:lastRow="0" w:firstColumn="1" w:lastColumn="0" w:noHBand="0" w:noVBand="1"/>
      </w:tblPr>
      <w:tblGrid>
        <w:gridCol w:w="1871"/>
        <w:gridCol w:w="1869"/>
        <w:gridCol w:w="1870"/>
        <w:gridCol w:w="1870"/>
        <w:gridCol w:w="1870"/>
      </w:tblGrid>
      <w:tr w:rsidR="00907FD8" w14:paraId="6F9FFFB6" w14:textId="77777777">
        <w:trPr>
          <w:jc w:val="center"/>
        </w:trPr>
        <w:tc>
          <w:tcPr>
            <w:tcW w:w="1872" w:type="dxa"/>
            <w:vAlign w:val="center"/>
          </w:tcPr>
          <w:p w14:paraId="7A6CDF04" w14:textId="77777777" w:rsidR="00907FD8" w:rsidRDefault="00000000" w:rsidP="00C818CF">
            <w:pPr>
              <w:spacing w:line="360" w:lineRule="auto"/>
              <w:jc w:val="both"/>
            </w:pPr>
            <w:r>
              <w:t>Variable</w:t>
            </w:r>
          </w:p>
        </w:tc>
        <w:tc>
          <w:tcPr>
            <w:tcW w:w="1872" w:type="dxa"/>
            <w:vAlign w:val="center"/>
          </w:tcPr>
          <w:p w14:paraId="3DB48A26" w14:textId="77777777" w:rsidR="00907FD8" w:rsidRDefault="00000000" w:rsidP="00C818CF">
            <w:pPr>
              <w:spacing w:line="360" w:lineRule="auto"/>
              <w:jc w:val="both"/>
            </w:pPr>
            <w:r>
              <w:t>Mean</w:t>
            </w:r>
          </w:p>
        </w:tc>
        <w:tc>
          <w:tcPr>
            <w:tcW w:w="1872" w:type="dxa"/>
            <w:vAlign w:val="center"/>
          </w:tcPr>
          <w:p w14:paraId="5224AAA5" w14:textId="77777777" w:rsidR="00907FD8" w:rsidRDefault="00000000" w:rsidP="00C818CF">
            <w:pPr>
              <w:spacing w:line="360" w:lineRule="auto"/>
              <w:jc w:val="both"/>
            </w:pPr>
            <w:r>
              <w:t>Std. deviation</w:t>
            </w:r>
          </w:p>
        </w:tc>
        <w:tc>
          <w:tcPr>
            <w:tcW w:w="1872" w:type="dxa"/>
            <w:vAlign w:val="center"/>
          </w:tcPr>
          <w:p w14:paraId="63B369C9" w14:textId="77777777" w:rsidR="00907FD8" w:rsidRDefault="00000000" w:rsidP="00C818CF">
            <w:pPr>
              <w:spacing w:line="360" w:lineRule="auto"/>
              <w:jc w:val="both"/>
            </w:pPr>
            <w:r>
              <w:t>Minimum</w:t>
            </w:r>
          </w:p>
        </w:tc>
        <w:tc>
          <w:tcPr>
            <w:tcW w:w="1872" w:type="dxa"/>
            <w:vAlign w:val="center"/>
          </w:tcPr>
          <w:p w14:paraId="74EE28CC" w14:textId="77777777" w:rsidR="00907FD8" w:rsidRDefault="00000000" w:rsidP="00C818CF">
            <w:pPr>
              <w:spacing w:line="360" w:lineRule="auto"/>
              <w:jc w:val="both"/>
            </w:pPr>
            <w:r>
              <w:t>Maximum</w:t>
            </w:r>
          </w:p>
        </w:tc>
      </w:tr>
      <w:tr w:rsidR="00907FD8" w14:paraId="6C43DA77" w14:textId="77777777">
        <w:trPr>
          <w:jc w:val="center"/>
        </w:trPr>
        <w:tc>
          <w:tcPr>
            <w:tcW w:w="1872" w:type="dxa"/>
          </w:tcPr>
          <w:p w14:paraId="6821CEA5" w14:textId="77777777" w:rsidR="00907FD8" w:rsidRDefault="00000000" w:rsidP="00C818CF">
            <w:pPr>
              <w:spacing w:line="360" w:lineRule="auto"/>
              <w:jc w:val="both"/>
            </w:pPr>
            <w:r>
              <w:t>SRG Index</w:t>
            </w:r>
          </w:p>
        </w:tc>
        <w:tc>
          <w:tcPr>
            <w:tcW w:w="1872" w:type="dxa"/>
          </w:tcPr>
          <w:p w14:paraId="74016E93" w14:textId="77777777" w:rsidR="00907FD8" w:rsidRDefault="00000000" w:rsidP="00C818CF">
            <w:pPr>
              <w:spacing w:line="360" w:lineRule="auto"/>
              <w:jc w:val="both"/>
            </w:pPr>
            <w:r>
              <w:t>3.4694</w:t>
            </w:r>
          </w:p>
        </w:tc>
        <w:tc>
          <w:tcPr>
            <w:tcW w:w="1872" w:type="dxa"/>
          </w:tcPr>
          <w:p w14:paraId="75FBE70C" w14:textId="77777777" w:rsidR="00907FD8" w:rsidRDefault="00000000" w:rsidP="00C818CF">
            <w:pPr>
              <w:spacing w:line="360" w:lineRule="auto"/>
              <w:jc w:val="both"/>
            </w:pPr>
            <w:r>
              <w:t>0.56374</w:t>
            </w:r>
          </w:p>
        </w:tc>
        <w:tc>
          <w:tcPr>
            <w:tcW w:w="1872" w:type="dxa"/>
          </w:tcPr>
          <w:p w14:paraId="5BDBBBE8" w14:textId="77777777" w:rsidR="00907FD8" w:rsidRDefault="00000000" w:rsidP="00C818CF">
            <w:pPr>
              <w:spacing w:line="360" w:lineRule="auto"/>
              <w:jc w:val="both"/>
            </w:pPr>
            <w:r>
              <w:t>2.08</w:t>
            </w:r>
          </w:p>
        </w:tc>
        <w:tc>
          <w:tcPr>
            <w:tcW w:w="1872" w:type="dxa"/>
          </w:tcPr>
          <w:p w14:paraId="17C49990" w14:textId="77777777" w:rsidR="00907FD8" w:rsidRDefault="00000000" w:rsidP="00C818CF">
            <w:pPr>
              <w:spacing w:line="360" w:lineRule="auto"/>
              <w:jc w:val="both"/>
            </w:pPr>
            <w:r>
              <w:t>4.92</w:t>
            </w:r>
          </w:p>
        </w:tc>
      </w:tr>
      <w:tr w:rsidR="00907FD8" w14:paraId="6C5846FC" w14:textId="77777777">
        <w:trPr>
          <w:jc w:val="center"/>
        </w:trPr>
        <w:tc>
          <w:tcPr>
            <w:tcW w:w="1872" w:type="dxa"/>
          </w:tcPr>
          <w:p w14:paraId="0220E711" w14:textId="77777777" w:rsidR="00907FD8" w:rsidRDefault="00000000" w:rsidP="00C818CF">
            <w:pPr>
              <w:spacing w:line="360" w:lineRule="auto"/>
              <w:jc w:val="both"/>
            </w:pPr>
            <w:r>
              <w:t>BR Index</w:t>
            </w:r>
          </w:p>
        </w:tc>
        <w:tc>
          <w:tcPr>
            <w:tcW w:w="1872" w:type="dxa"/>
          </w:tcPr>
          <w:p w14:paraId="434D36F1" w14:textId="77777777" w:rsidR="00907FD8" w:rsidRDefault="00000000" w:rsidP="00C818CF">
            <w:pPr>
              <w:spacing w:line="360" w:lineRule="auto"/>
              <w:jc w:val="both"/>
            </w:pPr>
            <w:r>
              <w:t>3.5131</w:t>
            </w:r>
          </w:p>
        </w:tc>
        <w:tc>
          <w:tcPr>
            <w:tcW w:w="1872" w:type="dxa"/>
          </w:tcPr>
          <w:p w14:paraId="04418523" w14:textId="77777777" w:rsidR="00907FD8" w:rsidRDefault="00000000" w:rsidP="00C818CF">
            <w:pPr>
              <w:spacing w:line="360" w:lineRule="auto"/>
              <w:jc w:val="both"/>
            </w:pPr>
            <w:r>
              <w:t>0.57308</w:t>
            </w:r>
          </w:p>
        </w:tc>
        <w:tc>
          <w:tcPr>
            <w:tcW w:w="1872" w:type="dxa"/>
          </w:tcPr>
          <w:p w14:paraId="609D4211" w14:textId="77777777" w:rsidR="00907FD8" w:rsidRDefault="00000000" w:rsidP="00C818CF">
            <w:pPr>
              <w:spacing w:line="360" w:lineRule="auto"/>
              <w:jc w:val="both"/>
            </w:pPr>
            <w:r>
              <w:t>2.14</w:t>
            </w:r>
          </w:p>
        </w:tc>
        <w:tc>
          <w:tcPr>
            <w:tcW w:w="1872" w:type="dxa"/>
          </w:tcPr>
          <w:p w14:paraId="0BFC626A" w14:textId="77777777" w:rsidR="00907FD8" w:rsidRDefault="00000000" w:rsidP="00C818CF">
            <w:pPr>
              <w:spacing w:line="360" w:lineRule="auto"/>
              <w:jc w:val="both"/>
            </w:pPr>
            <w:r>
              <w:t>5.00</w:t>
            </w:r>
          </w:p>
        </w:tc>
      </w:tr>
    </w:tbl>
    <w:p w14:paraId="11A82085" w14:textId="77777777" w:rsidR="00907FD8" w:rsidRDefault="00000000" w:rsidP="00C818CF">
      <w:pPr>
        <w:spacing w:line="360" w:lineRule="auto"/>
        <w:jc w:val="both"/>
      </w:pPr>
      <w:r>
        <w:t>The means of both composite variables are slightly above 3.4, which points to moderately favorable overall evaluations among respondents.</w:t>
      </w:r>
    </w:p>
    <w:p w14:paraId="79F4423D" w14:textId="77777777" w:rsidR="00907FD8" w:rsidRDefault="00000000" w:rsidP="00C818CF">
      <w:pPr>
        <w:spacing w:line="360" w:lineRule="auto"/>
        <w:jc w:val="center"/>
      </w:pPr>
      <w:r>
        <w:rPr>
          <w:b/>
        </w:rPr>
        <w:t>Table 4. Correlation analysis</w:t>
      </w:r>
    </w:p>
    <w:tbl>
      <w:tblPr>
        <w:tblStyle w:val="TableGrid"/>
        <w:tblW w:w="0" w:type="auto"/>
        <w:jc w:val="center"/>
        <w:tblLook w:val="04A0" w:firstRow="1" w:lastRow="0" w:firstColumn="1" w:lastColumn="0" w:noHBand="0" w:noVBand="1"/>
      </w:tblPr>
      <w:tblGrid>
        <w:gridCol w:w="4106"/>
        <w:gridCol w:w="1843"/>
        <w:gridCol w:w="1843"/>
        <w:gridCol w:w="1558"/>
      </w:tblGrid>
      <w:tr w:rsidR="00907FD8" w14:paraId="1A2D8361" w14:textId="77777777" w:rsidTr="00C818CF">
        <w:trPr>
          <w:jc w:val="center"/>
        </w:trPr>
        <w:tc>
          <w:tcPr>
            <w:tcW w:w="4106" w:type="dxa"/>
            <w:vAlign w:val="center"/>
          </w:tcPr>
          <w:p w14:paraId="2A9E19A5" w14:textId="77777777" w:rsidR="00907FD8" w:rsidRDefault="00000000" w:rsidP="00C818CF">
            <w:pPr>
              <w:spacing w:line="360" w:lineRule="auto"/>
            </w:pPr>
            <w:r>
              <w:t>Variables</w:t>
            </w:r>
          </w:p>
        </w:tc>
        <w:tc>
          <w:tcPr>
            <w:tcW w:w="1843" w:type="dxa"/>
            <w:vAlign w:val="center"/>
          </w:tcPr>
          <w:p w14:paraId="0E4A8F9C" w14:textId="77777777" w:rsidR="00907FD8" w:rsidRDefault="00000000" w:rsidP="00C818CF">
            <w:pPr>
              <w:spacing w:line="360" w:lineRule="auto"/>
            </w:pPr>
            <w:r>
              <w:t>Pearson r</w:t>
            </w:r>
          </w:p>
        </w:tc>
        <w:tc>
          <w:tcPr>
            <w:tcW w:w="1843" w:type="dxa"/>
            <w:vAlign w:val="center"/>
          </w:tcPr>
          <w:p w14:paraId="5D73FDC8" w14:textId="77777777" w:rsidR="00907FD8" w:rsidRDefault="00000000" w:rsidP="00C818CF">
            <w:pPr>
              <w:spacing w:line="360" w:lineRule="auto"/>
            </w:pPr>
            <w:r>
              <w:t>p-value</w:t>
            </w:r>
          </w:p>
        </w:tc>
        <w:tc>
          <w:tcPr>
            <w:tcW w:w="1558" w:type="dxa"/>
            <w:vAlign w:val="center"/>
          </w:tcPr>
          <w:p w14:paraId="45DBBEA4" w14:textId="77777777" w:rsidR="00907FD8" w:rsidRDefault="00000000" w:rsidP="00C818CF">
            <w:pPr>
              <w:spacing w:line="360" w:lineRule="auto"/>
            </w:pPr>
            <w:r>
              <w:t>N</w:t>
            </w:r>
          </w:p>
        </w:tc>
      </w:tr>
      <w:tr w:rsidR="00907FD8" w14:paraId="55020E22" w14:textId="77777777" w:rsidTr="00C818CF">
        <w:trPr>
          <w:jc w:val="center"/>
        </w:trPr>
        <w:tc>
          <w:tcPr>
            <w:tcW w:w="4106" w:type="dxa"/>
          </w:tcPr>
          <w:p w14:paraId="5F15E5FF" w14:textId="77777777" w:rsidR="00907FD8" w:rsidRDefault="00000000" w:rsidP="00C818CF">
            <w:pPr>
              <w:spacing w:line="360" w:lineRule="auto"/>
            </w:pPr>
            <w:r>
              <w:t>Strategic Risk Governance and Banking Resilience</w:t>
            </w:r>
          </w:p>
        </w:tc>
        <w:tc>
          <w:tcPr>
            <w:tcW w:w="1843" w:type="dxa"/>
          </w:tcPr>
          <w:p w14:paraId="66254598" w14:textId="77777777" w:rsidR="00907FD8" w:rsidRDefault="00000000" w:rsidP="00C818CF">
            <w:pPr>
              <w:spacing w:line="360" w:lineRule="auto"/>
            </w:pPr>
            <w:r>
              <w:t>.575</w:t>
            </w:r>
          </w:p>
        </w:tc>
        <w:tc>
          <w:tcPr>
            <w:tcW w:w="1843" w:type="dxa"/>
          </w:tcPr>
          <w:p w14:paraId="3EEBCFE1" w14:textId="77777777" w:rsidR="00907FD8" w:rsidRDefault="00000000" w:rsidP="00C818CF">
            <w:pPr>
              <w:spacing w:line="360" w:lineRule="auto"/>
            </w:pPr>
            <w:r>
              <w:t>&lt; .001</w:t>
            </w:r>
          </w:p>
        </w:tc>
        <w:tc>
          <w:tcPr>
            <w:tcW w:w="1558" w:type="dxa"/>
          </w:tcPr>
          <w:p w14:paraId="7792C7A5" w14:textId="77777777" w:rsidR="00907FD8" w:rsidRDefault="00000000" w:rsidP="00C818CF">
            <w:pPr>
              <w:spacing w:line="360" w:lineRule="auto"/>
            </w:pPr>
            <w:r>
              <w:t>120</w:t>
            </w:r>
          </w:p>
        </w:tc>
      </w:tr>
    </w:tbl>
    <w:p w14:paraId="7E1AFAD1" w14:textId="77777777" w:rsidR="00C818CF" w:rsidRDefault="00C818CF" w:rsidP="00C818CF">
      <w:pPr>
        <w:spacing w:line="360" w:lineRule="auto"/>
      </w:pPr>
    </w:p>
    <w:p w14:paraId="4AE51EAB" w14:textId="7743C64A" w:rsidR="00907FD8" w:rsidRDefault="00000000" w:rsidP="00C818CF">
      <w:pPr>
        <w:spacing w:line="360" w:lineRule="auto"/>
      </w:pPr>
      <w:r>
        <w:t>The Pearson correlation coefficient of .575 indicates a moderate-to-strong positive association between Strategic Risk Governance and Banking Resilience.</w:t>
      </w:r>
    </w:p>
    <w:p w14:paraId="44C7A16C" w14:textId="77777777" w:rsidR="00C818CF" w:rsidRDefault="00C818CF" w:rsidP="00C818CF">
      <w:pPr>
        <w:spacing w:line="360" w:lineRule="auto"/>
      </w:pPr>
    </w:p>
    <w:p w14:paraId="42C93863" w14:textId="77777777" w:rsidR="00C818CF" w:rsidRDefault="00C818CF" w:rsidP="00C818CF">
      <w:pPr>
        <w:spacing w:line="360" w:lineRule="auto"/>
      </w:pPr>
    </w:p>
    <w:p w14:paraId="52D66AAD" w14:textId="77777777" w:rsidR="00907FD8" w:rsidRDefault="00000000" w:rsidP="00C818CF">
      <w:pPr>
        <w:spacing w:line="360" w:lineRule="auto"/>
        <w:jc w:val="center"/>
      </w:pPr>
      <w:r>
        <w:rPr>
          <w:b/>
        </w:rPr>
        <w:t>Table 5. Regression model summary</w:t>
      </w:r>
    </w:p>
    <w:tbl>
      <w:tblPr>
        <w:tblStyle w:val="TableGrid"/>
        <w:tblW w:w="0" w:type="auto"/>
        <w:jc w:val="center"/>
        <w:tblLook w:val="04A0" w:firstRow="1" w:lastRow="0" w:firstColumn="1" w:lastColumn="0" w:noHBand="0" w:noVBand="1"/>
      </w:tblPr>
      <w:tblGrid>
        <w:gridCol w:w="1870"/>
        <w:gridCol w:w="1870"/>
        <w:gridCol w:w="1870"/>
        <w:gridCol w:w="1870"/>
        <w:gridCol w:w="1870"/>
      </w:tblGrid>
      <w:tr w:rsidR="00907FD8" w14:paraId="141F9D5C" w14:textId="77777777">
        <w:trPr>
          <w:jc w:val="center"/>
        </w:trPr>
        <w:tc>
          <w:tcPr>
            <w:tcW w:w="1872" w:type="dxa"/>
            <w:vAlign w:val="center"/>
          </w:tcPr>
          <w:p w14:paraId="06C73F8D" w14:textId="77777777" w:rsidR="00907FD8" w:rsidRDefault="00000000" w:rsidP="00C818CF">
            <w:pPr>
              <w:spacing w:line="360" w:lineRule="auto"/>
            </w:pPr>
            <w:r>
              <w:t>R</w:t>
            </w:r>
          </w:p>
        </w:tc>
        <w:tc>
          <w:tcPr>
            <w:tcW w:w="1872" w:type="dxa"/>
            <w:vAlign w:val="center"/>
          </w:tcPr>
          <w:p w14:paraId="24DDA964" w14:textId="77777777" w:rsidR="00907FD8" w:rsidRDefault="00000000" w:rsidP="00C818CF">
            <w:pPr>
              <w:spacing w:line="360" w:lineRule="auto"/>
            </w:pPr>
            <w:r>
              <w:t>R square</w:t>
            </w:r>
          </w:p>
        </w:tc>
        <w:tc>
          <w:tcPr>
            <w:tcW w:w="1872" w:type="dxa"/>
            <w:vAlign w:val="center"/>
          </w:tcPr>
          <w:p w14:paraId="66B81866" w14:textId="77777777" w:rsidR="00907FD8" w:rsidRDefault="00000000" w:rsidP="00C818CF">
            <w:pPr>
              <w:spacing w:line="360" w:lineRule="auto"/>
            </w:pPr>
            <w:r>
              <w:t>Adjusted R square</w:t>
            </w:r>
          </w:p>
        </w:tc>
        <w:tc>
          <w:tcPr>
            <w:tcW w:w="1872" w:type="dxa"/>
            <w:vAlign w:val="center"/>
          </w:tcPr>
          <w:p w14:paraId="3F8CEE4D" w14:textId="77777777" w:rsidR="00907FD8" w:rsidRDefault="00000000" w:rsidP="00C818CF">
            <w:pPr>
              <w:spacing w:line="360" w:lineRule="auto"/>
            </w:pPr>
            <w:r>
              <w:t>Std. error of estimate</w:t>
            </w:r>
          </w:p>
        </w:tc>
        <w:tc>
          <w:tcPr>
            <w:tcW w:w="1872" w:type="dxa"/>
            <w:vAlign w:val="center"/>
          </w:tcPr>
          <w:p w14:paraId="1C9ED35F" w14:textId="77777777" w:rsidR="00907FD8" w:rsidRDefault="00000000" w:rsidP="00C818CF">
            <w:pPr>
              <w:spacing w:line="360" w:lineRule="auto"/>
            </w:pPr>
            <w:r>
              <w:t>N</w:t>
            </w:r>
          </w:p>
        </w:tc>
      </w:tr>
      <w:tr w:rsidR="00907FD8" w14:paraId="38EB2415" w14:textId="77777777">
        <w:trPr>
          <w:jc w:val="center"/>
        </w:trPr>
        <w:tc>
          <w:tcPr>
            <w:tcW w:w="1872" w:type="dxa"/>
          </w:tcPr>
          <w:p w14:paraId="1BE48E98" w14:textId="77777777" w:rsidR="00907FD8" w:rsidRDefault="00000000" w:rsidP="00C818CF">
            <w:pPr>
              <w:spacing w:line="360" w:lineRule="auto"/>
            </w:pPr>
            <w:r>
              <w:t>.575</w:t>
            </w:r>
          </w:p>
        </w:tc>
        <w:tc>
          <w:tcPr>
            <w:tcW w:w="1872" w:type="dxa"/>
          </w:tcPr>
          <w:p w14:paraId="2A3F0B3A" w14:textId="77777777" w:rsidR="00907FD8" w:rsidRDefault="00907FD8" w:rsidP="00C818CF">
            <w:pPr>
              <w:spacing w:line="360" w:lineRule="auto"/>
            </w:pPr>
          </w:p>
        </w:tc>
        <w:tc>
          <w:tcPr>
            <w:tcW w:w="1872" w:type="dxa"/>
          </w:tcPr>
          <w:p w14:paraId="4F9E77C7" w14:textId="77777777" w:rsidR="00907FD8" w:rsidRDefault="00907FD8" w:rsidP="00C818CF">
            <w:pPr>
              <w:spacing w:line="360" w:lineRule="auto"/>
            </w:pPr>
          </w:p>
        </w:tc>
        <w:tc>
          <w:tcPr>
            <w:tcW w:w="1872" w:type="dxa"/>
          </w:tcPr>
          <w:p w14:paraId="0D65E09E" w14:textId="77777777" w:rsidR="00907FD8" w:rsidRDefault="00907FD8" w:rsidP="00C818CF">
            <w:pPr>
              <w:spacing w:line="360" w:lineRule="auto"/>
            </w:pPr>
          </w:p>
        </w:tc>
        <w:tc>
          <w:tcPr>
            <w:tcW w:w="1872" w:type="dxa"/>
          </w:tcPr>
          <w:p w14:paraId="1866C047" w14:textId="77777777" w:rsidR="00907FD8" w:rsidRDefault="00907FD8" w:rsidP="00C818CF">
            <w:pPr>
              <w:spacing w:line="360" w:lineRule="auto"/>
            </w:pPr>
          </w:p>
        </w:tc>
      </w:tr>
      <w:tr w:rsidR="00907FD8" w14:paraId="75AC2249" w14:textId="77777777">
        <w:trPr>
          <w:jc w:val="center"/>
        </w:trPr>
        <w:tc>
          <w:tcPr>
            <w:tcW w:w="1872" w:type="dxa"/>
          </w:tcPr>
          <w:p w14:paraId="2FD40DA0" w14:textId="77777777" w:rsidR="00907FD8" w:rsidRDefault="00907FD8" w:rsidP="00C818CF">
            <w:pPr>
              <w:spacing w:line="360" w:lineRule="auto"/>
            </w:pPr>
          </w:p>
        </w:tc>
        <w:tc>
          <w:tcPr>
            <w:tcW w:w="1872" w:type="dxa"/>
          </w:tcPr>
          <w:p w14:paraId="751B7E5A" w14:textId="77777777" w:rsidR="00907FD8" w:rsidRDefault="00000000" w:rsidP="00C818CF">
            <w:pPr>
              <w:spacing w:line="360" w:lineRule="auto"/>
            </w:pPr>
            <w:r>
              <w:t>.331</w:t>
            </w:r>
          </w:p>
        </w:tc>
        <w:tc>
          <w:tcPr>
            <w:tcW w:w="1872" w:type="dxa"/>
          </w:tcPr>
          <w:p w14:paraId="3ACB2A9F" w14:textId="77777777" w:rsidR="00907FD8" w:rsidRDefault="00907FD8" w:rsidP="00C818CF">
            <w:pPr>
              <w:spacing w:line="360" w:lineRule="auto"/>
            </w:pPr>
          </w:p>
        </w:tc>
        <w:tc>
          <w:tcPr>
            <w:tcW w:w="1872" w:type="dxa"/>
          </w:tcPr>
          <w:p w14:paraId="1F2EED35" w14:textId="77777777" w:rsidR="00907FD8" w:rsidRDefault="00907FD8" w:rsidP="00C818CF">
            <w:pPr>
              <w:spacing w:line="360" w:lineRule="auto"/>
            </w:pPr>
          </w:p>
        </w:tc>
        <w:tc>
          <w:tcPr>
            <w:tcW w:w="1872" w:type="dxa"/>
          </w:tcPr>
          <w:p w14:paraId="664EBCC1" w14:textId="77777777" w:rsidR="00907FD8" w:rsidRDefault="00907FD8" w:rsidP="00C818CF">
            <w:pPr>
              <w:spacing w:line="360" w:lineRule="auto"/>
            </w:pPr>
          </w:p>
        </w:tc>
      </w:tr>
      <w:tr w:rsidR="00907FD8" w14:paraId="0BA6AAC0" w14:textId="77777777">
        <w:trPr>
          <w:jc w:val="center"/>
        </w:trPr>
        <w:tc>
          <w:tcPr>
            <w:tcW w:w="1872" w:type="dxa"/>
          </w:tcPr>
          <w:p w14:paraId="67AC331E" w14:textId="77777777" w:rsidR="00907FD8" w:rsidRDefault="00907FD8" w:rsidP="00C818CF">
            <w:pPr>
              <w:spacing w:line="360" w:lineRule="auto"/>
            </w:pPr>
          </w:p>
        </w:tc>
        <w:tc>
          <w:tcPr>
            <w:tcW w:w="1872" w:type="dxa"/>
          </w:tcPr>
          <w:p w14:paraId="5431F59E" w14:textId="77777777" w:rsidR="00907FD8" w:rsidRDefault="00907FD8" w:rsidP="00C818CF">
            <w:pPr>
              <w:spacing w:line="360" w:lineRule="auto"/>
            </w:pPr>
          </w:p>
        </w:tc>
        <w:tc>
          <w:tcPr>
            <w:tcW w:w="1872" w:type="dxa"/>
          </w:tcPr>
          <w:p w14:paraId="1BA88192" w14:textId="77777777" w:rsidR="00907FD8" w:rsidRDefault="00000000" w:rsidP="00C818CF">
            <w:pPr>
              <w:spacing w:line="360" w:lineRule="auto"/>
            </w:pPr>
            <w:r>
              <w:t>.325</w:t>
            </w:r>
          </w:p>
        </w:tc>
        <w:tc>
          <w:tcPr>
            <w:tcW w:w="1872" w:type="dxa"/>
          </w:tcPr>
          <w:p w14:paraId="2A7F8958" w14:textId="77777777" w:rsidR="00907FD8" w:rsidRDefault="00907FD8" w:rsidP="00C818CF">
            <w:pPr>
              <w:spacing w:line="360" w:lineRule="auto"/>
            </w:pPr>
          </w:p>
        </w:tc>
        <w:tc>
          <w:tcPr>
            <w:tcW w:w="1872" w:type="dxa"/>
          </w:tcPr>
          <w:p w14:paraId="79C4BD7F" w14:textId="77777777" w:rsidR="00907FD8" w:rsidRDefault="00907FD8" w:rsidP="00C818CF">
            <w:pPr>
              <w:spacing w:line="360" w:lineRule="auto"/>
            </w:pPr>
          </w:p>
        </w:tc>
      </w:tr>
      <w:tr w:rsidR="00907FD8" w14:paraId="2EA83F22" w14:textId="77777777">
        <w:trPr>
          <w:jc w:val="center"/>
        </w:trPr>
        <w:tc>
          <w:tcPr>
            <w:tcW w:w="1872" w:type="dxa"/>
          </w:tcPr>
          <w:p w14:paraId="13F133BC" w14:textId="77777777" w:rsidR="00907FD8" w:rsidRDefault="00907FD8" w:rsidP="00C818CF">
            <w:pPr>
              <w:spacing w:line="360" w:lineRule="auto"/>
            </w:pPr>
          </w:p>
        </w:tc>
        <w:tc>
          <w:tcPr>
            <w:tcW w:w="1872" w:type="dxa"/>
          </w:tcPr>
          <w:p w14:paraId="275A7EAD" w14:textId="77777777" w:rsidR="00907FD8" w:rsidRDefault="00907FD8" w:rsidP="00C818CF">
            <w:pPr>
              <w:spacing w:line="360" w:lineRule="auto"/>
            </w:pPr>
          </w:p>
        </w:tc>
        <w:tc>
          <w:tcPr>
            <w:tcW w:w="1872" w:type="dxa"/>
          </w:tcPr>
          <w:p w14:paraId="55BA8258" w14:textId="77777777" w:rsidR="00907FD8" w:rsidRDefault="00907FD8" w:rsidP="00C818CF">
            <w:pPr>
              <w:spacing w:line="360" w:lineRule="auto"/>
            </w:pPr>
          </w:p>
        </w:tc>
        <w:tc>
          <w:tcPr>
            <w:tcW w:w="1872" w:type="dxa"/>
          </w:tcPr>
          <w:p w14:paraId="6F275F74" w14:textId="77777777" w:rsidR="00907FD8" w:rsidRDefault="00000000" w:rsidP="00C818CF">
            <w:pPr>
              <w:spacing w:line="360" w:lineRule="auto"/>
            </w:pPr>
            <w:r>
              <w:t>.47083</w:t>
            </w:r>
          </w:p>
        </w:tc>
        <w:tc>
          <w:tcPr>
            <w:tcW w:w="1872" w:type="dxa"/>
          </w:tcPr>
          <w:p w14:paraId="5485DE26" w14:textId="77777777" w:rsidR="00907FD8" w:rsidRDefault="00907FD8" w:rsidP="00C818CF">
            <w:pPr>
              <w:spacing w:line="360" w:lineRule="auto"/>
            </w:pPr>
          </w:p>
        </w:tc>
      </w:tr>
      <w:tr w:rsidR="00907FD8" w14:paraId="33E60D2A" w14:textId="77777777">
        <w:trPr>
          <w:jc w:val="center"/>
        </w:trPr>
        <w:tc>
          <w:tcPr>
            <w:tcW w:w="1872" w:type="dxa"/>
          </w:tcPr>
          <w:p w14:paraId="078AC157" w14:textId="77777777" w:rsidR="00907FD8" w:rsidRDefault="00907FD8" w:rsidP="00C818CF">
            <w:pPr>
              <w:spacing w:line="360" w:lineRule="auto"/>
            </w:pPr>
          </w:p>
        </w:tc>
        <w:tc>
          <w:tcPr>
            <w:tcW w:w="1872" w:type="dxa"/>
          </w:tcPr>
          <w:p w14:paraId="7127CCBE" w14:textId="77777777" w:rsidR="00907FD8" w:rsidRDefault="00907FD8" w:rsidP="00C818CF">
            <w:pPr>
              <w:spacing w:line="360" w:lineRule="auto"/>
            </w:pPr>
          </w:p>
        </w:tc>
        <w:tc>
          <w:tcPr>
            <w:tcW w:w="1872" w:type="dxa"/>
          </w:tcPr>
          <w:p w14:paraId="1EE68053" w14:textId="77777777" w:rsidR="00907FD8" w:rsidRDefault="00907FD8" w:rsidP="00C818CF">
            <w:pPr>
              <w:spacing w:line="360" w:lineRule="auto"/>
            </w:pPr>
          </w:p>
        </w:tc>
        <w:tc>
          <w:tcPr>
            <w:tcW w:w="1872" w:type="dxa"/>
          </w:tcPr>
          <w:p w14:paraId="0BD5A7D4" w14:textId="77777777" w:rsidR="00907FD8" w:rsidRDefault="00907FD8" w:rsidP="00C818CF">
            <w:pPr>
              <w:spacing w:line="360" w:lineRule="auto"/>
            </w:pPr>
          </w:p>
        </w:tc>
        <w:tc>
          <w:tcPr>
            <w:tcW w:w="1872" w:type="dxa"/>
          </w:tcPr>
          <w:p w14:paraId="1E9421EC" w14:textId="77777777" w:rsidR="00907FD8" w:rsidRDefault="00000000" w:rsidP="00C818CF">
            <w:pPr>
              <w:spacing w:line="360" w:lineRule="auto"/>
            </w:pPr>
            <w:r>
              <w:t>120</w:t>
            </w:r>
          </w:p>
        </w:tc>
      </w:tr>
    </w:tbl>
    <w:p w14:paraId="2533E15F" w14:textId="77777777" w:rsidR="00C818CF" w:rsidRDefault="00C818CF">
      <w:pPr>
        <w:jc w:val="center"/>
        <w:rPr>
          <w:b/>
        </w:rPr>
      </w:pPr>
    </w:p>
    <w:p w14:paraId="1B93C11A" w14:textId="0EA9DA99" w:rsidR="00907FD8" w:rsidRDefault="00000000" w:rsidP="00C818CF">
      <w:pPr>
        <w:spacing w:line="360" w:lineRule="auto"/>
        <w:jc w:val="center"/>
      </w:pPr>
      <w:r>
        <w:rPr>
          <w:b/>
        </w:rPr>
        <w:t>Table 6. ANOVA for regression model</w:t>
      </w:r>
    </w:p>
    <w:tbl>
      <w:tblPr>
        <w:tblStyle w:val="TableGrid"/>
        <w:tblW w:w="0" w:type="auto"/>
        <w:jc w:val="center"/>
        <w:tblLook w:val="04A0" w:firstRow="1" w:lastRow="0" w:firstColumn="1" w:lastColumn="0" w:noHBand="0" w:noVBand="1"/>
      </w:tblPr>
      <w:tblGrid>
        <w:gridCol w:w="1871"/>
        <w:gridCol w:w="1870"/>
        <w:gridCol w:w="1869"/>
        <w:gridCol w:w="1870"/>
        <w:gridCol w:w="1870"/>
      </w:tblGrid>
      <w:tr w:rsidR="00907FD8" w14:paraId="40568CEA" w14:textId="77777777">
        <w:trPr>
          <w:jc w:val="center"/>
        </w:trPr>
        <w:tc>
          <w:tcPr>
            <w:tcW w:w="1872" w:type="dxa"/>
            <w:vAlign w:val="center"/>
          </w:tcPr>
          <w:p w14:paraId="0E63C8CE" w14:textId="77777777" w:rsidR="00907FD8" w:rsidRDefault="00000000" w:rsidP="00C818CF">
            <w:pPr>
              <w:spacing w:line="360" w:lineRule="auto"/>
            </w:pPr>
            <w:r>
              <w:t>Source</w:t>
            </w:r>
          </w:p>
        </w:tc>
        <w:tc>
          <w:tcPr>
            <w:tcW w:w="1872" w:type="dxa"/>
            <w:vAlign w:val="center"/>
          </w:tcPr>
          <w:p w14:paraId="251B4FD1" w14:textId="77777777" w:rsidR="00907FD8" w:rsidRDefault="00000000" w:rsidP="00C818CF">
            <w:pPr>
              <w:spacing w:line="360" w:lineRule="auto"/>
            </w:pPr>
            <w:r>
              <w:t>Sum of squares</w:t>
            </w:r>
          </w:p>
        </w:tc>
        <w:tc>
          <w:tcPr>
            <w:tcW w:w="1872" w:type="dxa"/>
            <w:vAlign w:val="center"/>
          </w:tcPr>
          <w:p w14:paraId="23D1DB9F" w14:textId="77777777" w:rsidR="00907FD8" w:rsidRDefault="00000000" w:rsidP="00C818CF">
            <w:pPr>
              <w:spacing w:line="360" w:lineRule="auto"/>
            </w:pPr>
            <w:r>
              <w:t>df</w:t>
            </w:r>
          </w:p>
        </w:tc>
        <w:tc>
          <w:tcPr>
            <w:tcW w:w="1872" w:type="dxa"/>
            <w:vAlign w:val="center"/>
          </w:tcPr>
          <w:p w14:paraId="44E31C4F" w14:textId="77777777" w:rsidR="00907FD8" w:rsidRDefault="00000000" w:rsidP="00C818CF">
            <w:pPr>
              <w:spacing w:line="360" w:lineRule="auto"/>
            </w:pPr>
            <w:r>
              <w:t>F</w:t>
            </w:r>
          </w:p>
        </w:tc>
        <w:tc>
          <w:tcPr>
            <w:tcW w:w="1872" w:type="dxa"/>
            <w:vAlign w:val="center"/>
          </w:tcPr>
          <w:p w14:paraId="57C1C95B" w14:textId="77777777" w:rsidR="00907FD8" w:rsidRDefault="00000000" w:rsidP="00C818CF">
            <w:pPr>
              <w:spacing w:line="360" w:lineRule="auto"/>
            </w:pPr>
            <w:r>
              <w:t>Sig.</w:t>
            </w:r>
          </w:p>
        </w:tc>
      </w:tr>
      <w:tr w:rsidR="00907FD8" w14:paraId="1D7F584F" w14:textId="77777777">
        <w:trPr>
          <w:jc w:val="center"/>
        </w:trPr>
        <w:tc>
          <w:tcPr>
            <w:tcW w:w="1872" w:type="dxa"/>
          </w:tcPr>
          <w:p w14:paraId="5368B337" w14:textId="77777777" w:rsidR="00907FD8" w:rsidRDefault="00000000" w:rsidP="00C818CF">
            <w:pPr>
              <w:spacing w:line="360" w:lineRule="auto"/>
            </w:pPr>
            <w:r>
              <w:t>Regression</w:t>
            </w:r>
          </w:p>
        </w:tc>
        <w:tc>
          <w:tcPr>
            <w:tcW w:w="1872" w:type="dxa"/>
          </w:tcPr>
          <w:p w14:paraId="72B02662" w14:textId="77777777" w:rsidR="00907FD8" w:rsidRDefault="00000000" w:rsidP="00C818CF">
            <w:pPr>
              <w:spacing w:line="360" w:lineRule="auto"/>
            </w:pPr>
            <w:r>
              <w:t>12.923</w:t>
            </w:r>
          </w:p>
        </w:tc>
        <w:tc>
          <w:tcPr>
            <w:tcW w:w="1872" w:type="dxa"/>
          </w:tcPr>
          <w:p w14:paraId="6ABD82E6" w14:textId="77777777" w:rsidR="00907FD8" w:rsidRDefault="00000000" w:rsidP="00C818CF">
            <w:pPr>
              <w:spacing w:line="360" w:lineRule="auto"/>
            </w:pPr>
            <w:r>
              <w:t>1</w:t>
            </w:r>
          </w:p>
        </w:tc>
        <w:tc>
          <w:tcPr>
            <w:tcW w:w="1872" w:type="dxa"/>
          </w:tcPr>
          <w:p w14:paraId="035390CB" w14:textId="77777777" w:rsidR="00907FD8" w:rsidRDefault="00000000" w:rsidP="00C818CF">
            <w:pPr>
              <w:spacing w:line="360" w:lineRule="auto"/>
            </w:pPr>
            <w:r>
              <w:t>58.298</w:t>
            </w:r>
          </w:p>
        </w:tc>
        <w:tc>
          <w:tcPr>
            <w:tcW w:w="1872" w:type="dxa"/>
          </w:tcPr>
          <w:p w14:paraId="37E66A0D" w14:textId="77777777" w:rsidR="00907FD8" w:rsidRDefault="00000000" w:rsidP="00C818CF">
            <w:pPr>
              <w:spacing w:line="360" w:lineRule="auto"/>
            </w:pPr>
            <w:r>
              <w:t>&lt; .001</w:t>
            </w:r>
          </w:p>
        </w:tc>
      </w:tr>
      <w:tr w:rsidR="00907FD8" w14:paraId="4F58EE8E" w14:textId="77777777">
        <w:trPr>
          <w:jc w:val="center"/>
        </w:trPr>
        <w:tc>
          <w:tcPr>
            <w:tcW w:w="1872" w:type="dxa"/>
          </w:tcPr>
          <w:p w14:paraId="396B822D" w14:textId="77777777" w:rsidR="00907FD8" w:rsidRDefault="00000000" w:rsidP="00C818CF">
            <w:pPr>
              <w:spacing w:line="360" w:lineRule="auto"/>
            </w:pPr>
            <w:r>
              <w:t>Residual</w:t>
            </w:r>
          </w:p>
        </w:tc>
        <w:tc>
          <w:tcPr>
            <w:tcW w:w="1872" w:type="dxa"/>
          </w:tcPr>
          <w:p w14:paraId="6C6DCA04" w14:textId="77777777" w:rsidR="00907FD8" w:rsidRDefault="00000000" w:rsidP="00C818CF">
            <w:pPr>
              <w:spacing w:line="360" w:lineRule="auto"/>
            </w:pPr>
            <w:r>
              <w:t>26.158</w:t>
            </w:r>
          </w:p>
        </w:tc>
        <w:tc>
          <w:tcPr>
            <w:tcW w:w="1872" w:type="dxa"/>
          </w:tcPr>
          <w:p w14:paraId="4AEBFB35" w14:textId="77777777" w:rsidR="00907FD8" w:rsidRDefault="00000000" w:rsidP="00C818CF">
            <w:pPr>
              <w:spacing w:line="360" w:lineRule="auto"/>
            </w:pPr>
            <w:r>
              <w:t>118</w:t>
            </w:r>
          </w:p>
        </w:tc>
        <w:tc>
          <w:tcPr>
            <w:tcW w:w="1872" w:type="dxa"/>
          </w:tcPr>
          <w:p w14:paraId="5A10EE8D" w14:textId="77777777" w:rsidR="00907FD8" w:rsidRDefault="00907FD8" w:rsidP="00C818CF">
            <w:pPr>
              <w:spacing w:line="360" w:lineRule="auto"/>
            </w:pPr>
          </w:p>
        </w:tc>
        <w:tc>
          <w:tcPr>
            <w:tcW w:w="1872" w:type="dxa"/>
          </w:tcPr>
          <w:p w14:paraId="569C904E" w14:textId="77777777" w:rsidR="00907FD8" w:rsidRDefault="00907FD8" w:rsidP="00C818CF">
            <w:pPr>
              <w:spacing w:line="360" w:lineRule="auto"/>
            </w:pPr>
          </w:p>
        </w:tc>
      </w:tr>
      <w:tr w:rsidR="00907FD8" w14:paraId="183210A8" w14:textId="77777777">
        <w:trPr>
          <w:jc w:val="center"/>
        </w:trPr>
        <w:tc>
          <w:tcPr>
            <w:tcW w:w="1872" w:type="dxa"/>
          </w:tcPr>
          <w:p w14:paraId="21C49ED8" w14:textId="77777777" w:rsidR="00907FD8" w:rsidRDefault="00000000" w:rsidP="00C818CF">
            <w:pPr>
              <w:spacing w:line="360" w:lineRule="auto"/>
            </w:pPr>
            <w:r>
              <w:t>Total</w:t>
            </w:r>
          </w:p>
        </w:tc>
        <w:tc>
          <w:tcPr>
            <w:tcW w:w="1872" w:type="dxa"/>
          </w:tcPr>
          <w:p w14:paraId="0F0E9578" w14:textId="77777777" w:rsidR="00907FD8" w:rsidRDefault="00000000" w:rsidP="00C818CF">
            <w:pPr>
              <w:spacing w:line="360" w:lineRule="auto"/>
            </w:pPr>
            <w:r>
              <w:t>39.081</w:t>
            </w:r>
          </w:p>
        </w:tc>
        <w:tc>
          <w:tcPr>
            <w:tcW w:w="1872" w:type="dxa"/>
          </w:tcPr>
          <w:p w14:paraId="3D88DDA2" w14:textId="77777777" w:rsidR="00907FD8" w:rsidRDefault="00000000" w:rsidP="00C818CF">
            <w:pPr>
              <w:spacing w:line="360" w:lineRule="auto"/>
            </w:pPr>
            <w:r>
              <w:t>119</w:t>
            </w:r>
          </w:p>
        </w:tc>
        <w:tc>
          <w:tcPr>
            <w:tcW w:w="1872" w:type="dxa"/>
          </w:tcPr>
          <w:p w14:paraId="46AB5CCE" w14:textId="77777777" w:rsidR="00907FD8" w:rsidRDefault="00907FD8" w:rsidP="00C818CF">
            <w:pPr>
              <w:spacing w:line="360" w:lineRule="auto"/>
            </w:pPr>
          </w:p>
        </w:tc>
        <w:tc>
          <w:tcPr>
            <w:tcW w:w="1872" w:type="dxa"/>
          </w:tcPr>
          <w:p w14:paraId="37141338" w14:textId="77777777" w:rsidR="00907FD8" w:rsidRDefault="00907FD8" w:rsidP="00C818CF">
            <w:pPr>
              <w:spacing w:line="360" w:lineRule="auto"/>
            </w:pPr>
          </w:p>
        </w:tc>
      </w:tr>
    </w:tbl>
    <w:p w14:paraId="78B1D7C8" w14:textId="77777777" w:rsidR="00C818CF" w:rsidRDefault="00C818CF">
      <w:pPr>
        <w:jc w:val="center"/>
        <w:rPr>
          <w:b/>
        </w:rPr>
      </w:pPr>
    </w:p>
    <w:p w14:paraId="53B5B12E" w14:textId="294289EB" w:rsidR="00907FD8" w:rsidRDefault="00000000" w:rsidP="00C818CF">
      <w:pPr>
        <w:spacing w:line="360" w:lineRule="auto"/>
        <w:jc w:val="center"/>
      </w:pPr>
      <w:r>
        <w:rPr>
          <w:b/>
        </w:rPr>
        <w:t>Table 7. Regression coefficients</w:t>
      </w:r>
    </w:p>
    <w:tbl>
      <w:tblPr>
        <w:tblStyle w:val="TableGrid"/>
        <w:tblW w:w="0" w:type="auto"/>
        <w:jc w:val="center"/>
        <w:tblLook w:val="04A0" w:firstRow="1" w:lastRow="0" w:firstColumn="1" w:lastColumn="0" w:noHBand="0" w:noVBand="1"/>
      </w:tblPr>
      <w:tblGrid>
        <w:gridCol w:w="1560"/>
        <w:gridCol w:w="1558"/>
        <w:gridCol w:w="1558"/>
        <w:gridCol w:w="1558"/>
        <w:gridCol w:w="1558"/>
        <w:gridCol w:w="1558"/>
      </w:tblGrid>
      <w:tr w:rsidR="00907FD8" w14:paraId="7FDCDA60" w14:textId="77777777">
        <w:trPr>
          <w:jc w:val="center"/>
        </w:trPr>
        <w:tc>
          <w:tcPr>
            <w:tcW w:w="1560" w:type="dxa"/>
            <w:vAlign w:val="center"/>
          </w:tcPr>
          <w:p w14:paraId="7C5B1BBB" w14:textId="77777777" w:rsidR="00907FD8" w:rsidRDefault="00000000" w:rsidP="00C818CF">
            <w:pPr>
              <w:spacing w:line="360" w:lineRule="auto"/>
            </w:pPr>
            <w:r>
              <w:t>Predictor</w:t>
            </w:r>
          </w:p>
        </w:tc>
        <w:tc>
          <w:tcPr>
            <w:tcW w:w="1560" w:type="dxa"/>
            <w:vAlign w:val="center"/>
          </w:tcPr>
          <w:p w14:paraId="4E43D5F6" w14:textId="77777777" w:rsidR="00907FD8" w:rsidRDefault="00000000" w:rsidP="00C818CF">
            <w:pPr>
              <w:spacing w:line="360" w:lineRule="auto"/>
            </w:pPr>
            <w:r>
              <w:t>B</w:t>
            </w:r>
          </w:p>
        </w:tc>
        <w:tc>
          <w:tcPr>
            <w:tcW w:w="1560" w:type="dxa"/>
            <w:vAlign w:val="center"/>
          </w:tcPr>
          <w:p w14:paraId="1B740FF7" w14:textId="77777777" w:rsidR="00907FD8" w:rsidRDefault="00000000" w:rsidP="00C818CF">
            <w:pPr>
              <w:spacing w:line="360" w:lineRule="auto"/>
            </w:pPr>
            <w:r>
              <w:t>Std. error</w:t>
            </w:r>
          </w:p>
        </w:tc>
        <w:tc>
          <w:tcPr>
            <w:tcW w:w="1560" w:type="dxa"/>
            <w:vAlign w:val="center"/>
          </w:tcPr>
          <w:p w14:paraId="4E954927" w14:textId="77777777" w:rsidR="00907FD8" w:rsidRDefault="00000000" w:rsidP="00C818CF">
            <w:pPr>
              <w:spacing w:line="360" w:lineRule="auto"/>
            </w:pPr>
            <w:r>
              <w:t>Beta</w:t>
            </w:r>
          </w:p>
        </w:tc>
        <w:tc>
          <w:tcPr>
            <w:tcW w:w="1560" w:type="dxa"/>
            <w:vAlign w:val="center"/>
          </w:tcPr>
          <w:p w14:paraId="50242F83" w14:textId="77777777" w:rsidR="00907FD8" w:rsidRDefault="00000000" w:rsidP="00C818CF">
            <w:pPr>
              <w:spacing w:line="360" w:lineRule="auto"/>
            </w:pPr>
            <w:r>
              <w:t>t</w:t>
            </w:r>
          </w:p>
        </w:tc>
        <w:tc>
          <w:tcPr>
            <w:tcW w:w="1560" w:type="dxa"/>
            <w:vAlign w:val="center"/>
          </w:tcPr>
          <w:p w14:paraId="173FA655" w14:textId="77777777" w:rsidR="00907FD8" w:rsidRDefault="00000000" w:rsidP="00C818CF">
            <w:pPr>
              <w:spacing w:line="360" w:lineRule="auto"/>
            </w:pPr>
            <w:r>
              <w:t>Sig.</w:t>
            </w:r>
          </w:p>
        </w:tc>
      </w:tr>
      <w:tr w:rsidR="00907FD8" w14:paraId="5F30811C" w14:textId="77777777">
        <w:trPr>
          <w:jc w:val="center"/>
        </w:trPr>
        <w:tc>
          <w:tcPr>
            <w:tcW w:w="1560" w:type="dxa"/>
          </w:tcPr>
          <w:p w14:paraId="56B28A5D" w14:textId="77777777" w:rsidR="00907FD8" w:rsidRDefault="00000000" w:rsidP="00C818CF">
            <w:pPr>
              <w:spacing w:line="360" w:lineRule="auto"/>
            </w:pPr>
            <w:r>
              <w:t>Constant</w:t>
            </w:r>
          </w:p>
        </w:tc>
        <w:tc>
          <w:tcPr>
            <w:tcW w:w="1560" w:type="dxa"/>
          </w:tcPr>
          <w:p w14:paraId="1A72E46F" w14:textId="77777777" w:rsidR="00907FD8" w:rsidRDefault="00000000" w:rsidP="00C818CF">
            <w:pPr>
              <w:spacing w:line="360" w:lineRule="auto"/>
            </w:pPr>
            <w:r>
              <w:t>1.485</w:t>
            </w:r>
          </w:p>
        </w:tc>
        <w:tc>
          <w:tcPr>
            <w:tcW w:w="1560" w:type="dxa"/>
          </w:tcPr>
          <w:p w14:paraId="44B23736" w14:textId="77777777" w:rsidR="00907FD8" w:rsidRDefault="00000000" w:rsidP="00C818CF">
            <w:pPr>
              <w:spacing w:line="360" w:lineRule="auto"/>
            </w:pPr>
            <w:r>
              <w:t>.269</w:t>
            </w:r>
          </w:p>
        </w:tc>
        <w:tc>
          <w:tcPr>
            <w:tcW w:w="1560" w:type="dxa"/>
          </w:tcPr>
          <w:p w14:paraId="03FCF800" w14:textId="77777777" w:rsidR="00907FD8" w:rsidRDefault="00907FD8" w:rsidP="00C818CF">
            <w:pPr>
              <w:spacing w:line="360" w:lineRule="auto"/>
            </w:pPr>
          </w:p>
        </w:tc>
        <w:tc>
          <w:tcPr>
            <w:tcW w:w="1560" w:type="dxa"/>
          </w:tcPr>
          <w:p w14:paraId="1AC2C243" w14:textId="77777777" w:rsidR="00907FD8" w:rsidRDefault="00000000" w:rsidP="00C818CF">
            <w:pPr>
              <w:spacing w:line="360" w:lineRule="auto"/>
            </w:pPr>
            <w:r>
              <w:t>5.519</w:t>
            </w:r>
          </w:p>
        </w:tc>
        <w:tc>
          <w:tcPr>
            <w:tcW w:w="1560" w:type="dxa"/>
          </w:tcPr>
          <w:p w14:paraId="3CA348E6" w14:textId="77777777" w:rsidR="00907FD8" w:rsidRDefault="00000000" w:rsidP="00C818CF">
            <w:pPr>
              <w:spacing w:line="360" w:lineRule="auto"/>
            </w:pPr>
            <w:r>
              <w:t>&lt; .001</w:t>
            </w:r>
          </w:p>
        </w:tc>
      </w:tr>
      <w:tr w:rsidR="00907FD8" w14:paraId="312EE0C6" w14:textId="77777777">
        <w:trPr>
          <w:jc w:val="center"/>
        </w:trPr>
        <w:tc>
          <w:tcPr>
            <w:tcW w:w="1560" w:type="dxa"/>
          </w:tcPr>
          <w:p w14:paraId="62D5FC0A" w14:textId="77777777" w:rsidR="00907FD8" w:rsidRDefault="00000000" w:rsidP="00C818CF">
            <w:pPr>
              <w:spacing w:line="360" w:lineRule="auto"/>
            </w:pPr>
            <w:r>
              <w:t>SRG_Index</w:t>
            </w:r>
          </w:p>
        </w:tc>
        <w:tc>
          <w:tcPr>
            <w:tcW w:w="1560" w:type="dxa"/>
          </w:tcPr>
          <w:p w14:paraId="463308EA" w14:textId="77777777" w:rsidR="00907FD8" w:rsidRDefault="00000000" w:rsidP="00C818CF">
            <w:pPr>
              <w:spacing w:line="360" w:lineRule="auto"/>
            </w:pPr>
            <w:r>
              <w:t>.585</w:t>
            </w:r>
          </w:p>
        </w:tc>
        <w:tc>
          <w:tcPr>
            <w:tcW w:w="1560" w:type="dxa"/>
          </w:tcPr>
          <w:p w14:paraId="2EE9C776" w14:textId="77777777" w:rsidR="00907FD8" w:rsidRDefault="00000000" w:rsidP="00C818CF">
            <w:pPr>
              <w:spacing w:line="360" w:lineRule="auto"/>
            </w:pPr>
            <w:r>
              <w:t>.077</w:t>
            </w:r>
          </w:p>
        </w:tc>
        <w:tc>
          <w:tcPr>
            <w:tcW w:w="1560" w:type="dxa"/>
          </w:tcPr>
          <w:p w14:paraId="5995B429" w14:textId="77777777" w:rsidR="00907FD8" w:rsidRDefault="00000000" w:rsidP="00C818CF">
            <w:pPr>
              <w:spacing w:line="360" w:lineRule="auto"/>
            </w:pPr>
            <w:r>
              <w:t>.575</w:t>
            </w:r>
          </w:p>
        </w:tc>
        <w:tc>
          <w:tcPr>
            <w:tcW w:w="1560" w:type="dxa"/>
          </w:tcPr>
          <w:p w14:paraId="5F2D6EDF" w14:textId="77777777" w:rsidR="00907FD8" w:rsidRDefault="00000000" w:rsidP="00C818CF">
            <w:pPr>
              <w:spacing w:line="360" w:lineRule="auto"/>
            </w:pPr>
            <w:r>
              <w:t>7.635</w:t>
            </w:r>
          </w:p>
        </w:tc>
        <w:tc>
          <w:tcPr>
            <w:tcW w:w="1560" w:type="dxa"/>
          </w:tcPr>
          <w:p w14:paraId="6D034304" w14:textId="77777777" w:rsidR="00907FD8" w:rsidRDefault="00000000" w:rsidP="00C818CF">
            <w:pPr>
              <w:spacing w:line="360" w:lineRule="auto"/>
            </w:pPr>
            <w:r>
              <w:t>&lt; .001</w:t>
            </w:r>
          </w:p>
        </w:tc>
      </w:tr>
    </w:tbl>
    <w:p w14:paraId="49D3AE6E" w14:textId="77777777" w:rsidR="00C818CF" w:rsidRDefault="00C818CF" w:rsidP="00C818CF">
      <w:pPr>
        <w:spacing w:line="360" w:lineRule="auto"/>
      </w:pPr>
    </w:p>
    <w:p w14:paraId="6E71CA31" w14:textId="1DD9DBD8" w:rsidR="00907FD8" w:rsidRDefault="00000000" w:rsidP="00C818CF">
      <w:pPr>
        <w:spacing w:line="360" w:lineRule="auto"/>
      </w:pPr>
      <w:r>
        <w:t>The regression model is statistically significant and shows that SRG positively predicts BR. The estimated regression equation is BR_Index = 1.485 + 0.585(SRG_Index).</w:t>
      </w:r>
    </w:p>
    <w:p w14:paraId="1E66B7D5" w14:textId="77777777" w:rsidR="00907FD8" w:rsidRDefault="00000000">
      <w:r>
        <w:rPr>
          <w:noProof/>
        </w:rPr>
        <w:lastRenderedPageBreak/>
        <w:drawing>
          <wp:inline distT="0" distB="0" distL="0" distR="0" wp14:anchorId="7BC88765" wp14:editId="56FF3323">
            <wp:extent cx="5029200" cy="41710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scatter.png"/>
                    <pic:cNvPicPr/>
                  </pic:nvPicPr>
                  <pic:blipFill>
                    <a:blip r:embed="rId8"/>
                    <a:stretch>
                      <a:fillRect/>
                    </a:stretch>
                  </pic:blipFill>
                  <pic:spPr>
                    <a:xfrm>
                      <a:off x="0" y="0"/>
                      <a:ext cx="5029200" cy="4171077"/>
                    </a:xfrm>
                    <a:prstGeom prst="rect">
                      <a:avLst/>
                    </a:prstGeom>
                  </pic:spPr>
                </pic:pic>
              </a:graphicData>
            </a:graphic>
          </wp:inline>
        </w:drawing>
      </w:r>
    </w:p>
    <w:p w14:paraId="65A72DC9" w14:textId="77777777" w:rsidR="00907FD8" w:rsidRDefault="00000000">
      <w:pPr>
        <w:jc w:val="center"/>
      </w:pPr>
      <w:r>
        <w:rPr>
          <w:i/>
        </w:rPr>
        <w:t>Figure 3. Scatter plot showing the positive association between SRG and BR.</w:t>
      </w:r>
    </w:p>
    <w:p w14:paraId="599455D4" w14:textId="77777777" w:rsidR="00907FD8" w:rsidRDefault="00000000" w:rsidP="00C818CF">
      <w:pPr>
        <w:spacing w:after="0" w:line="360" w:lineRule="auto"/>
        <w:jc w:val="both"/>
      </w:pPr>
      <w:r>
        <w:t>The case processing summary shows 120 valid observations for both reliability tests and no excluded cases, indicating complete data for all items used in the analysis. This is beneficial because it avoids complications associated with extensive missing values and strengthens confidence in the subsequent statistics.</w:t>
      </w:r>
    </w:p>
    <w:p w14:paraId="186FFC13" w14:textId="77777777" w:rsidR="00C818CF" w:rsidRDefault="00C818CF" w:rsidP="00C818CF">
      <w:pPr>
        <w:spacing w:after="0" w:line="360" w:lineRule="auto"/>
        <w:jc w:val="both"/>
      </w:pPr>
    </w:p>
    <w:p w14:paraId="2AAD8FBE" w14:textId="77777777" w:rsidR="00907FD8" w:rsidRDefault="00000000" w:rsidP="00C818CF">
      <w:pPr>
        <w:spacing w:after="0" w:line="360" w:lineRule="auto"/>
        <w:jc w:val="both"/>
      </w:pPr>
      <w:r>
        <w:t>The frequency distributions reported in SPSS reveal an important general pattern: most respondents chose categories 3 and 4 on the five-point scale, with some responses in category 5 and relatively few in category 2. Category 1 appears only rarely. This pattern indicates that respondents generally lean toward agreement with the SRG and BR statements, but not in an extreme way. In other words, the data suggest moderate confidence in governance and resilience practices rather than highly polarized opinions.</w:t>
      </w:r>
    </w:p>
    <w:p w14:paraId="217EDC06" w14:textId="77777777" w:rsidR="00C818CF" w:rsidRDefault="00C818CF" w:rsidP="00C818CF">
      <w:pPr>
        <w:spacing w:after="0" w:line="360" w:lineRule="auto"/>
        <w:jc w:val="both"/>
      </w:pPr>
    </w:p>
    <w:p w14:paraId="5F702AD0" w14:textId="77777777" w:rsidR="00907FD8" w:rsidRDefault="00000000" w:rsidP="00C818CF">
      <w:pPr>
        <w:spacing w:after="0" w:line="360" w:lineRule="auto"/>
        <w:jc w:val="both"/>
      </w:pPr>
      <w:r>
        <w:lastRenderedPageBreak/>
        <w:t>Item-level means derived from the survey dataset reinforce this interpretation. Within the Strategic Risk Governance scale, the highest mean scores are observed for Q6 (risk identification and assessment processes are effective, mean = 3.517), Q9 (training programs improve employees' risk management skills, mean = 3.517), Q2, Q3, and Q5 (all mean = 3.500), and Q11 (compliance with regulatory requirements is strictly maintained, mean = 3.483). The lowest SRG means are Q8 (risk awareness is embedded in daily operations, mean = 3.417) and Q7 (employees are encouraged to report risks openly, mean = 3.425), followed by Q4 and Q10 (both mean = 3.433). These values remain above the scale midpoint, indicating that none of the governance dimensions were viewed negatively overall. However, the relatively lower means on openness and embedded daily awareness suggest that behavioral and cultural dimensions may still be weaker than formal policies and compliance mechanisms.</w:t>
      </w:r>
    </w:p>
    <w:p w14:paraId="0CADF163" w14:textId="77777777" w:rsidR="00C818CF" w:rsidRDefault="00C818CF" w:rsidP="00C818CF">
      <w:pPr>
        <w:spacing w:after="0" w:line="360" w:lineRule="auto"/>
        <w:jc w:val="both"/>
      </w:pPr>
    </w:p>
    <w:p w14:paraId="6D274FA4" w14:textId="77777777" w:rsidR="00907FD8" w:rsidRDefault="00000000" w:rsidP="00C818CF">
      <w:pPr>
        <w:spacing w:after="0" w:line="360" w:lineRule="auto"/>
        <w:jc w:val="both"/>
      </w:pPr>
      <w:r>
        <w:t>Within the Banking Resilience scale, the highest item mean is Q19 (strategic decisions support long-term sustainability, mean = 3.583). This is followed by Q16 (risk mitigation strategies reduce the impact of disruptions, mean = 3.533), Q14 (bank has sufficient capital to absorb unexpected losses, mean = 3.517), and Q18 (bank adapts effectively to changing market conditions, mean = 3.508). The lowest BR mean is Q13 (bank maintains stable financial performance during crises, mean = 3.450). Even this lowest item remains above the midpoint, indicating generally favorable views of resilience. The strongest aspect appears to be the alignment between strategic decision making and sustainability, while the weakest appears to be actual performance stability during crises. This distinction is meaningful: banks may believe they are strategically oriented toward resilience, but maintaining performance under stress remains more difficult in practice.</w:t>
      </w:r>
    </w:p>
    <w:p w14:paraId="18273DDE" w14:textId="77777777" w:rsidR="00907FD8" w:rsidRDefault="00000000" w:rsidP="00C818CF">
      <w:pPr>
        <w:spacing w:after="0" w:line="360" w:lineRule="auto"/>
        <w:jc w:val="both"/>
      </w:pPr>
      <w:r>
        <w:t>At the construct level, the descriptive statistics show that SRG_Index has a mean of 3.4694 and a standard deviation of .5637, with observed values ranging from 2.08 to 4.92. BR_Index has a mean of 3.5131 and a standard deviation of .5731, with values ranging from 2.14 to 5.00. These means indicate that, on average, respondents lean toward agreement that both strategic risk governance and banking resilience are present in their institutions. The standard deviations indicate moderate dispersion, meaning respondents differ in their assessments, but not to an extreme extent. The range values show that perceptions vary across respondents, which is useful because inferential analysis benefits from variability in the data.</w:t>
      </w:r>
    </w:p>
    <w:p w14:paraId="347D27B8" w14:textId="77777777" w:rsidR="00907FD8" w:rsidRDefault="00000000" w:rsidP="00C818CF">
      <w:pPr>
        <w:spacing w:after="0" w:line="360" w:lineRule="auto"/>
        <w:jc w:val="both"/>
      </w:pPr>
      <w:r>
        <w:lastRenderedPageBreak/>
        <w:t>The slightly higher mean for Banking Resilience relative to Strategic Risk Governance is notable, though the difference is small. One possible interpretation is that respondents perceive their banks as somewhat resilient overall even where governance systems are not uniformly strong. Another interpretation is that resilience may be influenced by factors beyond SRG, such as capital position, regulation, market conditions, or organizational experience. This possibility is supported later by the regression result, which shows that SRG explains a substantial but not exhaustive portion of the variance in resilience.</w:t>
      </w:r>
    </w:p>
    <w:p w14:paraId="3B2A053F" w14:textId="77777777" w:rsidR="00C818CF" w:rsidRDefault="00C818CF" w:rsidP="00C818CF">
      <w:pPr>
        <w:spacing w:after="0" w:line="360" w:lineRule="auto"/>
        <w:jc w:val="both"/>
      </w:pPr>
    </w:p>
    <w:p w14:paraId="40698EEB" w14:textId="77777777" w:rsidR="00907FD8" w:rsidRDefault="00000000" w:rsidP="00C818CF">
      <w:pPr>
        <w:spacing w:after="0" w:line="360" w:lineRule="auto"/>
        <w:jc w:val="both"/>
      </w:pPr>
      <w:r>
        <w:t>Pearson correlation analysis was then used to test the linear association between the two constructs. The SPSS output reports a correlation coefficient of .575 between SRG_Index and BR_Index, significant at p &lt; .001. This result indicates a moderate-to-strong positive relationship. In substantive terms, respondents who report stronger strategic risk governance in their banks also tend to report stronger banking resilience. The statistical significance confirms that this relationship is unlikely to be due to random variation in the sample.</w:t>
      </w:r>
    </w:p>
    <w:p w14:paraId="74ECABC0" w14:textId="77777777" w:rsidR="00C818CF" w:rsidRDefault="00C818CF" w:rsidP="00C818CF">
      <w:pPr>
        <w:spacing w:after="0" w:line="360" w:lineRule="auto"/>
        <w:jc w:val="both"/>
      </w:pPr>
    </w:p>
    <w:p w14:paraId="2C9C9561" w14:textId="77777777" w:rsidR="00907FD8" w:rsidRDefault="00000000" w:rsidP="00C818CF">
      <w:pPr>
        <w:spacing w:after="0" w:line="360" w:lineRule="auto"/>
        <w:jc w:val="both"/>
      </w:pPr>
      <w:r>
        <w:t>The strength of the correlation is important. A coefficient of .575 is not trivial; it indicates a meaningful degree of shared movement between the two variables. At the same time, it is far from a perfect correlation, which suggests that governance and resilience are related but distinct constructs. This is analytically desirable because if the correlation were too close to 1, it would raise concerns that the two scales were measuring the same thing. Instead, the result supports the conceptual model in which governance contributes to resilience without being identical to it.</w:t>
      </w:r>
    </w:p>
    <w:p w14:paraId="47153430" w14:textId="77777777" w:rsidR="00C818CF" w:rsidRDefault="00C818CF" w:rsidP="00C818CF">
      <w:pPr>
        <w:spacing w:after="0" w:line="360" w:lineRule="auto"/>
        <w:jc w:val="both"/>
      </w:pPr>
    </w:p>
    <w:p w14:paraId="0E1B7312" w14:textId="77777777" w:rsidR="00907FD8" w:rsidRDefault="00000000" w:rsidP="00C818CF">
      <w:pPr>
        <w:spacing w:after="0" w:line="360" w:lineRule="auto"/>
        <w:jc w:val="both"/>
      </w:pPr>
      <w:r>
        <w:t>The regression analysis provides the core test of the hypothesis. In the model summary, the regression output reports R = .575 and R square = .331, with adjusted R square = .325. This means that Strategic Risk Governance explains 33.1% of the variance in Banking Resilience. In management and social science research, this represents a meaningful explanatory contribution, especially given that only one predictor is included in the model. It implies that governance is an important driver of resilience perceptions among respondents, though other factors not included in the model also matter.</w:t>
      </w:r>
    </w:p>
    <w:p w14:paraId="2CE8F587" w14:textId="77777777" w:rsidR="00C818CF" w:rsidRDefault="00C818CF" w:rsidP="00C818CF">
      <w:pPr>
        <w:spacing w:after="0" w:line="360" w:lineRule="auto"/>
        <w:jc w:val="both"/>
      </w:pPr>
    </w:p>
    <w:p w14:paraId="4E1A424B" w14:textId="77777777" w:rsidR="00907FD8" w:rsidRDefault="00000000" w:rsidP="00C818CF">
      <w:pPr>
        <w:spacing w:after="0" w:line="360" w:lineRule="auto"/>
        <w:jc w:val="both"/>
      </w:pPr>
      <w:r>
        <w:lastRenderedPageBreak/>
        <w:t>The ANOVA table reports F = 58.298 with p &lt; .001. This confirms that the regression model as a whole is statistically significant. In other words, the model that uses SRG to predict BR fits the data significantly better than a model with no predictor. This strengthens confidence in the substantive relevance of the relationship.</w:t>
      </w:r>
    </w:p>
    <w:p w14:paraId="6905BB81" w14:textId="77777777" w:rsidR="00C818CF" w:rsidRDefault="00C818CF" w:rsidP="00C818CF">
      <w:pPr>
        <w:spacing w:after="0" w:line="360" w:lineRule="auto"/>
        <w:jc w:val="both"/>
      </w:pPr>
    </w:p>
    <w:p w14:paraId="606E1F65" w14:textId="77777777" w:rsidR="00907FD8" w:rsidRDefault="00000000" w:rsidP="00C818CF">
      <w:pPr>
        <w:spacing w:after="0" w:line="360" w:lineRule="auto"/>
        <w:jc w:val="both"/>
      </w:pPr>
      <w:r>
        <w:t>The coefficients table provides the regression equation. The unstandardized constant is 1.485, while the unstandardized coefficient for SRG_Index is .585. The standardized beta coefficient is .575, with t = 7.635 and p &lt; .001. The positive coefficient indicates that increases in Strategic Risk Governance are associated with increases in Banking Resilience. Specifically, a one-unit increase in SRG_Index is associated with an estimated .585-unit increase in BR_Index. Because the p-value is below .001, the effect is highly statistically significant.</w:t>
      </w:r>
    </w:p>
    <w:p w14:paraId="776E4691" w14:textId="77777777" w:rsidR="00C818CF" w:rsidRDefault="00C818CF" w:rsidP="00C818CF">
      <w:pPr>
        <w:spacing w:after="0" w:line="360" w:lineRule="auto"/>
        <w:jc w:val="both"/>
      </w:pPr>
    </w:p>
    <w:p w14:paraId="7BB751F6" w14:textId="77777777" w:rsidR="00907FD8" w:rsidRDefault="00000000" w:rsidP="00C818CF">
      <w:pPr>
        <w:spacing w:after="0" w:line="360" w:lineRule="auto"/>
        <w:jc w:val="both"/>
      </w:pPr>
      <w:r>
        <w:t>The standardized beta of .575 also confirms that the strength of the effect is meaningful. This coefficient mirrors the zero-order correlation because there is only one predictor in the model. As such, it indicates that SRG exerts a substantial positive influence on BR within the scope of this simple model.</w:t>
      </w:r>
    </w:p>
    <w:p w14:paraId="0865E902" w14:textId="77777777" w:rsidR="00C818CF" w:rsidRDefault="00C818CF" w:rsidP="00C818CF">
      <w:pPr>
        <w:spacing w:after="0" w:line="360" w:lineRule="auto"/>
        <w:jc w:val="both"/>
      </w:pPr>
    </w:p>
    <w:p w14:paraId="42D03644" w14:textId="77777777" w:rsidR="00907FD8" w:rsidRDefault="00000000" w:rsidP="00C818CF">
      <w:pPr>
        <w:spacing w:after="0" w:line="360" w:lineRule="auto"/>
        <w:jc w:val="both"/>
      </w:pPr>
      <w:r>
        <w:t>The fitted regression equation can be written as:</w:t>
      </w:r>
    </w:p>
    <w:p w14:paraId="48BE97C2" w14:textId="77777777" w:rsidR="00907FD8" w:rsidRDefault="00000000" w:rsidP="00C818CF">
      <w:pPr>
        <w:spacing w:after="0" w:line="360" w:lineRule="auto"/>
        <w:jc w:val="both"/>
      </w:pPr>
      <w:r>
        <w:t>BR_Index = 1.485 + 0.585(SRG_Index)</w:t>
      </w:r>
    </w:p>
    <w:p w14:paraId="52D0CB23" w14:textId="77777777" w:rsidR="00907FD8" w:rsidRDefault="00000000" w:rsidP="00C818CF">
      <w:pPr>
        <w:spacing w:after="0" w:line="360" w:lineRule="auto"/>
        <w:jc w:val="both"/>
      </w:pPr>
      <w:r>
        <w:t>This equation is useful for interpretation. It suggests that even when SRG is at the lower end, the predicted BR value remains above zero because the model includes a positive intercept. More importantly, the slope coefficient shows that resilience rises materially as governance improves. This empirical pattern directly supports the theoretical argument advanced in the literature review.</w:t>
      </w:r>
    </w:p>
    <w:p w14:paraId="08DF2D2E" w14:textId="77777777" w:rsidR="00C818CF" w:rsidRDefault="00C818CF" w:rsidP="00C818CF">
      <w:pPr>
        <w:spacing w:after="0" w:line="360" w:lineRule="auto"/>
        <w:jc w:val="both"/>
      </w:pPr>
    </w:p>
    <w:p w14:paraId="4596D858" w14:textId="77777777" w:rsidR="00C818CF" w:rsidRDefault="00C818CF" w:rsidP="00C818CF">
      <w:pPr>
        <w:spacing w:after="0" w:line="360" w:lineRule="auto"/>
        <w:jc w:val="both"/>
      </w:pPr>
    </w:p>
    <w:p w14:paraId="7996D71A" w14:textId="77777777" w:rsidR="00C818CF" w:rsidRDefault="00C818CF" w:rsidP="00C818CF">
      <w:pPr>
        <w:spacing w:after="0" w:line="360" w:lineRule="auto"/>
        <w:jc w:val="both"/>
      </w:pPr>
    </w:p>
    <w:p w14:paraId="2D90A793" w14:textId="77777777" w:rsidR="00C818CF" w:rsidRDefault="00C818CF" w:rsidP="00C818CF">
      <w:pPr>
        <w:spacing w:after="0" w:line="360" w:lineRule="auto"/>
        <w:jc w:val="both"/>
      </w:pPr>
    </w:p>
    <w:p w14:paraId="4E9B9CFB" w14:textId="77777777" w:rsidR="00C818CF" w:rsidRDefault="00C818CF" w:rsidP="00C818CF">
      <w:pPr>
        <w:spacing w:after="0" w:line="360" w:lineRule="auto"/>
        <w:jc w:val="both"/>
      </w:pPr>
    </w:p>
    <w:p w14:paraId="782FD14E" w14:textId="77777777" w:rsidR="00C818CF" w:rsidRDefault="00C818CF" w:rsidP="00C818CF">
      <w:pPr>
        <w:spacing w:after="0" w:line="360" w:lineRule="auto"/>
        <w:jc w:val="both"/>
      </w:pPr>
    </w:p>
    <w:p w14:paraId="373CA6DE" w14:textId="77777777" w:rsidR="00C818CF" w:rsidRDefault="00C818CF" w:rsidP="00C818CF">
      <w:pPr>
        <w:spacing w:after="0" w:line="360" w:lineRule="auto"/>
        <w:jc w:val="both"/>
      </w:pPr>
    </w:p>
    <w:p w14:paraId="4EEBD256" w14:textId="77777777" w:rsidR="00C818CF" w:rsidRDefault="00C818CF" w:rsidP="00C818CF">
      <w:pPr>
        <w:spacing w:after="0" w:line="360" w:lineRule="auto"/>
        <w:jc w:val="both"/>
      </w:pPr>
    </w:p>
    <w:p w14:paraId="2F0DD981" w14:textId="77777777" w:rsidR="00907FD8" w:rsidRPr="00C818CF" w:rsidRDefault="00000000" w:rsidP="00C818CF">
      <w:pPr>
        <w:spacing w:after="0" w:line="360" w:lineRule="auto"/>
        <w:jc w:val="both"/>
        <w:rPr>
          <w:b/>
          <w:bCs/>
        </w:rPr>
      </w:pPr>
      <w:r w:rsidRPr="00C818CF">
        <w:rPr>
          <w:b/>
          <w:bCs/>
        </w:rPr>
        <w:lastRenderedPageBreak/>
        <w:t>The hypothesis tested in this study was as follows:</w:t>
      </w:r>
    </w:p>
    <w:p w14:paraId="415DF0E5" w14:textId="77777777" w:rsidR="00907FD8" w:rsidRDefault="00000000" w:rsidP="00C818CF">
      <w:pPr>
        <w:spacing w:after="0" w:line="360" w:lineRule="auto"/>
        <w:jc w:val="both"/>
      </w:pPr>
      <w:r w:rsidRPr="00C818CF">
        <w:rPr>
          <w:b/>
          <w:bCs/>
        </w:rPr>
        <w:t>H1: Strategic Risk Governance has a significant positive impact on Banking Resilience in commercial banks in Bangladesh</w:t>
      </w:r>
      <w:r>
        <w:t>.</w:t>
      </w:r>
    </w:p>
    <w:p w14:paraId="4BEF6286" w14:textId="77777777" w:rsidR="00907FD8" w:rsidRDefault="00000000" w:rsidP="00C818CF">
      <w:pPr>
        <w:spacing w:after="0" w:line="360" w:lineRule="auto"/>
        <w:jc w:val="both"/>
      </w:pPr>
      <w:r>
        <w:t>Because the regression coefficient for SRG is positive and statistically significant (p &lt; .001), H1 is accepted. The evidence clearly supports the claim that stronger strategic risk governance is associated with stronger banking resilience.</w:t>
      </w:r>
    </w:p>
    <w:p w14:paraId="39A386A5" w14:textId="77777777" w:rsidR="00907FD8" w:rsidRDefault="00000000" w:rsidP="00C818CF">
      <w:pPr>
        <w:spacing w:after="0" w:line="360" w:lineRule="auto"/>
        <w:jc w:val="both"/>
      </w:pPr>
      <w:r>
        <w:t>The findings also carry interpretive depth at the item level. The strongest SRG items relate to effectiveness of risk identification and assessment, staff training, management prioritization, role clarity, and policy review. These dimensions connect closely to strategic awareness, process maturity, and formal governance discipline. The relatively lower means for openness in reporting risks and embedding risk awareness into daily operations suggest that banks may still need to strengthen risk culture. In the resilience domain, the highest-rated item concerns long-term sustainability, which may indicate that respondents see strategic orientation and future positioning as strengths. However, the comparatively lower mean on stable financial performance during crises suggests that resilience is easier to affirm conceptually than to realize under stress. This gap offers a useful point for management discussion and policy implication.</w:t>
      </w:r>
    </w:p>
    <w:p w14:paraId="51714B38" w14:textId="77777777" w:rsidR="00907FD8" w:rsidRDefault="00000000" w:rsidP="00C818CF">
      <w:pPr>
        <w:spacing w:after="0" w:line="360" w:lineRule="auto"/>
        <w:jc w:val="both"/>
      </w:pPr>
      <w:r>
        <w:t>Finally, the graphical evidence included in this report supports the numerical interpretation. The bar chart of item means shows that all item averages are above the midpoint and clustered in a fairly narrow range, indicating general positivity but also room for improvement. The scatter plot of SRG against BR shows an upward trend consistent with the positive regression coefficient. The conceptual framework figure summarizes the theoretical direction of the relationship tested in the study.</w:t>
      </w:r>
    </w:p>
    <w:p w14:paraId="025F970A" w14:textId="77777777" w:rsidR="00907FD8" w:rsidRDefault="00000000" w:rsidP="00C818CF">
      <w:pPr>
        <w:spacing w:after="0" w:line="360" w:lineRule="auto"/>
        <w:jc w:val="both"/>
      </w:pPr>
      <w:r>
        <w:t>Taken together, the results demonstrate four key points. First, the measurement scales are reliable. Second, respondents perceive both governance and resilience at moderately positive levels. Third, the two constructs are significantly and positively associated. Fourth, governance explains a meaningful share of resilience and has a statistically significant positive effect on it. These results provide a strong empirical basis for the interpretation developed in the next chapter.</w:t>
      </w:r>
    </w:p>
    <w:p w14:paraId="1F62BF2F" w14:textId="77777777" w:rsidR="00C818CF" w:rsidRDefault="00C818CF" w:rsidP="00C818CF">
      <w:pPr>
        <w:spacing w:after="0" w:line="360" w:lineRule="auto"/>
        <w:jc w:val="both"/>
      </w:pPr>
    </w:p>
    <w:p w14:paraId="2831F921" w14:textId="6400CD09" w:rsidR="00907FD8" w:rsidRPr="00C818CF" w:rsidRDefault="00000000" w:rsidP="00C818CF">
      <w:pPr>
        <w:pStyle w:val="Heading1"/>
        <w:spacing w:line="360" w:lineRule="auto"/>
        <w:jc w:val="both"/>
        <w:rPr>
          <w:color w:val="000000" w:themeColor="text1"/>
        </w:rPr>
      </w:pPr>
      <w:r w:rsidRPr="00C818CF">
        <w:rPr>
          <w:color w:val="000000" w:themeColor="text1"/>
        </w:rPr>
        <w:lastRenderedPageBreak/>
        <w:t>5. Discussion</w:t>
      </w:r>
    </w:p>
    <w:p w14:paraId="202F3E0F" w14:textId="77777777" w:rsidR="00907FD8" w:rsidRDefault="00000000" w:rsidP="00C818CF">
      <w:pPr>
        <w:spacing w:after="0" w:line="360" w:lineRule="auto"/>
        <w:jc w:val="both"/>
      </w:pPr>
      <w:r>
        <w:t>The empirical findings of this study offer strong support for the central argument that Strategic Risk Governance contributes positively to Banking Resilience in Bangladesh's commercial banking sector. The discussion below interprets the results in relation to the literature, the Bangladeshi context, and the broader implications for theory and practice.</w:t>
      </w:r>
    </w:p>
    <w:p w14:paraId="6870D49E" w14:textId="77777777" w:rsidR="00C818CF" w:rsidRDefault="00C818CF" w:rsidP="00C818CF">
      <w:pPr>
        <w:spacing w:after="0" w:line="360" w:lineRule="auto"/>
        <w:jc w:val="both"/>
      </w:pPr>
    </w:p>
    <w:p w14:paraId="4F6C927A" w14:textId="77777777" w:rsidR="00907FD8" w:rsidRDefault="00000000" w:rsidP="00C818CF">
      <w:pPr>
        <w:spacing w:after="0" w:line="360" w:lineRule="auto"/>
        <w:jc w:val="both"/>
      </w:pPr>
      <w:r>
        <w:t>The first major finding is the high reliability of the SRG and BR scales. Cronbach's alpha values of .936 and .892 indicate that the constructs are measured consistently and coherently. This matters because governance and resilience are multi-dimensional ideas. Strong alpha values suggest that the selected items successfully captured connected aspects of each underlying concept. From a research perspective, this strengthens confidence in the validity of the descriptive and inferential results that follow.</w:t>
      </w:r>
    </w:p>
    <w:p w14:paraId="5E9EBC63" w14:textId="77777777" w:rsidR="00C818CF" w:rsidRDefault="00C818CF" w:rsidP="00C818CF">
      <w:pPr>
        <w:spacing w:after="0" w:line="360" w:lineRule="auto"/>
        <w:jc w:val="both"/>
      </w:pPr>
    </w:p>
    <w:p w14:paraId="133C21AC" w14:textId="77777777" w:rsidR="00907FD8" w:rsidRDefault="00000000" w:rsidP="00C818CF">
      <w:pPr>
        <w:spacing w:after="0" w:line="360" w:lineRule="auto"/>
        <w:jc w:val="both"/>
      </w:pPr>
      <w:r>
        <w:t>The second major finding is that respondents reported moderately favorable perceptions of both governance and resilience. The mean score of 3.469 for SRG suggests that strategic risk governance practices are present to a meaningful extent in the sampled banks. The mean of 3.513 for BR suggests that respondents also perceive their banks as moderately resilient. These averages are neither weak nor exceptional. They point instead to a middle position: banks appear to have many governance and resilience elements in place, but there remains noticeable scope for improvement.</w:t>
      </w:r>
    </w:p>
    <w:p w14:paraId="5392D21D" w14:textId="77777777" w:rsidR="00C818CF" w:rsidRDefault="00C818CF" w:rsidP="00C818CF">
      <w:pPr>
        <w:spacing w:after="0" w:line="360" w:lineRule="auto"/>
        <w:jc w:val="both"/>
      </w:pPr>
    </w:p>
    <w:p w14:paraId="04E484AD" w14:textId="77777777" w:rsidR="00907FD8" w:rsidRDefault="00000000" w:rsidP="00C818CF">
      <w:pPr>
        <w:spacing w:after="0" w:line="360" w:lineRule="auto"/>
        <w:jc w:val="both"/>
      </w:pPr>
      <w:r>
        <w:t>This pattern is consistent with the reality of many emerging-market banking systems. Governance reforms, risk frameworks, and compliance systems may exist formally, yet the depth of implementation and organizational consistency can vary. The item-level means support this interpretation. Respondents rated policy review, management prioritization, risk identification, training, compliance, and monitoring relatively positively. These are the kinds of areas that are often strengthened by regulation and supervisory expectation. However, items related to open risk reporting and risk awareness embedded in day-to-day work scored slightly lower. This suggests that the formal side of governance may be stronger than the cultural side.</w:t>
      </w:r>
    </w:p>
    <w:p w14:paraId="30B80DCC" w14:textId="77777777" w:rsidR="00C818CF" w:rsidRDefault="00C818CF" w:rsidP="00C818CF">
      <w:pPr>
        <w:spacing w:after="0" w:line="360" w:lineRule="auto"/>
        <w:jc w:val="both"/>
      </w:pPr>
    </w:p>
    <w:p w14:paraId="4DC2955F" w14:textId="77777777" w:rsidR="00907FD8" w:rsidRDefault="00000000" w:rsidP="00C818CF">
      <w:pPr>
        <w:spacing w:after="0" w:line="360" w:lineRule="auto"/>
        <w:jc w:val="both"/>
      </w:pPr>
      <w:r>
        <w:lastRenderedPageBreak/>
        <w:t>That distinction is theoretically meaningful. Stein et al. (2019) argue that governance must be understood not only in terms of formal arrangements but also in terms of how uncertainty is framed, communicated, and acted upon inside the organization. A bank may have policies and committees, but if employees do not feel encouraged to report concerns or if risk awareness is not embedded in operations, governance quality may remain incomplete. The present findings fit that perspective. They imply that Bangladeshi commercial banks may have advanced in formal governance architecture while still facing challenges in cultivating a fully mature risk culture.</w:t>
      </w:r>
    </w:p>
    <w:p w14:paraId="3D9316E0" w14:textId="77777777" w:rsidR="00C818CF" w:rsidRDefault="00C818CF" w:rsidP="00C818CF">
      <w:pPr>
        <w:spacing w:after="0" w:line="360" w:lineRule="auto"/>
        <w:jc w:val="both"/>
      </w:pPr>
    </w:p>
    <w:p w14:paraId="3CE94404" w14:textId="77777777" w:rsidR="00907FD8" w:rsidRDefault="00000000" w:rsidP="00C818CF">
      <w:pPr>
        <w:spacing w:after="0" w:line="360" w:lineRule="auto"/>
        <w:jc w:val="both"/>
      </w:pPr>
      <w:r>
        <w:t>The third major finding is the statistically significant positive correlation between Strategic Risk Governance and Banking Resilience. The coefficient of .575 indicates that stronger governance is associated with stronger resilience. This result aligns with the logic of the Basel Committee (2015), which links sound governance to safety and soundness, and with empirical studies such as Battaglia and Gallo (2015), which show that governance characteristics influence bank outcomes. In substantive terms, the result suggests that governance quality is not peripheral to resilience; it is one of its major correlates.</w:t>
      </w:r>
    </w:p>
    <w:p w14:paraId="3A687F50" w14:textId="77777777" w:rsidR="00C818CF" w:rsidRDefault="00C818CF" w:rsidP="00C818CF">
      <w:pPr>
        <w:spacing w:after="0" w:line="360" w:lineRule="auto"/>
        <w:jc w:val="both"/>
      </w:pPr>
    </w:p>
    <w:p w14:paraId="5BE31382" w14:textId="77777777" w:rsidR="00907FD8" w:rsidRDefault="00000000" w:rsidP="00C818CF">
      <w:pPr>
        <w:spacing w:after="0" w:line="360" w:lineRule="auto"/>
        <w:jc w:val="both"/>
      </w:pPr>
      <w:r>
        <w:t>The regression findings deepen this conclusion by showing that SRG is not only correlated with BR but also significantly predicts it. The model explains 33.1% of the variance in Banking Resilience, and the coefficient for SRG is strongly positive and highly significant. This is a substantial finding for a single-predictor model based on survey data. It means that governance accounts for roughly one-third of the observed variation in resilience perceptions among respondents. In practical language, improvements in board oversight, role clarity, formal frameworks, policy review, risk reporting, internal controls, compliance, and monitoring are likely to be associated with noticeable improvements in resilience.</w:t>
      </w:r>
    </w:p>
    <w:p w14:paraId="674BF321" w14:textId="77777777" w:rsidR="00C818CF" w:rsidRDefault="00C818CF" w:rsidP="00C818CF">
      <w:pPr>
        <w:spacing w:after="0" w:line="360" w:lineRule="auto"/>
        <w:jc w:val="both"/>
      </w:pPr>
    </w:p>
    <w:p w14:paraId="31705C10" w14:textId="77777777" w:rsidR="00907FD8" w:rsidRDefault="00000000" w:rsidP="00C818CF">
      <w:pPr>
        <w:spacing w:after="0" w:line="360" w:lineRule="auto"/>
        <w:jc w:val="both"/>
      </w:pPr>
      <w:r>
        <w:t xml:space="preserve">This finding supports the theoretical proposition that resilience is partly an outcome of strategic capability. Dynamic capability reasoning is useful here: institutions that can sense risks, interpret them, coordinate across functions, and adapt their decisions are better positioned to withstand shocks. Strategic Risk Governance provides many of the organizational mechanisms through which such capabilities are expressed. It structures information flows, clarifies accountability, </w:t>
      </w:r>
      <w:r>
        <w:lastRenderedPageBreak/>
        <w:t>supports early warning, and encourages strategic alignment between risk and business decisions. The positive coefficient in this study is therefore both statistically and conceptually coherent.</w:t>
      </w:r>
    </w:p>
    <w:p w14:paraId="1199E07D" w14:textId="77777777" w:rsidR="00C818CF" w:rsidRDefault="00C818CF" w:rsidP="00C818CF">
      <w:pPr>
        <w:spacing w:after="0" w:line="360" w:lineRule="auto"/>
        <w:jc w:val="both"/>
      </w:pPr>
    </w:p>
    <w:p w14:paraId="3E8892A0" w14:textId="77777777" w:rsidR="00907FD8" w:rsidRDefault="00000000" w:rsidP="00C818CF">
      <w:pPr>
        <w:spacing w:after="0" w:line="360" w:lineRule="auto"/>
        <w:jc w:val="both"/>
      </w:pPr>
      <w:r>
        <w:t>The result is also relevant to agency theory. Governance mechanisms reduce information asymmetry and help ensure that managerial decisions align with the organization's risk appetite and long-term interests. Where governance is weak, managers may delay recognition of risks, underinvest in controls, or pursue short-term objectives at the expense of resilience. Stronger governance mitigates those problems, helping the institution avoid excessive vulnerability. The positive impact of SRG on BR in this study is consistent with that agency-theoretic interpretation.</w:t>
      </w:r>
    </w:p>
    <w:p w14:paraId="186DE28A" w14:textId="77777777" w:rsidR="00907FD8" w:rsidRDefault="00000000" w:rsidP="00C818CF">
      <w:pPr>
        <w:spacing w:after="0" w:line="360" w:lineRule="auto"/>
        <w:jc w:val="both"/>
      </w:pPr>
      <w:r>
        <w:t>The Bangladesh context adds further significance. Commercial banks in Bangladesh operate in an environment where governance quality and loan discipline are frequently discussed by regulators, policymakers, and the public. The findings indicate that respondents themselves perceive governance as a meaningful contributor to resilience. This matters because governance reform is sometimes treated as a compliance burden rather than a strategic asset. The evidence here suggests the opposite: governance appears to be a resilience-generating capability. For bank leaders, this means that strengthening governance is not only about satisfying regulatory expectations but also about protecting performance continuity and long-term institutional credibility.</w:t>
      </w:r>
    </w:p>
    <w:p w14:paraId="2D803C3B" w14:textId="77777777" w:rsidR="00C818CF" w:rsidRDefault="00C818CF" w:rsidP="00C818CF">
      <w:pPr>
        <w:spacing w:after="0" w:line="360" w:lineRule="auto"/>
        <w:jc w:val="both"/>
      </w:pPr>
    </w:p>
    <w:p w14:paraId="4A987683" w14:textId="77777777" w:rsidR="00907FD8" w:rsidRDefault="00000000" w:rsidP="00C818CF">
      <w:pPr>
        <w:spacing w:after="0" w:line="360" w:lineRule="auto"/>
        <w:jc w:val="both"/>
      </w:pPr>
      <w:r>
        <w:t>The item-level results provide useful managerial insight. The strongest mean within the resilience scale is the statement that strategic decisions support long-term sustainability. This suggests that respondents see a link between strategy and resilience. At the same time, the lowest resilience mean concerns stable financial performance during crises. This indicates that resilience may be more difficult to realize under acute stress than in normal operations. The implication is that governance systems should not stop at policy formulation or strategic aspiration. They must be tested under stress conditions, supported by contingency planning, and reinforced through crisis simulation, scenario analysis, and regular review.</w:t>
      </w:r>
    </w:p>
    <w:p w14:paraId="52EF26F9" w14:textId="77777777" w:rsidR="00C818CF" w:rsidRDefault="00C818CF" w:rsidP="00C818CF">
      <w:pPr>
        <w:spacing w:after="0" w:line="360" w:lineRule="auto"/>
        <w:jc w:val="both"/>
      </w:pPr>
    </w:p>
    <w:p w14:paraId="56076A23" w14:textId="77777777" w:rsidR="00907FD8" w:rsidRDefault="00000000" w:rsidP="00C818CF">
      <w:pPr>
        <w:spacing w:after="0" w:line="360" w:lineRule="auto"/>
        <w:jc w:val="both"/>
      </w:pPr>
      <w:r>
        <w:t xml:space="preserve">Similarly, in the governance scale, the relatively high scores for risk assessment and training suggest that banks recognize the importance of procedural and capability-building elements. But the lower scores for openness in reporting and embedded awareness imply that psychological and cultural factors remain important development areas. A governance system is strongest when </w:t>
      </w:r>
      <w:r>
        <w:lastRenderedPageBreak/>
        <w:t>employees at multiple levels understand risk responsibilities, feel safe to escalate issues, and see risk considerations as part of routine decision making rather than exceptional events.</w:t>
      </w:r>
    </w:p>
    <w:p w14:paraId="775756A5" w14:textId="77777777" w:rsidR="00C818CF" w:rsidRDefault="00C818CF" w:rsidP="00C818CF">
      <w:pPr>
        <w:spacing w:after="0" w:line="360" w:lineRule="auto"/>
        <w:jc w:val="both"/>
      </w:pPr>
    </w:p>
    <w:p w14:paraId="757FA5CA" w14:textId="77777777" w:rsidR="00907FD8" w:rsidRDefault="00000000" w:rsidP="00C818CF">
      <w:pPr>
        <w:spacing w:after="0" w:line="360" w:lineRule="auto"/>
        <w:jc w:val="both"/>
      </w:pPr>
      <w:r>
        <w:t>The study also has implications for regulators and supervisory authorities. If governance significantly predicts resilience, then regulatory frameworks should continue to emphasize governance quality as a core supervisory theme. This includes not only formal compliance checks but also assessment of board effectiveness, risk committee functionality, internal control strength, and risk culture. Supervisors may also encourage banks to move beyond document-based compliance toward demonstrable governance effectiveness in practice. The present findings support such an approach.</w:t>
      </w:r>
    </w:p>
    <w:p w14:paraId="6A8A4891" w14:textId="77777777" w:rsidR="00C818CF" w:rsidRDefault="00C818CF" w:rsidP="00C818CF">
      <w:pPr>
        <w:spacing w:after="0" w:line="360" w:lineRule="auto"/>
        <w:jc w:val="both"/>
      </w:pPr>
    </w:p>
    <w:p w14:paraId="3D0837DC" w14:textId="77777777" w:rsidR="00907FD8" w:rsidRDefault="00000000" w:rsidP="00C818CF">
      <w:pPr>
        <w:spacing w:after="0" w:line="360" w:lineRule="auto"/>
        <w:jc w:val="both"/>
      </w:pPr>
      <w:r>
        <w:t>For academics, this study contributes by extending the governance-resilience discussion into an emerging economy using primary data from practitioners. Much prior work has relied on archival indicators, market data, or cross-country panel designs. Those approaches remain valuable, but the present study adds a perception-based, institution-facing perspective. It shows that banking professionals themselves perceive a meaningful governance-resilience link. This helps enrich the literature by adding evidence from inside the organizational system rather than only from external outcomes.</w:t>
      </w:r>
    </w:p>
    <w:p w14:paraId="11AA3FDD" w14:textId="77777777" w:rsidR="00C818CF" w:rsidRDefault="00C818CF" w:rsidP="00C818CF">
      <w:pPr>
        <w:spacing w:after="0" w:line="360" w:lineRule="auto"/>
        <w:jc w:val="both"/>
      </w:pPr>
    </w:p>
    <w:p w14:paraId="7F53C7F6" w14:textId="77777777" w:rsidR="00907FD8" w:rsidRDefault="00000000" w:rsidP="00C818CF">
      <w:pPr>
        <w:spacing w:after="0" w:line="360" w:lineRule="auto"/>
        <w:jc w:val="both"/>
      </w:pPr>
      <w:r>
        <w:t>At the same time, the findings should be interpreted with appropriate caution. The model explains 33.1% of resilience variance, which means that nearly two-thirds remains unexplained by SRG alone. This is not a weakness of the study so much as a reminder that resilience is multi-causal. Capital structure, liquidity position, asset quality, macroeconomic conditions, digital capability, regulatory enforcement, competitive intensity, and institutional history may all matter. Future research could extend the model by incorporating mediators such as risk culture or moderators such as regulatory strength and market conditions, both of which were discussed in the conceptual thinking behind the broader research topic.</w:t>
      </w:r>
    </w:p>
    <w:p w14:paraId="5B958562" w14:textId="77777777" w:rsidR="00C818CF" w:rsidRDefault="00C818CF" w:rsidP="00C818CF">
      <w:pPr>
        <w:spacing w:after="0" w:line="360" w:lineRule="auto"/>
        <w:jc w:val="both"/>
      </w:pPr>
    </w:p>
    <w:p w14:paraId="15CDBBE4" w14:textId="77777777" w:rsidR="00C818CF" w:rsidRDefault="00C818CF" w:rsidP="00C818CF">
      <w:pPr>
        <w:spacing w:after="0" w:line="360" w:lineRule="auto"/>
        <w:jc w:val="both"/>
      </w:pPr>
    </w:p>
    <w:p w14:paraId="79339DC7" w14:textId="77777777" w:rsidR="00C818CF" w:rsidRDefault="00C818CF" w:rsidP="00C818CF">
      <w:pPr>
        <w:spacing w:after="0" w:line="360" w:lineRule="auto"/>
        <w:jc w:val="both"/>
      </w:pPr>
    </w:p>
    <w:p w14:paraId="4C2B2ECA" w14:textId="77777777" w:rsidR="00907FD8" w:rsidRDefault="00000000" w:rsidP="00C818CF">
      <w:pPr>
        <w:spacing w:after="0" w:line="360" w:lineRule="auto"/>
        <w:jc w:val="both"/>
      </w:pPr>
      <w:r>
        <w:lastRenderedPageBreak/>
        <w:t>Another caution is that the study is cross-sectional and based on self-reported perceptions. This design is appropriate for the present assignment and for exploratory empirical work, but it cannot fully establish causality in the way that longitudinal or panel-data designs might. It is possible that resilient banks invest more in governance, that governance enhances resilience, or that both are mutually reinforcing. Nevertheless, the positive and significant effect observed here remains a valuable empirical result, especially because it is theoretically grounded and statistically robust.</w:t>
      </w:r>
    </w:p>
    <w:p w14:paraId="3A9FFC06" w14:textId="77777777" w:rsidR="00C818CF" w:rsidRDefault="00C818CF" w:rsidP="00C818CF">
      <w:pPr>
        <w:spacing w:after="0" w:line="360" w:lineRule="auto"/>
        <w:jc w:val="both"/>
      </w:pPr>
    </w:p>
    <w:p w14:paraId="2FAECFFA" w14:textId="77777777" w:rsidR="00907FD8" w:rsidRDefault="00000000" w:rsidP="00C818CF">
      <w:pPr>
        <w:spacing w:after="0" w:line="360" w:lineRule="auto"/>
        <w:jc w:val="both"/>
      </w:pPr>
      <w:r>
        <w:t>Overall, the discussion leads to a clear conclusion: Strategic Risk Governance is not an abstract administrative ideal but an empirically meaningful determinant of Banking Resilience in commercial banks in Bangladesh. Strengthening governance is therefore likely to improve the capacity of banks to absorb shocks, sustain operations, and adapt to uncertainty. This insight has direct value for bank boards, senior managers, regulators, and scholars alike.</w:t>
      </w:r>
    </w:p>
    <w:p w14:paraId="606D866E" w14:textId="77777777" w:rsidR="00907FD8" w:rsidRPr="00C818CF" w:rsidRDefault="00000000" w:rsidP="00C818CF">
      <w:pPr>
        <w:pStyle w:val="Heading1"/>
        <w:spacing w:line="360" w:lineRule="auto"/>
        <w:rPr>
          <w:color w:val="000000" w:themeColor="text1"/>
        </w:rPr>
      </w:pPr>
      <w:r w:rsidRPr="00C818CF">
        <w:rPr>
          <w:color w:val="000000" w:themeColor="text1"/>
        </w:rPr>
        <w:t>6. Conclusion</w:t>
      </w:r>
    </w:p>
    <w:p w14:paraId="64CB1748" w14:textId="77777777" w:rsidR="00907FD8" w:rsidRDefault="00000000" w:rsidP="00C818CF">
      <w:pPr>
        <w:spacing w:line="360" w:lineRule="auto"/>
        <w:jc w:val="both"/>
      </w:pPr>
      <w:r>
        <w:t>This study set out to examine the impact of Strategic Risk Governance on Banking Resilience in the commercial banking sector of Bangladesh. Drawing on governance theory, banking supervision principles, and risk management literature, the study proposed that stronger governance arrangements would be associated with stronger resilience. Primary survey data from 120 banking professionals were analyzed using SPSS, and the evidence strongly supports that proposition.</w:t>
      </w:r>
    </w:p>
    <w:p w14:paraId="5E48FF85" w14:textId="77777777" w:rsidR="00907FD8" w:rsidRDefault="00000000" w:rsidP="00C818CF">
      <w:pPr>
        <w:spacing w:line="360" w:lineRule="auto"/>
        <w:jc w:val="both"/>
      </w:pPr>
      <w:r>
        <w:t>The reliability analysis confirmed that the measurement scales were robust, with Cronbach's alpha values of .936 for Strategic Risk Governance and .892 for Banking Resilience. Descriptive statistics showed that respondents generally perceive both governance and resilience positively, although not at uniformly high levels. Item-level evidence revealed that formal elements such as policy review, risk assessment, training, and compliance tend to be viewed relatively favorably, while more behavioral dimensions such as open reporting and embedded awareness remain comparatively weaker. On the resilience side, long-term sustainability and disruption mitigation were rated more strongly than crisis-time financial stability.</w:t>
      </w:r>
    </w:p>
    <w:p w14:paraId="317F6D68" w14:textId="77777777" w:rsidR="00907FD8" w:rsidRDefault="00000000" w:rsidP="00C818CF">
      <w:pPr>
        <w:spacing w:line="360" w:lineRule="auto"/>
        <w:jc w:val="both"/>
      </w:pPr>
      <w:r>
        <w:t xml:space="preserve">The core inferential results provide the most important conclusion of the study. Strategic Risk Governance is positively and significantly related to Banking Resilience (r = .575, p &lt; .001). </w:t>
      </w:r>
      <w:r>
        <w:lastRenderedPageBreak/>
        <w:t>Regression analysis further shows that SRG significantly predicts BR (B = .585, beta = .575, t = 7.635, p &lt; .001), explaining 33.1% of the variance in resilience. The study therefore accepts the research hypothesis that Strategic Risk Governance has a significant positive impact on Banking Resilience in commercial banks in Bangladesh.</w:t>
      </w:r>
    </w:p>
    <w:p w14:paraId="0094EB54" w14:textId="77777777" w:rsidR="00907FD8" w:rsidRDefault="00000000" w:rsidP="00C818CF">
      <w:pPr>
        <w:spacing w:line="360" w:lineRule="auto"/>
        <w:jc w:val="both"/>
      </w:pPr>
      <w:r>
        <w:t>Several practical implications follow. First, bank boards should treat governance as a strategic capability rather than a procedural obligation. Active oversight, role clarity, regular policy review, and strong risk committees should be sustained and strengthened. Second, senior management should reinforce not only formal systems but also risk culture by encouraging upward reporting, strengthening communication channels, and embedding risk awareness in day-to-day work. Third, regulators should continue to emphasize governance quality as a core dimension of supervisory assessment. Stronger governance appears to support stronger resilience, making it relevant to sector-wide stability.</w:t>
      </w:r>
    </w:p>
    <w:p w14:paraId="6C149FFF" w14:textId="77777777" w:rsidR="00907FD8" w:rsidRDefault="00000000" w:rsidP="00C818CF">
      <w:pPr>
        <w:spacing w:line="360" w:lineRule="auto"/>
        <w:jc w:val="both"/>
      </w:pPr>
      <w:r>
        <w:t>This study also contributes to the academic literature by providing primary-data evidence from an emerging economy. It shows that the governance-resilience relationship, often discussed conceptually or examined through secondary data, is also visible in the perceptions of banking professionals. In this sense, the study offers both empirical and contextual value.</w:t>
      </w:r>
    </w:p>
    <w:p w14:paraId="6E4AF977" w14:textId="77777777" w:rsidR="00907FD8" w:rsidRDefault="00000000" w:rsidP="00C818CF">
      <w:pPr>
        <w:spacing w:line="360" w:lineRule="auto"/>
        <w:jc w:val="both"/>
      </w:pPr>
      <w:r>
        <w:t>The research nonetheless has limitations. The use of purposive sampling and cross-sectional survey data constrains generalization and causal inference. The model includes only one predictor, while resilience is likely shaped by multiple organizational and environmental factors. Future research could extend the analysis by incorporating additional explanatory variables, such as risk culture, regulatory quality, digital capability, or bank-specific characteristics. Longitudinal designs or mixed-method approaches could also deepen understanding of how governance mechanisms influence resilience over time.</w:t>
      </w:r>
    </w:p>
    <w:p w14:paraId="4D512AF6" w14:textId="77777777" w:rsidR="00907FD8" w:rsidRDefault="00000000" w:rsidP="00C818CF">
      <w:pPr>
        <w:spacing w:line="360" w:lineRule="auto"/>
        <w:jc w:val="both"/>
      </w:pPr>
      <w:r>
        <w:t>In summary, the report demonstrates that Strategic Risk Governance matters in a substantive and measurable way. In the Bangladesh banking context, banks that are perceived to have stronger strategic governance arrangements are also perceived to be more resilient. This conclusion supports the continuing importance of governance reform, strategic oversight, and integrated risk management in strengthening the stability and sustainability of the banking sector.</w:t>
      </w:r>
    </w:p>
    <w:p w14:paraId="3DEA0C63" w14:textId="77777777" w:rsidR="00907FD8" w:rsidRPr="00C818CF" w:rsidRDefault="00000000" w:rsidP="00C818CF">
      <w:pPr>
        <w:pStyle w:val="Heading1"/>
        <w:spacing w:line="360" w:lineRule="auto"/>
        <w:jc w:val="both"/>
        <w:rPr>
          <w:color w:val="000000" w:themeColor="text1"/>
        </w:rPr>
      </w:pPr>
      <w:r w:rsidRPr="00C818CF">
        <w:rPr>
          <w:color w:val="000000" w:themeColor="text1"/>
        </w:rPr>
        <w:lastRenderedPageBreak/>
        <w:t>7. Recommendations</w:t>
      </w:r>
    </w:p>
    <w:p w14:paraId="56EA16D1" w14:textId="77777777" w:rsidR="00907FD8" w:rsidRDefault="00000000" w:rsidP="00C818CF">
      <w:pPr>
        <w:spacing w:after="0" w:line="360" w:lineRule="auto"/>
        <w:jc w:val="both"/>
      </w:pPr>
      <w:r>
        <w:t>Based on the findings, the following recommendations are proposed:</w:t>
      </w:r>
    </w:p>
    <w:p w14:paraId="6D7A3C7F" w14:textId="77777777" w:rsidR="00907FD8" w:rsidRDefault="00000000" w:rsidP="00C818CF">
      <w:pPr>
        <w:spacing w:after="0" w:line="360" w:lineRule="auto"/>
        <w:jc w:val="both"/>
      </w:pPr>
      <w:r>
        <w:t>1. Strengthen board-level risk oversight. Boards should devote regular agenda time to strategic risk review, challenge management assumptions, and ensure that risk appetite is aligned with business strategy.</w:t>
      </w:r>
    </w:p>
    <w:p w14:paraId="056FB58C" w14:textId="77777777" w:rsidR="00907FD8" w:rsidRDefault="00000000" w:rsidP="00C818CF">
      <w:pPr>
        <w:spacing w:after="0" w:line="360" w:lineRule="auto"/>
        <w:jc w:val="both"/>
      </w:pPr>
      <w:r>
        <w:t>2. Deepen risk culture and speaking-up practices. Banks should create channels that encourage employees to report emerging risks without fear and should integrate risk awareness into routine operational decisions.</w:t>
      </w:r>
    </w:p>
    <w:p w14:paraId="2994746F" w14:textId="77777777" w:rsidR="00907FD8" w:rsidRDefault="00000000" w:rsidP="00C818CF">
      <w:pPr>
        <w:spacing w:after="0" w:line="360" w:lineRule="auto"/>
        <w:jc w:val="both"/>
      </w:pPr>
      <w:r>
        <w:t>3. Enhance training and capability development. Because training-related items scored relatively well and are actionable, banks should continue to invest in role-specific risk management training for managers and staff.</w:t>
      </w:r>
    </w:p>
    <w:p w14:paraId="3F437F1F" w14:textId="77777777" w:rsidR="00907FD8" w:rsidRDefault="00000000" w:rsidP="00C818CF">
      <w:pPr>
        <w:spacing w:after="0" w:line="360" w:lineRule="auto"/>
        <w:jc w:val="both"/>
      </w:pPr>
      <w:r>
        <w:t>4. Improve crisis preparedness and stress response. The comparatively lower score on stable financial performance during crises suggests the need for scenario analysis, simulation exercises, and tested business continuity arrangements.</w:t>
      </w:r>
    </w:p>
    <w:p w14:paraId="1B7095F7" w14:textId="77777777" w:rsidR="00907FD8" w:rsidRDefault="00000000" w:rsidP="00C818CF">
      <w:pPr>
        <w:spacing w:after="0" w:line="360" w:lineRule="auto"/>
        <w:jc w:val="both"/>
      </w:pPr>
      <w:r>
        <w:t>5. Reinforce policy review and monitoring systems. Banks should regularly update risk policies in light of new threats, regulatory change, technology shifts, and evolving market conditions.</w:t>
      </w:r>
    </w:p>
    <w:p w14:paraId="4935E611" w14:textId="77777777" w:rsidR="00907FD8" w:rsidRDefault="00000000" w:rsidP="00C818CF">
      <w:pPr>
        <w:spacing w:after="0" w:line="360" w:lineRule="auto"/>
        <w:jc w:val="both"/>
      </w:pPr>
      <w:r>
        <w:t>6. Use governance metrics as strategic indicators. Senior management and regulators may benefit from monitoring governance quality not only through compliance checklists but through broader indicators of oversight effectiveness, communication quality, and response capability.</w:t>
      </w:r>
    </w:p>
    <w:p w14:paraId="33C80300" w14:textId="77777777" w:rsidR="00907FD8" w:rsidRDefault="00000000" w:rsidP="00C818CF">
      <w:pPr>
        <w:spacing w:after="0" w:line="360" w:lineRule="auto"/>
        <w:jc w:val="both"/>
      </w:pPr>
      <w:r>
        <w:t>7. Extend future academic inquiry. Researchers should examine mediating variables such as risk culture and moderating variables such as regulatory strength, and should compare conventional and Islamic banks or different ownership structures in Bangladesh.</w:t>
      </w:r>
    </w:p>
    <w:p w14:paraId="1EB59479" w14:textId="77777777" w:rsidR="00C818CF" w:rsidRDefault="00C818CF">
      <w:pPr>
        <w:pStyle w:val="Heading1"/>
      </w:pPr>
    </w:p>
    <w:p w14:paraId="4F46B06C" w14:textId="77777777" w:rsidR="00C818CF" w:rsidRDefault="00C818CF">
      <w:pPr>
        <w:pStyle w:val="Heading1"/>
      </w:pPr>
    </w:p>
    <w:p w14:paraId="431EB837" w14:textId="77777777" w:rsidR="00C818CF" w:rsidRDefault="00C818CF" w:rsidP="00C818CF"/>
    <w:p w14:paraId="3A1C9525" w14:textId="77777777" w:rsidR="00C818CF" w:rsidRPr="00C818CF" w:rsidRDefault="00C818CF" w:rsidP="00C818CF"/>
    <w:p w14:paraId="1B27F543" w14:textId="2A2457BD" w:rsidR="00907FD8" w:rsidRPr="00C818CF" w:rsidRDefault="00000000" w:rsidP="00C818CF">
      <w:pPr>
        <w:pStyle w:val="Heading1"/>
        <w:spacing w:line="360" w:lineRule="auto"/>
        <w:jc w:val="both"/>
        <w:rPr>
          <w:color w:val="000000" w:themeColor="text1"/>
        </w:rPr>
      </w:pPr>
      <w:r w:rsidRPr="00C818CF">
        <w:rPr>
          <w:color w:val="000000" w:themeColor="text1"/>
        </w:rPr>
        <w:lastRenderedPageBreak/>
        <w:t>References</w:t>
      </w:r>
    </w:p>
    <w:p w14:paraId="66F8D225" w14:textId="2E941E9C" w:rsidR="00907FD8" w:rsidRDefault="00000000" w:rsidP="00C818CF">
      <w:pPr>
        <w:spacing w:line="360" w:lineRule="auto"/>
        <w:ind w:left="357" w:hanging="357"/>
        <w:jc w:val="both"/>
      </w:pPr>
      <w:r>
        <w:t>Basel Committee on Banking Supervision. (2015). Corporate governance principles for banks.</w:t>
      </w:r>
      <w:r w:rsidR="00C818CF">
        <w:t xml:space="preserve">  </w:t>
      </w:r>
      <w:r>
        <w:t>Bank for International Settlements.</w:t>
      </w:r>
    </w:p>
    <w:p w14:paraId="121146BE" w14:textId="77777777" w:rsidR="008142EC" w:rsidRPr="009E6244" w:rsidRDefault="008142EC" w:rsidP="00C818CF">
      <w:pPr>
        <w:pStyle w:val="NormalWeb"/>
        <w:spacing w:line="360" w:lineRule="auto"/>
        <w:jc w:val="both"/>
        <w:rPr>
          <w:color w:val="000000"/>
        </w:rPr>
      </w:pPr>
      <w:r w:rsidRPr="009E6244">
        <w:rPr>
          <w:color w:val="000000"/>
        </w:rPr>
        <w:t>Basel Committee on Banking Supervision (2011)</w:t>
      </w:r>
      <w:r w:rsidRPr="009E6244">
        <w:rPr>
          <w:rStyle w:val="apple-converted-space"/>
          <w:color w:val="000000"/>
        </w:rPr>
        <w:t> </w:t>
      </w:r>
      <w:r w:rsidRPr="009E6244">
        <w:rPr>
          <w:rStyle w:val="Emphasis"/>
          <w:i w:val="0"/>
          <w:iCs w:val="0"/>
          <w:color w:val="000000"/>
        </w:rPr>
        <w:t>Principles for the sound management of operational risk</w:t>
      </w:r>
      <w:r w:rsidRPr="009E6244">
        <w:rPr>
          <w:color w:val="000000"/>
        </w:rPr>
        <w:t>. Basel: Bank for International Settlements.</w:t>
      </w:r>
    </w:p>
    <w:p w14:paraId="29FAB57D" w14:textId="65EAF301" w:rsidR="008142EC" w:rsidRPr="00C818CF" w:rsidRDefault="008142EC" w:rsidP="00C818CF">
      <w:pPr>
        <w:pStyle w:val="NormalWeb"/>
        <w:spacing w:line="360" w:lineRule="auto"/>
        <w:jc w:val="both"/>
        <w:rPr>
          <w:color w:val="000000"/>
        </w:rPr>
      </w:pPr>
      <w:r w:rsidRPr="009E6244">
        <w:rPr>
          <w:color w:val="000000"/>
        </w:rPr>
        <w:t>Barroso, J., Caballero, R. and Climent, F. (2017) ‘Resilience of banking systems: A review’,</w:t>
      </w:r>
      <w:r w:rsidRPr="009E6244">
        <w:rPr>
          <w:rStyle w:val="apple-converted-space"/>
          <w:color w:val="000000"/>
        </w:rPr>
        <w:t> </w:t>
      </w:r>
      <w:r w:rsidRPr="009E6244">
        <w:rPr>
          <w:rStyle w:val="Emphasis"/>
          <w:i w:val="0"/>
          <w:iCs w:val="0"/>
          <w:color w:val="000000"/>
        </w:rPr>
        <w:t>Journal of Financial Stability</w:t>
      </w:r>
      <w:r w:rsidRPr="009E6244">
        <w:rPr>
          <w:color w:val="000000"/>
        </w:rPr>
        <w:t>, 28, pp. 1–15.</w:t>
      </w:r>
    </w:p>
    <w:p w14:paraId="72A2C83B" w14:textId="77777777" w:rsidR="00907FD8" w:rsidRDefault="00000000" w:rsidP="00C818CF">
      <w:pPr>
        <w:spacing w:line="360" w:lineRule="auto"/>
        <w:ind w:left="357" w:hanging="357"/>
        <w:jc w:val="both"/>
      </w:pPr>
      <w:r>
        <w:t>Battaglia, F., &amp; Gallo, A. (2015). Risk governance and Asian bank performance: An empirical investigation over the financial crisis. Emerging Markets Review, 25, 53-68.</w:t>
      </w:r>
    </w:p>
    <w:p w14:paraId="69E863C3" w14:textId="77777777" w:rsidR="00907FD8" w:rsidRDefault="00000000" w:rsidP="00C818CF">
      <w:pPr>
        <w:spacing w:line="360" w:lineRule="auto"/>
        <w:ind w:left="357" w:hanging="357"/>
        <w:jc w:val="both"/>
      </w:pPr>
      <w:r>
        <w:t>Creswell, J. W., &amp; Creswell, J. D. (2018). Research design: Qualitative, quantitative, and mixed methods approaches (5th ed.). Sage.</w:t>
      </w:r>
    </w:p>
    <w:p w14:paraId="13481213" w14:textId="77777777" w:rsidR="00907FD8" w:rsidRDefault="00000000" w:rsidP="00C818CF">
      <w:pPr>
        <w:spacing w:line="360" w:lineRule="auto"/>
        <w:ind w:left="357" w:hanging="357"/>
        <w:jc w:val="both"/>
      </w:pPr>
      <w:r>
        <w:t>Hair, J. F., Black, W. C., Babin, B. J., &amp; Anderson, R. E. (2010). Multivariate data analysis (7th ed.). Pearson.</w:t>
      </w:r>
    </w:p>
    <w:p w14:paraId="0E9BFA61" w14:textId="03670158" w:rsidR="008142EC" w:rsidRPr="00C818CF" w:rsidRDefault="008142EC" w:rsidP="00C818CF">
      <w:pPr>
        <w:pStyle w:val="NormalWeb"/>
        <w:spacing w:line="360" w:lineRule="auto"/>
        <w:jc w:val="both"/>
        <w:rPr>
          <w:color w:val="000000"/>
        </w:rPr>
      </w:pPr>
      <w:r w:rsidRPr="009E6244">
        <w:rPr>
          <w:color w:val="000000"/>
        </w:rPr>
        <w:t>Haldane, A.G. (2009) ‘Rethinking the financial network’, Speech at Financial Student Association, Amsterdam. Bank of England.</w:t>
      </w:r>
    </w:p>
    <w:p w14:paraId="4EEA1B66" w14:textId="77777777" w:rsidR="00907FD8" w:rsidRDefault="00000000" w:rsidP="00C818CF">
      <w:pPr>
        <w:spacing w:line="360" w:lineRule="auto"/>
        <w:ind w:left="357" w:hanging="357"/>
        <w:jc w:val="both"/>
      </w:pPr>
      <w:r>
        <w:t>Korableva, O., &amp; Kalimullina, O. (2016). An approach to the enterprise risk management system development. Procedia Economics and Finance, 39, 563-568.</w:t>
      </w:r>
    </w:p>
    <w:p w14:paraId="53414DA4" w14:textId="77777777" w:rsidR="00E77DE7" w:rsidRPr="009E6244" w:rsidRDefault="00E77DE7" w:rsidP="00C818CF">
      <w:pPr>
        <w:pStyle w:val="NormalWeb"/>
        <w:spacing w:line="360" w:lineRule="auto"/>
        <w:jc w:val="both"/>
        <w:rPr>
          <w:color w:val="000000"/>
        </w:rPr>
      </w:pPr>
      <w:r w:rsidRPr="009E6244">
        <w:rPr>
          <w:color w:val="000000"/>
        </w:rPr>
        <w:t>McConnell, P. (2012) ‘The governance of strategic risks in systemically important banks’,</w:t>
      </w:r>
      <w:r w:rsidRPr="009E6244">
        <w:rPr>
          <w:rStyle w:val="apple-converted-space"/>
          <w:color w:val="000000"/>
        </w:rPr>
        <w:t> </w:t>
      </w:r>
      <w:r w:rsidRPr="009E6244">
        <w:rPr>
          <w:rStyle w:val="Emphasis"/>
          <w:i w:val="0"/>
          <w:iCs w:val="0"/>
          <w:color w:val="000000"/>
        </w:rPr>
        <w:t>Journal of Risk Management in Financial Institutions</w:t>
      </w:r>
      <w:r w:rsidRPr="009E6244">
        <w:rPr>
          <w:color w:val="000000"/>
        </w:rPr>
        <w:t>, 5(2), pp. 128–142.</w:t>
      </w:r>
    </w:p>
    <w:p w14:paraId="3960D7BD" w14:textId="77777777" w:rsidR="00E77DE7" w:rsidRDefault="00E77DE7" w:rsidP="00C818CF">
      <w:pPr>
        <w:spacing w:line="360" w:lineRule="auto"/>
        <w:ind w:left="357" w:hanging="357"/>
        <w:jc w:val="both"/>
      </w:pPr>
    </w:p>
    <w:p w14:paraId="11F272B6" w14:textId="77777777" w:rsidR="00907FD8" w:rsidRDefault="00000000" w:rsidP="00C818CF">
      <w:pPr>
        <w:spacing w:line="360" w:lineRule="auto"/>
        <w:ind w:left="357" w:hanging="357"/>
        <w:jc w:val="both"/>
      </w:pPr>
      <w:r>
        <w:t>Nahar, S., Jubb, C., &amp; Azim, M. (2016). Risk disclosure, cost of capital and bank performance. International Journal of Accounting &amp; Information Management, 24(4), 476-494.</w:t>
      </w:r>
    </w:p>
    <w:p w14:paraId="1D277115" w14:textId="77777777" w:rsidR="00907FD8" w:rsidRDefault="00000000" w:rsidP="00C818CF">
      <w:pPr>
        <w:spacing w:line="360" w:lineRule="auto"/>
        <w:ind w:left="357" w:hanging="357"/>
        <w:jc w:val="both"/>
      </w:pPr>
      <w:r>
        <w:t>Slagmulder, R., &amp; Devoldere, B. (2018). Transforming under deep uncertainty: A strategic perspective on risk management. Business Horizons, 61(5), 733-743.</w:t>
      </w:r>
    </w:p>
    <w:p w14:paraId="0D29F89E" w14:textId="77777777" w:rsidR="00907FD8" w:rsidRDefault="00000000" w:rsidP="00C818CF">
      <w:pPr>
        <w:spacing w:line="360" w:lineRule="auto"/>
        <w:ind w:left="357" w:hanging="357"/>
        <w:jc w:val="both"/>
      </w:pPr>
      <w:r>
        <w:lastRenderedPageBreak/>
        <w:t>Stein, V., Wiedemann, A., &amp; Bouten, C. (2019). Framing risk governance. Management Research Review, 42(11), 1224-1242.</w:t>
      </w:r>
    </w:p>
    <w:p w14:paraId="5C8C18FC" w14:textId="77777777" w:rsidR="008142EC" w:rsidRDefault="008142EC" w:rsidP="00C818CF">
      <w:pPr>
        <w:pStyle w:val="NormalWeb"/>
        <w:spacing w:line="360" w:lineRule="auto"/>
        <w:jc w:val="both"/>
        <w:rPr>
          <w:color w:val="000000"/>
        </w:rPr>
      </w:pPr>
      <w:r w:rsidRPr="009E6244">
        <w:rPr>
          <w:color w:val="000000"/>
        </w:rPr>
        <w:t>Uddin, S. and Suzuki, Y. (2011) ‘Financial reform, ownership and performance in banking industry: The case of Bangladesh’,</w:t>
      </w:r>
      <w:r w:rsidRPr="009E6244">
        <w:rPr>
          <w:rStyle w:val="apple-converted-space"/>
          <w:color w:val="000000"/>
        </w:rPr>
        <w:t> </w:t>
      </w:r>
      <w:r w:rsidRPr="009E6244">
        <w:rPr>
          <w:rStyle w:val="Emphasis"/>
          <w:i w:val="0"/>
          <w:iCs w:val="0"/>
          <w:color w:val="000000"/>
        </w:rPr>
        <w:t>International Journal of Business and Management</w:t>
      </w:r>
      <w:r w:rsidRPr="009E6244">
        <w:rPr>
          <w:color w:val="000000"/>
        </w:rPr>
        <w:t>, 6(7), pp. 28–39.</w:t>
      </w:r>
    </w:p>
    <w:p w14:paraId="11A664CA" w14:textId="77777777" w:rsidR="00C818CF" w:rsidRDefault="00C818CF" w:rsidP="00C818CF">
      <w:pPr>
        <w:pStyle w:val="NormalWeb"/>
        <w:spacing w:line="360" w:lineRule="auto"/>
        <w:jc w:val="both"/>
        <w:rPr>
          <w:color w:val="000000"/>
        </w:rPr>
      </w:pPr>
    </w:p>
    <w:p w14:paraId="28ED32C9" w14:textId="77777777" w:rsidR="00C818CF" w:rsidRDefault="00C818CF" w:rsidP="00C818CF">
      <w:pPr>
        <w:pStyle w:val="NormalWeb"/>
        <w:spacing w:line="360" w:lineRule="auto"/>
        <w:jc w:val="both"/>
        <w:rPr>
          <w:color w:val="000000"/>
        </w:rPr>
      </w:pPr>
    </w:p>
    <w:p w14:paraId="686FA736" w14:textId="77777777" w:rsidR="00C818CF" w:rsidRDefault="00C818CF" w:rsidP="00C818CF">
      <w:pPr>
        <w:pStyle w:val="NormalWeb"/>
        <w:spacing w:line="360" w:lineRule="auto"/>
        <w:jc w:val="both"/>
        <w:rPr>
          <w:color w:val="000000"/>
        </w:rPr>
      </w:pPr>
    </w:p>
    <w:p w14:paraId="1A2F0439" w14:textId="77777777" w:rsidR="00C818CF" w:rsidRDefault="00C818CF" w:rsidP="00C818CF">
      <w:pPr>
        <w:pStyle w:val="NormalWeb"/>
        <w:spacing w:line="360" w:lineRule="auto"/>
        <w:jc w:val="both"/>
        <w:rPr>
          <w:color w:val="000000"/>
        </w:rPr>
      </w:pPr>
    </w:p>
    <w:p w14:paraId="5B08794B" w14:textId="77777777" w:rsidR="00C818CF" w:rsidRDefault="00C818CF" w:rsidP="00C818CF">
      <w:pPr>
        <w:pStyle w:val="NormalWeb"/>
        <w:spacing w:line="360" w:lineRule="auto"/>
        <w:jc w:val="both"/>
        <w:rPr>
          <w:color w:val="000000"/>
        </w:rPr>
      </w:pPr>
    </w:p>
    <w:p w14:paraId="0CE8039C" w14:textId="77777777" w:rsidR="00C818CF" w:rsidRDefault="00C818CF" w:rsidP="00C818CF">
      <w:pPr>
        <w:pStyle w:val="NormalWeb"/>
        <w:spacing w:line="360" w:lineRule="auto"/>
        <w:jc w:val="both"/>
        <w:rPr>
          <w:color w:val="000000"/>
        </w:rPr>
      </w:pPr>
    </w:p>
    <w:p w14:paraId="7C059CC8" w14:textId="77777777" w:rsidR="00C818CF" w:rsidRDefault="00C818CF" w:rsidP="00C818CF">
      <w:pPr>
        <w:pStyle w:val="NormalWeb"/>
        <w:spacing w:line="360" w:lineRule="auto"/>
        <w:jc w:val="both"/>
        <w:rPr>
          <w:color w:val="000000"/>
        </w:rPr>
      </w:pPr>
    </w:p>
    <w:p w14:paraId="44AE8C57" w14:textId="77777777" w:rsidR="00C818CF" w:rsidRDefault="00C818CF" w:rsidP="00C818CF">
      <w:pPr>
        <w:pStyle w:val="NormalWeb"/>
        <w:spacing w:line="360" w:lineRule="auto"/>
        <w:jc w:val="both"/>
        <w:rPr>
          <w:color w:val="000000"/>
        </w:rPr>
      </w:pPr>
    </w:p>
    <w:p w14:paraId="085798D5" w14:textId="77777777" w:rsidR="00C818CF" w:rsidRDefault="00C818CF" w:rsidP="00C818CF">
      <w:pPr>
        <w:pStyle w:val="NormalWeb"/>
        <w:spacing w:line="360" w:lineRule="auto"/>
        <w:jc w:val="both"/>
        <w:rPr>
          <w:color w:val="000000"/>
        </w:rPr>
      </w:pPr>
    </w:p>
    <w:p w14:paraId="3B2E51B6" w14:textId="77777777" w:rsidR="00C818CF" w:rsidRDefault="00C818CF" w:rsidP="00C818CF">
      <w:pPr>
        <w:pStyle w:val="NormalWeb"/>
        <w:spacing w:line="360" w:lineRule="auto"/>
        <w:jc w:val="both"/>
        <w:rPr>
          <w:color w:val="000000"/>
        </w:rPr>
      </w:pPr>
    </w:p>
    <w:p w14:paraId="06191E37" w14:textId="77777777" w:rsidR="00C818CF" w:rsidRDefault="00C818CF" w:rsidP="00C818CF">
      <w:pPr>
        <w:pStyle w:val="NormalWeb"/>
        <w:spacing w:line="360" w:lineRule="auto"/>
        <w:jc w:val="both"/>
        <w:rPr>
          <w:color w:val="000000"/>
        </w:rPr>
      </w:pPr>
    </w:p>
    <w:p w14:paraId="422B0E86" w14:textId="77777777" w:rsidR="00C818CF" w:rsidRDefault="00C818CF" w:rsidP="00C818CF">
      <w:pPr>
        <w:pStyle w:val="NormalWeb"/>
        <w:spacing w:line="360" w:lineRule="auto"/>
        <w:jc w:val="both"/>
        <w:rPr>
          <w:color w:val="000000"/>
        </w:rPr>
      </w:pPr>
    </w:p>
    <w:p w14:paraId="08CE7126" w14:textId="77777777" w:rsidR="00C818CF" w:rsidRPr="009E6244" w:rsidRDefault="00C818CF" w:rsidP="00C818CF">
      <w:pPr>
        <w:pStyle w:val="NormalWeb"/>
        <w:spacing w:line="360" w:lineRule="auto"/>
        <w:jc w:val="both"/>
        <w:rPr>
          <w:color w:val="000000"/>
        </w:rPr>
      </w:pPr>
    </w:p>
    <w:p w14:paraId="18E32195" w14:textId="77777777" w:rsidR="008142EC" w:rsidRDefault="008142EC">
      <w:pPr>
        <w:ind w:left="357" w:hanging="357"/>
      </w:pPr>
    </w:p>
    <w:p w14:paraId="1E336B8A" w14:textId="77777777" w:rsidR="00907FD8" w:rsidRPr="00C818CF" w:rsidRDefault="00000000" w:rsidP="00C818CF">
      <w:pPr>
        <w:pStyle w:val="Heading1"/>
        <w:spacing w:line="360" w:lineRule="auto"/>
        <w:jc w:val="both"/>
        <w:rPr>
          <w:color w:val="000000" w:themeColor="text1"/>
        </w:rPr>
      </w:pPr>
      <w:r w:rsidRPr="00C818CF">
        <w:rPr>
          <w:color w:val="000000" w:themeColor="text1"/>
        </w:rPr>
        <w:lastRenderedPageBreak/>
        <w:t>Appendix A. Survey items used in the analysis</w:t>
      </w:r>
    </w:p>
    <w:p w14:paraId="35B15211" w14:textId="77777777" w:rsidR="00907FD8" w:rsidRDefault="00000000" w:rsidP="00C818CF">
      <w:pPr>
        <w:pStyle w:val="ListBullet"/>
        <w:spacing w:line="360" w:lineRule="auto"/>
        <w:jc w:val="both"/>
      </w:pPr>
      <w:r>
        <w:t>Q1. Board actively oversees risk management policies</w:t>
      </w:r>
    </w:p>
    <w:p w14:paraId="6EA63435" w14:textId="77777777" w:rsidR="00907FD8" w:rsidRDefault="00000000" w:rsidP="00C818CF">
      <w:pPr>
        <w:pStyle w:val="ListBullet"/>
        <w:spacing w:line="360" w:lineRule="auto"/>
        <w:jc w:val="both"/>
      </w:pPr>
      <w:r>
        <w:t>Q2. Senior management prioritizes risk governance in decision-making</w:t>
      </w:r>
    </w:p>
    <w:p w14:paraId="792DD3E1" w14:textId="77777777" w:rsidR="00907FD8" w:rsidRDefault="00000000" w:rsidP="00C818CF">
      <w:pPr>
        <w:pStyle w:val="ListBullet"/>
        <w:spacing w:line="360" w:lineRule="auto"/>
        <w:jc w:val="both"/>
      </w:pPr>
      <w:r>
        <w:t>Q3. Clear roles and responsibilities for risk management are defined</w:t>
      </w:r>
    </w:p>
    <w:p w14:paraId="6E265DE4" w14:textId="77777777" w:rsidR="00907FD8" w:rsidRDefault="00000000" w:rsidP="00C818CF">
      <w:pPr>
        <w:pStyle w:val="ListBullet"/>
        <w:spacing w:line="360" w:lineRule="auto"/>
        <w:jc w:val="both"/>
      </w:pPr>
      <w:r>
        <w:t>Q4. Bank has a well-structured risk management framework</w:t>
      </w:r>
    </w:p>
    <w:p w14:paraId="50ECD71B" w14:textId="77777777" w:rsidR="00907FD8" w:rsidRDefault="00000000" w:rsidP="00C818CF">
      <w:pPr>
        <w:pStyle w:val="ListBullet"/>
        <w:spacing w:line="360" w:lineRule="auto"/>
        <w:jc w:val="both"/>
      </w:pPr>
      <w:r>
        <w:t>Q5. Risk policies are regularly reviewed and updated</w:t>
      </w:r>
    </w:p>
    <w:p w14:paraId="29051A93" w14:textId="77777777" w:rsidR="00907FD8" w:rsidRDefault="00000000" w:rsidP="00C818CF">
      <w:pPr>
        <w:pStyle w:val="ListBullet"/>
        <w:spacing w:line="360" w:lineRule="auto"/>
        <w:jc w:val="both"/>
      </w:pPr>
      <w:r>
        <w:t>Q6. Risk identification and assessment processes are effective</w:t>
      </w:r>
    </w:p>
    <w:p w14:paraId="43D9453B" w14:textId="77777777" w:rsidR="00907FD8" w:rsidRDefault="00000000" w:rsidP="00C818CF">
      <w:pPr>
        <w:pStyle w:val="ListBullet"/>
        <w:spacing w:line="360" w:lineRule="auto"/>
        <w:jc w:val="both"/>
      </w:pPr>
      <w:r>
        <w:t>Q7. Employees are encouraged to report risks openly</w:t>
      </w:r>
    </w:p>
    <w:p w14:paraId="0141BB62" w14:textId="77777777" w:rsidR="00907FD8" w:rsidRDefault="00000000" w:rsidP="00C818CF">
      <w:pPr>
        <w:pStyle w:val="ListBullet"/>
        <w:spacing w:line="360" w:lineRule="auto"/>
        <w:jc w:val="both"/>
      </w:pPr>
      <w:r>
        <w:t>Q8. Risk awareness is embedded in daily operations</w:t>
      </w:r>
    </w:p>
    <w:p w14:paraId="51BE5500" w14:textId="77777777" w:rsidR="00907FD8" w:rsidRDefault="00000000" w:rsidP="00C818CF">
      <w:pPr>
        <w:pStyle w:val="ListBullet"/>
        <w:spacing w:line="360" w:lineRule="auto"/>
        <w:jc w:val="both"/>
      </w:pPr>
      <w:r>
        <w:t>Q9. Training programs improve employees' risk management skills</w:t>
      </w:r>
    </w:p>
    <w:p w14:paraId="0DCFB5E6" w14:textId="77777777" w:rsidR="00907FD8" w:rsidRDefault="00000000" w:rsidP="00C818CF">
      <w:pPr>
        <w:pStyle w:val="ListBullet"/>
        <w:spacing w:line="360" w:lineRule="auto"/>
        <w:jc w:val="both"/>
      </w:pPr>
      <w:r>
        <w:t>Q10. Strong internal control systems are in place</w:t>
      </w:r>
    </w:p>
    <w:p w14:paraId="7481EFC6" w14:textId="77777777" w:rsidR="00907FD8" w:rsidRDefault="00000000" w:rsidP="00C818CF">
      <w:pPr>
        <w:pStyle w:val="ListBullet"/>
        <w:spacing w:line="360" w:lineRule="auto"/>
        <w:jc w:val="both"/>
      </w:pPr>
      <w:r>
        <w:t>Q11. Compliance with regulatory requirements is strictly maintained</w:t>
      </w:r>
    </w:p>
    <w:p w14:paraId="37D87A1D" w14:textId="77777777" w:rsidR="00907FD8" w:rsidRDefault="00000000" w:rsidP="00C818CF">
      <w:pPr>
        <w:pStyle w:val="ListBullet"/>
        <w:spacing w:line="360" w:lineRule="auto"/>
        <w:jc w:val="both"/>
      </w:pPr>
      <w:r>
        <w:t>Q12. Risk monitoring systems effectively detect potential threats</w:t>
      </w:r>
    </w:p>
    <w:p w14:paraId="06D175B1" w14:textId="77777777" w:rsidR="00907FD8" w:rsidRDefault="00000000" w:rsidP="00C818CF">
      <w:pPr>
        <w:pStyle w:val="ListBullet"/>
        <w:spacing w:line="360" w:lineRule="auto"/>
        <w:jc w:val="both"/>
      </w:pPr>
      <w:r>
        <w:t>Q13. Bank maintains stable financial performance during crises</w:t>
      </w:r>
    </w:p>
    <w:p w14:paraId="2C9CC1E5" w14:textId="77777777" w:rsidR="00907FD8" w:rsidRDefault="00000000" w:rsidP="00C818CF">
      <w:pPr>
        <w:pStyle w:val="ListBullet"/>
        <w:spacing w:line="360" w:lineRule="auto"/>
        <w:jc w:val="both"/>
      </w:pPr>
      <w:r>
        <w:t>Q14. Bank has sufficient capital to absorb unexpected losses</w:t>
      </w:r>
    </w:p>
    <w:p w14:paraId="14C749AF" w14:textId="77777777" w:rsidR="00907FD8" w:rsidRDefault="00000000" w:rsidP="00C818CF">
      <w:pPr>
        <w:pStyle w:val="ListBullet"/>
        <w:spacing w:line="360" w:lineRule="auto"/>
        <w:jc w:val="both"/>
      </w:pPr>
      <w:r>
        <w:t>Q15. Bank can withstand economic or financial shocks</w:t>
      </w:r>
    </w:p>
    <w:p w14:paraId="3C6269BC" w14:textId="77777777" w:rsidR="00907FD8" w:rsidRDefault="00000000" w:rsidP="00C818CF">
      <w:pPr>
        <w:pStyle w:val="ListBullet"/>
        <w:spacing w:line="360" w:lineRule="auto"/>
        <w:jc w:val="both"/>
      </w:pPr>
      <w:r>
        <w:t>Q16. Risk mitigation strategies reduce impact of disruptions</w:t>
      </w:r>
    </w:p>
    <w:p w14:paraId="267F1CC0" w14:textId="77777777" w:rsidR="00907FD8" w:rsidRDefault="00000000" w:rsidP="00C818CF">
      <w:pPr>
        <w:pStyle w:val="ListBullet"/>
        <w:spacing w:line="360" w:lineRule="auto"/>
        <w:jc w:val="both"/>
      </w:pPr>
      <w:r>
        <w:t>Q17. Bank recovers quickly after financial stress</w:t>
      </w:r>
    </w:p>
    <w:p w14:paraId="757EC837" w14:textId="77777777" w:rsidR="00907FD8" w:rsidRDefault="00000000" w:rsidP="00C818CF">
      <w:pPr>
        <w:pStyle w:val="ListBullet"/>
        <w:spacing w:line="360" w:lineRule="auto"/>
        <w:jc w:val="both"/>
      </w:pPr>
      <w:r>
        <w:t>Q18. Bank adapts effectively to changing market conditions</w:t>
      </w:r>
    </w:p>
    <w:p w14:paraId="1BD3D759" w14:textId="77777777" w:rsidR="00907FD8" w:rsidRDefault="00000000" w:rsidP="00C818CF">
      <w:pPr>
        <w:pStyle w:val="ListBullet"/>
        <w:spacing w:line="360" w:lineRule="auto"/>
        <w:jc w:val="both"/>
      </w:pPr>
      <w:r>
        <w:t>Q19. Strategic decisions support long-term sustainability</w:t>
      </w:r>
    </w:p>
    <w:p w14:paraId="28F9446E" w14:textId="77777777" w:rsidR="00907FD8" w:rsidRPr="00C818CF" w:rsidRDefault="00000000" w:rsidP="00C818CF">
      <w:pPr>
        <w:pStyle w:val="Heading1"/>
        <w:spacing w:line="360" w:lineRule="auto"/>
        <w:jc w:val="both"/>
        <w:rPr>
          <w:color w:val="000000" w:themeColor="text1"/>
        </w:rPr>
      </w:pPr>
      <w:r w:rsidRPr="00C818CF">
        <w:rPr>
          <w:color w:val="000000" w:themeColor="text1"/>
        </w:rPr>
        <w:t>Appendix B. Key SPSS outputs incorporated into the report</w:t>
      </w:r>
    </w:p>
    <w:p w14:paraId="7DC2F44B" w14:textId="77777777" w:rsidR="00907FD8" w:rsidRDefault="00000000" w:rsidP="00C818CF">
      <w:pPr>
        <w:pStyle w:val="ListBullet"/>
        <w:spacing w:line="360" w:lineRule="auto"/>
        <w:ind w:left="357" w:hanging="357"/>
        <w:jc w:val="both"/>
      </w:pPr>
      <w:r>
        <w:t>Reliability for Strategic Risk Governance: Cronbach's alpha = .936, 12 items, N = 120.</w:t>
      </w:r>
    </w:p>
    <w:p w14:paraId="3B22D443" w14:textId="77777777" w:rsidR="00907FD8" w:rsidRDefault="00000000" w:rsidP="00C818CF">
      <w:pPr>
        <w:pStyle w:val="ListBullet"/>
        <w:spacing w:line="360" w:lineRule="auto"/>
        <w:ind w:left="357" w:hanging="357"/>
        <w:jc w:val="both"/>
      </w:pPr>
      <w:r>
        <w:t>Reliability for Banking Resilience: Cronbach's alpha = .892, 7 items, N = 120.</w:t>
      </w:r>
    </w:p>
    <w:p w14:paraId="4235E149" w14:textId="77777777" w:rsidR="00907FD8" w:rsidRDefault="00000000" w:rsidP="00C818CF">
      <w:pPr>
        <w:pStyle w:val="ListBullet"/>
        <w:spacing w:line="360" w:lineRule="auto"/>
        <w:ind w:left="357" w:hanging="357"/>
        <w:jc w:val="both"/>
      </w:pPr>
      <w:r>
        <w:t>Descriptive statistics: SRG mean = 3.4694, SD = .56374; BR mean = 3.5131, SD = .57308.</w:t>
      </w:r>
    </w:p>
    <w:p w14:paraId="28108A48" w14:textId="77777777" w:rsidR="00907FD8" w:rsidRDefault="00000000" w:rsidP="00C818CF">
      <w:pPr>
        <w:pStyle w:val="ListBullet"/>
        <w:spacing w:line="360" w:lineRule="auto"/>
        <w:ind w:left="357" w:hanging="357"/>
        <w:jc w:val="both"/>
      </w:pPr>
      <w:r>
        <w:t>Correlation: r = .575, p &lt; .001, N = 120.</w:t>
      </w:r>
    </w:p>
    <w:p w14:paraId="1D95C10D" w14:textId="77777777" w:rsidR="00907FD8" w:rsidRDefault="00000000" w:rsidP="00C818CF">
      <w:pPr>
        <w:pStyle w:val="ListBullet"/>
        <w:spacing w:line="360" w:lineRule="auto"/>
        <w:ind w:left="357" w:hanging="357"/>
        <w:jc w:val="both"/>
      </w:pPr>
      <w:r>
        <w:t>Regression model summary: R = .575, R square = .331, Adjusted R square = .325, Std. error = .47083.</w:t>
      </w:r>
    </w:p>
    <w:p w14:paraId="151BE1D9" w14:textId="77777777" w:rsidR="00907FD8" w:rsidRDefault="00000000" w:rsidP="00C818CF">
      <w:pPr>
        <w:pStyle w:val="ListBullet"/>
        <w:spacing w:after="120" w:line="240" w:lineRule="auto"/>
        <w:ind w:left="357" w:hanging="357"/>
        <w:jc w:val="both"/>
      </w:pPr>
      <w:r>
        <w:t>ANOVA: F = 58.298, p &lt; .001.</w:t>
      </w:r>
    </w:p>
    <w:p w14:paraId="463269A5" w14:textId="7F49A227" w:rsidR="00C818CF" w:rsidRDefault="00000000" w:rsidP="00C818CF">
      <w:pPr>
        <w:pStyle w:val="ListBullet"/>
        <w:spacing w:after="120" w:line="240" w:lineRule="auto"/>
        <w:ind w:left="357" w:hanging="357"/>
        <w:jc w:val="both"/>
      </w:pPr>
      <w:r>
        <w:t>Regression coefficient for SRG: B = .585, beta = .575, t = 7.635, p &lt; .001.</w:t>
      </w:r>
    </w:p>
    <w:sectPr w:rsidR="00C818CF"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67CA4C44"/>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5E77250"/>
    <w:multiLevelType w:val="hybridMultilevel"/>
    <w:tmpl w:val="AA2856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1097967">
    <w:abstractNumId w:val="8"/>
  </w:num>
  <w:num w:numId="2" w16cid:durableId="1813210691">
    <w:abstractNumId w:val="6"/>
  </w:num>
  <w:num w:numId="3" w16cid:durableId="236864863">
    <w:abstractNumId w:val="5"/>
  </w:num>
  <w:num w:numId="4" w16cid:durableId="238364581">
    <w:abstractNumId w:val="4"/>
  </w:num>
  <w:num w:numId="5" w16cid:durableId="474417890">
    <w:abstractNumId w:val="7"/>
  </w:num>
  <w:num w:numId="6" w16cid:durableId="657727431">
    <w:abstractNumId w:val="3"/>
  </w:num>
  <w:num w:numId="7" w16cid:durableId="854463505">
    <w:abstractNumId w:val="2"/>
  </w:num>
  <w:num w:numId="8" w16cid:durableId="612060899">
    <w:abstractNumId w:val="1"/>
  </w:num>
  <w:num w:numId="9" w16cid:durableId="497041565">
    <w:abstractNumId w:val="0"/>
  </w:num>
  <w:num w:numId="10" w16cid:durableId="21346683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8"/>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2E4E"/>
    <w:rsid w:val="00034616"/>
    <w:rsid w:val="0006063C"/>
    <w:rsid w:val="000652F7"/>
    <w:rsid w:val="0015074B"/>
    <w:rsid w:val="00243722"/>
    <w:rsid w:val="0029639D"/>
    <w:rsid w:val="00322115"/>
    <w:rsid w:val="00326F90"/>
    <w:rsid w:val="004007DC"/>
    <w:rsid w:val="005030BC"/>
    <w:rsid w:val="008142EC"/>
    <w:rsid w:val="00907FD8"/>
    <w:rsid w:val="00AA1D8D"/>
    <w:rsid w:val="00B47730"/>
    <w:rsid w:val="00C818CF"/>
    <w:rsid w:val="00CB0664"/>
    <w:rsid w:val="00E77DE7"/>
    <w:rsid w:val="00FB0FC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bn-I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871DB0"/>
  <w14:defaultImageDpi w14:val="300"/>
  <w15:docId w15:val="{6CEE3D73-F92B-D24F-9138-A27AF78112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322115"/>
    <w:pPr>
      <w:spacing w:before="100" w:beforeAutospacing="1" w:after="100" w:afterAutospacing="1" w:line="240" w:lineRule="auto"/>
    </w:pPr>
    <w:rPr>
      <w:rFonts w:cs="Times New Roman"/>
      <w:szCs w:val="24"/>
      <w:lang w:val="en-GB" w:eastAsia="en-GB" w:bidi="bn-IN"/>
    </w:rPr>
  </w:style>
  <w:style w:type="character" w:customStyle="1" w:styleId="apple-converted-space">
    <w:name w:val="apple-converted-space"/>
    <w:basedOn w:val="DefaultParagraphFont"/>
    <w:rsid w:val="00322115"/>
  </w:style>
  <w:style w:type="character" w:customStyle="1" w:styleId="whitespace-normal">
    <w:name w:val="whitespace-normal"/>
    <w:basedOn w:val="DefaultParagraphFont"/>
    <w:rsid w:val="003221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32</Pages>
  <Words>9062</Words>
  <Characters>51656</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60597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Md Abul Monsur (2432235)</cp:lastModifiedBy>
  <cp:revision>5</cp:revision>
  <dcterms:created xsi:type="dcterms:W3CDTF">2026-04-22T18:43:00Z</dcterms:created>
  <dcterms:modified xsi:type="dcterms:W3CDTF">2026-04-22T20:26:00Z</dcterms:modified>
  <cp:category/>
</cp:coreProperties>
</file>