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B0AE6" w14:textId="31451DA6" w:rsidR="006A5F66" w:rsidRPr="00A30F70" w:rsidRDefault="00000000" w:rsidP="00A30F70">
      <w:pPr>
        <w:spacing w:before="240" w:after="0" w:line="259" w:lineRule="auto"/>
        <w:ind w:left="1440" w:firstLine="0"/>
        <w:jc w:val="left"/>
      </w:pPr>
      <w:r w:rsidRPr="00A30F70">
        <w:rPr>
          <w:b/>
          <w:sz w:val="28"/>
          <w:szCs w:val="28"/>
        </w:rPr>
        <w:t xml:space="preserve">Programme: Master of Business Administration </w:t>
      </w:r>
    </w:p>
    <w:p w14:paraId="69FDF75D" w14:textId="77777777" w:rsidR="006A5F66" w:rsidRPr="00A30F70" w:rsidRDefault="00000000" w:rsidP="00A30F70">
      <w:pPr>
        <w:spacing w:before="240" w:after="0"/>
        <w:ind w:left="1435"/>
        <w:jc w:val="left"/>
        <w:rPr>
          <w:sz w:val="28"/>
          <w:szCs w:val="28"/>
        </w:rPr>
      </w:pPr>
      <w:r w:rsidRPr="00A30F70">
        <w:rPr>
          <w:b/>
          <w:sz w:val="28"/>
          <w:szCs w:val="28"/>
        </w:rPr>
        <w:t xml:space="preserve">Module: Financial Management </w:t>
      </w:r>
    </w:p>
    <w:p w14:paraId="4F079482" w14:textId="77777777" w:rsidR="006A5F66" w:rsidRPr="00A30F70" w:rsidRDefault="00000000" w:rsidP="00A30F70">
      <w:pPr>
        <w:spacing w:before="240" w:after="0"/>
        <w:ind w:left="1435"/>
        <w:jc w:val="left"/>
        <w:rPr>
          <w:sz w:val="28"/>
          <w:szCs w:val="28"/>
        </w:rPr>
      </w:pPr>
      <w:r w:rsidRPr="00A30F70">
        <w:rPr>
          <w:b/>
          <w:sz w:val="28"/>
          <w:szCs w:val="28"/>
        </w:rPr>
        <w:t xml:space="preserve">Student name: Jeromme Lagmay </w:t>
      </w:r>
    </w:p>
    <w:p w14:paraId="70D92461" w14:textId="77777777" w:rsidR="006A5F66" w:rsidRDefault="00000000" w:rsidP="00A30F70">
      <w:pPr>
        <w:spacing w:before="240" w:after="0"/>
        <w:ind w:left="1435"/>
        <w:jc w:val="left"/>
      </w:pPr>
      <w:r w:rsidRPr="00A30F70">
        <w:rPr>
          <w:b/>
          <w:sz w:val="28"/>
          <w:szCs w:val="28"/>
        </w:rPr>
        <w:t>Student Id: 2229632</w:t>
      </w:r>
      <w:r>
        <w:rPr>
          <w:b/>
          <w:sz w:val="36"/>
        </w:rPr>
        <w:t xml:space="preserve"> </w:t>
      </w:r>
    </w:p>
    <w:p w14:paraId="55557F52" w14:textId="77777777" w:rsidR="006A5F66" w:rsidRPr="00A30F70" w:rsidRDefault="00000000" w:rsidP="00A30F70">
      <w:pPr>
        <w:pStyle w:val="Heading1"/>
        <w:spacing w:before="240" w:after="0"/>
        <w:ind w:left="1435"/>
        <w:rPr>
          <w:sz w:val="28"/>
          <w:szCs w:val="28"/>
        </w:rPr>
      </w:pPr>
      <w:r w:rsidRPr="00A30F70">
        <w:rPr>
          <w:sz w:val="28"/>
          <w:szCs w:val="28"/>
        </w:rPr>
        <w:t>Module code: LCMB7002</w:t>
      </w:r>
      <w:r w:rsidRPr="00A30F70">
        <w:rPr>
          <w:b w:val="0"/>
          <w:sz w:val="28"/>
          <w:szCs w:val="28"/>
        </w:rPr>
        <w:t xml:space="preserve"> </w:t>
      </w:r>
    </w:p>
    <w:p w14:paraId="4C023DC9" w14:textId="77777777" w:rsidR="006A5F66" w:rsidRDefault="00000000">
      <w:pPr>
        <w:spacing w:after="0" w:line="259" w:lineRule="auto"/>
        <w:ind w:left="14" w:firstLine="0"/>
        <w:jc w:val="left"/>
      </w:pPr>
      <w:r>
        <w:t xml:space="preserve"> </w:t>
      </w:r>
    </w:p>
    <w:p w14:paraId="0D092F6D" w14:textId="77777777" w:rsidR="006A5F66" w:rsidRDefault="006A5F66">
      <w:pPr>
        <w:sectPr w:rsidR="006A5F66">
          <w:footerReference w:type="even" r:id="rId7"/>
          <w:footerReference w:type="default" r:id="rId8"/>
          <w:footerReference w:type="first" r:id="rId9"/>
          <w:pgSz w:w="11911" w:h="16846"/>
          <w:pgMar w:top="1440" w:right="1440" w:bottom="1440" w:left="1426" w:header="720" w:footer="1011" w:gutter="0"/>
          <w:cols w:space="720"/>
        </w:sectPr>
      </w:pPr>
    </w:p>
    <w:p w14:paraId="346D0F30" w14:textId="77777777" w:rsidR="006A5F66" w:rsidRDefault="00000000">
      <w:pPr>
        <w:spacing w:after="58" w:line="259" w:lineRule="auto"/>
        <w:ind w:left="-5"/>
        <w:jc w:val="left"/>
      </w:pPr>
      <w:r>
        <w:rPr>
          <w:sz w:val="64"/>
        </w:rPr>
        <w:lastRenderedPageBreak/>
        <w:t xml:space="preserve">InterContinental Hotels Group (IHG) </w:t>
      </w:r>
      <w:r>
        <w:t xml:space="preserve"> </w:t>
      </w:r>
    </w:p>
    <w:p w14:paraId="56EC6CD1" w14:textId="77777777" w:rsidR="006A5F66" w:rsidRDefault="00000000">
      <w:pPr>
        <w:spacing w:after="43" w:line="259" w:lineRule="auto"/>
        <w:ind w:left="-5"/>
        <w:jc w:val="left"/>
      </w:pPr>
      <w:r>
        <w:rPr>
          <w:sz w:val="64"/>
        </w:rPr>
        <w:t xml:space="preserve">Financial Analysis &amp; Investment </w:t>
      </w:r>
      <w:r>
        <w:t xml:space="preserve"> </w:t>
      </w:r>
    </w:p>
    <w:p w14:paraId="47177999" w14:textId="77777777" w:rsidR="006A5F66" w:rsidRDefault="00000000">
      <w:pPr>
        <w:spacing w:after="0" w:line="259" w:lineRule="auto"/>
        <w:ind w:left="-5"/>
        <w:jc w:val="left"/>
      </w:pPr>
      <w:r>
        <w:rPr>
          <w:sz w:val="64"/>
        </w:rPr>
        <w:t>Appraisal Report</w:t>
      </w:r>
      <w:r>
        <w:t xml:space="preserve"> </w:t>
      </w:r>
    </w:p>
    <w:p w14:paraId="6AA0BD18" w14:textId="77777777" w:rsidR="006A5F66" w:rsidRDefault="00000000">
      <w:pPr>
        <w:spacing w:after="982" w:line="259" w:lineRule="auto"/>
        <w:ind w:left="0" w:firstLine="0"/>
        <w:jc w:val="right"/>
      </w:pPr>
      <w:r>
        <w:rPr>
          <w:noProof/>
          <w:sz w:val="22"/>
        </w:rPr>
        <mc:AlternateContent>
          <mc:Choice Requires="wpg">
            <w:drawing>
              <wp:inline distT="0" distB="0" distL="0" distR="0" wp14:anchorId="0CE62EB4" wp14:editId="759A73DF">
                <wp:extent cx="6847840" cy="9525"/>
                <wp:effectExtent l="0" t="0" r="0" b="0"/>
                <wp:docPr id="34172" name="Group 34172"/>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124" name="Shape 124"/>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4172" style="width:539.2pt;height:0.75pt;mso-position-horizontal-relative:char;mso-position-vertical-relative:line" coordsize="68478,95">
                <v:shape id="Shape 124"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33832BBE" w14:textId="77777777" w:rsidR="006A5F66" w:rsidRDefault="00000000">
      <w:pPr>
        <w:pStyle w:val="Heading1"/>
        <w:ind w:left="9"/>
      </w:pPr>
      <w:r>
        <w:t xml:space="preserve">Table of Contents </w:t>
      </w:r>
    </w:p>
    <w:p w14:paraId="4A31F2B0" w14:textId="77777777" w:rsidR="006A5F66" w:rsidRDefault="00000000">
      <w:pPr>
        <w:numPr>
          <w:ilvl w:val="0"/>
          <w:numId w:val="1"/>
        </w:numPr>
        <w:ind w:right="40" w:hanging="360"/>
      </w:pPr>
      <w:r>
        <w:t xml:space="preserve">Introduction </w:t>
      </w:r>
    </w:p>
    <w:p w14:paraId="79381B88" w14:textId="77777777" w:rsidR="006A5F66" w:rsidRDefault="00000000">
      <w:pPr>
        <w:numPr>
          <w:ilvl w:val="0"/>
          <w:numId w:val="1"/>
        </w:numPr>
        <w:ind w:right="40" w:hanging="360"/>
      </w:pPr>
      <w:r>
        <w:t xml:space="preserve">Main Body </w:t>
      </w:r>
    </w:p>
    <w:p w14:paraId="78852930" w14:textId="77777777" w:rsidR="006A5F66" w:rsidRDefault="00000000">
      <w:pPr>
        <w:numPr>
          <w:ilvl w:val="0"/>
          <w:numId w:val="1"/>
        </w:numPr>
        <w:spacing w:after="30"/>
        <w:ind w:right="40" w:hanging="360"/>
      </w:pPr>
      <w:r>
        <w:t xml:space="preserve">1. Financial Health Check </w:t>
      </w:r>
    </w:p>
    <w:p w14:paraId="278A0F26" w14:textId="77777777" w:rsidR="006A5F66" w:rsidRDefault="00000000">
      <w:pPr>
        <w:numPr>
          <w:ilvl w:val="1"/>
          <w:numId w:val="2"/>
        </w:numPr>
        <w:spacing w:after="30"/>
        <w:ind w:right="40" w:hanging="977"/>
      </w:pPr>
      <w:r>
        <w:rPr>
          <w:noProof/>
          <w:sz w:val="22"/>
        </w:rPr>
        <mc:AlternateContent>
          <mc:Choice Requires="wpg">
            <w:drawing>
              <wp:anchor distT="0" distB="0" distL="114300" distR="114300" simplePos="0" relativeHeight="251658240" behindDoc="0" locked="0" layoutInCell="1" allowOverlap="1" wp14:anchorId="415C32F7" wp14:editId="091BF870">
                <wp:simplePos x="0" y="0"/>
                <wp:positionH relativeFrom="column">
                  <wp:posOffset>360045</wp:posOffset>
                </wp:positionH>
                <wp:positionV relativeFrom="paragraph">
                  <wp:posOffset>10228</wp:posOffset>
                </wp:positionV>
                <wp:extent cx="285750" cy="1765935"/>
                <wp:effectExtent l="0" t="0" r="0" b="0"/>
                <wp:wrapSquare wrapText="bothSides"/>
                <wp:docPr id="34174" name="Group 34174"/>
                <wp:cNvGraphicFramePr/>
                <a:graphic xmlns:a="http://schemas.openxmlformats.org/drawingml/2006/main">
                  <a:graphicData uri="http://schemas.microsoft.com/office/word/2010/wordprocessingGroup">
                    <wpg:wgp>
                      <wpg:cNvGrpSpPr/>
                      <wpg:grpSpPr>
                        <a:xfrm>
                          <a:off x="0" y="0"/>
                          <a:ext cx="285750" cy="1765935"/>
                          <a:chOff x="0" y="0"/>
                          <a:chExt cx="285750" cy="1765935"/>
                        </a:xfrm>
                      </wpg:grpSpPr>
                      <wps:wsp>
                        <wps:cNvPr id="126" name="Shape 126"/>
                        <wps:cNvSpPr/>
                        <wps:spPr>
                          <a:xfrm>
                            <a:off x="0" y="0"/>
                            <a:ext cx="60960" cy="60960"/>
                          </a:xfrm>
                          <a:custGeom>
                            <a:avLst/>
                            <a:gdLst/>
                            <a:ahLst/>
                            <a:cxnLst/>
                            <a:rect l="0" t="0" r="0" b="0"/>
                            <a:pathLst>
                              <a:path w="60960" h="60960">
                                <a:moveTo>
                                  <a:pt x="60960" y="30480"/>
                                </a:moveTo>
                                <a:cubicBezTo>
                                  <a:pt x="60960" y="34544"/>
                                  <a:pt x="60185" y="38354"/>
                                  <a:pt x="58636" y="42164"/>
                                </a:cubicBezTo>
                                <a:cubicBezTo>
                                  <a:pt x="57099" y="45848"/>
                                  <a:pt x="54889" y="49149"/>
                                  <a:pt x="52032" y="52070"/>
                                </a:cubicBezTo>
                                <a:cubicBezTo>
                                  <a:pt x="49174" y="54864"/>
                                  <a:pt x="45885" y="57023"/>
                                  <a:pt x="42151" y="58674"/>
                                </a:cubicBezTo>
                                <a:cubicBezTo>
                                  <a:pt x="38405" y="60198"/>
                                  <a:pt x="34519" y="60960"/>
                                  <a:pt x="30480" y="60960"/>
                                </a:cubicBezTo>
                                <a:cubicBezTo>
                                  <a:pt x="26441" y="60960"/>
                                  <a:pt x="22555" y="60198"/>
                                  <a:pt x="18821" y="58674"/>
                                </a:cubicBezTo>
                                <a:cubicBezTo>
                                  <a:pt x="15088" y="57023"/>
                                  <a:pt x="11786" y="54864"/>
                                  <a:pt x="8928" y="52070"/>
                                </a:cubicBezTo>
                                <a:cubicBezTo>
                                  <a:pt x="6071" y="49149"/>
                                  <a:pt x="3874" y="45848"/>
                                  <a:pt x="2324" y="42164"/>
                                </a:cubicBezTo>
                                <a:cubicBezTo>
                                  <a:pt x="775" y="38354"/>
                                  <a:pt x="0" y="34544"/>
                                  <a:pt x="0" y="30480"/>
                                </a:cubicBezTo>
                                <a:cubicBezTo>
                                  <a:pt x="0" y="26416"/>
                                  <a:pt x="775" y="22479"/>
                                  <a:pt x="2324" y="18797"/>
                                </a:cubicBezTo>
                                <a:cubicBezTo>
                                  <a:pt x="3874" y="15113"/>
                                  <a:pt x="6071" y="11811"/>
                                  <a:pt x="8928" y="8890"/>
                                </a:cubicBezTo>
                                <a:cubicBezTo>
                                  <a:pt x="11786" y="6097"/>
                                  <a:pt x="15088" y="3810"/>
                                  <a:pt x="18821" y="2286"/>
                                </a:cubicBezTo>
                                <a:cubicBezTo>
                                  <a:pt x="22555" y="762"/>
                                  <a:pt x="26441" y="0"/>
                                  <a:pt x="30480" y="0"/>
                                </a:cubicBezTo>
                                <a:cubicBezTo>
                                  <a:pt x="34519" y="0"/>
                                  <a:pt x="38405" y="762"/>
                                  <a:pt x="42151" y="2286"/>
                                </a:cubicBezTo>
                                <a:cubicBezTo>
                                  <a:pt x="45885" y="3810"/>
                                  <a:pt x="49174" y="6097"/>
                                  <a:pt x="52032" y="8890"/>
                                </a:cubicBezTo>
                                <a:cubicBezTo>
                                  <a:pt x="54889" y="11811"/>
                                  <a:pt x="57099" y="15113"/>
                                  <a:pt x="58636" y="18797"/>
                                </a:cubicBezTo>
                                <a:cubicBezTo>
                                  <a:pt x="60185" y="22479"/>
                                  <a:pt x="60960" y="26416"/>
                                  <a:pt x="60960" y="30480"/>
                                </a:cubicBezTo>
                                <a:close/>
                              </a:path>
                            </a:pathLst>
                          </a:custGeom>
                          <a:ln w="5334" cap="flat">
                            <a:miter lim="127000"/>
                          </a:ln>
                        </wps:spPr>
                        <wps:style>
                          <a:lnRef idx="1">
                            <a:srgbClr val="000000"/>
                          </a:lnRef>
                          <a:fillRef idx="0">
                            <a:srgbClr val="000000">
                              <a:alpha val="0"/>
                            </a:srgbClr>
                          </a:fillRef>
                          <a:effectRef idx="0">
                            <a:scrgbClr r="0" g="0" b="0"/>
                          </a:effectRef>
                          <a:fontRef idx="none"/>
                        </wps:style>
                        <wps:bodyPr/>
                      </wps:wsp>
                      <wps:wsp>
                        <wps:cNvPr id="127" name="Shape 127"/>
                        <wps:cNvSpPr/>
                        <wps:spPr>
                          <a:xfrm>
                            <a:off x="0" y="209550"/>
                            <a:ext cx="60960" cy="60960"/>
                          </a:xfrm>
                          <a:custGeom>
                            <a:avLst/>
                            <a:gdLst/>
                            <a:ahLst/>
                            <a:cxnLst/>
                            <a:rect l="0" t="0" r="0" b="0"/>
                            <a:pathLst>
                              <a:path w="60960" h="60960">
                                <a:moveTo>
                                  <a:pt x="60960" y="30480"/>
                                </a:moveTo>
                                <a:cubicBezTo>
                                  <a:pt x="60960" y="34544"/>
                                  <a:pt x="60185" y="38354"/>
                                  <a:pt x="58636" y="42164"/>
                                </a:cubicBezTo>
                                <a:cubicBezTo>
                                  <a:pt x="57099" y="45848"/>
                                  <a:pt x="54889" y="49149"/>
                                  <a:pt x="52032" y="52070"/>
                                </a:cubicBezTo>
                                <a:cubicBezTo>
                                  <a:pt x="49174" y="54864"/>
                                  <a:pt x="45885" y="57023"/>
                                  <a:pt x="42151" y="58674"/>
                                </a:cubicBezTo>
                                <a:cubicBezTo>
                                  <a:pt x="38405" y="60198"/>
                                  <a:pt x="34519" y="60960"/>
                                  <a:pt x="30480" y="60960"/>
                                </a:cubicBezTo>
                                <a:cubicBezTo>
                                  <a:pt x="26441" y="60960"/>
                                  <a:pt x="22555" y="60198"/>
                                  <a:pt x="18821" y="58674"/>
                                </a:cubicBezTo>
                                <a:cubicBezTo>
                                  <a:pt x="15088" y="57023"/>
                                  <a:pt x="11786" y="54864"/>
                                  <a:pt x="8928" y="52070"/>
                                </a:cubicBezTo>
                                <a:cubicBezTo>
                                  <a:pt x="6071" y="49149"/>
                                  <a:pt x="3874" y="45848"/>
                                  <a:pt x="2324" y="42164"/>
                                </a:cubicBezTo>
                                <a:cubicBezTo>
                                  <a:pt x="775" y="38354"/>
                                  <a:pt x="0" y="34544"/>
                                  <a:pt x="0" y="30480"/>
                                </a:cubicBezTo>
                                <a:cubicBezTo>
                                  <a:pt x="0" y="26416"/>
                                  <a:pt x="775" y="22479"/>
                                  <a:pt x="2324" y="18797"/>
                                </a:cubicBezTo>
                                <a:cubicBezTo>
                                  <a:pt x="3874" y="15113"/>
                                  <a:pt x="6071" y="11811"/>
                                  <a:pt x="8928" y="8890"/>
                                </a:cubicBezTo>
                                <a:cubicBezTo>
                                  <a:pt x="11786" y="6097"/>
                                  <a:pt x="15088" y="3810"/>
                                  <a:pt x="18821" y="2286"/>
                                </a:cubicBezTo>
                                <a:cubicBezTo>
                                  <a:pt x="22555" y="762"/>
                                  <a:pt x="26441" y="0"/>
                                  <a:pt x="30480" y="0"/>
                                </a:cubicBezTo>
                                <a:cubicBezTo>
                                  <a:pt x="34519" y="0"/>
                                  <a:pt x="38405" y="762"/>
                                  <a:pt x="42151" y="2286"/>
                                </a:cubicBezTo>
                                <a:cubicBezTo>
                                  <a:pt x="45885" y="3810"/>
                                  <a:pt x="49174" y="6097"/>
                                  <a:pt x="52032" y="8890"/>
                                </a:cubicBezTo>
                                <a:cubicBezTo>
                                  <a:pt x="54889" y="11811"/>
                                  <a:pt x="57099" y="15113"/>
                                  <a:pt x="58636" y="18797"/>
                                </a:cubicBezTo>
                                <a:cubicBezTo>
                                  <a:pt x="60185" y="22479"/>
                                  <a:pt x="60960" y="26416"/>
                                  <a:pt x="60960" y="30480"/>
                                </a:cubicBezTo>
                                <a:close/>
                              </a:path>
                            </a:pathLst>
                          </a:custGeom>
                          <a:ln w="5334" cap="flat">
                            <a:miter lim="127000"/>
                          </a:ln>
                        </wps:spPr>
                        <wps:style>
                          <a:lnRef idx="1">
                            <a:srgbClr val="000000"/>
                          </a:lnRef>
                          <a:fillRef idx="0">
                            <a:srgbClr val="000000">
                              <a:alpha val="0"/>
                            </a:srgbClr>
                          </a:fillRef>
                          <a:effectRef idx="0">
                            <a:scrgbClr r="0" g="0" b="0"/>
                          </a:effectRef>
                          <a:fontRef idx="none"/>
                        </wps:style>
                        <wps:bodyPr/>
                      </wps:wsp>
                      <wps:wsp>
                        <wps:cNvPr id="45280" name="Shape 45280"/>
                        <wps:cNvSpPr/>
                        <wps:spPr>
                          <a:xfrm>
                            <a:off x="232410" y="432435"/>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281" name="Shape 45281"/>
                        <wps:cNvSpPr/>
                        <wps:spPr>
                          <a:xfrm>
                            <a:off x="232410" y="641985"/>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282" name="Shape 45282"/>
                        <wps:cNvSpPr/>
                        <wps:spPr>
                          <a:xfrm>
                            <a:off x="232410" y="861060"/>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283" name="Shape 45283"/>
                        <wps:cNvSpPr/>
                        <wps:spPr>
                          <a:xfrm>
                            <a:off x="232410" y="1070610"/>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284" name="Shape 45284"/>
                        <wps:cNvSpPr/>
                        <wps:spPr>
                          <a:xfrm>
                            <a:off x="232410" y="1280160"/>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5285" name="Shape 45285"/>
                        <wps:cNvSpPr/>
                        <wps:spPr>
                          <a:xfrm>
                            <a:off x="232410" y="1499235"/>
                            <a:ext cx="53340" cy="53340"/>
                          </a:xfrm>
                          <a:custGeom>
                            <a:avLst/>
                            <a:gdLst/>
                            <a:ahLst/>
                            <a:cxnLst/>
                            <a:rect l="0" t="0" r="0" b="0"/>
                            <a:pathLst>
                              <a:path w="53340" h="53340">
                                <a:moveTo>
                                  <a:pt x="0" y="0"/>
                                </a:moveTo>
                                <a:lnTo>
                                  <a:pt x="53340" y="0"/>
                                </a:lnTo>
                                <a:lnTo>
                                  <a:pt x="53340" y="53340"/>
                                </a:lnTo>
                                <a:lnTo>
                                  <a:pt x="0" y="533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4" name="Shape 134"/>
                        <wps:cNvSpPr/>
                        <wps:spPr>
                          <a:xfrm>
                            <a:off x="0" y="1704975"/>
                            <a:ext cx="60960" cy="60960"/>
                          </a:xfrm>
                          <a:custGeom>
                            <a:avLst/>
                            <a:gdLst/>
                            <a:ahLst/>
                            <a:cxnLst/>
                            <a:rect l="0" t="0" r="0" b="0"/>
                            <a:pathLst>
                              <a:path w="60960" h="60960">
                                <a:moveTo>
                                  <a:pt x="60960" y="30480"/>
                                </a:moveTo>
                                <a:cubicBezTo>
                                  <a:pt x="60960" y="34544"/>
                                  <a:pt x="60185" y="38354"/>
                                  <a:pt x="58636" y="42164"/>
                                </a:cubicBezTo>
                                <a:cubicBezTo>
                                  <a:pt x="57099" y="45847"/>
                                  <a:pt x="54889" y="49149"/>
                                  <a:pt x="52032" y="52070"/>
                                </a:cubicBezTo>
                                <a:cubicBezTo>
                                  <a:pt x="49174" y="54864"/>
                                  <a:pt x="45885" y="57023"/>
                                  <a:pt x="42151" y="58674"/>
                                </a:cubicBezTo>
                                <a:cubicBezTo>
                                  <a:pt x="38405" y="60198"/>
                                  <a:pt x="34519" y="60960"/>
                                  <a:pt x="30480" y="60960"/>
                                </a:cubicBezTo>
                                <a:cubicBezTo>
                                  <a:pt x="26441" y="60960"/>
                                  <a:pt x="22555" y="60198"/>
                                  <a:pt x="18821" y="58674"/>
                                </a:cubicBezTo>
                                <a:cubicBezTo>
                                  <a:pt x="15088" y="57023"/>
                                  <a:pt x="11786" y="54864"/>
                                  <a:pt x="8928" y="52070"/>
                                </a:cubicBezTo>
                                <a:cubicBezTo>
                                  <a:pt x="6071" y="49149"/>
                                  <a:pt x="3874" y="45847"/>
                                  <a:pt x="2324" y="42164"/>
                                </a:cubicBezTo>
                                <a:cubicBezTo>
                                  <a:pt x="775" y="38354"/>
                                  <a:pt x="0" y="34544"/>
                                  <a:pt x="0" y="30480"/>
                                </a:cubicBezTo>
                                <a:cubicBezTo>
                                  <a:pt x="0" y="26416"/>
                                  <a:pt x="775" y="22479"/>
                                  <a:pt x="2324" y="18796"/>
                                </a:cubicBezTo>
                                <a:cubicBezTo>
                                  <a:pt x="3874" y="15113"/>
                                  <a:pt x="6071" y="11811"/>
                                  <a:pt x="8928" y="8890"/>
                                </a:cubicBezTo>
                                <a:cubicBezTo>
                                  <a:pt x="11786" y="6096"/>
                                  <a:pt x="15088" y="3810"/>
                                  <a:pt x="18821" y="2286"/>
                                </a:cubicBezTo>
                                <a:cubicBezTo>
                                  <a:pt x="22555" y="762"/>
                                  <a:pt x="26441" y="0"/>
                                  <a:pt x="30480" y="0"/>
                                </a:cubicBezTo>
                                <a:cubicBezTo>
                                  <a:pt x="34519" y="0"/>
                                  <a:pt x="38405" y="762"/>
                                  <a:pt x="42151" y="2286"/>
                                </a:cubicBezTo>
                                <a:cubicBezTo>
                                  <a:pt x="45885" y="3810"/>
                                  <a:pt x="49174" y="6096"/>
                                  <a:pt x="52032" y="8890"/>
                                </a:cubicBezTo>
                                <a:cubicBezTo>
                                  <a:pt x="54889" y="11811"/>
                                  <a:pt x="57099" y="15113"/>
                                  <a:pt x="58636" y="18796"/>
                                </a:cubicBezTo>
                                <a:cubicBezTo>
                                  <a:pt x="60185" y="22479"/>
                                  <a:pt x="60960" y="26416"/>
                                  <a:pt x="60960" y="30480"/>
                                </a:cubicBezTo>
                                <a:close/>
                              </a:path>
                            </a:pathLst>
                          </a:custGeom>
                          <a:ln w="5334"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4174" style="width:22.5pt;height:139.05pt;position:absolute;mso-position-horizontal-relative:text;mso-position-horizontal:absolute;margin-left:28.35pt;mso-position-vertical-relative:text;margin-top:0.805389pt;" coordsize="2857,17659">
                <v:shape id="Shape 126" style="position:absolute;width:609;height:609;left:0;top:0;" coordsize="60960,60960" path="m60960,30480c60960,34544,60185,38354,58636,42164c57099,45848,54889,49149,52032,52070c49174,54864,45885,57023,42151,58674c38405,60198,34519,60960,30480,60960c26441,60960,22555,60198,18821,58674c15088,57023,11786,54864,8928,52070c6071,49149,3874,45848,2324,42164c775,38354,0,34544,0,30480c0,26416,775,22479,2324,18797c3874,15113,6071,11811,8928,8890c11786,6097,15088,3810,18821,2286c22555,762,26441,0,30480,0c34519,0,38405,762,42151,2286c45885,3810,49174,6097,52032,8890c54889,11811,57099,15113,58636,18797c60185,22479,60960,26416,60960,30480x">
                  <v:stroke weight="0.42pt" endcap="flat" joinstyle="miter" miterlimit="10" on="true" color="#000000"/>
                  <v:fill on="false" color="#000000" opacity="0"/>
                </v:shape>
                <v:shape id="Shape 127" style="position:absolute;width:609;height:609;left:0;top:2095;" coordsize="60960,60960" path="m60960,30480c60960,34544,60185,38354,58636,42164c57099,45848,54889,49149,52032,52070c49174,54864,45885,57023,42151,58674c38405,60198,34519,60960,30480,60960c26441,60960,22555,60198,18821,58674c15088,57023,11786,54864,8928,52070c6071,49149,3874,45848,2324,42164c775,38354,0,34544,0,30480c0,26416,775,22479,2324,18797c3874,15113,6071,11811,8928,8890c11786,6097,15088,3810,18821,2286c22555,762,26441,0,30480,0c34519,0,38405,762,42151,2286c45885,3810,49174,6097,52032,8890c54889,11811,57099,15113,58636,18797c60185,22479,60960,26416,60960,30480x">
                  <v:stroke weight="0.42pt" endcap="flat" joinstyle="miter" miterlimit="10" on="true" color="#000000"/>
                  <v:fill on="false" color="#000000" opacity="0"/>
                </v:shape>
                <v:shape id="Shape 45286" style="position:absolute;width:533;height:533;left:2324;top:4324;" coordsize="53340,53340" path="m0,0l53340,0l53340,53340l0,53340l0,0">
                  <v:stroke weight="0pt" endcap="flat" joinstyle="miter" miterlimit="10" on="false" color="#000000" opacity="0"/>
                  <v:fill on="true" color="#000000"/>
                </v:shape>
                <v:shape id="Shape 45287" style="position:absolute;width:533;height:533;left:2324;top:6419;" coordsize="53340,53340" path="m0,0l53340,0l53340,53340l0,53340l0,0">
                  <v:stroke weight="0pt" endcap="flat" joinstyle="miter" miterlimit="10" on="false" color="#000000" opacity="0"/>
                  <v:fill on="true" color="#000000"/>
                </v:shape>
                <v:shape id="Shape 45288" style="position:absolute;width:533;height:533;left:2324;top:8610;" coordsize="53340,53340" path="m0,0l53340,0l53340,53340l0,53340l0,0">
                  <v:stroke weight="0pt" endcap="flat" joinstyle="miter" miterlimit="10" on="false" color="#000000" opacity="0"/>
                  <v:fill on="true" color="#000000"/>
                </v:shape>
                <v:shape id="Shape 45289" style="position:absolute;width:533;height:533;left:2324;top:10706;" coordsize="53340,53340" path="m0,0l53340,0l53340,53340l0,53340l0,0">
                  <v:stroke weight="0pt" endcap="flat" joinstyle="miter" miterlimit="10" on="false" color="#000000" opacity="0"/>
                  <v:fill on="true" color="#000000"/>
                </v:shape>
                <v:shape id="Shape 45290" style="position:absolute;width:533;height:533;left:2324;top:12801;" coordsize="53340,53340" path="m0,0l53340,0l53340,53340l0,53340l0,0">
                  <v:stroke weight="0pt" endcap="flat" joinstyle="miter" miterlimit="10" on="false" color="#000000" opacity="0"/>
                  <v:fill on="true" color="#000000"/>
                </v:shape>
                <v:shape id="Shape 45291" style="position:absolute;width:533;height:533;left:2324;top:14992;" coordsize="53340,53340" path="m0,0l53340,0l53340,53340l0,53340l0,0">
                  <v:stroke weight="0pt" endcap="flat" joinstyle="miter" miterlimit="10" on="false" color="#000000" opacity="0"/>
                  <v:fill on="true" color="#000000"/>
                </v:shape>
                <v:shape id="Shape 134" style="position:absolute;width:609;height:609;left:0;top:17049;" coordsize="60960,60960" path="m60960,30480c60960,34544,60185,38354,58636,42164c57099,45847,54889,49149,52032,52070c49174,54864,45885,57023,42151,58674c38405,60198,34519,60960,30480,60960c26441,60960,22555,60198,18821,58674c15088,57023,11786,54864,8928,52070c6071,49149,3874,45847,2324,42164c775,38354,0,34544,0,30480c0,26416,775,22479,2324,18796c3874,15113,6071,11811,8928,8890c11786,6096,15088,3810,18821,2286c22555,762,26441,0,30480,0c34519,0,38405,762,42151,2286c45885,3810,49174,6096,52032,8890c54889,11811,57099,15113,58636,18796c60185,22479,60960,26416,60960,30480x">
                  <v:stroke weight="0.42pt" endcap="flat" joinstyle="miter" miterlimit="10" on="true" color="#000000"/>
                  <v:fill on="false" color="#000000" opacity="0"/>
                </v:shape>
                <w10:wrap type="square"/>
              </v:group>
            </w:pict>
          </mc:Fallback>
        </mc:AlternateContent>
      </w:r>
      <w:r>
        <w:t xml:space="preserve">Overview of Financial Performance </w:t>
      </w:r>
    </w:p>
    <w:p w14:paraId="7673F041" w14:textId="77777777" w:rsidR="006A5F66" w:rsidRDefault="00000000">
      <w:pPr>
        <w:numPr>
          <w:ilvl w:val="1"/>
          <w:numId w:val="2"/>
        </w:numPr>
        <w:ind w:right="40" w:hanging="977"/>
      </w:pPr>
      <w:r>
        <w:t xml:space="preserve">Ratio Analysis </w:t>
      </w:r>
    </w:p>
    <w:p w14:paraId="58D4EA71" w14:textId="77777777" w:rsidR="006A5F66" w:rsidRDefault="00000000">
      <w:pPr>
        <w:numPr>
          <w:ilvl w:val="2"/>
          <w:numId w:val="3"/>
        </w:numPr>
        <w:ind w:right="40" w:hanging="600"/>
      </w:pPr>
      <w:r>
        <w:t xml:space="preserve">Profitability Ratios </w:t>
      </w:r>
    </w:p>
    <w:p w14:paraId="7B32E290" w14:textId="77777777" w:rsidR="006A5F66" w:rsidRDefault="00000000">
      <w:pPr>
        <w:numPr>
          <w:ilvl w:val="2"/>
          <w:numId w:val="3"/>
        </w:numPr>
        <w:ind w:right="40" w:hanging="600"/>
      </w:pPr>
      <w:r>
        <w:t xml:space="preserve">Liquidity Ratios </w:t>
      </w:r>
    </w:p>
    <w:p w14:paraId="6A2AB5A1" w14:textId="77777777" w:rsidR="006A5F66" w:rsidRDefault="00000000">
      <w:pPr>
        <w:numPr>
          <w:ilvl w:val="2"/>
          <w:numId w:val="3"/>
        </w:numPr>
        <w:ind w:right="40" w:hanging="600"/>
      </w:pPr>
      <w:r>
        <w:t xml:space="preserve">Efficiency Ratios </w:t>
      </w:r>
    </w:p>
    <w:p w14:paraId="0386E37E" w14:textId="77777777" w:rsidR="006A5F66" w:rsidRDefault="00000000">
      <w:pPr>
        <w:numPr>
          <w:ilvl w:val="2"/>
          <w:numId w:val="3"/>
        </w:numPr>
        <w:ind w:right="40" w:hanging="600"/>
      </w:pPr>
      <w:r>
        <w:t xml:space="preserve">Gearing Ratios </w:t>
      </w:r>
    </w:p>
    <w:p w14:paraId="68D211DE" w14:textId="77777777" w:rsidR="006A5F66" w:rsidRDefault="00000000">
      <w:pPr>
        <w:numPr>
          <w:ilvl w:val="2"/>
          <w:numId w:val="3"/>
        </w:numPr>
        <w:ind w:right="40" w:hanging="600"/>
      </w:pPr>
      <w:r>
        <w:t xml:space="preserve">Investment Ratios </w:t>
      </w:r>
    </w:p>
    <w:p w14:paraId="5E045B39" w14:textId="77777777" w:rsidR="006A5F66" w:rsidRDefault="00000000">
      <w:pPr>
        <w:numPr>
          <w:ilvl w:val="2"/>
          <w:numId w:val="3"/>
        </w:numPr>
        <w:ind w:right="40" w:hanging="600"/>
      </w:pPr>
      <w:r>
        <w:t xml:space="preserve">Cash Flow Analysis </w:t>
      </w:r>
    </w:p>
    <w:p w14:paraId="682C70EC" w14:textId="77777777" w:rsidR="006A5F66" w:rsidRDefault="00000000">
      <w:pPr>
        <w:ind w:left="577" w:right="40"/>
      </w:pPr>
      <w:r>
        <w:t xml:space="preserve">1.3 Overall Summary / Key Findings </w:t>
      </w:r>
    </w:p>
    <w:p w14:paraId="0BF4F810" w14:textId="77777777" w:rsidR="006A5F66" w:rsidRDefault="00000000">
      <w:pPr>
        <w:numPr>
          <w:ilvl w:val="0"/>
          <w:numId w:val="1"/>
        </w:numPr>
        <w:ind w:right="40" w:hanging="360"/>
      </w:pPr>
      <w:r>
        <w:t xml:space="preserve">2. Working Capital Management Analysis </w:t>
      </w:r>
    </w:p>
    <w:p w14:paraId="4FDD279F" w14:textId="77777777" w:rsidR="006A5F66" w:rsidRDefault="00000000">
      <w:pPr>
        <w:numPr>
          <w:ilvl w:val="0"/>
          <w:numId w:val="1"/>
        </w:numPr>
        <w:ind w:right="40" w:hanging="360"/>
      </w:pPr>
      <w:r>
        <w:t xml:space="preserve">3. Strategic Financial Restructuring Plan </w:t>
      </w:r>
    </w:p>
    <w:p w14:paraId="7245E63C" w14:textId="77777777" w:rsidR="006A5F66" w:rsidRDefault="00000000">
      <w:pPr>
        <w:numPr>
          <w:ilvl w:val="0"/>
          <w:numId w:val="1"/>
        </w:numPr>
        <w:ind w:right="40" w:hanging="360"/>
      </w:pPr>
      <w:r>
        <w:t xml:space="preserve">Conclusion </w:t>
      </w:r>
    </w:p>
    <w:p w14:paraId="7E9E8614" w14:textId="77777777" w:rsidR="006A5F66" w:rsidRDefault="00000000">
      <w:pPr>
        <w:numPr>
          <w:ilvl w:val="0"/>
          <w:numId w:val="1"/>
        </w:numPr>
        <w:spacing w:after="55"/>
        <w:ind w:right="40" w:hanging="360"/>
      </w:pPr>
      <w:r>
        <w:t xml:space="preserve">References </w:t>
      </w:r>
    </w:p>
    <w:p w14:paraId="228A97E4" w14:textId="77777777" w:rsidR="006A5F66" w:rsidRDefault="00000000">
      <w:pPr>
        <w:spacing w:after="980" w:line="259" w:lineRule="auto"/>
        <w:ind w:left="0" w:firstLine="0"/>
        <w:jc w:val="right"/>
      </w:pPr>
      <w:r>
        <w:rPr>
          <w:noProof/>
          <w:sz w:val="22"/>
        </w:rPr>
        <mc:AlternateContent>
          <mc:Choice Requires="wpg">
            <w:drawing>
              <wp:inline distT="0" distB="0" distL="0" distR="0" wp14:anchorId="111697D7" wp14:editId="2ACBBA98">
                <wp:extent cx="6847840" cy="9525"/>
                <wp:effectExtent l="0" t="0" r="0" b="0"/>
                <wp:docPr id="34173" name="Group 34173"/>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125" name="Shape 125"/>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4173" style="width:539.2pt;height:0.75pt;mso-position-horizontal-relative:char;mso-position-vertical-relative:line" coordsize="68478,95">
                <v:shape id="Shape 125"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39F1CB96" w14:textId="77777777" w:rsidR="006A5F66" w:rsidRDefault="00000000">
      <w:pPr>
        <w:pStyle w:val="Heading1"/>
        <w:ind w:left="9"/>
      </w:pPr>
      <w:r>
        <w:t xml:space="preserve">Introduction </w:t>
      </w:r>
    </w:p>
    <w:p w14:paraId="0C1C1775" w14:textId="77777777" w:rsidR="006A5F66" w:rsidRDefault="00000000">
      <w:pPr>
        <w:spacing w:after="268"/>
        <w:ind w:left="17" w:right="40"/>
      </w:pPr>
      <w:r>
        <w:t xml:space="preserve">InterContinental Hotels Group (IHG) is a global hospitality company that primarily operates an </w:t>
      </w:r>
      <w:proofErr w:type="spellStart"/>
      <w:r>
        <w:rPr>
          <w:b/>
        </w:rPr>
        <w:t>assetlight</w:t>
      </w:r>
      <w:proofErr w:type="spellEnd"/>
      <w:r>
        <w:rPr>
          <w:b/>
        </w:rPr>
        <w:t xml:space="preserve"> business model</w:t>
      </w:r>
      <w:r>
        <w:t xml:space="preserve">, generating a significant share of earnings from recurring </w:t>
      </w:r>
      <w:r>
        <w:rPr>
          <w:b/>
        </w:rPr>
        <w:t>franchise and management fees</w:t>
      </w:r>
      <w:r>
        <w:t xml:space="preserve"> rather than owning hotel real estate at scale. This model typically supports comparatively stable fee income, lower capital intensity, and flexibility in allocating capital across growth, debt management, and shareholder distributions. </w:t>
      </w:r>
    </w:p>
    <w:p w14:paraId="2CBC8E70" w14:textId="77777777" w:rsidR="006A5F66" w:rsidRDefault="00000000">
      <w:pPr>
        <w:spacing w:after="261"/>
        <w:ind w:left="17" w:right="40"/>
      </w:pPr>
      <w:r>
        <w:t xml:space="preserve">Over the period 2020–2024, IHG’s performance was shaped by the COVID-19 disruption and the subsequent recovery in global travel demand. As travel restrictions eased, improvements in hotel occupancy and higher </w:t>
      </w:r>
      <w:r>
        <w:rPr>
          <w:b/>
        </w:rPr>
        <w:t>Revenue per Available Room (RevPAR)</w:t>
      </w:r>
      <w:r>
        <w:t xml:space="preserve"> supported revenue and profit recovery, while ongoing network growth and brand expansion increased the base of fee-generating rooms. At the same time, the hospitality sector faced </w:t>
      </w:r>
      <w:r>
        <w:lastRenderedPageBreak/>
        <w:t xml:space="preserve">headwinds from inflationary pressures, higher financing costs, and geopolitical uncertainty, all of which influenced operating expenses, consumer confidence, and investment conditions. </w:t>
      </w:r>
    </w:p>
    <w:p w14:paraId="58B13B99" w14:textId="77777777" w:rsidR="006A5F66" w:rsidRDefault="00000000">
      <w:pPr>
        <w:spacing w:after="511"/>
        <w:ind w:left="17" w:right="40"/>
      </w:pPr>
      <w:r>
        <w:t xml:space="preserve">This report provides a structured review of IHG’s financial position and performance over 2020–2024. It presents an overview of financial recovery, a table-led ratio analysis (profitability, liquidity, efficiency, gearing, investment, and cash flow), and an evaluation of working capital management. The report then outlines strategic restructuring considerations and concludes with evidence-based findings aligned with shareholder value, financial resilience, and long-term growth sustainability. </w:t>
      </w:r>
    </w:p>
    <w:p w14:paraId="22483F6A" w14:textId="77777777" w:rsidR="006A5F66" w:rsidRDefault="00000000">
      <w:pPr>
        <w:pStyle w:val="Heading1"/>
        <w:spacing w:after="268"/>
        <w:ind w:left="9"/>
      </w:pPr>
      <w:r>
        <w:t xml:space="preserve">Main Body 1. Financial Health Check </w:t>
      </w:r>
    </w:p>
    <w:p w14:paraId="48B58F63" w14:textId="77777777" w:rsidR="006A5F66" w:rsidRDefault="00000000">
      <w:pPr>
        <w:pStyle w:val="Heading2"/>
        <w:ind w:left="9"/>
      </w:pPr>
      <w:r>
        <w:t xml:space="preserve">1.1 Overview of Financial Performance </w:t>
      </w:r>
    </w:p>
    <w:p w14:paraId="784AA68C" w14:textId="77777777" w:rsidR="006A5F66" w:rsidRDefault="00000000">
      <w:pPr>
        <w:ind w:left="17" w:right="40"/>
      </w:pPr>
      <w:r>
        <w:t xml:space="preserve">InterContinental Hotels Group PLC (IHG) demonstrated strong financial resilience and sustained recovery between 2020 and 2024 following the severe disruption caused by the COVID-19 pandemic. As one of the world's leading hospitality companies, IHG operates an asset-light business model that generates revenue primarily through franchise, management and licensing fees rather than direct ownership of hotels. This strategy enables the company to maintain relatively low capital expenditure requirements while producing stable cash flows and high returns on invested capital (InterContinental Hotels Group PLC, 2025). </w:t>
      </w:r>
    </w:p>
    <w:p w14:paraId="62E4440A" w14:textId="77777777" w:rsidR="006A5F66" w:rsidRDefault="00000000">
      <w:pPr>
        <w:ind w:left="17" w:right="40"/>
      </w:pPr>
      <w:r>
        <w:t xml:space="preserve">Revenue increased from </w:t>
      </w:r>
      <w:r>
        <w:rPr>
          <w:b/>
        </w:rPr>
        <w:t>US$2.39 billion in 2020</w:t>
      </w:r>
      <w:r>
        <w:t xml:space="preserve"> to approximately </w:t>
      </w:r>
      <w:r>
        <w:rPr>
          <w:b/>
        </w:rPr>
        <w:t>US$4.92 billion in 2024</w:t>
      </w:r>
      <w:r>
        <w:t xml:space="preserve">, representing a significant recovery driven by the return of international travel, higher occupancy rates, increased Revenue per Available Room (RevPAR), and continued expansion of franchised hotels across global markets. Operating profit also improved substantially over the same period, reflecting effective cost management and operational efficiency. According to Brigham and Ehrhardt (2022), sustained revenue growth accompanied by improving operating profitability is a key indicator of effective strategic management and long-term financial sustainability. IHG's profitability ratios demonstrate that management successfully restored earnings following the pandemic while maintaining strong shareholder value. Liquidity ratios remained relatively stable throughout the period, indicating that the company possessed sufficient short-term resources to meet its financial obligations despite operating within a capital-efficient business model. </w:t>
      </w:r>
      <w:proofErr w:type="spellStart"/>
      <w:r>
        <w:t>Atrill</w:t>
      </w:r>
      <w:proofErr w:type="spellEnd"/>
      <w:r>
        <w:t xml:space="preserve"> and McLaney (2022) suggest that liquidity should be evaluated alongside operational characteristics, as service-based organisations often require lower working capital than manufacturing businesses. </w:t>
      </w:r>
    </w:p>
    <w:p w14:paraId="6A132526" w14:textId="77777777" w:rsidR="006A5F66" w:rsidRDefault="00000000">
      <w:pPr>
        <w:ind w:left="17" w:right="40"/>
      </w:pPr>
      <w:r>
        <w:t xml:space="preserve">Efficiency ratios also improved during the period, with receivable collection becoming faster and asset utilisation increasing as hotel demand recovered. At the same time, gearing ratios indicate that although IHG continues to utilise debt financing, leverage has gradually declined as retained earnings and equity increased. Ross et al. (2022) argue that an appropriate balance between debt and equity financing enhances shareholder value by lowering the overall cost of capital while maintaining financial flexibility. </w:t>
      </w:r>
    </w:p>
    <w:p w14:paraId="7B8503C2" w14:textId="77777777" w:rsidR="006A5F66" w:rsidRDefault="00000000">
      <w:pPr>
        <w:spacing w:after="33"/>
        <w:ind w:left="17" w:right="40"/>
      </w:pPr>
      <w:r>
        <w:t xml:space="preserve">Investment indicators, including earnings per share and free cash flow, also strengthened significantly between 2020 and 2024, reflecting the company's improved profitability and disciplined capital allocation. Overall, the financial evidence suggests that IHG has successfully transitioned from pandemic recovery to sustainable </w:t>
      </w:r>
      <w:proofErr w:type="spellStart"/>
      <w:r>
        <w:t>longterm</w:t>
      </w:r>
      <w:proofErr w:type="spellEnd"/>
      <w:r>
        <w:t xml:space="preserve"> growth while maintaining a strong competitive position within the global hospitality industry (InterContinental Hotels Group PLC, 2025). </w:t>
      </w:r>
    </w:p>
    <w:p w14:paraId="38EE2B54" w14:textId="77777777" w:rsidR="006A5F66" w:rsidRDefault="00000000">
      <w:pPr>
        <w:spacing w:after="0" w:line="259" w:lineRule="auto"/>
        <w:ind w:left="0" w:firstLine="0"/>
        <w:jc w:val="right"/>
      </w:pPr>
      <w:r>
        <w:rPr>
          <w:noProof/>
          <w:sz w:val="22"/>
        </w:rPr>
        <mc:AlternateContent>
          <mc:Choice Requires="wpg">
            <w:drawing>
              <wp:inline distT="0" distB="0" distL="0" distR="0" wp14:anchorId="64C2287E" wp14:editId="07984A5C">
                <wp:extent cx="6847840" cy="9525"/>
                <wp:effectExtent l="0" t="0" r="0" b="0"/>
                <wp:docPr id="34118" name="Group 34118"/>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238" name="Shape 238"/>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4118" style="width:539.2pt;height:0.75pt;mso-position-horizontal-relative:char;mso-position-vertical-relative:line" coordsize="68478,95">
                <v:shape id="Shape 238"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2401071D" w14:textId="77777777" w:rsidR="006A5F66" w:rsidRDefault="00000000">
      <w:pPr>
        <w:pStyle w:val="Heading2"/>
        <w:spacing w:after="121"/>
        <w:ind w:left="9"/>
      </w:pPr>
      <w:r>
        <w:lastRenderedPageBreak/>
        <w:t xml:space="preserve">1.2 Ratio Analysis </w:t>
      </w:r>
    </w:p>
    <w:p w14:paraId="567AB5F5" w14:textId="77777777" w:rsidR="006A5F66" w:rsidRDefault="00000000">
      <w:pPr>
        <w:pStyle w:val="Heading3"/>
        <w:ind w:left="9"/>
      </w:pPr>
      <w:r>
        <w:t xml:space="preserve">1.2.1 Profitability Ratios </w:t>
      </w:r>
    </w:p>
    <w:p w14:paraId="3CA34A5A" w14:textId="77777777" w:rsidR="006A5F66" w:rsidRDefault="00000000">
      <w:pPr>
        <w:ind w:left="17" w:right="40"/>
      </w:pPr>
      <w:r>
        <w:t xml:space="preserve">Profitability ratios evaluate IHG's ability to convert revenue into operating profit and net earnings and to generate returns from capital employed. These ratios are fundamental indicators of operational efficiency, cost management, and overall financial performance (Brigham and Ehrhardt, 2022). The attached information indicates material improvement across the recovery period, consistent with higher occupancy rates, stronger Revenue per Available Room (RevPAR), and the operational leverage embedded in IHG's asset-light, fee-based business model (InterContinental Hotels Group PLC, 2025). According to Brealey, Myers and Allen (2023), improvements in profitability ratios demonstrate an organisation's ability to enhance shareholder value through efficient resource utilisation and sustainable earnings growth. Where figures are not provided, table structures are retained using placeholders. </w:t>
      </w:r>
    </w:p>
    <w:tbl>
      <w:tblPr>
        <w:tblStyle w:val="TableGrid"/>
        <w:tblW w:w="10786" w:type="dxa"/>
        <w:tblInd w:w="31" w:type="dxa"/>
        <w:tblCellMar>
          <w:top w:w="221"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759DB97B"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5F682A12" w14:textId="77777777" w:rsidR="006A5F66" w:rsidRDefault="00000000">
            <w:pPr>
              <w:spacing w:after="12" w:line="259" w:lineRule="auto"/>
              <w:ind w:left="0" w:firstLine="0"/>
              <w:jc w:val="left"/>
            </w:pPr>
            <w:r>
              <w:rPr>
                <w:b/>
              </w:rPr>
              <w:t xml:space="preserve">Operating </w:t>
            </w:r>
            <w:r>
              <w:t xml:space="preserve"> </w:t>
            </w:r>
          </w:p>
          <w:p w14:paraId="3A22EA67" w14:textId="77777777" w:rsidR="006A5F66" w:rsidRDefault="00000000">
            <w:pPr>
              <w:spacing w:after="0" w:line="259" w:lineRule="auto"/>
              <w:ind w:left="0" w:firstLine="0"/>
              <w:jc w:val="left"/>
            </w:pPr>
            <w:r>
              <w:rPr>
                <w:b/>
              </w:rPr>
              <w:t>Profit Margin</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887408A"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27C3E725"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21873755"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B6276E4"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B77FFD0" w14:textId="77777777" w:rsidR="006A5F66" w:rsidRDefault="00000000">
            <w:pPr>
              <w:spacing w:after="0" w:line="259" w:lineRule="auto"/>
              <w:ind w:left="0" w:firstLine="0"/>
              <w:jc w:val="left"/>
            </w:pPr>
            <w:r>
              <w:rPr>
                <w:b/>
              </w:rPr>
              <w:t>2024</w:t>
            </w:r>
            <w:r>
              <w:t xml:space="preserve"> </w:t>
            </w:r>
          </w:p>
        </w:tc>
      </w:tr>
      <w:tr w:rsidR="006A5F66" w14:paraId="773A5AEB"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3EE1ABAE" w14:textId="77777777" w:rsidR="006A5F66" w:rsidRDefault="00000000">
            <w:pPr>
              <w:spacing w:after="29" w:line="259" w:lineRule="auto"/>
              <w:ind w:left="0" w:firstLine="0"/>
              <w:jc w:val="left"/>
            </w:pPr>
            <w:r>
              <w:t xml:space="preserve">Revenue  </w:t>
            </w:r>
          </w:p>
          <w:p w14:paraId="7283FFC2"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CF7B59A" w14:textId="77777777" w:rsidR="006A5F66" w:rsidRDefault="00000000">
            <w:pPr>
              <w:spacing w:after="0" w:line="259" w:lineRule="auto"/>
              <w:ind w:left="0" w:firstLine="0"/>
              <w:jc w:val="left"/>
            </w:pPr>
            <w:r>
              <w:t xml:space="preserve">2,394 </w:t>
            </w:r>
          </w:p>
        </w:tc>
        <w:tc>
          <w:tcPr>
            <w:tcW w:w="1796" w:type="dxa"/>
            <w:tcBorders>
              <w:top w:val="single" w:sz="6" w:space="0" w:color="BFC3C8"/>
              <w:left w:val="single" w:sz="6" w:space="0" w:color="BFC3C8"/>
              <w:bottom w:val="single" w:sz="6" w:space="0" w:color="BFC3C8"/>
              <w:right w:val="single" w:sz="6" w:space="0" w:color="BFC3C8"/>
            </w:tcBorders>
          </w:tcPr>
          <w:p w14:paraId="55FEC629" w14:textId="77777777" w:rsidR="006A5F66" w:rsidRDefault="00000000">
            <w:pPr>
              <w:spacing w:after="0" w:line="259" w:lineRule="auto"/>
              <w:ind w:left="0" w:firstLine="0"/>
              <w:jc w:val="left"/>
            </w:pPr>
            <w:r>
              <w:t xml:space="preserve">2,907 </w:t>
            </w:r>
          </w:p>
        </w:tc>
        <w:tc>
          <w:tcPr>
            <w:tcW w:w="1800" w:type="dxa"/>
            <w:tcBorders>
              <w:top w:val="single" w:sz="6" w:space="0" w:color="BFC3C8"/>
              <w:left w:val="single" w:sz="6" w:space="0" w:color="BFC3C8"/>
              <w:bottom w:val="single" w:sz="6" w:space="0" w:color="BFC3C8"/>
              <w:right w:val="single" w:sz="6" w:space="0" w:color="BFC3C8"/>
            </w:tcBorders>
          </w:tcPr>
          <w:p w14:paraId="2A04FE58" w14:textId="77777777" w:rsidR="006A5F66" w:rsidRDefault="00000000">
            <w:pPr>
              <w:spacing w:after="0" w:line="259" w:lineRule="auto"/>
              <w:ind w:left="2" w:firstLine="0"/>
              <w:jc w:val="left"/>
            </w:pPr>
            <w:r>
              <w:t xml:space="preserve">3,892 </w:t>
            </w:r>
          </w:p>
        </w:tc>
        <w:tc>
          <w:tcPr>
            <w:tcW w:w="1798" w:type="dxa"/>
            <w:tcBorders>
              <w:top w:val="single" w:sz="6" w:space="0" w:color="BFC3C8"/>
              <w:left w:val="single" w:sz="6" w:space="0" w:color="BFC3C8"/>
              <w:bottom w:val="single" w:sz="6" w:space="0" w:color="BFC3C8"/>
              <w:right w:val="single" w:sz="6" w:space="0" w:color="BFC3C8"/>
            </w:tcBorders>
          </w:tcPr>
          <w:p w14:paraId="1C9E3B94" w14:textId="77777777" w:rsidR="006A5F66" w:rsidRDefault="00000000">
            <w:pPr>
              <w:spacing w:after="0" w:line="259" w:lineRule="auto"/>
              <w:ind w:left="1" w:firstLine="0"/>
              <w:jc w:val="left"/>
            </w:pPr>
            <w:r>
              <w:t xml:space="preserve">4,624 </w:t>
            </w:r>
          </w:p>
        </w:tc>
        <w:tc>
          <w:tcPr>
            <w:tcW w:w="1796" w:type="dxa"/>
            <w:tcBorders>
              <w:top w:val="single" w:sz="6" w:space="0" w:color="BFC3C8"/>
              <w:left w:val="single" w:sz="6" w:space="0" w:color="BFC3C8"/>
              <w:bottom w:val="single" w:sz="6" w:space="0" w:color="BFC3C8"/>
              <w:right w:val="single" w:sz="6" w:space="0" w:color="BFC3C8"/>
            </w:tcBorders>
          </w:tcPr>
          <w:p w14:paraId="7D606CC9" w14:textId="77777777" w:rsidR="006A5F66" w:rsidRDefault="00000000">
            <w:pPr>
              <w:spacing w:after="0" w:line="259" w:lineRule="auto"/>
              <w:ind w:left="0" w:firstLine="0"/>
              <w:jc w:val="left"/>
            </w:pPr>
            <w:r>
              <w:t xml:space="preserve">4,920 </w:t>
            </w:r>
          </w:p>
        </w:tc>
      </w:tr>
      <w:tr w:rsidR="006A5F66" w14:paraId="39CBCFD7" w14:textId="77777777">
        <w:trPr>
          <w:trHeight w:val="1442"/>
        </w:trPr>
        <w:tc>
          <w:tcPr>
            <w:tcW w:w="1798" w:type="dxa"/>
            <w:tcBorders>
              <w:top w:val="single" w:sz="6" w:space="0" w:color="BFC3C8"/>
              <w:left w:val="single" w:sz="6" w:space="0" w:color="BFC3C8"/>
              <w:bottom w:val="single" w:sz="6" w:space="0" w:color="BFC3C8"/>
              <w:right w:val="single" w:sz="6" w:space="0" w:color="BFC3C8"/>
            </w:tcBorders>
            <w:vAlign w:val="bottom"/>
          </w:tcPr>
          <w:p w14:paraId="14BEEBF9" w14:textId="77777777" w:rsidR="006A5F66" w:rsidRDefault="00000000">
            <w:pPr>
              <w:spacing w:after="0" w:line="285" w:lineRule="auto"/>
              <w:ind w:left="0" w:firstLine="0"/>
              <w:jc w:val="left"/>
            </w:pPr>
            <w:proofErr w:type="gramStart"/>
            <w:r>
              <w:t>Operating  Profit</w:t>
            </w:r>
            <w:proofErr w:type="gramEnd"/>
            <w:r>
              <w:t xml:space="preserve"> (EBIT)  </w:t>
            </w:r>
          </w:p>
          <w:p w14:paraId="7B6F7A02"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EA894A9" w14:textId="77777777" w:rsidR="006A5F66" w:rsidRDefault="00000000">
            <w:pPr>
              <w:spacing w:after="0" w:line="259" w:lineRule="auto"/>
              <w:ind w:left="0" w:firstLine="0"/>
              <w:jc w:val="left"/>
            </w:pPr>
            <w:r>
              <w:t xml:space="preserve">153 </w:t>
            </w:r>
          </w:p>
        </w:tc>
        <w:tc>
          <w:tcPr>
            <w:tcW w:w="1796" w:type="dxa"/>
            <w:tcBorders>
              <w:top w:val="single" w:sz="6" w:space="0" w:color="BFC3C8"/>
              <w:left w:val="single" w:sz="6" w:space="0" w:color="BFC3C8"/>
              <w:bottom w:val="single" w:sz="6" w:space="0" w:color="BFC3C8"/>
              <w:right w:val="single" w:sz="6" w:space="0" w:color="BFC3C8"/>
            </w:tcBorders>
          </w:tcPr>
          <w:p w14:paraId="245C1401" w14:textId="77777777" w:rsidR="006A5F66" w:rsidRDefault="00000000">
            <w:pPr>
              <w:spacing w:after="0" w:line="259" w:lineRule="auto"/>
              <w:ind w:left="0" w:firstLine="0"/>
              <w:jc w:val="left"/>
            </w:pPr>
            <w:r>
              <w:t xml:space="preserve">534 </w:t>
            </w:r>
          </w:p>
        </w:tc>
        <w:tc>
          <w:tcPr>
            <w:tcW w:w="1800" w:type="dxa"/>
            <w:tcBorders>
              <w:top w:val="single" w:sz="6" w:space="0" w:color="BFC3C8"/>
              <w:left w:val="single" w:sz="6" w:space="0" w:color="BFC3C8"/>
              <w:bottom w:val="single" w:sz="6" w:space="0" w:color="BFC3C8"/>
              <w:right w:val="single" w:sz="6" w:space="0" w:color="BFC3C8"/>
            </w:tcBorders>
          </w:tcPr>
          <w:p w14:paraId="7B782088" w14:textId="77777777" w:rsidR="006A5F66" w:rsidRDefault="00000000">
            <w:pPr>
              <w:spacing w:after="0" w:line="259" w:lineRule="auto"/>
              <w:ind w:left="2" w:firstLine="0"/>
              <w:jc w:val="left"/>
            </w:pPr>
            <w:r>
              <w:t xml:space="preserve">628 </w:t>
            </w:r>
          </w:p>
        </w:tc>
        <w:tc>
          <w:tcPr>
            <w:tcW w:w="1798" w:type="dxa"/>
            <w:tcBorders>
              <w:top w:val="single" w:sz="6" w:space="0" w:color="BFC3C8"/>
              <w:left w:val="single" w:sz="6" w:space="0" w:color="BFC3C8"/>
              <w:bottom w:val="single" w:sz="6" w:space="0" w:color="BFC3C8"/>
              <w:right w:val="single" w:sz="6" w:space="0" w:color="BFC3C8"/>
            </w:tcBorders>
          </w:tcPr>
          <w:p w14:paraId="4A850E1F" w14:textId="77777777" w:rsidR="006A5F66" w:rsidRDefault="00000000">
            <w:pPr>
              <w:spacing w:after="0" w:line="259" w:lineRule="auto"/>
              <w:ind w:left="1" w:firstLine="0"/>
              <w:jc w:val="left"/>
            </w:pPr>
            <w:r>
              <w:t xml:space="preserve">1,066 </w:t>
            </w:r>
          </w:p>
        </w:tc>
        <w:tc>
          <w:tcPr>
            <w:tcW w:w="1796" w:type="dxa"/>
            <w:tcBorders>
              <w:top w:val="single" w:sz="6" w:space="0" w:color="BFC3C8"/>
              <w:left w:val="single" w:sz="6" w:space="0" w:color="BFC3C8"/>
              <w:bottom w:val="single" w:sz="6" w:space="0" w:color="BFC3C8"/>
              <w:right w:val="single" w:sz="6" w:space="0" w:color="BFC3C8"/>
            </w:tcBorders>
          </w:tcPr>
          <w:p w14:paraId="6D7B99E5" w14:textId="77777777" w:rsidR="006A5F66" w:rsidRDefault="00000000">
            <w:pPr>
              <w:spacing w:after="0" w:line="259" w:lineRule="auto"/>
              <w:ind w:left="0" w:firstLine="0"/>
              <w:jc w:val="left"/>
            </w:pPr>
            <w:r>
              <w:t xml:space="preserve">1,124 </w:t>
            </w:r>
          </w:p>
        </w:tc>
      </w:tr>
      <w:tr w:rsidR="006A5F66" w14:paraId="1D4EE22A"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5AF14970" w14:textId="77777777" w:rsidR="006A5F66" w:rsidRDefault="00000000">
            <w:pPr>
              <w:spacing w:after="29" w:line="259" w:lineRule="auto"/>
              <w:ind w:left="0" w:firstLine="0"/>
              <w:jc w:val="left"/>
            </w:pPr>
            <w:r>
              <w:rPr>
                <w:b/>
              </w:rPr>
              <w:t xml:space="preserve">Operating </w:t>
            </w:r>
            <w:r>
              <w:t xml:space="preserve"> </w:t>
            </w:r>
          </w:p>
          <w:p w14:paraId="759B41D3" w14:textId="77777777" w:rsidR="006A5F66" w:rsidRDefault="00000000">
            <w:pPr>
              <w:spacing w:after="0" w:line="259" w:lineRule="auto"/>
              <w:ind w:left="0" w:firstLine="0"/>
              <w:jc w:val="left"/>
            </w:pPr>
            <w:r>
              <w:rPr>
                <w:b/>
              </w:rPr>
              <w:t>Margin (%)</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0392A52" w14:textId="77777777" w:rsidR="006A5F66" w:rsidRDefault="00000000">
            <w:pPr>
              <w:spacing w:after="0" w:line="259" w:lineRule="auto"/>
              <w:ind w:left="0" w:firstLine="0"/>
              <w:jc w:val="left"/>
            </w:pPr>
            <w:r>
              <w:rPr>
                <w:b/>
              </w:rPr>
              <w:t>−6.39%</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C197092" w14:textId="77777777" w:rsidR="006A5F66" w:rsidRDefault="00000000">
            <w:pPr>
              <w:spacing w:after="0" w:line="259" w:lineRule="auto"/>
              <w:ind w:left="0" w:firstLine="0"/>
              <w:jc w:val="left"/>
            </w:pPr>
            <w:r>
              <w:rPr>
                <w:b/>
              </w:rPr>
              <w:t>18.37%</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47005047" w14:textId="77777777" w:rsidR="006A5F66" w:rsidRDefault="00000000">
            <w:pPr>
              <w:spacing w:after="0" w:line="259" w:lineRule="auto"/>
              <w:ind w:left="2" w:firstLine="0"/>
              <w:jc w:val="left"/>
            </w:pPr>
            <w:r>
              <w:rPr>
                <w:b/>
              </w:rPr>
              <w:t>16.14%</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2149951" w14:textId="77777777" w:rsidR="006A5F66" w:rsidRDefault="00000000">
            <w:pPr>
              <w:spacing w:after="0" w:line="259" w:lineRule="auto"/>
              <w:ind w:left="1" w:firstLine="0"/>
              <w:jc w:val="left"/>
            </w:pPr>
            <w:r>
              <w:rPr>
                <w:b/>
              </w:rPr>
              <w:t>23.05%</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1B4ABD5A" w14:textId="77777777" w:rsidR="006A5F66" w:rsidRDefault="00000000">
            <w:pPr>
              <w:spacing w:after="0" w:line="259" w:lineRule="auto"/>
              <w:ind w:left="0" w:firstLine="0"/>
              <w:jc w:val="left"/>
            </w:pPr>
            <w:r>
              <w:rPr>
                <w:b/>
              </w:rPr>
              <w:t>22.85%</w:t>
            </w:r>
            <w:r>
              <w:t xml:space="preserve"> </w:t>
            </w:r>
          </w:p>
        </w:tc>
      </w:tr>
    </w:tbl>
    <w:p w14:paraId="76472F22" w14:textId="77777777" w:rsidR="006A5F66" w:rsidRDefault="00000000">
      <w:pPr>
        <w:spacing w:after="245"/>
        <w:ind w:left="17"/>
        <w:jc w:val="left"/>
      </w:pPr>
      <w:r>
        <w:rPr>
          <w:b/>
        </w:rPr>
        <w:t>Formula</w:t>
      </w:r>
      <w:r>
        <w:t xml:space="preserve"> </w:t>
      </w:r>
    </w:p>
    <w:p w14:paraId="23E82F4D" w14:textId="77777777" w:rsidR="006A5F66" w:rsidRDefault="00000000">
      <w:pPr>
        <w:spacing w:after="266"/>
        <w:ind w:left="17" w:right="40"/>
      </w:pPr>
      <w:r>
        <w:t xml:space="preserve">Operating Profit Margin = EBIT ÷ Revenue × 100 </w:t>
      </w:r>
    </w:p>
    <w:p w14:paraId="1D6B71DE" w14:textId="77777777" w:rsidR="006A5F66" w:rsidRDefault="00000000">
      <w:pPr>
        <w:pStyle w:val="Heading4"/>
        <w:spacing w:after="14"/>
        <w:ind w:left="17"/>
      </w:pPr>
      <w:r>
        <w:t xml:space="preserve">Interpretation </w:t>
      </w:r>
    </w:p>
    <w:p w14:paraId="3DFC23C5" w14:textId="77777777" w:rsidR="006A5F66" w:rsidRDefault="00000000">
      <w:pPr>
        <w:ind w:left="17" w:right="40"/>
      </w:pPr>
      <w:r>
        <w:t xml:space="preserve">The operating margin improved considerably during the period 2020–2024, reflecting IHG's strong recovery from the disruption caused by the COVID-19 pandemic and demonstrating the resilience of its asset-light operating model (InterContinental Hotels Group PLC, 2025). The substantial improvement indicates enhanced cost efficiency, increased contributions from high-margin franchise and management fee income, and stronger trading conditions driven by higher occupancy rates and improved Revenue per Available Room (RevPAR). According to Brigham and Ehrhardt (2022), an increasing operating profit margin reflects a company's ability to control operating costs while converting a greater proportion of revenue into operating profit, thereby improving overall operational efficiency. Furthermore, Brealey, Myers and Allen (2023) argue that organisations with consistently strong operating margins are generally better positioned to sustain competitive advantage and </w:t>
      </w:r>
      <w:r>
        <w:lastRenderedPageBreak/>
        <w:t xml:space="preserve">create long-term shareholder value. The slight moderation observed in 2024 is consistent with inflationary cost pressures, wage increases across the hospitality </w:t>
      </w:r>
      <w:proofErr w:type="gramStart"/>
      <w:r>
        <w:t>sector, and</w:t>
      </w:r>
      <w:proofErr w:type="gramEnd"/>
      <w:r>
        <w:t xml:space="preserve"> continued strategic investment to support future hotel openings and business expansion (InterContinental Hotels Group PLC, 2025). Despite this modest decline, the operating margin remained significantly above pre-pandemic levels, demonstrating IHG's continued financial resilience and effective operational management. </w:t>
      </w:r>
    </w:p>
    <w:tbl>
      <w:tblPr>
        <w:tblStyle w:val="TableGrid"/>
        <w:tblW w:w="10786" w:type="dxa"/>
        <w:tblInd w:w="31" w:type="dxa"/>
        <w:tblCellMar>
          <w:top w:w="233" w:type="dxa"/>
          <w:left w:w="127" w:type="dxa"/>
          <w:bottom w:w="164" w:type="dxa"/>
          <w:right w:w="115" w:type="dxa"/>
        </w:tblCellMar>
        <w:tblLook w:val="04A0" w:firstRow="1" w:lastRow="0" w:firstColumn="1" w:lastColumn="0" w:noHBand="0" w:noVBand="1"/>
      </w:tblPr>
      <w:tblGrid>
        <w:gridCol w:w="1915"/>
        <w:gridCol w:w="1681"/>
        <w:gridCol w:w="1796"/>
        <w:gridCol w:w="1800"/>
        <w:gridCol w:w="1798"/>
        <w:gridCol w:w="1796"/>
      </w:tblGrid>
      <w:tr w:rsidR="006A5F66" w14:paraId="10AE8AC1" w14:textId="77777777">
        <w:trPr>
          <w:trHeight w:val="1121"/>
        </w:trPr>
        <w:tc>
          <w:tcPr>
            <w:tcW w:w="1916" w:type="dxa"/>
            <w:tcBorders>
              <w:top w:val="single" w:sz="6" w:space="0" w:color="BFC3C8"/>
              <w:left w:val="single" w:sz="6" w:space="0" w:color="BFC3C8"/>
              <w:bottom w:val="single" w:sz="6" w:space="0" w:color="BFC3C8"/>
              <w:right w:val="single" w:sz="6" w:space="0" w:color="BFC3C8"/>
            </w:tcBorders>
            <w:vAlign w:val="bottom"/>
          </w:tcPr>
          <w:p w14:paraId="0CF51968" w14:textId="77777777" w:rsidR="006A5F66" w:rsidRDefault="00000000">
            <w:pPr>
              <w:spacing w:after="29" w:line="259" w:lineRule="auto"/>
              <w:ind w:left="0" w:firstLine="0"/>
              <w:jc w:val="left"/>
            </w:pPr>
            <w:r>
              <w:rPr>
                <w:b/>
              </w:rPr>
              <w:t xml:space="preserve">Net Profit </w:t>
            </w:r>
            <w:r>
              <w:t xml:space="preserve"> </w:t>
            </w:r>
          </w:p>
          <w:p w14:paraId="31DC6048" w14:textId="77777777" w:rsidR="006A5F66" w:rsidRDefault="00000000">
            <w:pPr>
              <w:spacing w:after="0" w:line="259" w:lineRule="auto"/>
              <w:ind w:left="0" w:firstLine="0"/>
              <w:jc w:val="left"/>
            </w:pPr>
            <w:r>
              <w:rPr>
                <w:b/>
              </w:rPr>
              <w:t>Margin</w:t>
            </w:r>
            <w:r>
              <w:t xml:space="preserve"> </w:t>
            </w:r>
          </w:p>
        </w:tc>
        <w:tc>
          <w:tcPr>
            <w:tcW w:w="1681" w:type="dxa"/>
            <w:tcBorders>
              <w:top w:val="single" w:sz="6" w:space="0" w:color="BFC3C8"/>
              <w:left w:val="single" w:sz="6" w:space="0" w:color="BFC3C8"/>
              <w:bottom w:val="single" w:sz="6" w:space="0" w:color="BFC3C8"/>
              <w:right w:val="single" w:sz="6" w:space="0" w:color="BFC3C8"/>
            </w:tcBorders>
          </w:tcPr>
          <w:p w14:paraId="6E667827" w14:textId="77777777" w:rsidR="006A5F66" w:rsidRDefault="00000000">
            <w:pPr>
              <w:spacing w:after="0" w:line="259" w:lineRule="auto"/>
              <w:ind w:left="2"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C1C73BD"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1A91185E"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B60879E"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513F9E73" w14:textId="77777777" w:rsidR="006A5F66" w:rsidRDefault="00000000">
            <w:pPr>
              <w:spacing w:after="0" w:line="259" w:lineRule="auto"/>
              <w:ind w:left="0" w:firstLine="0"/>
              <w:jc w:val="left"/>
            </w:pPr>
            <w:r>
              <w:rPr>
                <w:b/>
              </w:rPr>
              <w:t>2024</w:t>
            </w:r>
            <w:r>
              <w:t xml:space="preserve"> </w:t>
            </w:r>
          </w:p>
        </w:tc>
      </w:tr>
      <w:tr w:rsidR="006A5F66" w14:paraId="794F25F3" w14:textId="77777777">
        <w:trPr>
          <w:trHeight w:val="1118"/>
        </w:trPr>
        <w:tc>
          <w:tcPr>
            <w:tcW w:w="1916" w:type="dxa"/>
            <w:tcBorders>
              <w:top w:val="single" w:sz="6" w:space="0" w:color="BFC3C8"/>
              <w:left w:val="single" w:sz="6" w:space="0" w:color="BFC3C8"/>
              <w:bottom w:val="single" w:sz="6" w:space="0" w:color="BFC3C8"/>
              <w:right w:val="single" w:sz="6" w:space="0" w:color="BFC3C8"/>
            </w:tcBorders>
            <w:vAlign w:val="bottom"/>
          </w:tcPr>
          <w:p w14:paraId="130DD3F3" w14:textId="77777777" w:rsidR="006A5F66" w:rsidRDefault="00000000">
            <w:pPr>
              <w:spacing w:after="12" w:line="259" w:lineRule="auto"/>
              <w:ind w:left="0" w:firstLine="0"/>
              <w:jc w:val="left"/>
            </w:pPr>
            <w:r>
              <w:t xml:space="preserve">Net Profit  </w:t>
            </w:r>
          </w:p>
          <w:p w14:paraId="1488CFD8" w14:textId="77777777" w:rsidR="006A5F66" w:rsidRDefault="00000000">
            <w:pPr>
              <w:spacing w:after="0" w:line="259" w:lineRule="auto"/>
              <w:ind w:left="0" w:firstLine="0"/>
              <w:jc w:val="left"/>
            </w:pPr>
            <w:r>
              <w:t>(</w:t>
            </w:r>
            <w:proofErr w:type="spellStart"/>
            <w:r>
              <w:t>US$m</w:t>
            </w:r>
            <w:proofErr w:type="spellEnd"/>
            <w:r>
              <w:t xml:space="preserve">) </w:t>
            </w:r>
          </w:p>
        </w:tc>
        <w:tc>
          <w:tcPr>
            <w:tcW w:w="1681" w:type="dxa"/>
            <w:tcBorders>
              <w:top w:val="single" w:sz="6" w:space="0" w:color="BFC3C8"/>
              <w:left w:val="single" w:sz="6" w:space="0" w:color="BFC3C8"/>
              <w:bottom w:val="single" w:sz="6" w:space="0" w:color="BFC3C8"/>
              <w:right w:val="single" w:sz="6" w:space="0" w:color="BFC3C8"/>
            </w:tcBorders>
          </w:tcPr>
          <w:p w14:paraId="5F9A5EA5" w14:textId="77777777" w:rsidR="006A5F66" w:rsidRDefault="00000000">
            <w:pPr>
              <w:spacing w:after="0" w:line="259" w:lineRule="auto"/>
              <w:ind w:left="2" w:firstLine="0"/>
              <w:jc w:val="left"/>
            </w:pPr>
            <w:r>
              <w:t xml:space="preserve">260 </w:t>
            </w:r>
          </w:p>
        </w:tc>
        <w:tc>
          <w:tcPr>
            <w:tcW w:w="1796" w:type="dxa"/>
            <w:tcBorders>
              <w:top w:val="single" w:sz="6" w:space="0" w:color="BFC3C8"/>
              <w:left w:val="single" w:sz="6" w:space="0" w:color="BFC3C8"/>
              <w:bottom w:val="single" w:sz="6" w:space="0" w:color="BFC3C8"/>
              <w:right w:val="single" w:sz="6" w:space="0" w:color="BFC3C8"/>
            </w:tcBorders>
          </w:tcPr>
          <w:p w14:paraId="402DBD3A" w14:textId="77777777" w:rsidR="006A5F66" w:rsidRDefault="00000000">
            <w:pPr>
              <w:spacing w:after="0" w:line="259" w:lineRule="auto"/>
              <w:ind w:left="0" w:firstLine="0"/>
              <w:jc w:val="left"/>
            </w:pPr>
            <w:r>
              <w:t xml:space="preserve">367 </w:t>
            </w:r>
          </w:p>
        </w:tc>
        <w:tc>
          <w:tcPr>
            <w:tcW w:w="1800" w:type="dxa"/>
            <w:tcBorders>
              <w:top w:val="single" w:sz="6" w:space="0" w:color="BFC3C8"/>
              <w:left w:val="single" w:sz="6" w:space="0" w:color="BFC3C8"/>
              <w:bottom w:val="single" w:sz="6" w:space="0" w:color="BFC3C8"/>
              <w:right w:val="single" w:sz="6" w:space="0" w:color="BFC3C8"/>
            </w:tcBorders>
          </w:tcPr>
          <w:p w14:paraId="35C13961" w14:textId="77777777" w:rsidR="006A5F66" w:rsidRDefault="00000000">
            <w:pPr>
              <w:spacing w:after="0" w:line="259" w:lineRule="auto"/>
              <w:ind w:left="2" w:firstLine="0"/>
              <w:jc w:val="left"/>
            </w:pPr>
            <w:r>
              <w:t xml:space="preserve">540 </w:t>
            </w:r>
          </w:p>
        </w:tc>
        <w:tc>
          <w:tcPr>
            <w:tcW w:w="1798" w:type="dxa"/>
            <w:tcBorders>
              <w:top w:val="single" w:sz="6" w:space="0" w:color="BFC3C8"/>
              <w:left w:val="single" w:sz="6" w:space="0" w:color="BFC3C8"/>
              <w:bottom w:val="single" w:sz="6" w:space="0" w:color="BFC3C8"/>
              <w:right w:val="single" w:sz="6" w:space="0" w:color="BFC3C8"/>
            </w:tcBorders>
          </w:tcPr>
          <w:p w14:paraId="50C319E0" w14:textId="77777777" w:rsidR="006A5F66" w:rsidRDefault="00000000">
            <w:pPr>
              <w:spacing w:after="0" w:line="259" w:lineRule="auto"/>
              <w:ind w:left="1" w:firstLine="0"/>
              <w:jc w:val="left"/>
            </w:pPr>
            <w:r>
              <w:t xml:space="preserve">750 </w:t>
            </w:r>
          </w:p>
        </w:tc>
        <w:tc>
          <w:tcPr>
            <w:tcW w:w="1796" w:type="dxa"/>
            <w:tcBorders>
              <w:top w:val="single" w:sz="6" w:space="0" w:color="BFC3C8"/>
              <w:left w:val="single" w:sz="6" w:space="0" w:color="BFC3C8"/>
              <w:bottom w:val="single" w:sz="6" w:space="0" w:color="BFC3C8"/>
              <w:right w:val="single" w:sz="6" w:space="0" w:color="BFC3C8"/>
            </w:tcBorders>
          </w:tcPr>
          <w:p w14:paraId="67C485D5" w14:textId="77777777" w:rsidR="006A5F66" w:rsidRDefault="00000000">
            <w:pPr>
              <w:spacing w:after="0" w:line="259" w:lineRule="auto"/>
              <w:ind w:left="0" w:firstLine="0"/>
              <w:jc w:val="left"/>
            </w:pPr>
            <w:r>
              <w:t xml:space="preserve">819 </w:t>
            </w:r>
          </w:p>
        </w:tc>
      </w:tr>
      <w:tr w:rsidR="006A5F66" w14:paraId="3999C22B" w14:textId="77777777">
        <w:trPr>
          <w:trHeight w:val="1121"/>
        </w:trPr>
        <w:tc>
          <w:tcPr>
            <w:tcW w:w="1916" w:type="dxa"/>
            <w:tcBorders>
              <w:top w:val="single" w:sz="6" w:space="0" w:color="BFC3C8"/>
              <w:left w:val="single" w:sz="6" w:space="0" w:color="BFC3C8"/>
              <w:bottom w:val="single" w:sz="6" w:space="0" w:color="BFC3C8"/>
              <w:right w:val="single" w:sz="6" w:space="0" w:color="BFC3C8"/>
            </w:tcBorders>
            <w:vAlign w:val="bottom"/>
          </w:tcPr>
          <w:p w14:paraId="6C6FD8DB" w14:textId="77777777" w:rsidR="006A5F66" w:rsidRDefault="00000000">
            <w:pPr>
              <w:spacing w:after="12" w:line="259" w:lineRule="auto"/>
              <w:ind w:left="0" w:firstLine="0"/>
              <w:jc w:val="left"/>
            </w:pPr>
            <w:r>
              <w:t xml:space="preserve">Revenue  </w:t>
            </w:r>
          </w:p>
          <w:p w14:paraId="19DF33E2" w14:textId="77777777" w:rsidR="006A5F66" w:rsidRDefault="00000000">
            <w:pPr>
              <w:spacing w:after="0" w:line="259" w:lineRule="auto"/>
              <w:ind w:left="0" w:firstLine="0"/>
              <w:jc w:val="left"/>
            </w:pPr>
            <w:r>
              <w:t>(</w:t>
            </w:r>
            <w:proofErr w:type="spellStart"/>
            <w:r>
              <w:t>US$m</w:t>
            </w:r>
            <w:proofErr w:type="spellEnd"/>
            <w:r>
              <w:t xml:space="preserve">) </w:t>
            </w:r>
          </w:p>
        </w:tc>
        <w:tc>
          <w:tcPr>
            <w:tcW w:w="1681" w:type="dxa"/>
            <w:tcBorders>
              <w:top w:val="single" w:sz="6" w:space="0" w:color="BFC3C8"/>
              <w:left w:val="single" w:sz="6" w:space="0" w:color="BFC3C8"/>
              <w:bottom w:val="single" w:sz="6" w:space="0" w:color="BFC3C8"/>
              <w:right w:val="single" w:sz="6" w:space="0" w:color="BFC3C8"/>
            </w:tcBorders>
          </w:tcPr>
          <w:p w14:paraId="22D6355A" w14:textId="77777777" w:rsidR="006A5F66" w:rsidRDefault="00000000">
            <w:pPr>
              <w:spacing w:after="0" w:line="259" w:lineRule="auto"/>
              <w:ind w:left="2" w:firstLine="0"/>
              <w:jc w:val="left"/>
            </w:pPr>
            <w:r>
              <w:t xml:space="preserve">2,394  </w:t>
            </w:r>
          </w:p>
        </w:tc>
        <w:tc>
          <w:tcPr>
            <w:tcW w:w="1796" w:type="dxa"/>
            <w:tcBorders>
              <w:top w:val="single" w:sz="6" w:space="0" w:color="BFC3C8"/>
              <w:left w:val="single" w:sz="6" w:space="0" w:color="BFC3C8"/>
              <w:bottom w:val="single" w:sz="6" w:space="0" w:color="BFC3C8"/>
              <w:right w:val="single" w:sz="6" w:space="0" w:color="BFC3C8"/>
            </w:tcBorders>
          </w:tcPr>
          <w:p w14:paraId="0EC985C8" w14:textId="77777777" w:rsidR="006A5F66" w:rsidRDefault="00000000">
            <w:pPr>
              <w:spacing w:after="0" w:line="259" w:lineRule="auto"/>
              <w:ind w:left="0" w:firstLine="0"/>
              <w:jc w:val="left"/>
            </w:pPr>
            <w:r>
              <w:t xml:space="preserve">2,907 </w:t>
            </w:r>
          </w:p>
        </w:tc>
        <w:tc>
          <w:tcPr>
            <w:tcW w:w="1800" w:type="dxa"/>
            <w:tcBorders>
              <w:top w:val="single" w:sz="6" w:space="0" w:color="BFC3C8"/>
              <w:left w:val="single" w:sz="6" w:space="0" w:color="BFC3C8"/>
              <w:bottom w:val="single" w:sz="6" w:space="0" w:color="BFC3C8"/>
              <w:right w:val="single" w:sz="6" w:space="0" w:color="BFC3C8"/>
            </w:tcBorders>
          </w:tcPr>
          <w:p w14:paraId="641DF317" w14:textId="77777777" w:rsidR="006A5F66" w:rsidRDefault="00000000">
            <w:pPr>
              <w:spacing w:after="0" w:line="259" w:lineRule="auto"/>
              <w:ind w:left="2" w:firstLine="0"/>
              <w:jc w:val="left"/>
            </w:pPr>
            <w:r>
              <w:t xml:space="preserve">3,892 </w:t>
            </w:r>
          </w:p>
        </w:tc>
        <w:tc>
          <w:tcPr>
            <w:tcW w:w="1798" w:type="dxa"/>
            <w:tcBorders>
              <w:top w:val="single" w:sz="6" w:space="0" w:color="BFC3C8"/>
              <w:left w:val="single" w:sz="6" w:space="0" w:color="BFC3C8"/>
              <w:bottom w:val="single" w:sz="6" w:space="0" w:color="BFC3C8"/>
              <w:right w:val="single" w:sz="6" w:space="0" w:color="BFC3C8"/>
            </w:tcBorders>
          </w:tcPr>
          <w:p w14:paraId="6C03A45A" w14:textId="77777777" w:rsidR="006A5F66" w:rsidRDefault="00000000">
            <w:pPr>
              <w:spacing w:after="0" w:line="259" w:lineRule="auto"/>
              <w:ind w:left="1" w:firstLine="0"/>
              <w:jc w:val="left"/>
            </w:pPr>
            <w:r>
              <w:t xml:space="preserve">4,624 </w:t>
            </w:r>
          </w:p>
        </w:tc>
        <w:tc>
          <w:tcPr>
            <w:tcW w:w="1796" w:type="dxa"/>
            <w:tcBorders>
              <w:top w:val="single" w:sz="6" w:space="0" w:color="BFC3C8"/>
              <w:left w:val="single" w:sz="6" w:space="0" w:color="BFC3C8"/>
              <w:bottom w:val="single" w:sz="6" w:space="0" w:color="BFC3C8"/>
              <w:right w:val="single" w:sz="6" w:space="0" w:color="BFC3C8"/>
            </w:tcBorders>
          </w:tcPr>
          <w:p w14:paraId="62C4F938" w14:textId="77777777" w:rsidR="006A5F66" w:rsidRDefault="00000000">
            <w:pPr>
              <w:spacing w:after="0" w:line="259" w:lineRule="auto"/>
              <w:ind w:left="0" w:firstLine="0"/>
              <w:jc w:val="left"/>
            </w:pPr>
            <w:r>
              <w:t xml:space="preserve">4,920 </w:t>
            </w:r>
          </w:p>
        </w:tc>
      </w:tr>
      <w:tr w:rsidR="006A5F66" w14:paraId="7B0892B3" w14:textId="77777777">
        <w:trPr>
          <w:trHeight w:val="1121"/>
        </w:trPr>
        <w:tc>
          <w:tcPr>
            <w:tcW w:w="1916" w:type="dxa"/>
            <w:tcBorders>
              <w:top w:val="single" w:sz="6" w:space="0" w:color="BFC3C8"/>
              <w:left w:val="single" w:sz="6" w:space="0" w:color="BFC3C8"/>
              <w:bottom w:val="single" w:sz="6" w:space="0" w:color="BFC3C8"/>
              <w:right w:val="single" w:sz="6" w:space="0" w:color="BFC3C8"/>
            </w:tcBorders>
            <w:vAlign w:val="bottom"/>
          </w:tcPr>
          <w:p w14:paraId="5ABAC9E1" w14:textId="77777777" w:rsidR="006A5F66" w:rsidRDefault="00000000">
            <w:pPr>
              <w:spacing w:after="11" w:line="259" w:lineRule="auto"/>
              <w:ind w:left="0" w:firstLine="0"/>
              <w:jc w:val="left"/>
            </w:pPr>
            <w:r>
              <w:rPr>
                <w:b/>
              </w:rPr>
              <w:t xml:space="preserve">Net Profit </w:t>
            </w:r>
            <w:r>
              <w:t xml:space="preserve"> </w:t>
            </w:r>
          </w:p>
          <w:p w14:paraId="4ADFA9E9" w14:textId="77777777" w:rsidR="006A5F66" w:rsidRDefault="00000000">
            <w:pPr>
              <w:spacing w:after="0" w:line="259" w:lineRule="auto"/>
              <w:ind w:left="0" w:firstLine="0"/>
              <w:jc w:val="left"/>
            </w:pPr>
            <w:r>
              <w:rPr>
                <w:b/>
              </w:rPr>
              <w:t>Margin (%)</w:t>
            </w:r>
            <w:r>
              <w:t xml:space="preserve"> </w:t>
            </w:r>
          </w:p>
        </w:tc>
        <w:tc>
          <w:tcPr>
            <w:tcW w:w="1681" w:type="dxa"/>
            <w:tcBorders>
              <w:top w:val="single" w:sz="6" w:space="0" w:color="BFC3C8"/>
              <w:left w:val="single" w:sz="6" w:space="0" w:color="BFC3C8"/>
              <w:bottom w:val="single" w:sz="6" w:space="0" w:color="BFC3C8"/>
              <w:right w:val="single" w:sz="6" w:space="0" w:color="BFC3C8"/>
            </w:tcBorders>
          </w:tcPr>
          <w:p w14:paraId="01861C13" w14:textId="77777777" w:rsidR="006A5F66" w:rsidRDefault="00000000">
            <w:pPr>
              <w:spacing w:after="0" w:line="259" w:lineRule="auto"/>
              <w:ind w:left="2" w:firstLine="0"/>
              <w:jc w:val="left"/>
            </w:pPr>
            <w:r>
              <w:rPr>
                <w:b/>
              </w:rPr>
              <w:t>−10.9%</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10EFC2DF" w14:textId="77777777" w:rsidR="006A5F66" w:rsidRDefault="00000000">
            <w:pPr>
              <w:spacing w:after="0" w:line="259" w:lineRule="auto"/>
              <w:ind w:left="0" w:firstLine="0"/>
              <w:jc w:val="left"/>
            </w:pPr>
            <w:r>
              <w:rPr>
                <w:b/>
              </w:rPr>
              <w:t>12.63%</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5913A0CE" w14:textId="77777777" w:rsidR="006A5F66" w:rsidRDefault="00000000">
            <w:pPr>
              <w:spacing w:after="0" w:line="259" w:lineRule="auto"/>
              <w:ind w:left="2" w:firstLine="0"/>
              <w:jc w:val="left"/>
            </w:pPr>
            <w:r>
              <w:rPr>
                <w:b/>
              </w:rPr>
              <w:t>13.87%</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10CE23A" w14:textId="77777777" w:rsidR="006A5F66" w:rsidRDefault="00000000">
            <w:pPr>
              <w:spacing w:after="0" w:line="259" w:lineRule="auto"/>
              <w:ind w:left="1" w:firstLine="0"/>
              <w:jc w:val="left"/>
            </w:pPr>
            <w:r>
              <w:rPr>
                <w:b/>
              </w:rPr>
              <w:t>16.22%</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64FB611" w14:textId="77777777" w:rsidR="006A5F66" w:rsidRDefault="00000000">
            <w:pPr>
              <w:spacing w:after="0" w:line="259" w:lineRule="auto"/>
              <w:ind w:left="0" w:firstLine="0"/>
              <w:jc w:val="left"/>
            </w:pPr>
            <w:r>
              <w:rPr>
                <w:b/>
              </w:rPr>
              <w:t>16.65%</w:t>
            </w:r>
            <w:r>
              <w:t xml:space="preserve"> </w:t>
            </w:r>
          </w:p>
        </w:tc>
      </w:tr>
    </w:tbl>
    <w:p w14:paraId="12F0C5C8" w14:textId="77777777" w:rsidR="006A5F66" w:rsidRDefault="00000000">
      <w:pPr>
        <w:spacing w:after="245"/>
        <w:ind w:left="17"/>
        <w:jc w:val="left"/>
      </w:pPr>
      <w:r>
        <w:rPr>
          <w:b/>
        </w:rPr>
        <w:t>Formula</w:t>
      </w:r>
      <w:r>
        <w:t xml:space="preserve"> </w:t>
      </w:r>
    </w:p>
    <w:p w14:paraId="39E03ABC" w14:textId="77777777" w:rsidR="006A5F66" w:rsidRDefault="00000000">
      <w:pPr>
        <w:ind w:left="17" w:right="40"/>
      </w:pPr>
      <w:r>
        <w:t xml:space="preserve">Net Profit Margin = Net Profit ÷ Revenue × 100 </w:t>
      </w:r>
    </w:p>
    <w:p w14:paraId="6A3A1729" w14:textId="77777777" w:rsidR="006A5F66" w:rsidRDefault="00000000">
      <w:pPr>
        <w:pStyle w:val="Heading4"/>
        <w:ind w:left="17"/>
      </w:pPr>
      <w:r>
        <w:t xml:space="preserve">Interpretation </w:t>
      </w:r>
    </w:p>
    <w:p w14:paraId="51976A11" w14:textId="77777777" w:rsidR="006A5F66" w:rsidRDefault="00000000">
      <w:pPr>
        <w:ind w:left="17" w:right="40"/>
      </w:pPr>
      <w:r>
        <w:t xml:space="preserve">Net profit margin improved significantly following the pandemic, reflecting stronger earnings quality, effective cost control, and robust financial management (InterContinental Hotels Group PLC, 2025). The slight variation in 2024 was influenced by higher financing costs, inflationary pressures, and taxation, although recurring fee income continued to support overall profitability (Brigham and Ehrhardt, 2022). </w:t>
      </w:r>
    </w:p>
    <w:tbl>
      <w:tblPr>
        <w:tblStyle w:val="TableGrid"/>
        <w:tblW w:w="10786" w:type="dxa"/>
        <w:tblInd w:w="31" w:type="dxa"/>
        <w:tblCellMar>
          <w:top w:w="230" w:type="dxa"/>
          <w:left w:w="127" w:type="dxa"/>
          <w:bottom w:w="167" w:type="dxa"/>
          <w:right w:w="115" w:type="dxa"/>
        </w:tblCellMar>
        <w:tblLook w:val="04A0" w:firstRow="1" w:lastRow="0" w:firstColumn="1" w:lastColumn="0" w:noHBand="0" w:noVBand="1"/>
      </w:tblPr>
      <w:tblGrid>
        <w:gridCol w:w="1798"/>
        <w:gridCol w:w="1798"/>
        <w:gridCol w:w="1796"/>
        <w:gridCol w:w="1800"/>
        <w:gridCol w:w="1798"/>
        <w:gridCol w:w="1796"/>
      </w:tblGrid>
      <w:tr w:rsidR="006A5F66" w14:paraId="276B6375" w14:textId="77777777">
        <w:trPr>
          <w:trHeight w:val="1791"/>
        </w:trPr>
        <w:tc>
          <w:tcPr>
            <w:tcW w:w="1798" w:type="dxa"/>
            <w:tcBorders>
              <w:top w:val="single" w:sz="6" w:space="0" w:color="BFC3C8"/>
              <w:left w:val="single" w:sz="6" w:space="0" w:color="BFC3C8"/>
              <w:bottom w:val="single" w:sz="6" w:space="0" w:color="BFC3C8"/>
              <w:right w:val="single" w:sz="6" w:space="0" w:color="BFC3C8"/>
            </w:tcBorders>
            <w:vAlign w:val="bottom"/>
          </w:tcPr>
          <w:p w14:paraId="38CCF6C7" w14:textId="77777777" w:rsidR="006A5F66" w:rsidRDefault="00000000">
            <w:pPr>
              <w:spacing w:after="0" w:line="277" w:lineRule="auto"/>
              <w:ind w:left="0" w:firstLine="0"/>
              <w:jc w:val="left"/>
            </w:pPr>
            <w:r>
              <w:rPr>
                <w:b/>
              </w:rPr>
              <w:t xml:space="preserve">Return </w:t>
            </w:r>
            <w:proofErr w:type="gramStart"/>
            <w:r>
              <w:rPr>
                <w:b/>
              </w:rPr>
              <w:t xml:space="preserve">on </w:t>
            </w:r>
            <w:r>
              <w:t xml:space="preserve"> </w:t>
            </w:r>
            <w:r>
              <w:rPr>
                <w:b/>
              </w:rPr>
              <w:t>Capital</w:t>
            </w:r>
            <w:proofErr w:type="gramEnd"/>
            <w:r>
              <w:rPr>
                <w:b/>
              </w:rPr>
              <w:t xml:space="preserve"> </w:t>
            </w:r>
            <w:r>
              <w:t xml:space="preserve"> </w:t>
            </w:r>
            <w:r>
              <w:rPr>
                <w:b/>
              </w:rPr>
              <w:t xml:space="preserve">Employed </w:t>
            </w:r>
            <w:r>
              <w:t xml:space="preserve"> </w:t>
            </w:r>
          </w:p>
          <w:p w14:paraId="2A23F9A6" w14:textId="77777777" w:rsidR="006A5F66" w:rsidRDefault="00000000">
            <w:pPr>
              <w:spacing w:after="0" w:line="259" w:lineRule="auto"/>
              <w:ind w:left="0" w:firstLine="0"/>
              <w:jc w:val="left"/>
            </w:pPr>
            <w:r>
              <w:rPr>
                <w:b/>
              </w:rPr>
              <w:t>(ROCE)</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12D287A"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7C769B9F"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6D3D11A7"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ADB2D46"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2564CF24" w14:textId="77777777" w:rsidR="006A5F66" w:rsidRDefault="00000000">
            <w:pPr>
              <w:spacing w:after="0" w:line="259" w:lineRule="auto"/>
              <w:ind w:left="0" w:firstLine="0"/>
              <w:jc w:val="left"/>
            </w:pPr>
            <w:r>
              <w:rPr>
                <w:b/>
              </w:rPr>
              <w:t>2024</w:t>
            </w:r>
            <w:r>
              <w:t xml:space="preserve"> </w:t>
            </w:r>
          </w:p>
        </w:tc>
      </w:tr>
      <w:tr w:rsidR="006A5F66" w14:paraId="1C23804F" w14:textId="77777777">
        <w:trPr>
          <w:trHeight w:val="782"/>
        </w:trPr>
        <w:tc>
          <w:tcPr>
            <w:tcW w:w="1798" w:type="dxa"/>
            <w:tcBorders>
              <w:top w:val="single" w:sz="6" w:space="0" w:color="BFC3C8"/>
              <w:left w:val="single" w:sz="6" w:space="0" w:color="BFC3C8"/>
              <w:bottom w:val="single" w:sz="6" w:space="0" w:color="BFC3C8"/>
              <w:right w:val="single" w:sz="6" w:space="0" w:color="BFC3C8"/>
            </w:tcBorders>
            <w:vAlign w:val="bottom"/>
          </w:tcPr>
          <w:p w14:paraId="5DD34F00" w14:textId="77777777" w:rsidR="006A5F66" w:rsidRDefault="00000000">
            <w:pPr>
              <w:spacing w:after="0" w:line="259" w:lineRule="auto"/>
              <w:ind w:left="0" w:firstLine="0"/>
              <w:jc w:val="left"/>
            </w:pPr>
            <w:r>
              <w:t>EBIT (</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0E8AA87E" w14:textId="77777777" w:rsidR="006A5F66" w:rsidRDefault="00000000">
            <w:pPr>
              <w:spacing w:after="0" w:line="259" w:lineRule="auto"/>
              <w:ind w:left="0" w:firstLine="0"/>
              <w:jc w:val="left"/>
            </w:pPr>
            <w:r>
              <w:t xml:space="preserve">153 </w:t>
            </w:r>
          </w:p>
        </w:tc>
        <w:tc>
          <w:tcPr>
            <w:tcW w:w="1796" w:type="dxa"/>
            <w:tcBorders>
              <w:top w:val="single" w:sz="6" w:space="0" w:color="BFC3C8"/>
              <w:left w:val="single" w:sz="6" w:space="0" w:color="BFC3C8"/>
              <w:bottom w:val="single" w:sz="6" w:space="0" w:color="BFC3C8"/>
              <w:right w:val="single" w:sz="6" w:space="0" w:color="BFC3C8"/>
            </w:tcBorders>
            <w:vAlign w:val="bottom"/>
          </w:tcPr>
          <w:p w14:paraId="786E960E" w14:textId="77777777" w:rsidR="006A5F66" w:rsidRDefault="00000000">
            <w:pPr>
              <w:spacing w:after="0" w:line="259" w:lineRule="auto"/>
              <w:ind w:left="0" w:firstLine="0"/>
              <w:jc w:val="left"/>
            </w:pPr>
            <w:r>
              <w:t xml:space="preserve">534 </w:t>
            </w:r>
          </w:p>
        </w:tc>
        <w:tc>
          <w:tcPr>
            <w:tcW w:w="1800" w:type="dxa"/>
            <w:tcBorders>
              <w:top w:val="single" w:sz="6" w:space="0" w:color="BFC3C8"/>
              <w:left w:val="single" w:sz="6" w:space="0" w:color="BFC3C8"/>
              <w:bottom w:val="single" w:sz="6" w:space="0" w:color="BFC3C8"/>
              <w:right w:val="single" w:sz="6" w:space="0" w:color="BFC3C8"/>
            </w:tcBorders>
            <w:vAlign w:val="bottom"/>
          </w:tcPr>
          <w:p w14:paraId="457F7E56" w14:textId="77777777" w:rsidR="006A5F66" w:rsidRDefault="00000000">
            <w:pPr>
              <w:spacing w:after="0" w:line="259" w:lineRule="auto"/>
              <w:ind w:left="2" w:firstLine="0"/>
              <w:jc w:val="left"/>
            </w:pPr>
            <w:r>
              <w:t xml:space="preserve">628 </w:t>
            </w:r>
          </w:p>
        </w:tc>
        <w:tc>
          <w:tcPr>
            <w:tcW w:w="1798" w:type="dxa"/>
            <w:tcBorders>
              <w:top w:val="single" w:sz="6" w:space="0" w:color="BFC3C8"/>
              <w:left w:val="single" w:sz="6" w:space="0" w:color="BFC3C8"/>
              <w:bottom w:val="single" w:sz="6" w:space="0" w:color="BFC3C8"/>
              <w:right w:val="single" w:sz="6" w:space="0" w:color="BFC3C8"/>
            </w:tcBorders>
            <w:vAlign w:val="bottom"/>
          </w:tcPr>
          <w:p w14:paraId="471E8EC5" w14:textId="77777777" w:rsidR="006A5F66" w:rsidRDefault="00000000">
            <w:pPr>
              <w:spacing w:after="0" w:line="259" w:lineRule="auto"/>
              <w:ind w:left="1" w:firstLine="0"/>
              <w:jc w:val="left"/>
            </w:pPr>
            <w:r>
              <w:t xml:space="preserve">1,066 </w:t>
            </w:r>
          </w:p>
        </w:tc>
        <w:tc>
          <w:tcPr>
            <w:tcW w:w="1796" w:type="dxa"/>
            <w:tcBorders>
              <w:top w:val="single" w:sz="6" w:space="0" w:color="BFC3C8"/>
              <w:left w:val="single" w:sz="6" w:space="0" w:color="BFC3C8"/>
              <w:bottom w:val="single" w:sz="6" w:space="0" w:color="BFC3C8"/>
              <w:right w:val="single" w:sz="6" w:space="0" w:color="BFC3C8"/>
            </w:tcBorders>
            <w:vAlign w:val="bottom"/>
          </w:tcPr>
          <w:p w14:paraId="7A57FA1F" w14:textId="77777777" w:rsidR="006A5F66" w:rsidRDefault="00000000">
            <w:pPr>
              <w:spacing w:after="0" w:line="259" w:lineRule="auto"/>
              <w:ind w:left="0" w:firstLine="0"/>
              <w:jc w:val="left"/>
            </w:pPr>
            <w:r>
              <w:t xml:space="preserve">1,124 </w:t>
            </w:r>
          </w:p>
        </w:tc>
      </w:tr>
      <w:tr w:rsidR="006A5F66" w14:paraId="546877D4" w14:textId="77777777">
        <w:trPr>
          <w:trHeight w:val="1453"/>
        </w:trPr>
        <w:tc>
          <w:tcPr>
            <w:tcW w:w="1798" w:type="dxa"/>
            <w:tcBorders>
              <w:top w:val="single" w:sz="6" w:space="0" w:color="BFC3C8"/>
              <w:left w:val="single" w:sz="6" w:space="0" w:color="BFC3C8"/>
              <w:bottom w:val="single" w:sz="6" w:space="0" w:color="BFC3C8"/>
              <w:right w:val="single" w:sz="6" w:space="0" w:color="BFC3C8"/>
            </w:tcBorders>
            <w:vAlign w:val="bottom"/>
          </w:tcPr>
          <w:p w14:paraId="18FE12B8" w14:textId="77777777" w:rsidR="006A5F66" w:rsidRDefault="00000000">
            <w:pPr>
              <w:spacing w:after="10" w:line="259" w:lineRule="auto"/>
              <w:ind w:left="0" w:firstLine="0"/>
              <w:jc w:val="left"/>
            </w:pPr>
            <w:r>
              <w:lastRenderedPageBreak/>
              <w:t xml:space="preserve">Capital  </w:t>
            </w:r>
          </w:p>
          <w:p w14:paraId="6620E346" w14:textId="77777777" w:rsidR="006A5F66" w:rsidRDefault="00000000">
            <w:pPr>
              <w:spacing w:after="29" w:line="259" w:lineRule="auto"/>
              <w:ind w:left="0" w:firstLine="0"/>
              <w:jc w:val="left"/>
            </w:pPr>
            <w:r>
              <w:t xml:space="preserve">Employed  </w:t>
            </w:r>
          </w:p>
          <w:p w14:paraId="16BBEABF"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2294D98" w14:textId="77777777" w:rsidR="006A5F66" w:rsidRDefault="00000000">
            <w:pPr>
              <w:spacing w:after="0" w:line="259" w:lineRule="auto"/>
              <w:ind w:left="0" w:firstLine="0"/>
              <w:jc w:val="left"/>
            </w:pPr>
            <w:r>
              <w:t xml:space="preserve">3,172  </w:t>
            </w:r>
          </w:p>
        </w:tc>
        <w:tc>
          <w:tcPr>
            <w:tcW w:w="1796" w:type="dxa"/>
            <w:tcBorders>
              <w:top w:val="single" w:sz="6" w:space="0" w:color="BFC3C8"/>
              <w:left w:val="single" w:sz="6" w:space="0" w:color="BFC3C8"/>
              <w:bottom w:val="single" w:sz="6" w:space="0" w:color="BFC3C8"/>
              <w:right w:val="single" w:sz="6" w:space="0" w:color="BFC3C8"/>
            </w:tcBorders>
          </w:tcPr>
          <w:p w14:paraId="4592A080" w14:textId="77777777" w:rsidR="006A5F66" w:rsidRDefault="00000000">
            <w:pPr>
              <w:spacing w:after="0" w:line="259" w:lineRule="auto"/>
              <w:ind w:left="0" w:firstLine="0"/>
              <w:jc w:val="left"/>
            </w:pPr>
            <w:r>
              <w:t xml:space="preserve">3,381 </w:t>
            </w:r>
          </w:p>
        </w:tc>
        <w:tc>
          <w:tcPr>
            <w:tcW w:w="1800" w:type="dxa"/>
            <w:tcBorders>
              <w:top w:val="single" w:sz="6" w:space="0" w:color="BFC3C8"/>
              <w:left w:val="single" w:sz="6" w:space="0" w:color="BFC3C8"/>
              <w:bottom w:val="single" w:sz="6" w:space="0" w:color="BFC3C8"/>
              <w:right w:val="single" w:sz="6" w:space="0" w:color="BFC3C8"/>
            </w:tcBorders>
          </w:tcPr>
          <w:p w14:paraId="25243800" w14:textId="77777777" w:rsidR="006A5F66" w:rsidRDefault="00000000">
            <w:pPr>
              <w:spacing w:after="0" w:line="259" w:lineRule="auto"/>
              <w:ind w:left="2" w:firstLine="0"/>
              <w:jc w:val="left"/>
            </w:pPr>
            <w:r>
              <w:t xml:space="preserve">3,779 </w:t>
            </w:r>
          </w:p>
        </w:tc>
        <w:tc>
          <w:tcPr>
            <w:tcW w:w="1798" w:type="dxa"/>
            <w:tcBorders>
              <w:top w:val="single" w:sz="6" w:space="0" w:color="BFC3C8"/>
              <w:left w:val="single" w:sz="6" w:space="0" w:color="BFC3C8"/>
              <w:bottom w:val="single" w:sz="6" w:space="0" w:color="BFC3C8"/>
              <w:right w:val="single" w:sz="6" w:space="0" w:color="BFC3C8"/>
            </w:tcBorders>
          </w:tcPr>
          <w:p w14:paraId="7985283F" w14:textId="77777777" w:rsidR="006A5F66" w:rsidRDefault="00000000">
            <w:pPr>
              <w:spacing w:after="0" w:line="259" w:lineRule="auto"/>
              <w:ind w:left="1" w:firstLine="0"/>
              <w:jc w:val="left"/>
            </w:pPr>
            <w:r>
              <w:t xml:space="preserve">4,061 </w:t>
            </w:r>
          </w:p>
        </w:tc>
        <w:tc>
          <w:tcPr>
            <w:tcW w:w="1796" w:type="dxa"/>
            <w:tcBorders>
              <w:top w:val="single" w:sz="6" w:space="0" w:color="BFC3C8"/>
              <w:left w:val="single" w:sz="6" w:space="0" w:color="BFC3C8"/>
              <w:bottom w:val="single" w:sz="6" w:space="0" w:color="BFC3C8"/>
              <w:right w:val="single" w:sz="6" w:space="0" w:color="BFC3C8"/>
            </w:tcBorders>
          </w:tcPr>
          <w:p w14:paraId="0465E756" w14:textId="77777777" w:rsidR="006A5F66" w:rsidRDefault="00000000">
            <w:pPr>
              <w:spacing w:after="0" w:line="259" w:lineRule="auto"/>
              <w:ind w:left="0" w:firstLine="0"/>
              <w:jc w:val="left"/>
            </w:pPr>
            <w:r>
              <w:t xml:space="preserve">4,285 </w:t>
            </w:r>
          </w:p>
        </w:tc>
      </w:tr>
      <w:tr w:rsidR="006A5F66" w14:paraId="14BEB96A" w14:textId="77777777">
        <w:trPr>
          <w:trHeight w:val="785"/>
        </w:trPr>
        <w:tc>
          <w:tcPr>
            <w:tcW w:w="1798" w:type="dxa"/>
            <w:tcBorders>
              <w:top w:val="single" w:sz="6" w:space="0" w:color="BFC3C8"/>
              <w:left w:val="single" w:sz="6" w:space="0" w:color="BFC3C8"/>
              <w:bottom w:val="single" w:sz="6" w:space="0" w:color="BFC3C8"/>
              <w:right w:val="single" w:sz="6" w:space="0" w:color="BFC3C8"/>
            </w:tcBorders>
            <w:vAlign w:val="bottom"/>
          </w:tcPr>
          <w:p w14:paraId="46C9D296" w14:textId="77777777" w:rsidR="006A5F66" w:rsidRDefault="00000000">
            <w:pPr>
              <w:spacing w:after="0" w:line="259" w:lineRule="auto"/>
              <w:ind w:left="0" w:firstLine="0"/>
              <w:jc w:val="left"/>
            </w:pPr>
            <w:r>
              <w:rPr>
                <w:b/>
              </w:rPr>
              <w:t>ROCE (%)</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47A0A4C6" w14:textId="77777777" w:rsidR="006A5F66" w:rsidRDefault="00000000">
            <w:pPr>
              <w:spacing w:after="0" w:line="259" w:lineRule="auto"/>
              <w:ind w:left="0" w:firstLine="0"/>
              <w:jc w:val="left"/>
            </w:pPr>
            <w:r>
              <w:rPr>
                <w:b/>
              </w:rPr>
              <w:t>−4.82%</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78DE296D" w14:textId="77777777" w:rsidR="006A5F66" w:rsidRDefault="00000000">
            <w:pPr>
              <w:spacing w:after="0" w:line="259" w:lineRule="auto"/>
              <w:ind w:left="0" w:firstLine="0"/>
              <w:jc w:val="left"/>
            </w:pPr>
            <w:r>
              <w:rPr>
                <w:b/>
              </w:rPr>
              <w:t>15.79%</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7DE83135" w14:textId="77777777" w:rsidR="006A5F66" w:rsidRDefault="00000000">
            <w:pPr>
              <w:spacing w:after="0" w:line="259" w:lineRule="auto"/>
              <w:ind w:left="2" w:firstLine="0"/>
              <w:jc w:val="left"/>
            </w:pPr>
            <w:r>
              <w:rPr>
                <w:b/>
              </w:rPr>
              <w:t>16.62%</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4FB4ACC6" w14:textId="77777777" w:rsidR="006A5F66" w:rsidRDefault="00000000">
            <w:pPr>
              <w:spacing w:after="0" w:line="259" w:lineRule="auto"/>
              <w:ind w:left="1" w:firstLine="0"/>
              <w:jc w:val="left"/>
            </w:pPr>
            <w:r>
              <w:rPr>
                <w:b/>
              </w:rPr>
              <w:t>26.25%</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6154FEC5" w14:textId="77777777" w:rsidR="006A5F66" w:rsidRDefault="00000000">
            <w:pPr>
              <w:spacing w:after="0" w:line="259" w:lineRule="auto"/>
              <w:ind w:left="0" w:firstLine="0"/>
              <w:jc w:val="left"/>
            </w:pPr>
            <w:r>
              <w:rPr>
                <w:b/>
              </w:rPr>
              <w:t>26.23%</w:t>
            </w:r>
            <w:r>
              <w:t xml:space="preserve"> </w:t>
            </w:r>
          </w:p>
        </w:tc>
      </w:tr>
    </w:tbl>
    <w:p w14:paraId="73DBD5EC" w14:textId="77777777" w:rsidR="006A5F66" w:rsidRDefault="00000000">
      <w:pPr>
        <w:spacing w:after="245"/>
        <w:ind w:left="17"/>
        <w:jc w:val="left"/>
      </w:pPr>
      <w:r>
        <w:rPr>
          <w:b/>
        </w:rPr>
        <w:t>Formula</w:t>
      </w:r>
      <w:r>
        <w:t xml:space="preserve"> </w:t>
      </w:r>
    </w:p>
    <w:p w14:paraId="53AAA456" w14:textId="77777777" w:rsidR="006A5F66" w:rsidRDefault="00000000">
      <w:pPr>
        <w:ind w:left="17" w:right="40"/>
      </w:pPr>
      <w:r>
        <w:t xml:space="preserve">ROCE = EBIT ÷ Capital Employed × 100 </w:t>
      </w:r>
    </w:p>
    <w:p w14:paraId="546F5CC5" w14:textId="77777777" w:rsidR="006A5F66" w:rsidRDefault="00000000">
      <w:pPr>
        <w:pStyle w:val="Heading4"/>
        <w:ind w:left="17"/>
      </w:pPr>
      <w:r>
        <w:t xml:space="preserve">Interpretation </w:t>
      </w:r>
    </w:p>
    <w:p w14:paraId="4F46D020" w14:textId="77777777" w:rsidR="006A5F66" w:rsidRDefault="00000000">
      <w:pPr>
        <w:spacing w:after="33"/>
        <w:ind w:left="17" w:right="40"/>
      </w:pPr>
      <w:r>
        <w:t>ROCE improved throughout the recovery period, demonstrating more efficient utilisation of capital employed and stronger operating performance (InterContinental Hotels Group PLC, 2025). IHG's asset-light business model supports higher returns as franchise and management fee income increases without proportionate capital investment, provided costs and strategic investments remain effectively managed (Brealey, Myers and Allen, 2023).</w:t>
      </w:r>
    </w:p>
    <w:p w14:paraId="6AAB3E4E" w14:textId="77777777" w:rsidR="006A5F66" w:rsidRDefault="00000000">
      <w:pPr>
        <w:spacing w:after="965" w:line="259" w:lineRule="auto"/>
        <w:ind w:left="0" w:firstLine="0"/>
        <w:jc w:val="right"/>
      </w:pPr>
      <w:r>
        <w:rPr>
          <w:noProof/>
          <w:sz w:val="22"/>
        </w:rPr>
        <mc:AlternateContent>
          <mc:Choice Requires="wpg">
            <w:drawing>
              <wp:inline distT="0" distB="0" distL="0" distR="0" wp14:anchorId="78696411" wp14:editId="7E30C64D">
                <wp:extent cx="6847840" cy="9525"/>
                <wp:effectExtent l="0" t="0" r="0" b="0"/>
                <wp:docPr id="37340" name="Group 37340"/>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1141" name="Shape 1141"/>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7340" style="width:539.2pt;height:0.75pt;mso-position-horizontal-relative:char;mso-position-vertical-relative:line" coordsize="68478,95">
                <v:shape id="Shape 1141"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468218A4" w14:textId="77777777" w:rsidR="006A5F66" w:rsidRDefault="00000000">
      <w:pPr>
        <w:pStyle w:val="Heading3"/>
        <w:ind w:left="9"/>
      </w:pPr>
      <w:r>
        <w:t xml:space="preserve">1.2.2 Liquidity Ratios </w:t>
      </w:r>
    </w:p>
    <w:p w14:paraId="07F83169" w14:textId="77777777" w:rsidR="006A5F66" w:rsidRDefault="00000000">
      <w:pPr>
        <w:ind w:left="17" w:right="40"/>
      </w:pPr>
      <w:r>
        <w:t>Liquidity ratios indicate IHG's ability to meet short-term obligations. Its current ratio remained close to 1, reflecting the characteristics of an asset-light business model supported by recurring franchise income and strong cash generation (InterContinental Hotels Group PLC, 2025). Similar liquidity profiles are evident among Marriott and Hilton (</w:t>
      </w:r>
      <w:proofErr w:type="spellStart"/>
      <w:r>
        <w:t>Atrill</w:t>
      </w:r>
      <w:proofErr w:type="spellEnd"/>
      <w:r>
        <w:t xml:space="preserve"> and McLaney, 2022). </w:t>
      </w:r>
    </w:p>
    <w:tbl>
      <w:tblPr>
        <w:tblStyle w:val="TableGrid"/>
        <w:tblW w:w="10786" w:type="dxa"/>
        <w:tblInd w:w="31" w:type="dxa"/>
        <w:tblCellMar>
          <w:top w:w="226" w:type="dxa"/>
          <w:left w:w="127" w:type="dxa"/>
          <w:bottom w:w="166" w:type="dxa"/>
          <w:right w:w="115" w:type="dxa"/>
        </w:tblCellMar>
        <w:tblLook w:val="04A0" w:firstRow="1" w:lastRow="0" w:firstColumn="1" w:lastColumn="0" w:noHBand="0" w:noVBand="1"/>
      </w:tblPr>
      <w:tblGrid>
        <w:gridCol w:w="1798"/>
        <w:gridCol w:w="1798"/>
        <w:gridCol w:w="1796"/>
        <w:gridCol w:w="1800"/>
        <w:gridCol w:w="1798"/>
        <w:gridCol w:w="1796"/>
      </w:tblGrid>
      <w:tr w:rsidR="006A5F66" w14:paraId="572357E1" w14:textId="77777777">
        <w:trPr>
          <w:trHeight w:val="778"/>
        </w:trPr>
        <w:tc>
          <w:tcPr>
            <w:tcW w:w="1798" w:type="dxa"/>
            <w:tcBorders>
              <w:top w:val="single" w:sz="6" w:space="0" w:color="BFC3C8"/>
              <w:left w:val="single" w:sz="6" w:space="0" w:color="BFC3C8"/>
              <w:bottom w:val="single" w:sz="6" w:space="0" w:color="BFC3C8"/>
              <w:right w:val="single" w:sz="6" w:space="0" w:color="BFC3C8"/>
            </w:tcBorders>
            <w:vAlign w:val="bottom"/>
          </w:tcPr>
          <w:p w14:paraId="578C36DA" w14:textId="77777777" w:rsidR="006A5F66" w:rsidRDefault="00000000">
            <w:pPr>
              <w:spacing w:after="0" w:line="259" w:lineRule="auto"/>
              <w:ind w:left="0" w:firstLine="0"/>
              <w:jc w:val="left"/>
            </w:pPr>
            <w:r>
              <w:rPr>
                <w:b/>
              </w:rPr>
              <w:t>Current Ratio</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39211B64"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4624AF22"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085F8319"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5334FE18"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3304B869" w14:textId="77777777" w:rsidR="006A5F66" w:rsidRDefault="00000000">
            <w:pPr>
              <w:spacing w:after="0" w:line="259" w:lineRule="auto"/>
              <w:ind w:left="0" w:firstLine="0"/>
              <w:jc w:val="left"/>
            </w:pPr>
            <w:r>
              <w:rPr>
                <w:b/>
              </w:rPr>
              <w:t>2024</w:t>
            </w:r>
            <w:r>
              <w:t xml:space="preserve"> </w:t>
            </w:r>
          </w:p>
        </w:tc>
      </w:tr>
      <w:tr w:rsidR="006A5F66" w14:paraId="16E644C2" w14:textId="77777777">
        <w:trPr>
          <w:trHeight w:val="1450"/>
        </w:trPr>
        <w:tc>
          <w:tcPr>
            <w:tcW w:w="1798" w:type="dxa"/>
            <w:tcBorders>
              <w:top w:val="single" w:sz="6" w:space="0" w:color="BFC3C8"/>
              <w:left w:val="single" w:sz="6" w:space="0" w:color="BFC3C8"/>
              <w:bottom w:val="single" w:sz="6" w:space="0" w:color="BFC3C8"/>
              <w:right w:val="single" w:sz="6" w:space="0" w:color="BFC3C8"/>
            </w:tcBorders>
            <w:vAlign w:val="bottom"/>
          </w:tcPr>
          <w:p w14:paraId="01EF3460" w14:textId="77777777" w:rsidR="006A5F66" w:rsidRDefault="00000000">
            <w:pPr>
              <w:spacing w:after="29" w:line="259" w:lineRule="auto"/>
              <w:ind w:left="0" w:firstLine="0"/>
              <w:jc w:val="left"/>
            </w:pPr>
            <w:r>
              <w:t xml:space="preserve">Current  </w:t>
            </w:r>
          </w:p>
          <w:p w14:paraId="50B8EDFD" w14:textId="77777777" w:rsidR="006A5F66" w:rsidRDefault="00000000">
            <w:pPr>
              <w:spacing w:after="12" w:line="259" w:lineRule="auto"/>
              <w:ind w:left="0" w:firstLine="0"/>
              <w:jc w:val="left"/>
            </w:pPr>
            <w:r>
              <w:t xml:space="preserve">Assets  </w:t>
            </w:r>
          </w:p>
          <w:p w14:paraId="618ED5B5"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FA96695" w14:textId="77777777" w:rsidR="006A5F66" w:rsidRDefault="00000000">
            <w:pPr>
              <w:spacing w:after="0" w:line="259" w:lineRule="auto"/>
              <w:ind w:left="0" w:firstLine="0"/>
              <w:jc w:val="left"/>
            </w:pPr>
            <w:r>
              <w:t xml:space="preserve">2,243 </w:t>
            </w:r>
          </w:p>
        </w:tc>
        <w:tc>
          <w:tcPr>
            <w:tcW w:w="1796" w:type="dxa"/>
            <w:tcBorders>
              <w:top w:val="single" w:sz="6" w:space="0" w:color="BFC3C8"/>
              <w:left w:val="single" w:sz="6" w:space="0" w:color="BFC3C8"/>
              <w:bottom w:val="single" w:sz="6" w:space="0" w:color="BFC3C8"/>
              <w:right w:val="single" w:sz="6" w:space="0" w:color="BFC3C8"/>
            </w:tcBorders>
          </w:tcPr>
          <w:p w14:paraId="60D13632" w14:textId="77777777" w:rsidR="006A5F66" w:rsidRDefault="00000000">
            <w:pPr>
              <w:spacing w:after="0" w:line="259" w:lineRule="auto"/>
              <w:ind w:left="0" w:firstLine="0"/>
              <w:jc w:val="left"/>
            </w:pPr>
            <w:r>
              <w:t xml:space="preserve">2,270 </w:t>
            </w:r>
          </w:p>
        </w:tc>
        <w:tc>
          <w:tcPr>
            <w:tcW w:w="1800" w:type="dxa"/>
            <w:tcBorders>
              <w:top w:val="single" w:sz="6" w:space="0" w:color="BFC3C8"/>
              <w:left w:val="single" w:sz="6" w:space="0" w:color="BFC3C8"/>
              <w:bottom w:val="single" w:sz="6" w:space="0" w:color="BFC3C8"/>
              <w:right w:val="single" w:sz="6" w:space="0" w:color="BFC3C8"/>
            </w:tcBorders>
          </w:tcPr>
          <w:p w14:paraId="551914B9" w14:textId="77777777" w:rsidR="006A5F66" w:rsidRDefault="00000000">
            <w:pPr>
              <w:spacing w:after="0" w:line="259" w:lineRule="auto"/>
              <w:ind w:left="2" w:firstLine="0"/>
              <w:jc w:val="left"/>
            </w:pPr>
            <w:r>
              <w:t xml:space="preserve">2,851 </w:t>
            </w:r>
          </w:p>
        </w:tc>
        <w:tc>
          <w:tcPr>
            <w:tcW w:w="1798" w:type="dxa"/>
            <w:tcBorders>
              <w:top w:val="single" w:sz="6" w:space="0" w:color="BFC3C8"/>
              <w:left w:val="single" w:sz="6" w:space="0" w:color="BFC3C8"/>
              <w:bottom w:val="single" w:sz="6" w:space="0" w:color="BFC3C8"/>
              <w:right w:val="single" w:sz="6" w:space="0" w:color="BFC3C8"/>
            </w:tcBorders>
          </w:tcPr>
          <w:p w14:paraId="3E3CE103" w14:textId="77777777" w:rsidR="006A5F66" w:rsidRDefault="00000000">
            <w:pPr>
              <w:spacing w:after="0" w:line="259" w:lineRule="auto"/>
              <w:ind w:left="1" w:firstLine="0"/>
              <w:jc w:val="left"/>
            </w:pPr>
            <w:r>
              <w:t xml:space="preserve">3,131 </w:t>
            </w:r>
          </w:p>
        </w:tc>
        <w:tc>
          <w:tcPr>
            <w:tcW w:w="1796" w:type="dxa"/>
            <w:tcBorders>
              <w:top w:val="single" w:sz="6" w:space="0" w:color="BFC3C8"/>
              <w:left w:val="single" w:sz="6" w:space="0" w:color="BFC3C8"/>
              <w:bottom w:val="single" w:sz="6" w:space="0" w:color="BFC3C8"/>
              <w:right w:val="single" w:sz="6" w:space="0" w:color="BFC3C8"/>
            </w:tcBorders>
          </w:tcPr>
          <w:p w14:paraId="409107D5" w14:textId="77777777" w:rsidR="006A5F66" w:rsidRDefault="00000000">
            <w:pPr>
              <w:spacing w:after="0" w:line="259" w:lineRule="auto"/>
              <w:ind w:left="0" w:firstLine="0"/>
              <w:jc w:val="left"/>
            </w:pPr>
            <w:r>
              <w:t xml:space="preserve">3,384 </w:t>
            </w:r>
          </w:p>
        </w:tc>
      </w:tr>
      <w:tr w:rsidR="006A5F66" w14:paraId="4F813A05" w14:textId="77777777">
        <w:trPr>
          <w:trHeight w:val="1452"/>
        </w:trPr>
        <w:tc>
          <w:tcPr>
            <w:tcW w:w="1798" w:type="dxa"/>
            <w:tcBorders>
              <w:top w:val="single" w:sz="6" w:space="0" w:color="BFC3C8"/>
              <w:left w:val="single" w:sz="6" w:space="0" w:color="BFC3C8"/>
              <w:bottom w:val="single" w:sz="6" w:space="0" w:color="BFC3C8"/>
              <w:right w:val="single" w:sz="6" w:space="0" w:color="BFC3C8"/>
            </w:tcBorders>
            <w:vAlign w:val="bottom"/>
          </w:tcPr>
          <w:p w14:paraId="1AE879CE" w14:textId="77777777" w:rsidR="006A5F66" w:rsidRDefault="00000000">
            <w:pPr>
              <w:spacing w:after="15" w:line="259" w:lineRule="auto"/>
              <w:ind w:left="0" w:firstLine="0"/>
              <w:jc w:val="left"/>
            </w:pPr>
            <w:r>
              <w:t xml:space="preserve">Current  </w:t>
            </w:r>
          </w:p>
          <w:p w14:paraId="63959792" w14:textId="77777777" w:rsidR="006A5F66" w:rsidRDefault="00000000">
            <w:pPr>
              <w:spacing w:after="10" w:line="259" w:lineRule="auto"/>
              <w:ind w:left="0" w:firstLine="0"/>
              <w:jc w:val="left"/>
            </w:pPr>
            <w:r>
              <w:t xml:space="preserve">Liabilities  </w:t>
            </w:r>
          </w:p>
          <w:p w14:paraId="7CE49DAB"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9819CF5" w14:textId="77777777" w:rsidR="006A5F66" w:rsidRDefault="00000000">
            <w:pPr>
              <w:spacing w:after="0" w:line="259" w:lineRule="auto"/>
              <w:ind w:left="0" w:firstLine="0"/>
              <w:jc w:val="left"/>
            </w:pPr>
            <w:r>
              <w:t xml:space="preserve">1,867  </w:t>
            </w:r>
          </w:p>
        </w:tc>
        <w:tc>
          <w:tcPr>
            <w:tcW w:w="1796" w:type="dxa"/>
            <w:tcBorders>
              <w:top w:val="single" w:sz="6" w:space="0" w:color="BFC3C8"/>
              <w:left w:val="single" w:sz="6" w:space="0" w:color="BFC3C8"/>
              <w:bottom w:val="single" w:sz="6" w:space="0" w:color="BFC3C8"/>
              <w:right w:val="single" w:sz="6" w:space="0" w:color="BFC3C8"/>
            </w:tcBorders>
          </w:tcPr>
          <w:p w14:paraId="2C6F5C50" w14:textId="77777777" w:rsidR="006A5F66" w:rsidRDefault="00000000">
            <w:pPr>
              <w:spacing w:after="0" w:line="259" w:lineRule="auto"/>
              <w:ind w:left="0" w:firstLine="0"/>
              <w:jc w:val="left"/>
            </w:pPr>
            <w:r>
              <w:t xml:space="preserve">2,008 </w:t>
            </w:r>
          </w:p>
        </w:tc>
        <w:tc>
          <w:tcPr>
            <w:tcW w:w="1800" w:type="dxa"/>
            <w:tcBorders>
              <w:top w:val="single" w:sz="6" w:space="0" w:color="BFC3C8"/>
              <w:left w:val="single" w:sz="6" w:space="0" w:color="BFC3C8"/>
              <w:bottom w:val="single" w:sz="6" w:space="0" w:color="BFC3C8"/>
              <w:right w:val="single" w:sz="6" w:space="0" w:color="BFC3C8"/>
            </w:tcBorders>
          </w:tcPr>
          <w:p w14:paraId="473545D3" w14:textId="77777777" w:rsidR="006A5F66" w:rsidRDefault="00000000">
            <w:pPr>
              <w:spacing w:after="0" w:line="259" w:lineRule="auto"/>
              <w:ind w:left="2" w:firstLine="0"/>
              <w:jc w:val="left"/>
            </w:pPr>
            <w:r>
              <w:t xml:space="preserve">2,419 </w:t>
            </w:r>
          </w:p>
        </w:tc>
        <w:tc>
          <w:tcPr>
            <w:tcW w:w="1798" w:type="dxa"/>
            <w:tcBorders>
              <w:top w:val="single" w:sz="6" w:space="0" w:color="BFC3C8"/>
              <w:left w:val="single" w:sz="6" w:space="0" w:color="BFC3C8"/>
              <w:bottom w:val="single" w:sz="6" w:space="0" w:color="BFC3C8"/>
              <w:right w:val="single" w:sz="6" w:space="0" w:color="BFC3C8"/>
            </w:tcBorders>
          </w:tcPr>
          <w:p w14:paraId="61C4848B" w14:textId="77777777" w:rsidR="006A5F66" w:rsidRDefault="00000000">
            <w:pPr>
              <w:spacing w:after="0" w:line="259" w:lineRule="auto"/>
              <w:ind w:left="1" w:firstLine="0"/>
              <w:jc w:val="left"/>
            </w:pPr>
            <w:r>
              <w:t xml:space="preserve">2,534 </w:t>
            </w:r>
          </w:p>
        </w:tc>
        <w:tc>
          <w:tcPr>
            <w:tcW w:w="1796" w:type="dxa"/>
            <w:tcBorders>
              <w:top w:val="single" w:sz="6" w:space="0" w:color="BFC3C8"/>
              <w:left w:val="single" w:sz="6" w:space="0" w:color="BFC3C8"/>
              <w:bottom w:val="single" w:sz="6" w:space="0" w:color="BFC3C8"/>
              <w:right w:val="single" w:sz="6" w:space="0" w:color="BFC3C8"/>
            </w:tcBorders>
          </w:tcPr>
          <w:p w14:paraId="4B1DC0FB" w14:textId="77777777" w:rsidR="006A5F66" w:rsidRDefault="00000000">
            <w:pPr>
              <w:spacing w:after="0" w:line="259" w:lineRule="auto"/>
              <w:ind w:left="0" w:firstLine="0"/>
              <w:jc w:val="left"/>
            </w:pPr>
            <w:r>
              <w:t xml:space="preserve">2,665 </w:t>
            </w:r>
          </w:p>
        </w:tc>
      </w:tr>
      <w:tr w:rsidR="006A5F66" w14:paraId="25141F9D" w14:textId="77777777">
        <w:trPr>
          <w:trHeight w:val="1114"/>
        </w:trPr>
        <w:tc>
          <w:tcPr>
            <w:tcW w:w="1798" w:type="dxa"/>
            <w:tcBorders>
              <w:top w:val="single" w:sz="6" w:space="0" w:color="BFC3C8"/>
              <w:left w:val="single" w:sz="6" w:space="0" w:color="BFC3C8"/>
              <w:bottom w:val="single" w:sz="6" w:space="0" w:color="BFC3C8"/>
              <w:right w:val="single" w:sz="6" w:space="0" w:color="BFC3C8"/>
            </w:tcBorders>
            <w:vAlign w:val="bottom"/>
          </w:tcPr>
          <w:p w14:paraId="2B9BADAE" w14:textId="77777777" w:rsidR="006A5F66" w:rsidRDefault="00000000">
            <w:pPr>
              <w:spacing w:after="10" w:line="259" w:lineRule="auto"/>
              <w:ind w:left="0" w:firstLine="0"/>
              <w:jc w:val="left"/>
            </w:pPr>
            <w:r>
              <w:rPr>
                <w:b/>
              </w:rPr>
              <w:lastRenderedPageBreak/>
              <w:t xml:space="preserve">Current Ratio </w:t>
            </w:r>
            <w:r>
              <w:t xml:space="preserve"> </w:t>
            </w:r>
          </w:p>
          <w:p w14:paraId="0E62BA37" w14:textId="77777777" w:rsidR="006A5F66" w:rsidRDefault="00000000">
            <w:pPr>
              <w:spacing w:after="0" w:line="259" w:lineRule="auto"/>
              <w:ind w:left="0" w:firstLine="0"/>
              <w:jc w:val="left"/>
            </w:pPr>
            <w:r>
              <w:rPr>
                <w:b/>
              </w:rPr>
              <w:t>(CA/CL)</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C8E86D3" w14:textId="77777777" w:rsidR="006A5F66" w:rsidRDefault="00000000">
            <w:pPr>
              <w:spacing w:after="0" w:line="259" w:lineRule="auto"/>
              <w:ind w:left="0" w:firstLine="0"/>
              <w:jc w:val="left"/>
            </w:pPr>
            <w:r>
              <w:rPr>
                <w:b/>
              </w:rPr>
              <w:t xml:space="preserve">1.20 </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2D74B5C" w14:textId="77777777" w:rsidR="006A5F66" w:rsidRDefault="00000000">
            <w:pPr>
              <w:spacing w:after="0" w:line="259" w:lineRule="auto"/>
              <w:ind w:left="0" w:firstLine="0"/>
              <w:jc w:val="left"/>
            </w:pPr>
            <w:r>
              <w:rPr>
                <w:b/>
              </w:rPr>
              <w:t>1.13</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1872C1E5" w14:textId="77777777" w:rsidR="006A5F66" w:rsidRDefault="00000000">
            <w:pPr>
              <w:spacing w:after="0" w:line="259" w:lineRule="auto"/>
              <w:ind w:left="2" w:firstLine="0"/>
              <w:jc w:val="left"/>
            </w:pPr>
            <w:r>
              <w:rPr>
                <w:b/>
              </w:rPr>
              <w:t>1.18</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5852DE3" w14:textId="77777777" w:rsidR="006A5F66" w:rsidRDefault="00000000">
            <w:pPr>
              <w:spacing w:after="0" w:line="259" w:lineRule="auto"/>
              <w:ind w:left="1" w:firstLine="0"/>
              <w:jc w:val="left"/>
            </w:pPr>
            <w:r>
              <w:rPr>
                <w:b/>
              </w:rPr>
              <w:t>1.24</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13E10B7" w14:textId="77777777" w:rsidR="006A5F66" w:rsidRDefault="00000000">
            <w:pPr>
              <w:spacing w:after="0" w:line="259" w:lineRule="auto"/>
              <w:ind w:left="0" w:firstLine="0"/>
              <w:jc w:val="left"/>
            </w:pPr>
            <w:r>
              <w:rPr>
                <w:b/>
              </w:rPr>
              <w:t>1.27</w:t>
            </w:r>
            <w:r>
              <w:t xml:space="preserve"> </w:t>
            </w:r>
          </w:p>
        </w:tc>
      </w:tr>
    </w:tbl>
    <w:p w14:paraId="100D896E" w14:textId="77777777" w:rsidR="006A5F66" w:rsidRDefault="00000000">
      <w:pPr>
        <w:spacing w:after="245"/>
        <w:ind w:left="17"/>
        <w:jc w:val="left"/>
      </w:pPr>
      <w:r>
        <w:rPr>
          <w:b/>
        </w:rPr>
        <w:t>Formula</w:t>
      </w:r>
      <w:r>
        <w:t xml:space="preserve"> </w:t>
      </w:r>
    </w:p>
    <w:p w14:paraId="725DE7B2" w14:textId="77777777" w:rsidR="006A5F66" w:rsidRDefault="00000000">
      <w:pPr>
        <w:spacing w:after="252"/>
        <w:ind w:left="17" w:right="40"/>
      </w:pPr>
      <w:r>
        <w:t xml:space="preserve">Current Ratio = Current Assets ÷ Current Liabilities </w:t>
      </w:r>
    </w:p>
    <w:p w14:paraId="178E9459" w14:textId="77777777" w:rsidR="006A5F66" w:rsidRDefault="00000000">
      <w:pPr>
        <w:pStyle w:val="Heading4"/>
        <w:ind w:left="17"/>
      </w:pPr>
      <w:r>
        <w:t xml:space="preserve">Interpretation </w:t>
      </w:r>
    </w:p>
    <w:p w14:paraId="53DDD766" w14:textId="77777777" w:rsidR="006A5F66" w:rsidRDefault="00000000">
      <w:pPr>
        <w:ind w:left="17" w:right="40"/>
      </w:pPr>
      <w:r>
        <w:t xml:space="preserve">IHG's current ratio remained close to 1 throughout 2020–2024, reflecting the liquidity characteristics of its </w:t>
      </w:r>
      <w:proofErr w:type="spellStart"/>
      <w:r>
        <w:t>assetlight</w:t>
      </w:r>
      <w:proofErr w:type="spellEnd"/>
      <w:r>
        <w:t xml:space="preserve"> business model supported by recurring franchise income and strong operating cash flows (InterContinental Hotels Group PLC, 2025). Similar liquidity levels are observed at Marriott and Hilton, where cash generation is more important than maintaining high current ratios (</w:t>
      </w:r>
      <w:proofErr w:type="spellStart"/>
      <w:r>
        <w:t>Atrill</w:t>
      </w:r>
      <w:proofErr w:type="spellEnd"/>
      <w:r>
        <w:t xml:space="preserve"> and McLaney, 2022). </w:t>
      </w:r>
    </w:p>
    <w:tbl>
      <w:tblPr>
        <w:tblStyle w:val="TableGrid"/>
        <w:tblW w:w="10786" w:type="dxa"/>
        <w:tblInd w:w="31" w:type="dxa"/>
        <w:tblCellMar>
          <w:top w:w="0"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3560B29D" w14:textId="77777777">
        <w:trPr>
          <w:trHeight w:val="780"/>
        </w:trPr>
        <w:tc>
          <w:tcPr>
            <w:tcW w:w="1798" w:type="dxa"/>
            <w:tcBorders>
              <w:top w:val="single" w:sz="6" w:space="0" w:color="BFC3C8"/>
              <w:left w:val="single" w:sz="6" w:space="0" w:color="BFC3C8"/>
              <w:bottom w:val="single" w:sz="6" w:space="0" w:color="BFC3C8"/>
              <w:right w:val="single" w:sz="6" w:space="0" w:color="BFC3C8"/>
            </w:tcBorders>
            <w:vAlign w:val="bottom"/>
          </w:tcPr>
          <w:p w14:paraId="009D3F52" w14:textId="77777777" w:rsidR="006A5F66" w:rsidRDefault="00000000">
            <w:pPr>
              <w:spacing w:after="0" w:line="259" w:lineRule="auto"/>
              <w:ind w:left="0" w:firstLine="0"/>
              <w:jc w:val="left"/>
            </w:pPr>
            <w:r>
              <w:rPr>
                <w:b/>
              </w:rPr>
              <w:t>Quick Ratio</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2B92E968"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3E111299"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3003586E"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0B6431DB"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1DD95363" w14:textId="77777777" w:rsidR="006A5F66" w:rsidRDefault="00000000">
            <w:pPr>
              <w:spacing w:after="0" w:line="259" w:lineRule="auto"/>
              <w:ind w:left="0" w:firstLine="0"/>
              <w:jc w:val="left"/>
            </w:pPr>
            <w:r>
              <w:rPr>
                <w:b/>
              </w:rPr>
              <w:t>2024</w:t>
            </w:r>
            <w:r>
              <w:t xml:space="preserve"> </w:t>
            </w:r>
          </w:p>
        </w:tc>
      </w:tr>
      <w:tr w:rsidR="006A5F66" w14:paraId="6428F2FF" w14:textId="77777777">
        <w:trPr>
          <w:trHeight w:val="1127"/>
        </w:trPr>
        <w:tc>
          <w:tcPr>
            <w:tcW w:w="1798" w:type="dxa"/>
            <w:tcBorders>
              <w:top w:val="double" w:sz="6" w:space="0" w:color="BFC3C8"/>
              <w:left w:val="single" w:sz="6" w:space="0" w:color="BFC3C8"/>
              <w:bottom w:val="single" w:sz="6" w:space="0" w:color="BFC3C8"/>
              <w:right w:val="single" w:sz="6" w:space="0" w:color="BFC3C8"/>
            </w:tcBorders>
            <w:vAlign w:val="bottom"/>
          </w:tcPr>
          <w:p w14:paraId="59B10CF9" w14:textId="77777777" w:rsidR="006A5F66" w:rsidRDefault="00000000">
            <w:pPr>
              <w:spacing w:after="29" w:line="259" w:lineRule="auto"/>
              <w:ind w:left="0" w:firstLine="0"/>
              <w:jc w:val="left"/>
            </w:pPr>
            <w:r>
              <w:t xml:space="preserve">Quick Assets  </w:t>
            </w:r>
          </w:p>
          <w:p w14:paraId="784B816C"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double" w:sz="6" w:space="0" w:color="BFC3C8"/>
              <w:left w:val="single" w:sz="6" w:space="0" w:color="BFC3C8"/>
              <w:bottom w:val="single" w:sz="6" w:space="0" w:color="BFC3C8"/>
              <w:right w:val="single" w:sz="6" w:space="0" w:color="BFC3C8"/>
            </w:tcBorders>
          </w:tcPr>
          <w:p w14:paraId="03B10BB1" w14:textId="77777777" w:rsidR="006A5F66" w:rsidRDefault="00000000">
            <w:pPr>
              <w:spacing w:after="0" w:line="259" w:lineRule="auto"/>
              <w:ind w:left="0" w:firstLine="0"/>
              <w:jc w:val="left"/>
            </w:pPr>
            <w:r>
              <w:t xml:space="preserve">2,238 </w:t>
            </w:r>
          </w:p>
        </w:tc>
        <w:tc>
          <w:tcPr>
            <w:tcW w:w="1796" w:type="dxa"/>
            <w:tcBorders>
              <w:top w:val="double" w:sz="6" w:space="0" w:color="BFC3C8"/>
              <w:left w:val="single" w:sz="6" w:space="0" w:color="BFC3C8"/>
              <w:bottom w:val="single" w:sz="6" w:space="0" w:color="BFC3C8"/>
              <w:right w:val="single" w:sz="6" w:space="0" w:color="BFC3C8"/>
            </w:tcBorders>
          </w:tcPr>
          <w:p w14:paraId="3A1A37BA" w14:textId="77777777" w:rsidR="006A5F66" w:rsidRDefault="00000000">
            <w:pPr>
              <w:spacing w:after="0" w:line="259" w:lineRule="auto"/>
              <w:ind w:left="0" w:firstLine="0"/>
              <w:jc w:val="left"/>
            </w:pPr>
            <w:r>
              <w:t xml:space="preserve">2,263 </w:t>
            </w:r>
          </w:p>
        </w:tc>
        <w:tc>
          <w:tcPr>
            <w:tcW w:w="1800" w:type="dxa"/>
            <w:tcBorders>
              <w:top w:val="double" w:sz="6" w:space="0" w:color="BFC3C8"/>
              <w:left w:val="single" w:sz="6" w:space="0" w:color="BFC3C8"/>
              <w:bottom w:val="single" w:sz="6" w:space="0" w:color="BFC3C8"/>
              <w:right w:val="single" w:sz="6" w:space="0" w:color="BFC3C8"/>
            </w:tcBorders>
          </w:tcPr>
          <w:p w14:paraId="1AD8BDC7" w14:textId="77777777" w:rsidR="006A5F66" w:rsidRDefault="00000000">
            <w:pPr>
              <w:spacing w:after="0" w:line="259" w:lineRule="auto"/>
              <w:ind w:left="2" w:firstLine="0"/>
              <w:jc w:val="left"/>
            </w:pPr>
            <w:r>
              <w:t xml:space="preserve">2,842 </w:t>
            </w:r>
          </w:p>
        </w:tc>
        <w:tc>
          <w:tcPr>
            <w:tcW w:w="1798" w:type="dxa"/>
            <w:tcBorders>
              <w:top w:val="double" w:sz="6" w:space="0" w:color="BFC3C8"/>
              <w:left w:val="single" w:sz="6" w:space="0" w:color="BFC3C8"/>
              <w:bottom w:val="single" w:sz="6" w:space="0" w:color="BFC3C8"/>
              <w:right w:val="single" w:sz="6" w:space="0" w:color="BFC3C8"/>
            </w:tcBorders>
          </w:tcPr>
          <w:p w14:paraId="07F541A8" w14:textId="77777777" w:rsidR="006A5F66" w:rsidRDefault="00000000">
            <w:pPr>
              <w:spacing w:after="0" w:line="259" w:lineRule="auto"/>
              <w:ind w:left="1" w:firstLine="0"/>
              <w:jc w:val="left"/>
            </w:pPr>
            <w:r>
              <w:t xml:space="preserve">3,120 </w:t>
            </w:r>
          </w:p>
        </w:tc>
        <w:tc>
          <w:tcPr>
            <w:tcW w:w="1796" w:type="dxa"/>
            <w:tcBorders>
              <w:top w:val="double" w:sz="6" w:space="0" w:color="BFC3C8"/>
              <w:left w:val="single" w:sz="6" w:space="0" w:color="BFC3C8"/>
              <w:bottom w:val="single" w:sz="6" w:space="0" w:color="BFC3C8"/>
              <w:right w:val="single" w:sz="6" w:space="0" w:color="BFC3C8"/>
            </w:tcBorders>
          </w:tcPr>
          <w:p w14:paraId="66E46CA5" w14:textId="77777777" w:rsidR="006A5F66" w:rsidRDefault="00000000">
            <w:pPr>
              <w:spacing w:after="0" w:line="259" w:lineRule="auto"/>
              <w:ind w:left="0" w:firstLine="0"/>
              <w:jc w:val="left"/>
            </w:pPr>
            <w:r>
              <w:t xml:space="preserve">3,372 </w:t>
            </w:r>
          </w:p>
        </w:tc>
      </w:tr>
      <w:tr w:rsidR="006A5F66" w14:paraId="1760A4CC" w14:textId="77777777">
        <w:trPr>
          <w:trHeight w:val="1450"/>
        </w:trPr>
        <w:tc>
          <w:tcPr>
            <w:tcW w:w="1798" w:type="dxa"/>
            <w:tcBorders>
              <w:top w:val="single" w:sz="6" w:space="0" w:color="BFC3C8"/>
              <w:left w:val="single" w:sz="6" w:space="0" w:color="BFC3C8"/>
              <w:bottom w:val="single" w:sz="6" w:space="0" w:color="BFC3C8"/>
              <w:right w:val="single" w:sz="6" w:space="0" w:color="BFC3C8"/>
            </w:tcBorders>
            <w:vAlign w:val="bottom"/>
          </w:tcPr>
          <w:p w14:paraId="11FF008C" w14:textId="77777777" w:rsidR="006A5F66" w:rsidRDefault="00000000">
            <w:pPr>
              <w:spacing w:after="0" w:line="285" w:lineRule="auto"/>
              <w:ind w:left="0" w:firstLine="0"/>
              <w:jc w:val="left"/>
            </w:pPr>
            <w:proofErr w:type="gramStart"/>
            <w:r>
              <w:t>Current  Liabilities</w:t>
            </w:r>
            <w:proofErr w:type="gramEnd"/>
            <w:r>
              <w:t xml:space="preserve">  </w:t>
            </w:r>
          </w:p>
          <w:p w14:paraId="7EC4C183"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D40C9CE" w14:textId="77777777" w:rsidR="006A5F66" w:rsidRDefault="00000000">
            <w:pPr>
              <w:spacing w:after="0" w:line="259" w:lineRule="auto"/>
              <w:ind w:left="0" w:firstLine="0"/>
              <w:jc w:val="left"/>
            </w:pPr>
            <w:r>
              <w:t xml:space="preserve">1,867 </w:t>
            </w:r>
          </w:p>
        </w:tc>
        <w:tc>
          <w:tcPr>
            <w:tcW w:w="1796" w:type="dxa"/>
            <w:tcBorders>
              <w:top w:val="single" w:sz="6" w:space="0" w:color="BFC3C8"/>
              <w:left w:val="single" w:sz="6" w:space="0" w:color="BFC3C8"/>
              <w:bottom w:val="single" w:sz="6" w:space="0" w:color="BFC3C8"/>
              <w:right w:val="single" w:sz="6" w:space="0" w:color="BFC3C8"/>
            </w:tcBorders>
          </w:tcPr>
          <w:p w14:paraId="198AD08F" w14:textId="77777777" w:rsidR="006A5F66" w:rsidRDefault="00000000">
            <w:pPr>
              <w:spacing w:after="0" w:line="259" w:lineRule="auto"/>
              <w:ind w:left="0" w:firstLine="0"/>
              <w:jc w:val="left"/>
            </w:pPr>
            <w:r>
              <w:t xml:space="preserve">2,008 </w:t>
            </w:r>
          </w:p>
        </w:tc>
        <w:tc>
          <w:tcPr>
            <w:tcW w:w="1800" w:type="dxa"/>
            <w:tcBorders>
              <w:top w:val="single" w:sz="6" w:space="0" w:color="BFC3C8"/>
              <w:left w:val="single" w:sz="6" w:space="0" w:color="BFC3C8"/>
              <w:bottom w:val="single" w:sz="6" w:space="0" w:color="BFC3C8"/>
              <w:right w:val="single" w:sz="6" w:space="0" w:color="BFC3C8"/>
            </w:tcBorders>
          </w:tcPr>
          <w:p w14:paraId="7D6FC6ED" w14:textId="77777777" w:rsidR="006A5F66" w:rsidRDefault="00000000">
            <w:pPr>
              <w:spacing w:after="0" w:line="259" w:lineRule="auto"/>
              <w:ind w:left="2" w:firstLine="0"/>
              <w:jc w:val="left"/>
            </w:pPr>
            <w:r>
              <w:t xml:space="preserve">2,419 </w:t>
            </w:r>
          </w:p>
        </w:tc>
        <w:tc>
          <w:tcPr>
            <w:tcW w:w="1798" w:type="dxa"/>
            <w:tcBorders>
              <w:top w:val="single" w:sz="6" w:space="0" w:color="BFC3C8"/>
              <w:left w:val="single" w:sz="6" w:space="0" w:color="BFC3C8"/>
              <w:bottom w:val="single" w:sz="6" w:space="0" w:color="BFC3C8"/>
              <w:right w:val="single" w:sz="6" w:space="0" w:color="BFC3C8"/>
            </w:tcBorders>
          </w:tcPr>
          <w:p w14:paraId="442F6F27" w14:textId="77777777" w:rsidR="006A5F66" w:rsidRDefault="00000000">
            <w:pPr>
              <w:spacing w:after="0" w:line="259" w:lineRule="auto"/>
              <w:ind w:left="1" w:firstLine="0"/>
              <w:jc w:val="left"/>
            </w:pPr>
            <w:r>
              <w:t xml:space="preserve">2,534 </w:t>
            </w:r>
          </w:p>
        </w:tc>
        <w:tc>
          <w:tcPr>
            <w:tcW w:w="1796" w:type="dxa"/>
            <w:tcBorders>
              <w:top w:val="single" w:sz="6" w:space="0" w:color="BFC3C8"/>
              <w:left w:val="single" w:sz="6" w:space="0" w:color="BFC3C8"/>
              <w:bottom w:val="single" w:sz="6" w:space="0" w:color="BFC3C8"/>
              <w:right w:val="single" w:sz="6" w:space="0" w:color="BFC3C8"/>
            </w:tcBorders>
          </w:tcPr>
          <w:p w14:paraId="6AC80B26" w14:textId="77777777" w:rsidR="006A5F66" w:rsidRDefault="00000000">
            <w:pPr>
              <w:spacing w:after="0" w:line="259" w:lineRule="auto"/>
              <w:ind w:left="0" w:firstLine="0"/>
              <w:jc w:val="left"/>
            </w:pPr>
            <w:r>
              <w:t xml:space="preserve">2,665 </w:t>
            </w:r>
          </w:p>
        </w:tc>
      </w:tr>
      <w:tr w:rsidR="006A5F66" w14:paraId="132CD2D2" w14:textId="77777777">
        <w:trPr>
          <w:trHeight w:val="1114"/>
        </w:trPr>
        <w:tc>
          <w:tcPr>
            <w:tcW w:w="1798" w:type="dxa"/>
            <w:tcBorders>
              <w:top w:val="single" w:sz="6" w:space="0" w:color="BFC3C8"/>
              <w:left w:val="single" w:sz="6" w:space="0" w:color="BFC3C8"/>
              <w:bottom w:val="single" w:sz="6" w:space="0" w:color="BFC3C8"/>
              <w:right w:val="single" w:sz="6" w:space="0" w:color="BFC3C8"/>
            </w:tcBorders>
            <w:vAlign w:val="bottom"/>
          </w:tcPr>
          <w:p w14:paraId="719EE07A" w14:textId="77777777" w:rsidR="006A5F66" w:rsidRDefault="00000000">
            <w:pPr>
              <w:spacing w:after="29" w:line="259" w:lineRule="auto"/>
              <w:ind w:left="0" w:firstLine="0"/>
              <w:jc w:val="left"/>
            </w:pPr>
            <w:r>
              <w:rPr>
                <w:b/>
              </w:rPr>
              <w:t xml:space="preserve">Quick Ratio </w:t>
            </w:r>
            <w:r>
              <w:t xml:space="preserve"> </w:t>
            </w:r>
          </w:p>
          <w:p w14:paraId="77169543" w14:textId="77777777" w:rsidR="006A5F66" w:rsidRDefault="00000000">
            <w:pPr>
              <w:spacing w:after="0" w:line="259" w:lineRule="auto"/>
              <w:ind w:left="0" w:firstLine="0"/>
              <w:jc w:val="left"/>
            </w:pPr>
            <w:r>
              <w:rPr>
                <w:b/>
              </w:rPr>
              <w:t>(QA/CL)</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8692FBD" w14:textId="77777777" w:rsidR="006A5F66" w:rsidRDefault="00000000">
            <w:pPr>
              <w:spacing w:after="0" w:line="259" w:lineRule="auto"/>
              <w:ind w:left="0" w:firstLine="0"/>
              <w:jc w:val="left"/>
            </w:pPr>
            <w:r>
              <w:rPr>
                <w:b/>
              </w:rPr>
              <w:t xml:space="preserve">1.20 </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36593E00" w14:textId="77777777" w:rsidR="006A5F66" w:rsidRDefault="00000000">
            <w:pPr>
              <w:spacing w:after="0" w:line="259" w:lineRule="auto"/>
              <w:ind w:left="0" w:firstLine="0"/>
              <w:jc w:val="left"/>
            </w:pPr>
            <w:r>
              <w:rPr>
                <w:b/>
              </w:rPr>
              <w:t>1.13</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18AC65C3" w14:textId="77777777" w:rsidR="006A5F66" w:rsidRDefault="00000000">
            <w:pPr>
              <w:spacing w:after="0" w:line="259" w:lineRule="auto"/>
              <w:ind w:left="2" w:firstLine="0"/>
              <w:jc w:val="left"/>
            </w:pPr>
            <w:r>
              <w:rPr>
                <w:b/>
              </w:rPr>
              <w:t>1.17</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28C8A290" w14:textId="77777777" w:rsidR="006A5F66" w:rsidRDefault="00000000">
            <w:pPr>
              <w:spacing w:after="0" w:line="259" w:lineRule="auto"/>
              <w:ind w:left="1" w:firstLine="0"/>
              <w:jc w:val="left"/>
            </w:pPr>
            <w:r>
              <w:rPr>
                <w:b/>
              </w:rPr>
              <w:t>1.23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3411350C" w14:textId="77777777" w:rsidR="006A5F66" w:rsidRDefault="00000000">
            <w:pPr>
              <w:spacing w:after="0" w:line="259" w:lineRule="auto"/>
              <w:ind w:left="0" w:firstLine="0"/>
              <w:jc w:val="left"/>
            </w:pPr>
            <w:r>
              <w:rPr>
                <w:b/>
              </w:rPr>
              <w:t>1.27</w:t>
            </w:r>
            <w:r>
              <w:t xml:space="preserve"> </w:t>
            </w:r>
          </w:p>
        </w:tc>
      </w:tr>
    </w:tbl>
    <w:p w14:paraId="39A08460" w14:textId="77777777" w:rsidR="006A5F66" w:rsidRDefault="00000000">
      <w:pPr>
        <w:spacing w:after="245"/>
        <w:ind w:left="17"/>
        <w:jc w:val="left"/>
      </w:pPr>
      <w:r>
        <w:rPr>
          <w:b/>
        </w:rPr>
        <w:t>Formula</w:t>
      </w:r>
      <w:r>
        <w:t xml:space="preserve"> </w:t>
      </w:r>
    </w:p>
    <w:p w14:paraId="5E0338A8" w14:textId="77777777" w:rsidR="006A5F66" w:rsidRDefault="00000000">
      <w:pPr>
        <w:spacing w:after="252"/>
        <w:ind w:left="17" w:right="40"/>
      </w:pPr>
      <w:r>
        <w:t xml:space="preserve">Quick Ratio = (Current Assets − Inventory) ÷ Current Liabilities </w:t>
      </w:r>
    </w:p>
    <w:p w14:paraId="3CA16072" w14:textId="77777777" w:rsidR="006A5F66" w:rsidRDefault="00000000">
      <w:pPr>
        <w:pStyle w:val="Heading4"/>
        <w:ind w:left="17"/>
      </w:pPr>
      <w:r>
        <w:t xml:space="preserve">Interpretation </w:t>
      </w:r>
    </w:p>
    <w:p w14:paraId="15FDBFF8" w14:textId="77777777" w:rsidR="006A5F66" w:rsidRDefault="00000000">
      <w:pPr>
        <w:spacing w:after="234"/>
        <w:ind w:left="17" w:right="40"/>
      </w:pPr>
      <w:r>
        <w:t xml:space="preserve">IHG's quick ratio remained stable, reflecting its limited inventory requirements and strong liquidity associated with an asset-light business model (InterContinental Hotels Group PLC, 2025). </w:t>
      </w:r>
      <w:proofErr w:type="gramStart"/>
      <w:r>
        <w:t>Similar to</w:t>
      </w:r>
      <w:proofErr w:type="gramEnd"/>
      <w:r>
        <w:t xml:space="preserve"> Marriott and Hilton, liquidity management focuses on cash generation, committed credit facilities, and financial flexibility rather than maintaining high working capital ratios (Ross et al., 2022). </w:t>
      </w:r>
    </w:p>
    <w:p w14:paraId="42BA5CAB" w14:textId="77777777" w:rsidR="006A5F66" w:rsidRDefault="00000000">
      <w:pPr>
        <w:pStyle w:val="Heading3"/>
        <w:ind w:left="9"/>
      </w:pPr>
      <w:r>
        <w:t xml:space="preserve">1.2.3 Efficiency Ratios </w:t>
      </w:r>
    </w:p>
    <w:p w14:paraId="0281E238" w14:textId="77777777" w:rsidR="006A5F66" w:rsidRDefault="00000000">
      <w:pPr>
        <w:ind w:left="17" w:right="40"/>
      </w:pPr>
      <w:r>
        <w:t xml:space="preserve">Efficiency ratios assess how effectively IHG utilises its assets and manages working capital to support revenue generation and operational performance (Ross et al., 2022). Asset turnover, receivable days, and payable days provide insight into resource efficiency and cash conversion, which are critical for sustaining profitability in an asset-light hospitality business (InterContinental Hotels Group PLC, 2025). </w:t>
      </w:r>
    </w:p>
    <w:tbl>
      <w:tblPr>
        <w:tblStyle w:val="TableGrid"/>
        <w:tblW w:w="10786" w:type="dxa"/>
        <w:tblInd w:w="31" w:type="dxa"/>
        <w:tblCellMar>
          <w:top w:w="221"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57109848"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4BD02681" w14:textId="77777777" w:rsidR="006A5F66" w:rsidRDefault="00000000">
            <w:pPr>
              <w:spacing w:after="12" w:line="259" w:lineRule="auto"/>
              <w:ind w:left="0" w:firstLine="0"/>
              <w:jc w:val="left"/>
            </w:pPr>
            <w:r>
              <w:rPr>
                <w:b/>
              </w:rPr>
              <w:lastRenderedPageBreak/>
              <w:t xml:space="preserve">Asset </w:t>
            </w:r>
            <w:r>
              <w:t xml:space="preserve"> </w:t>
            </w:r>
          </w:p>
          <w:p w14:paraId="0B620A7F" w14:textId="77777777" w:rsidR="006A5F66" w:rsidRDefault="00000000">
            <w:pPr>
              <w:spacing w:after="0" w:line="259" w:lineRule="auto"/>
              <w:ind w:left="0" w:firstLine="0"/>
              <w:jc w:val="left"/>
            </w:pPr>
            <w:r>
              <w:rPr>
                <w:b/>
              </w:rPr>
              <w:t>Turnover</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B395645"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71AF6E61"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722A6CDB"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09F03DE"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F6454A8" w14:textId="77777777" w:rsidR="006A5F66" w:rsidRDefault="00000000">
            <w:pPr>
              <w:spacing w:after="0" w:line="259" w:lineRule="auto"/>
              <w:ind w:left="0" w:firstLine="0"/>
              <w:jc w:val="left"/>
            </w:pPr>
            <w:r>
              <w:rPr>
                <w:b/>
              </w:rPr>
              <w:t>2024</w:t>
            </w:r>
            <w:r>
              <w:t xml:space="preserve"> </w:t>
            </w:r>
          </w:p>
        </w:tc>
      </w:tr>
      <w:tr w:rsidR="006A5F66" w14:paraId="7CBAC7D9" w14:textId="77777777">
        <w:trPr>
          <w:trHeight w:val="1106"/>
        </w:trPr>
        <w:tc>
          <w:tcPr>
            <w:tcW w:w="1798" w:type="dxa"/>
            <w:tcBorders>
              <w:top w:val="single" w:sz="6" w:space="0" w:color="BFC3C8"/>
              <w:left w:val="single" w:sz="6" w:space="0" w:color="BFC3C8"/>
              <w:bottom w:val="single" w:sz="6" w:space="0" w:color="BFC3C8"/>
              <w:right w:val="single" w:sz="6" w:space="0" w:color="BFC3C8"/>
            </w:tcBorders>
            <w:vAlign w:val="bottom"/>
          </w:tcPr>
          <w:p w14:paraId="32AEE789" w14:textId="77777777" w:rsidR="006A5F66" w:rsidRDefault="00000000">
            <w:pPr>
              <w:spacing w:after="29" w:line="259" w:lineRule="auto"/>
              <w:ind w:left="0" w:firstLine="0"/>
              <w:jc w:val="left"/>
            </w:pPr>
            <w:r>
              <w:t xml:space="preserve">Revenue  </w:t>
            </w:r>
          </w:p>
          <w:p w14:paraId="7AF54364"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2E273E41" w14:textId="77777777" w:rsidR="006A5F66" w:rsidRDefault="00000000">
            <w:pPr>
              <w:spacing w:after="0" w:line="259" w:lineRule="auto"/>
              <w:ind w:left="0" w:firstLine="0"/>
              <w:jc w:val="left"/>
            </w:pPr>
            <w:r>
              <w:t xml:space="preserve">2,394 </w:t>
            </w:r>
          </w:p>
        </w:tc>
        <w:tc>
          <w:tcPr>
            <w:tcW w:w="1796" w:type="dxa"/>
            <w:tcBorders>
              <w:top w:val="single" w:sz="6" w:space="0" w:color="BFC3C8"/>
              <w:left w:val="single" w:sz="6" w:space="0" w:color="BFC3C8"/>
              <w:bottom w:val="single" w:sz="6" w:space="0" w:color="BFC3C8"/>
              <w:right w:val="single" w:sz="6" w:space="0" w:color="BFC3C8"/>
            </w:tcBorders>
          </w:tcPr>
          <w:p w14:paraId="328BFEE2" w14:textId="77777777" w:rsidR="006A5F66" w:rsidRDefault="00000000">
            <w:pPr>
              <w:spacing w:after="0" w:line="259" w:lineRule="auto"/>
              <w:ind w:left="0" w:firstLine="0"/>
              <w:jc w:val="left"/>
            </w:pPr>
            <w:r>
              <w:t xml:space="preserve">2,907 </w:t>
            </w:r>
          </w:p>
        </w:tc>
        <w:tc>
          <w:tcPr>
            <w:tcW w:w="1800" w:type="dxa"/>
            <w:tcBorders>
              <w:top w:val="single" w:sz="6" w:space="0" w:color="BFC3C8"/>
              <w:left w:val="single" w:sz="6" w:space="0" w:color="BFC3C8"/>
              <w:bottom w:val="single" w:sz="6" w:space="0" w:color="BFC3C8"/>
              <w:right w:val="single" w:sz="6" w:space="0" w:color="BFC3C8"/>
            </w:tcBorders>
          </w:tcPr>
          <w:p w14:paraId="3FBDF194" w14:textId="77777777" w:rsidR="006A5F66" w:rsidRDefault="00000000">
            <w:pPr>
              <w:spacing w:after="0" w:line="259" w:lineRule="auto"/>
              <w:ind w:left="2" w:firstLine="0"/>
              <w:jc w:val="left"/>
            </w:pPr>
            <w:r>
              <w:t xml:space="preserve">3,892 </w:t>
            </w:r>
          </w:p>
        </w:tc>
        <w:tc>
          <w:tcPr>
            <w:tcW w:w="1798" w:type="dxa"/>
            <w:tcBorders>
              <w:top w:val="single" w:sz="6" w:space="0" w:color="BFC3C8"/>
              <w:left w:val="single" w:sz="6" w:space="0" w:color="BFC3C8"/>
              <w:bottom w:val="single" w:sz="6" w:space="0" w:color="BFC3C8"/>
              <w:right w:val="single" w:sz="6" w:space="0" w:color="BFC3C8"/>
            </w:tcBorders>
          </w:tcPr>
          <w:p w14:paraId="74E98D8F" w14:textId="77777777" w:rsidR="006A5F66" w:rsidRDefault="00000000">
            <w:pPr>
              <w:spacing w:after="0" w:line="259" w:lineRule="auto"/>
              <w:ind w:left="1" w:firstLine="0"/>
              <w:jc w:val="left"/>
            </w:pPr>
            <w:r>
              <w:t xml:space="preserve">4,624 </w:t>
            </w:r>
          </w:p>
        </w:tc>
        <w:tc>
          <w:tcPr>
            <w:tcW w:w="1796" w:type="dxa"/>
            <w:tcBorders>
              <w:top w:val="single" w:sz="6" w:space="0" w:color="BFC3C8"/>
              <w:left w:val="single" w:sz="6" w:space="0" w:color="BFC3C8"/>
              <w:bottom w:val="single" w:sz="6" w:space="0" w:color="BFC3C8"/>
              <w:right w:val="single" w:sz="6" w:space="0" w:color="BFC3C8"/>
            </w:tcBorders>
          </w:tcPr>
          <w:p w14:paraId="3EE89C23" w14:textId="77777777" w:rsidR="006A5F66" w:rsidRDefault="00000000">
            <w:pPr>
              <w:spacing w:after="0" w:line="259" w:lineRule="auto"/>
              <w:ind w:left="0" w:firstLine="0"/>
              <w:jc w:val="left"/>
            </w:pPr>
            <w:r>
              <w:t xml:space="preserve">4,920 </w:t>
            </w:r>
          </w:p>
        </w:tc>
      </w:tr>
      <w:tr w:rsidR="006A5F66" w14:paraId="22D73125"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2491C792" w14:textId="77777777" w:rsidR="006A5F66" w:rsidRDefault="00000000">
            <w:pPr>
              <w:spacing w:after="30" w:line="259" w:lineRule="auto"/>
              <w:ind w:left="0" w:firstLine="0"/>
              <w:jc w:val="left"/>
            </w:pPr>
            <w:r>
              <w:t xml:space="preserve">Total Assets  </w:t>
            </w:r>
          </w:p>
          <w:p w14:paraId="07A1E9B5"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98F8B09" w14:textId="77777777" w:rsidR="006A5F66" w:rsidRDefault="00000000">
            <w:pPr>
              <w:spacing w:after="0" w:line="259" w:lineRule="auto"/>
              <w:ind w:left="0" w:firstLine="0"/>
              <w:jc w:val="left"/>
            </w:pPr>
            <w:r>
              <w:t xml:space="preserve">5,039 </w:t>
            </w:r>
          </w:p>
        </w:tc>
        <w:tc>
          <w:tcPr>
            <w:tcW w:w="1796" w:type="dxa"/>
            <w:tcBorders>
              <w:top w:val="single" w:sz="6" w:space="0" w:color="BFC3C8"/>
              <w:left w:val="single" w:sz="6" w:space="0" w:color="BFC3C8"/>
              <w:bottom w:val="single" w:sz="6" w:space="0" w:color="BFC3C8"/>
              <w:right w:val="single" w:sz="6" w:space="0" w:color="BFC3C8"/>
            </w:tcBorders>
          </w:tcPr>
          <w:p w14:paraId="42D5C0A5" w14:textId="77777777" w:rsidR="006A5F66" w:rsidRDefault="00000000">
            <w:pPr>
              <w:spacing w:after="0" w:line="259" w:lineRule="auto"/>
              <w:ind w:left="0" w:firstLine="0"/>
              <w:jc w:val="left"/>
            </w:pPr>
            <w:r>
              <w:t xml:space="preserve">5,325 </w:t>
            </w:r>
          </w:p>
        </w:tc>
        <w:tc>
          <w:tcPr>
            <w:tcW w:w="1800" w:type="dxa"/>
            <w:tcBorders>
              <w:top w:val="single" w:sz="6" w:space="0" w:color="BFC3C8"/>
              <w:left w:val="single" w:sz="6" w:space="0" w:color="BFC3C8"/>
              <w:bottom w:val="single" w:sz="6" w:space="0" w:color="BFC3C8"/>
              <w:right w:val="single" w:sz="6" w:space="0" w:color="BFC3C8"/>
            </w:tcBorders>
          </w:tcPr>
          <w:p w14:paraId="1D4C54C2" w14:textId="77777777" w:rsidR="006A5F66" w:rsidRDefault="00000000">
            <w:pPr>
              <w:spacing w:after="0" w:line="259" w:lineRule="auto"/>
              <w:ind w:left="2" w:firstLine="0"/>
              <w:jc w:val="left"/>
            </w:pPr>
            <w:r>
              <w:t xml:space="preserve">5,876 </w:t>
            </w:r>
          </w:p>
        </w:tc>
        <w:tc>
          <w:tcPr>
            <w:tcW w:w="1798" w:type="dxa"/>
            <w:tcBorders>
              <w:top w:val="single" w:sz="6" w:space="0" w:color="BFC3C8"/>
              <w:left w:val="single" w:sz="6" w:space="0" w:color="BFC3C8"/>
              <w:bottom w:val="single" w:sz="6" w:space="0" w:color="BFC3C8"/>
              <w:right w:val="single" w:sz="6" w:space="0" w:color="BFC3C8"/>
            </w:tcBorders>
          </w:tcPr>
          <w:p w14:paraId="145C4FA6" w14:textId="77777777" w:rsidR="006A5F66" w:rsidRDefault="00000000">
            <w:pPr>
              <w:spacing w:after="0" w:line="259" w:lineRule="auto"/>
              <w:ind w:left="1" w:firstLine="0"/>
              <w:jc w:val="left"/>
            </w:pPr>
            <w:r>
              <w:t xml:space="preserve">6,241 </w:t>
            </w:r>
          </w:p>
        </w:tc>
        <w:tc>
          <w:tcPr>
            <w:tcW w:w="1796" w:type="dxa"/>
            <w:tcBorders>
              <w:top w:val="single" w:sz="6" w:space="0" w:color="BFC3C8"/>
              <w:left w:val="single" w:sz="6" w:space="0" w:color="BFC3C8"/>
              <w:bottom w:val="single" w:sz="6" w:space="0" w:color="BFC3C8"/>
              <w:right w:val="single" w:sz="6" w:space="0" w:color="BFC3C8"/>
            </w:tcBorders>
          </w:tcPr>
          <w:p w14:paraId="34685D7C" w14:textId="77777777" w:rsidR="006A5F66" w:rsidRDefault="00000000">
            <w:pPr>
              <w:spacing w:after="0" w:line="259" w:lineRule="auto"/>
              <w:ind w:left="0" w:firstLine="0"/>
              <w:jc w:val="left"/>
            </w:pPr>
            <w:r>
              <w:t xml:space="preserve">6,528 </w:t>
            </w:r>
          </w:p>
        </w:tc>
      </w:tr>
      <w:tr w:rsidR="006A5F66" w14:paraId="5610571E"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34851CC7" w14:textId="77777777" w:rsidR="006A5F66" w:rsidRDefault="00000000">
            <w:pPr>
              <w:spacing w:after="12" w:line="259" w:lineRule="auto"/>
              <w:ind w:left="0" w:firstLine="0"/>
              <w:jc w:val="left"/>
            </w:pPr>
            <w:r>
              <w:rPr>
                <w:b/>
              </w:rPr>
              <w:t xml:space="preserve">Asset </w:t>
            </w:r>
            <w:r>
              <w:t xml:space="preserve"> </w:t>
            </w:r>
          </w:p>
          <w:p w14:paraId="71ADCAF1" w14:textId="77777777" w:rsidR="006A5F66" w:rsidRDefault="00000000">
            <w:pPr>
              <w:spacing w:after="0" w:line="259" w:lineRule="auto"/>
              <w:ind w:left="0" w:firstLine="0"/>
              <w:jc w:val="left"/>
            </w:pPr>
            <w:r>
              <w:rPr>
                <w:b/>
              </w:rPr>
              <w:t>Turnover (x)</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34F78C9" w14:textId="77777777" w:rsidR="006A5F66" w:rsidRDefault="00000000">
            <w:pPr>
              <w:spacing w:after="0" w:line="259" w:lineRule="auto"/>
              <w:ind w:left="0" w:firstLine="0"/>
              <w:jc w:val="left"/>
            </w:pPr>
            <w:r>
              <w:rPr>
                <w:b/>
              </w:rPr>
              <w:t xml:space="preserve">0.48 </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AD98CF7" w14:textId="77777777" w:rsidR="006A5F66" w:rsidRDefault="00000000">
            <w:pPr>
              <w:spacing w:after="0" w:line="259" w:lineRule="auto"/>
              <w:ind w:left="0" w:firstLine="0"/>
              <w:jc w:val="left"/>
            </w:pPr>
            <w:r>
              <w:rPr>
                <w:b/>
              </w:rPr>
              <w:t>0.55</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5701A051" w14:textId="77777777" w:rsidR="006A5F66" w:rsidRDefault="00000000">
            <w:pPr>
              <w:spacing w:after="0" w:line="259" w:lineRule="auto"/>
              <w:ind w:left="2" w:firstLine="0"/>
              <w:jc w:val="left"/>
            </w:pPr>
            <w:r>
              <w:rPr>
                <w:b/>
              </w:rPr>
              <w:t>0.66</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470334A" w14:textId="77777777" w:rsidR="006A5F66" w:rsidRDefault="00000000">
            <w:pPr>
              <w:spacing w:after="0" w:line="259" w:lineRule="auto"/>
              <w:ind w:left="1" w:firstLine="0"/>
              <w:jc w:val="left"/>
            </w:pPr>
            <w:r>
              <w:rPr>
                <w:b/>
              </w:rPr>
              <w:t>0.74</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F6CA55B" w14:textId="77777777" w:rsidR="006A5F66" w:rsidRDefault="00000000">
            <w:pPr>
              <w:spacing w:after="0" w:line="259" w:lineRule="auto"/>
              <w:ind w:left="0" w:firstLine="0"/>
              <w:jc w:val="left"/>
            </w:pPr>
            <w:r>
              <w:rPr>
                <w:b/>
              </w:rPr>
              <w:t>0.75</w:t>
            </w:r>
            <w:r>
              <w:t xml:space="preserve"> </w:t>
            </w:r>
          </w:p>
        </w:tc>
      </w:tr>
    </w:tbl>
    <w:p w14:paraId="4BEB098B" w14:textId="77777777" w:rsidR="006A5F66" w:rsidRDefault="00000000">
      <w:pPr>
        <w:spacing w:after="245"/>
        <w:ind w:left="17"/>
        <w:jc w:val="left"/>
      </w:pPr>
      <w:r>
        <w:rPr>
          <w:b/>
        </w:rPr>
        <w:t xml:space="preserve">Formula </w:t>
      </w:r>
    </w:p>
    <w:p w14:paraId="12D9E5B4" w14:textId="77777777" w:rsidR="006A5F66" w:rsidRDefault="00000000">
      <w:pPr>
        <w:ind w:left="17" w:right="40"/>
      </w:pPr>
      <w:r>
        <w:t xml:space="preserve">Asset Turnover = Revenue ÷ Total Assets </w:t>
      </w:r>
    </w:p>
    <w:p w14:paraId="4C4DD373" w14:textId="77777777" w:rsidR="006A5F66" w:rsidRDefault="00000000">
      <w:pPr>
        <w:pStyle w:val="Heading4"/>
        <w:ind w:left="17"/>
      </w:pPr>
      <w:r>
        <w:t xml:space="preserve">Interpretation </w:t>
      </w:r>
    </w:p>
    <w:p w14:paraId="60B5D14B" w14:textId="77777777" w:rsidR="006A5F66" w:rsidRDefault="00000000">
      <w:pPr>
        <w:ind w:left="17" w:right="40"/>
      </w:pPr>
      <w:r>
        <w:t xml:space="preserve">Improving asset turnover reflects IHG's ability to generate higher revenue while maintaining its asset-light business model, demonstrating efficient utilisation of capital and operational resources (InterContinental Hotels Group PLC, 2025). Compared with hotel owner-operators, asset-light hospitality companies typically achieve higher asset turnover because revenue is generated with relatively lower capital investment (Ross et al., 2022). </w:t>
      </w:r>
    </w:p>
    <w:tbl>
      <w:tblPr>
        <w:tblStyle w:val="TableGrid"/>
        <w:tblW w:w="10786" w:type="dxa"/>
        <w:tblInd w:w="31" w:type="dxa"/>
        <w:tblCellMar>
          <w:top w:w="233"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109173FF"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3A2B2761" w14:textId="77777777" w:rsidR="006A5F66" w:rsidRDefault="00000000">
            <w:pPr>
              <w:spacing w:after="29" w:line="259" w:lineRule="auto"/>
              <w:ind w:left="0" w:firstLine="0"/>
              <w:jc w:val="left"/>
            </w:pPr>
            <w:r>
              <w:rPr>
                <w:b/>
              </w:rPr>
              <w:t xml:space="preserve">Receivable </w:t>
            </w:r>
            <w:r>
              <w:t xml:space="preserve"> </w:t>
            </w:r>
          </w:p>
          <w:p w14:paraId="249274C1" w14:textId="77777777" w:rsidR="006A5F66" w:rsidRDefault="00000000">
            <w:pPr>
              <w:spacing w:after="0" w:line="259" w:lineRule="auto"/>
              <w:ind w:left="0" w:firstLine="0"/>
              <w:jc w:val="left"/>
            </w:pPr>
            <w:r>
              <w:rPr>
                <w:b/>
              </w:rPr>
              <w:t>Days</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2195D2A7"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BBF0F89"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3BC3BD75"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F47FE4E"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7F3D724" w14:textId="77777777" w:rsidR="006A5F66" w:rsidRDefault="00000000">
            <w:pPr>
              <w:spacing w:after="0" w:line="259" w:lineRule="auto"/>
              <w:ind w:left="0" w:firstLine="0"/>
              <w:jc w:val="left"/>
            </w:pPr>
            <w:r>
              <w:rPr>
                <w:b/>
              </w:rPr>
              <w:t>2024</w:t>
            </w:r>
            <w:r>
              <w:t xml:space="preserve"> </w:t>
            </w:r>
          </w:p>
        </w:tc>
      </w:tr>
      <w:tr w:rsidR="006A5F66" w14:paraId="534DFADC" w14:textId="77777777">
        <w:trPr>
          <w:trHeight w:val="1457"/>
        </w:trPr>
        <w:tc>
          <w:tcPr>
            <w:tcW w:w="1798" w:type="dxa"/>
            <w:tcBorders>
              <w:top w:val="single" w:sz="6" w:space="0" w:color="BFC3C8"/>
              <w:left w:val="single" w:sz="6" w:space="0" w:color="BFC3C8"/>
              <w:bottom w:val="single" w:sz="6" w:space="0" w:color="BFC3C8"/>
              <w:right w:val="single" w:sz="6" w:space="0" w:color="BFC3C8"/>
            </w:tcBorders>
            <w:vAlign w:val="bottom"/>
          </w:tcPr>
          <w:p w14:paraId="371BB10A" w14:textId="77777777" w:rsidR="006A5F66" w:rsidRDefault="00000000">
            <w:pPr>
              <w:spacing w:after="0" w:line="285" w:lineRule="auto"/>
              <w:ind w:left="0" w:firstLine="0"/>
              <w:jc w:val="left"/>
            </w:pPr>
            <w:proofErr w:type="gramStart"/>
            <w:r>
              <w:t>Trade  Receivables</w:t>
            </w:r>
            <w:proofErr w:type="gramEnd"/>
            <w:r>
              <w:t xml:space="preserve">  </w:t>
            </w:r>
          </w:p>
          <w:p w14:paraId="3C639756"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3B19BC0" w14:textId="77777777" w:rsidR="006A5F66" w:rsidRDefault="00000000">
            <w:pPr>
              <w:spacing w:after="0" w:line="259" w:lineRule="auto"/>
              <w:ind w:left="0" w:firstLine="0"/>
              <w:jc w:val="left"/>
            </w:pPr>
            <w:r>
              <w:t xml:space="preserve">357 </w:t>
            </w:r>
          </w:p>
        </w:tc>
        <w:tc>
          <w:tcPr>
            <w:tcW w:w="1796" w:type="dxa"/>
            <w:tcBorders>
              <w:top w:val="single" w:sz="6" w:space="0" w:color="BFC3C8"/>
              <w:left w:val="single" w:sz="6" w:space="0" w:color="BFC3C8"/>
              <w:bottom w:val="single" w:sz="6" w:space="0" w:color="BFC3C8"/>
              <w:right w:val="single" w:sz="6" w:space="0" w:color="BFC3C8"/>
            </w:tcBorders>
          </w:tcPr>
          <w:p w14:paraId="5FB108F6" w14:textId="77777777" w:rsidR="006A5F66" w:rsidRDefault="00000000">
            <w:pPr>
              <w:spacing w:after="0" w:line="259" w:lineRule="auto"/>
              <w:ind w:left="0" w:firstLine="0"/>
              <w:jc w:val="left"/>
            </w:pPr>
            <w:r>
              <w:t xml:space="preserve">421 </w:t>
            </w:r>
          </w:p>
        </w:tc>
        <w:tc>
          <w:tcPr>
            <w:tcW w:w="1800" w:type="dxa"/>
            <w:tcBorders>
              <w:top w:val="single" w:sz="6" w:space="0" w:color="BFC3C8"/>
              <w:left w:val="single" w:sz="6" w:space="0" w:color="BFC3C8"/>
              <w:bottom w:val="single" w:sz="6" w:space="0" w:color="BFC3C8"/>
              <w:right w:val="single" w:sz="6" w:space="0" w:color="BFC3C8"/>
            </w:tcBorders>
          </w:tcPr>
          <w:p w14:paraId="25B1BB02" w14:textId="77777777" w:rsidR="006A5F66" w:rsidRDefault="00000000">
            <w:pPr>
              <w:spacing w:after="0" w:line="259" w:lineRule="auto"/>
              <w:ind w:left="2" w:firstLine="0"/>
              <w:jc w:val="left"/>
            </w:pPr>
            <w:r>
              <w:t xml:space="preserve">493 </w:t>
            </w:r>
          </w:p>
        </w:tc>
        <w:tc>
          <w:tcPr>
            <w:tcW w:w="1798" w:type="dxa"/>
            <w:tcBorders>
              <w:top w:val="single" w:sz="6" w:space="0" w:color="BFC3C8"/>
              <w:left w:val="single" w:sz="6" w:space="0" w:color="BFC3C8"/>
              <w:bottom w:val="single" w:sz="6" w:space="0" w:color="BFC3C8"/>
              <w:right w:val="single" w:sz="6" w:space="0" w:color="BFC3C8"/>
            </w:tcBorders>
          </w:tcPr>
          <w:p w14:paraId="2E5FF5F2" w14:textId="77777777" w:rsidR="006A5F66" w:rsidRDefault="00000000">
            <w:pPr>
              <w:spacing w:after="0" w:line="259" w:lineRule="auto"/>
              <w:ind w:left="1" w:firstLine="0"/>
              <w:jc w:val="left"/>
            </w:pPr>
            <w:r>
              <w:t xml:space="preserve">545 </w:t>
            </w:r>
          </w:p>
        </w:tc>
        <w:tc>
          <w:tcPr>
            <w:tcW w:w="1796" w:type="dxa"/>
            <w:tcBorders>
              <w:top w:val="single" w:sz="6" w:space="0" w:color="BFC3C8"/>
              <w:left w:val="single" w:sz="6" w:space="0" w:color="BFC3C8"/>
              <w:bottom w:val="single" w:sz="6" w:space="0" w:color="BFC3C8"/>
              <w:right w:val="single" w:sz="6" w:space="0" w:color="BFC3C8"/>
            </w:tcBorders>
          </w:tcPr>
          <w:p w14:paraId="326B23ED" w14:textId="77777777" w:rsidR="006A5F66" w:rsidRDefault="00000000">
            <w:pPr>
              <w:spacing w:after="0" w:line="259" w:lineRule="auto"/>
              <w:ind w:left="0" w:firstLine="0"/>
              <w:jc w:val="left"/>
            </w:pPr>
            <w:r>
              <w:t xml:space="preserve">586 </w:t>
            </w:r>
          </w:p>
        </w:tc>
      </w:tr>
      <w:tr w:rsidR="006A5F66" w14:paraId="355E67A1" w14:textId="77777777">
        <w:trPr>
          <w:trHeight w:val="1119"/>
        </w:trPr>
        <w:tc>
          <w:tcPr>
            <w:tcW w:w="1798" w:type="dxa"/>
            <w:tcBorders>
              <w:top w:val="single" w:sz="6" w:space="0" w:color="BFC3C8"/>
              <w:left w:val="single" w:sz="6" w:space="0" w:color="BFC3C8"/>
              <w:bottom w:val="single" w:sz="6" w:space="0" w:color="BFC3C8"/>
              <w:right w:val="single" w:sz="6" w:space="0" w:color="BFC3C8"/>
            </w:tcBorders>
            <w:vAlign w:val="bottom"/>
          </w:tcPr>
          <w:p w14:paraId="719DB9DD" w14:textId="77777777" w:rsidR="006A5F66" w:rsidRDefault="00000000">
            <w:pPr>
              <w:spacing w:after="29" w:line="259" w:lineRule="auto"/>
              <w:ind w:left="0" w:firstLine="0"/>
              <w:jc w:val="left"/>
            </w:pPr>
            <w:r>
              <w:t xml:space="preserve">Revenue  </w:t>
            </w:r>
          </w:p>
          <w:p w14:paraId="4AF03B5C"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D221DCC" w14:textId="77777777" w:rsidR="006A5F66" w:rsidRDefault="00000000">
            <w:pPr>
              <w:spacing w:after="0" w:line="259" w:lineRule="auto"/>
              <w:ind w:left="0" w:firstLine="0"/>
              <w:jc w:val="left"/>
            </w:pPr>
            <w:r>
              <w:t xml:space="preserve">2,394 </w:t>
            </w:r>
          </w:p>
        </w:tc>
        <w:tc>
          <w:tcPr>
            <w:tcW w:w="1796" w:type="dxa"/>
            <w:tcBorders>
              <w:top w:val="single" w:sz="6" w:space="0" w:color="BFC3C8"/>
              <w:left w:val="single" w:sz="6" w:space="0" w:color="BFC3C8"/>
              <w:bottom w:val="single" w:sz="6" w:space="0" w:color="BFC3C8"/>
              <w:right w:val="single" w:sz="6" w:space="0" w:color="BFC3C8"/>
            </w:tcBorders>
          </w:tcPr>
          <w:p w14:paraId="20DE1219" w14:textId="77777777" w:rsidR="006A5F66" w:rsidRDefault="00000000">
            <w:pPr>
              <w:spacing w:after="0" w:line="259" w:lineRule="auto"/>
              <w:ind w:left="0" w:firstLine="0"/>
              <w:jc w:val="left"/>
            </w:pPr>
            <w:r>
              <w:t xml:space="preserve">2,907 </w:t>
            </w:r>
          </w:p>
        </w:tc>
        <w:tc>
          <w:tcPr>
            <w:tcW w:w="1800" w:type="dxa"/>
            <w:tcBorders>
              <w:top w:val="single" w:sz="6" w:space="0" w:color="BFC3C8"/>
              <w:left w:val="single" w:sz="6" w:space="0" w:color="BFC3C8"/>
              <w:bottom w:val="single" w:sz="6" w:space="0" w:color="BFC3C8"/>
              <w:right w:val="single" w:sz="6" w:space="0" w:color="BFC3C8"/>
            </w:tcBorders>
          </w:tcPr>
          <w:p w14:paraId="02690DA5" w14:textId="77777777" w:rsidR="006A5F66" w:rsidRDefault="00000000">
            <w:pPr>
              <w:spacing w:after="0" w:line="259" w:lineRule="auto"/>
              <w:ind w:left="2" w:firstLine="0"/>
              <w:jc w:val="left"/>
            </w:pPr>
            <w:r>
              <w:t xml:space="preserve">3,892 </w:t>
            </w:r>
          </w:p>
        </w:tc>
        <w:tc>
          <w:tcPr>
            <w:tcW w:w="1798" w:type="dxa"/>
            <w:tcBorders>
              <w:top w:val="single" w:sz="6" w:space="0" w:color="BFC3C8"/>
              <w:left w:val="single" w:sz="6" w:space="0" w:color="BFC3C8"/>
              <w:bottom w:val="single" w:sz="6" w:space="0" w:color="BFC3C8"/>
              <w:right w:val="single" w:sz="6" w:space="0" w:color="BFC3C8"/>
            </w:tcBorders>
          </w:tcPr>
          <w:p w14:paraId="133D2E23" w14:textId="77777777" w:rsidR="006A5F66" w:rsidRDefault="00000000">
            <w:pPr>
              <w:spacing w:after="0" w:line="259" w:lineRule="auto"/>
              <w:ind w:left="1" w:firstLine="0"/>
              <w:jc w:val="left"/>
            </w:pPr>
            <w:r>
              <w:t xml:space="preserve">4,624 </w:t>
            </w:r>
          </w:p>
        </w:tc>
        <w:tc>
          <w:tcPr>
            <w:tcW w:w="1796" w:type="dxa"/>
            <w:tcBorders>
              <w:top w:val="single" w:sz="6" w:space="0" w:color="BFC3C8"/>
              <w:left w:val="single" w:sz="6" w:space="0" w:color="BFC3C8"/>
              <w:bottom w:val="single" w:sz="6" w:space="0" w:color="BFC3C8"/>
              <w:right w:val="single" w:sz="6" w:space="0" w:color="BFC3C8"/>
            </w:tcBorders>
          </w:tcPr>
          <w:p w14:paraId="2D1FBB3A" w14:textId="77777777" w:rsidR="006A5F66" w:rsidRDefault="00000000">
            <w:pPr>
              <w:spacing w:after="0" w:line="259" w:lineRule="auto"/>
              <w:ind w:left="0" w:firstLine="0"/>
              <w:jc w:val="left"/>
            </w:pPr>
            <w:r>
              <w:t xml:space="preserve">4,920 </w:t>
            </w:r>
          </w:p>
        </w:tc>
      </w:tr>
      <w:tr w:rsidR="006A5F66" w14:paraId="7D8951DD"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01BA50E0" w14:textId="77777777" w:rsidR="006A5F66" w:rsidRDefault="00000000">
            <w:pPr>
              <w:spacing w:after="29" w:line="259" w:lineRule="auto"/>
              <w:ind w:left="0" w:firstLine="0"/>
              <w:jc w:val="left"/>
            </w:pPr>
            <w:r>
              <w:rPr>
                <w:b/>
              </w:rPr>
              <w:lastRenderedPageBreak/>
              <w:t xml:space="preserve">Receivable </w:t>
            </w:r>
            <w:r>
              <w:t xml:space="preserve"> </w:t>
            </w:r>
          </w:p>
          <w:p w14:paraId="63BD5C7E" w14:textId="77777777" w:rsidR="006A5F66" w:rsidRDefault="00000000">
            <w:pPr>
              <w:spacing w:after="0" w:line="259" w:lineRule="auto"/>
              <w:ind w:left="0" w:firstLine="0"/>
              <w:jc w:val="left"/>
            </w:pPr>
            <w:r>
              <w:rPr>
                <w:b/>
              </w:rPr>
              <w:t>Days (days)</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29233AD" w14:textId="77777777" w:rsidR="006A5F66" w:rsidRDefault="00000000">
            <w:pPr>
              <w:spacing w:after="0" w:line="259" w:lineRule="auto"/>
              <w:ind w:left="0" w:firstLine="0"/>
              <w:jc w:val="left"/>
            </w:pPr>
            <w:r>
              <w:rPr>
                <w:b/>
              </w:rPr>
              <w:t>54.4</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DD565E3" w14:textId="77777777" w:rsidR="006A5F66" w:rsidRDefault="00000000">
            <w:pPr>
              <w:spacing w:after="0" w:line="259" w:lineRule="auto"/>
              <w:ind w:left="0" w:firstLine="0"/>
              <w:jc w:val="left"/>
            </w:pPr>
            <w:r>
              <w:rPr>
                <w:b/>
              </w:rPr>
              <w:t>52.9</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2EB2A0FD" w14:textId="77777777" w:rsidR="006A5F66" w:rsidRDefault="00000000">
            <w:pPr>
              <w:spacing w:after="0" w:line="259" w:lineRule="auto"/>
              <w:ind w:left="2" w:firstLine="0"/>
              <w:jc w:val="left"/>
            </w:pPr>
            <w:r>
              <w:rPr>
                <w:b/>
              </w:rPr>
              <w:t>46.2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15D6D691" w14:textId="77777777" w:rsidR="006A5F66" w:rsidRDefault="00000000">
            <w:pPr>
              <w:spacing w:after="0" w:line="259" w:lineRule="auto"/>
              <w:ind w:left="1" w:firstLine="0"/>
              <w:jc w:val="left"/>
            </w:pPr>
            <w:r>
              <w:rPr>
                <w:b/>
              </w:rPr>
              <w:t>43.0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DF2252E" w14:textId="77777777" w:rsidR="006A5F66" w:rsidRDefault="00000000">
            <w:pPr>
              <w:spacing w:after="0" w:line="259" w:lineRule="auto"/>
              <w:ind w:left="0" w:firstLine="0"/>
              <w:jc w:val="left"/>
            </w:pPr>
            <w:r>
              <w:rPr>
                <w:b/>
              </w:rPr>
              <w:t>43.5</w:t>
            </w:r>
            <w:r>
              <w:t xml:space="preserve"> </w:t>
            </w:r>
          </w:p>
        </w:tc>
      </w:tr>
    </w:tbl>
    <w:p w14:paraId="18168ABE" w14:textId="77777777" w:rsidR="006A5F66" w:rsidRDefault="00000000">
      <w:pPr>
        <w:spacing w:after="245"/>
        <w:ind w:left="17"/>
        <w:jc w:val="left"/>
      </w:pPr>
      <w:r>
        <w:rPr>
          <w:b/>
        </w:rPr>
        <w:t>Formula</w:t>
      </w:r>
      <w:r>
        <w:t xml:space="preserve"> </w:t>
      </w:r>
    </w:p>
    <w:p w14:paraId="33D54D74" w14:textId="77777777" w:rsidR="006A5F66" w:rsidRDefault="00000000">
      <w:pPr>
        <w:ind w:left="17" w:right="40"/>
      </w:pPr>
      <w:r>
        <w:t xml:space="preserve">Receivable Days = (Trade Receivables ÷ Revenue) × 365 </w:t>
      </w:r>
    </w:p>
    <w:p w14:paraId="190917FC" w14:textId="77777777" w:rsidR="006A5F66" w:rsidRDefault="00000000">
      <w:pPr>
        <w:pStyle w:val="Heading4"/>
        <w:ind w:left="17"/>
      </w:pPr>
      <w:r>
        <w:t xml:space="preserve">Interpretation </w:t>
      </w:r>
    </w:p>
    <w:p w14:paraId="0CE9E4E8" w14:textId="77777777" w:rsidR="006A5F66" w:rsidRDefault="00000000">
      <w:pPr>
        <w:ind w:left="17" w:right="40"/>
      </w:pPr>
      <w:r>
        <w:t xml:space="preserve">Receivable days measure IHG's efficiency in collecting payments from franchisees, hotel owners, and other customers. Stable or declining receivable days indicate effective credit management and improved cash flow, supporting efficient working capital management as trading conditions normalised after the pandemic (InterContinental Hotels Group PLC, 2025; </w:t>
      </w:r>
      <w:proofErr w:type="spellStart"/>
      <w:r>
        <w:t>Atrill</w:t>
      </w:r>
      <w:proofErr w:type="spellEnd"/>
      <w:r>
        <w:t xml:space="preserve"> and McLaney, 2022). </w:t>
      </w:r>
    </w:p>
    <w:tbl>
      <w:tblPr>
        <w:tblStyle w:val="TableGrid"/>
        <w:tblW w:w="10786" w:type="dxa"/>
        <w:tblInd w:w="31" w:type="dxa"/>
        <w:tblCellMar>
          <w:top w:w="230" w:type="dxa"/>
          <w:left w:w="127" w:type="dxa"/>
          <w:bottom w:w="166" w:type="dxa"/>
          <w:right w:w="115" w:type="dxa"/>
        </w:tblCellMar>
        <w:tblLook w:val="04A0" w:firstRow="1" w:lastRow="0" w:firstColumn="1" w:lastColumn="0" w:noHBand="0" w:noVBand="1"/>
      </w:tblPr>
      <w:tblGrid>
        <w:gridCol w:w="1798"/>
        <w:gridCol w:w="1798"/>
        <w:gridCol w:w="1796"/>
        <w:gridCol w:w="1800"/>
        <w:gridCol w:w="1798"/>
        <w:gridCol w:w="1796"/>
      </w:tblGrid>
      <w:tr w:rsidR="006A5F66" w14:paraId="0FD51F41" w14:textId="77777777">
        <w:trPr>
          <w:trHeight w:val="1116"/>
        </w:trPr>
        <w:tc>
          <w:tcPr>
            <w:tcW w:w="1798" w:type="dxa"/>
            <w:tcBorders>
              <w:top w:val="single" w:sz="6" w:space="0" w:color="BFC3C8"/>
              <w:left w:val="single" w:sz="6" w:space="0" w:color="BFC3C8"/>
              <w:bottom w:val="single" w:sz="6" w:space="0" w:color="BFC3C8"/>
              <w:right w:val="single" w:sz="6" w:space="0" w:color="BFC3C8"/>
            </w:tcBorders>
            <w:vAlign w:val="bottom"/>
          </w:tcPr>
          <w:p w14:paraId="03FF6144" w14:textId="77777777" w:rsidR="006A5F66" w:rsidRDefault="00000000">
            <w:pPr>
              <w:spacing w:after="10" w:line="259" w:lineRule="auto"/>
              <w:ind w:left="0" w:firstLine="0"/>
              <w:jc w:val="left"/>
            </w:pPr>
            <w:r>
              <w:rPr>
                <w:b/>
              </w:rPr>
              <w:t xml:space="preserve">Payable </w:t>
            </w:r>
            <w:r>
              <w:t xml:space="preserve"> </w:t>
            </w:r>
          </w:p>
          <w:p w14:paraId="77431E07" w14:textId="77777777" w:rsidR="006A5F66" w:rsidRDefault="00000000">
            <w:pPr>
              <w:spacing w:after="0" w:line="259" w:lineRule="auto"/>
              <w:ind w:left="0" w:firstLine="0"/>
              <w:jc w:val="left"/>
            </w:pPr>
            <w:r>
              <w:rPr>
                <w:b/>
              </w:rPr>
              <w:t>Days</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4E3F8D0"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18CD3096"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12CDA8FC"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6D891C0"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D5C7A85" w14:textId="77777777" w:rsidR="006A5F66" w:rsidRDefault="00000000">
            <w:pPr>
              <w:spacing w:after="0" w:line="259" w:lineRule="auto"/>
              <w:ind w:left="0" w:firstLine="0"/>
              <w:jc w:val="left"/>
            </w:pPr>
            <w:r>
              <w:rPr>
                <w:b/>
              </w:rPr>
              <w:t>2024</w:t>
            </w:r>
            <w:r>
              <w:t xml:space="preserve"> </w:t>
            </w:r>
          </w:p>
        </w:tc>
      </w:tr>
      <w:tr w:rsidR="006A5F66" w14:paraId="2B5490A5" w14:textId="77777777">
        <w:trPr>
          <w:trHeight w:val="1455"/>
        </w:trPr>
        <w:tc>
          <w:tcPr>
            <w:tcW w:w="1798" w:type="dxa"/>
            <w:tcBorders>
              <w:top w:val="single" w:sz="6" w:space="0" w:color="BFC3C8"/>
              <w:left w:val="single" w:sz="6" w:space="0" w:color="BFC3C8"/>
              <w:bottom w:val="single" w:sz="6" w:space="0" w:color="BFC3C8"/>
              <w:right w:val="single" w:sz="6" w:space="0" w:color="BFC3C8"/>
            </w:tcBorders>
            <w:vAlign w:val="bottom"/>
          </w:tcPr>
          <w:p w14:paraId="7E1CB97B" w14:textId="77777777" w:rsidR="006A5F66" w:rsidRDefault="00000000">
            <w:pPr>
              <w:spacing w:after="10" w:line="259" w:lineRule="auto"/>
              <w:ind w:left="0" w:firstLine="0"/>
              <w:jc w:val="left"/>
            </w:pPr>
            <w:r>
              <w:t xml:space="preserve">Trade  </w:t>
            </w:r>
          </w:p>
          <w:p w14:paraId="2F049EB8" w14:textId="77777777" w:rsidR="006A5F66" w:rsidRDefault="00000000">
            <w:pPr>
              <w:spacing w:after="30" w:line="259" w:lineRule="auto"/>
              <w:ind w:left="0" w:firstLine="0"/>
              <w:jc w:val="left"/>
            </w:pPr>
            <w:r>
              <w:t xml:space="preserve">Payables  </w:t>
            </w:r>
          </w:p>
          <w:p w14:paraId="5F49B635"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29E00664" w14:textId="77777777" w:rsidR="006A5F66" w:rsidRDefault="00000000">
            <w:pPr>
              <w:spacing w:after="0" w:line="259" w:lineRule="auto"/>
              <w:ind w:left="0" w:firstLine="0"/>
              <w:jc w:val="left"/>
            </w:pPr>
            <w:r>
              <w:t xml:space="preserve">120 </w:t>
            </w:r>
          </w:p>
        </w:tc>
        <w:tc>
          <w:tcPr>
            <w:tcW w:w="1796" w:type="dxa"/>
            <w:tcBorders>
              <w:top w:val="single" w:sz="6" w:space="0" w:color="BFC3C8"/>
              <w:left w:val="single" w:sz="6" w:space="0" w:color="BFC3C8"/>
              <w:bottom w:val="single" w:sz="6" w:space="0" w:color="BFC3C8"/>
              <w:right w:val="single" w:sz="6" w:space="0" w:color="BFC3C8"/>
            </w:tcBorders>
          </w:tcPr>
          <w:p w14:paraId="1261FCD4" w14:textId="77777777" w:rsidR="006A5F66" w:rsidRDefault="00000000">
            <w:pPr>
              <w:spacing w:after="0" w:line="259" w:lineRule="auto"/>
              <w:ind w:left="0" w:firstLine="0"/>
              <w:jc w:val="left"/>
            </w:pPr>
            <w:r>
              <w:t xml:space="preserve">138 </w:t>
            </w:r>
          </w:p>
        </w:tc>
        <w:tc>
          <w:tcPr>
            <w:tcW w:w="1800" w:type="dxa"/>
            <w:tcBorders>
              <w:top w:val="single" w:sz="6" w:space="0" w:color="BFC3C8"/>
              <w:left w:val="single" w:sz="6" w:space="0" w:color="BFC3C8"/>
              <w:bottom w:val="single" w:sz="6" w:space="0" w:color="BFC3C8"/>
              <w:right w:val="single" w:sz="6" w:space="0" w:color="BFC3C8"/>
            </w:tcBorders>
          </w:tcPr>
          <w:p w14:paraId="542D03F7" w14:textId="77777777" w:rsidR="006A5F66" w:rsidRDefault="00000000">
            <w:pPr>
              <w:spacing w:after="0" w:line="259" w:lineRule="auto"/>
              <w:ind w:left="2" w:firstLine="0"/>
              <w:jc w:val="left"/>
            </w:pPr>
            <w:r>
              <w:t xml:space="preserve">172 </w:t>
            </w:r>
          </w:p>
        </w:tc>
        <w:tc>
          <w:tcPr>
            <w:tcW w:w="1798" w:type="dxa"/>
            <w:tcBorders>
              <w:top w:val="single" w:sz="6" w:space="0" w:color="BFC3C8"/>
              <w:left w:val="single" w:sz="6" w:space="0" w:color="BFC3C8"/>
              <w:bottom w:val="single" w:sz="6" w:space="0" w:color="BFC3C8"/>
              <w:right w:val="single" w:sz="6" w:space="0" w:color="BFC3C8"/>
            </w:tcBorders>
          </w:tcPr>
          <w:p w14:paraId="5DFE0859" w14:textId="77777777" w:rsidR="006A5F66" w:rsidRDefault="00000000">
            <w:pPr>
              <w:spacing w:after="0" w:line="259" w:lineRule="auto"/>
              <w:ind w:left="1" w:firstLine="0"/>
              <w:jc w:val="left"/>
            </w:pPr>
            <w:r>
              <w:t xml:space="preserve">185 </w:t>
            </w:r>
          </w:p>
        </w:tc>
        <w:tc>
          <w:tcPr>
            <w:tcW w:w="1796" w:type="dxa"/>
            <w:tcBorders>
              <w:top w:val="single" w:sz="6" w:space="0" w:color="BFC3C8"/>
              <w:left w:val="single" w:sz="6" w:space="0" w:color="BFC3C8"/>
              <w:bottom w:val="single" w:sz="6" w:space="0" w:color="BFC3C8"/>
              <w:right w:val="single" w:sz="6" w:space="0" w:color="BFC3C8"/>
            </w:tcBorders>
          </w:tcPr>
          <w:p w14:paraId="75933491" w14:textId="77777777" w:rsidR="006A5F66" w:rsidRDefault="00000000">
            <w:pPr>
              <w:spacing w:after="0" w:line="259" w:lineRule="auto"/>
              <w:ind w:left="0" w:firstLine="0"/>
              <w:jc w:val="left"/>
            </w:pPr>
            <w:r>
              <w:t xml:space="preserve">194 </w:t>
            </w:r>
          </w:p>
        </w:tc>
      </w:tr>
      <w:tr w:rsidR="006A5F66" w14:paraId="6DD1E6EA" w14:textId="77777777">
        <w:trPr>
          <w:trHeight w:val="1454"/>
        </w:trPr>
        <w:tc>
          <w:tcPr>
            <w:tcW w:w="1798" w:type="dxa"/>
            <w:tcBorders>
              <w:top w:val="single" w:sz="6" w:space="0" w:color="BFC3C8"/>
              <w:left w:val="single" w:sz="6" w:space="0" w:color="BFC3C8"/>
              <w:bottom w:val="single" w:sz="6" w:space="0" w:color="BFC3C8"/>
              <w:right w:val="single" w:sz="6" w:space="0" w:color="BFC3C8"/>
            </w:tcBorders>
            <w:vAlign w:val="bottom"/>
          </w:tcPr>
          <w:p w14:paraId="663DC80E" w14:textId="77777777" w:rsidR="006A5F66" w:rsidRDefault="00000000">
            <w:pPr>
              <w:spacing w:after="12" w:line="259" w:lineRule="auto"/>
              <w:ind w:left="0" w:firstLine="0"/>
              <w:jc w:val="left"/>
            </w:pPr>
            <w:r>
              <w:t xml:space="preserve">Operating  </w:t>
            </w:r>
          </w:p>
          <w:p w14:paraId="6B30B12D" w14:textId="77777777" w:rsidR="006A5F66" w:rsidRDefault="00000000">
            <w:pPr>
              <w:spacing w:after="29" w:line="259" w:lineRule="auto"/>
              <w:ind w:left="0" w:firstLine="0"/>
              <w:jc w:val="left"/>
            </w:pPr>
            <w:r>
              <w:t xml:space="preserve">Costs / COS  </w:t>
            </w:r>
          </w:p>
          <w:p w14:paraId="460A015C"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8E30390" w14:textId="77777777" w:rsidR="006A5F66" w:rsidRDefault="00000000">
            <w:pPr>
              <w:spacing w:after="0" w:line="259" w:lineRule="auto"/>
              <w:ind w:left="0" w:firstLine="0"/>
              <w:jc w:val="left"/>
            </w:pPr>
            <w:r>
              <w:t xml:space="preserve">1,535 </w:t>
            </w:r>
          </w:p>
        </w:tc>
        <w:tc>
          <w:tcPr>
            <w:tcW w:w="1796" w:type="dxa"/>
            <w:tcBorders>
              <w:top w:val="single" w:sz="6" w:space="0" w:color="BFC3C8"/>
              <w:left w:val="single" w:sz="6" w:space="0" w:color="BFC3C8"/>
              <w:bottom w:val="single" w:sz="6" w:space="0" w:color="BFC3C8"/>
              <w:right w:val="single" w:sz="6" w:space="0" w:color="BFC3C8"/>
            </w:tcBorders>
          </w:tcPr>
          <w:p w14:paraId="080C5653" w14:textId="77777777" w:rsidR="006A5F66" w:rsidRDefault="00000000">
            <w:pPr>
              <w:spacing w:after="0" w:line="259" w:lineRule="auto"/>
              <w:ind w:left="0" w:firstLine="0"/>
              <w:jc w:val="left"/>
            </w:pPr>
            <w:r>
              <w:t xml:space="preserve">1,754 </w:t>
            </w:r>
          </w:p>
        </w:tc>
        <w:tc>
          <w:tcPr>
            <w:tcW w:w="1800" w:type="dxa"/>
            <w:tcBorders>
              <w:top w:val="single" w:sz="6" w:space="0" w:color="BFC3C8"/>
              <w:left w:val="single" w:sz="6" w:space="0" w:color="BFC3C8"/>
              <w:bottom w:val="single" w:sz="6" w:space="0" w:color="BFC3C8"/>
              <w:right w:val="single" w:sz="6" w:space="0" w:color="BFC3C8"/>
            </w:tcBorders>
          </w:tcPr>
          <w:p w14:paraId="5C586BAB" w14:textId="77777777" w:rsidR="006A5F66" w:rsidRDefault="00000000">
            <w:pPr>
              <w:spacing w:after="0" w:line="259" w:lineRule="auto"/>
              <w:ind w:left="2" w:firstLine="0"/>
              <w:jc w:val="left"/>
            </w:pPr>
            <w:r>
              <w:t xml:space="preserve">2,331 </w:t>
            </w:r>
          </w:p>
        </w:tc>
        <w:tc>
          <w:tcPr>
            <w:tcW w:w="1798" w:type="dxa"/>
            <w:tcBorders>
              <w:top w:val="single" w:sz="6" w:space="0" w:color="BFC3C8"/>
              <w:left w:val="single" w:sz="6" w:space="0" w:color="BFC3C8"/>
              <w:bottom w:val="single" w:sz="6" w:space="0" w:color="BFC3C8"/>
              <w:right w:val="single" w:sz="6" w:space="0" w:color="BFC3C8"/>
            </w:tcBorders>
          </w:tcPr>
          <w:p w14:paraId="47275DD5" w14:textId="77777777" w:rsidR="006A5F66" w:rsidRDefault="00000000">
            <w:pPr>
              <w:spacing w:after="0" w:line="259" w:lineRule="auto"/>
              <w:ind w:left="1" w:firstLine="0"/>
              <w:jc w:val="left"/>
            </w:pPr>
            <w:r>
              <w:t xml:space="preserve">2,697 </w:t>
            </w:r>
          </w:p>
        </w:tc>
        <w:tc>
          <w:tcPr>
            <w:tcW w:w="1796" w:type="dxa"/>
            <w:tcBorders>
              <w:top w:val="single" w:sz="6" w:space="0" w:color="BFC3C8"/>
              <w:left w:val="single" w:sz="6" w:space="0" w:color="BFC3C8"/>
              <w:bottom w:val="single" w:sz="6" w:space="0" w:color="BFC3C8"/>
              <w:right w:val="single" w:sz="6" w:space="0" w:color="BFC3C8"/>
            </w:tcBorders>
          </w:tcPr>
          <w:p w14:paraId="4C477EA2" w14:textId="77777777" w:rsidR="006A5F66" w:rsidRDefault="00000000">
            <w:pPr>
              <w:spacing w:after="0" w:line="259" w:lineRule="auto"/>
              <w:ind w:left="0" w:firstLine="0"/>
              <w:jc w:val="left"/>
            </w:pPr>
            <w:r>
              <w:t xml:space="preserve">2,846 </w:t>
            </w:r>
          </w:p>
        </w:tc>
      </w:tr>
      <w:tr w:rsidR="006A5F66" w14:paraId="03B2F37F" w14:textId="77777777">
        <w:trPr>
          <w:trHeight w:val="1118"/>
        </w:trPr>
        <w:tc>
          <w:tcPr>
            <w:tcW w:w="1798" w:type="dxa"/>
            <w:tcBorders>
              <w:top w:val="single" w:sz="6" w:space="0" w:color="BFC3C8"/>
              <w:left w:val="single" w:sz="6" w:space="0" w:color="BFC3C8"/>
              <w:bottom w:val="single" w:sz="6" w:space="0" w:color="BFC3C8"/>
              <w:right w:val="single" w:sz="6" w:space="0" w:color="BFC3C8"/>
            </w:tcBorders>
            <w:vAlign w:val="bottom"/>
          </w:tcPr>
          <w:p w14:paraId="28948596" w14:textId="77777777" w:rsidR="006A5F66" w:rsidRDefault="00000000">
            <w:pPr>
              <w:spacing w:after="12" w:line="259" w:lineRule="auto"/>
              <w:ind w:left="0" w:firstLine="0"/>
              <w:jc w:val="left"/>
            </w:pPr>
            <w:r>
              <w:rPr>
                <w:b/>
              </w:rPr>
              <w:t xml:space="preserve">Payable </w:t>
            </w:r>
            <w:r>
              <w:t xml:space="preserve"> </w:t>
            </w:r>
          </w:p>
          <w:p w14:paraId="64D59897" w14:textId="77777777" w:rsidR="006A5F66" w:rsidRDefault="00000000">
            <w:pPr>
              <w:spacing w:after="0" w:line="259" w:lineRule="auto"/>
              <w:ind w:left="0" w:firstLine="0"/>
              <w:jc w:val="left"/>
            </w:pPr>
            <w:r>
              <w:rPr>
                <w:b/>
              </w:rPr>
              <w:t>Days (days)</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14BD589" w14:textId="77777777" w:rsidR="006A5F66" w:rsidRDefault="00000000">
            <w:pPr>
              <w:spacing w:after="0" w:line="259" w:lineRule="auto"/>
              <w:ind w:left="0" w:firstLine="0"/>
              <w:jc w:val="left"/>
            </w:pPr>
            <w:r>
              <w:rPr>
                <w:b/>
              </w:rPr>
              <w:t>28.5</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54BCC34" w14:textId="77777777" w:rsidR="006A5F66" w:rsidRDefault="00000000">
            <w:pPr>
              <w:spacing w:after="0" w:line="259" w:lineRule="auto"/>
              <w:ind w:left="0" w:firstLine="0"/>
              <w:jc w:val="left"/>
            </w:pPr>
            <w:r>
              <w:rPr>
                <w:b/>
              </w:rPr>
              <w:t>28.7</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47E59BDD" w14:textId="77777777" w:rsidR="006A5F66" w:rsidRDefault="00000000">
            <w:pPr>
              <w:spacing w:after="0" w:line="259" w:lineRule="auto"/>
              <w:ind w:left="2" w:firstLine="0"/>
              <w:jc w:val="left"/>
            </w:pPr>
            <w:r>
              <w:rPr>
                <w:b/>
              </w:rPr>
              <w:t>26.9</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E99573C" w14:textId="77777777" w:rsidR="006A5F66" w:rsidRDefault="00000000">
            <w:pPr>
              <w:spacing w:after="0" w:line="259" w:lineRule="auto"/>
              <w:ind w:left="1" w:firstLine="0"/>
              <w:jc w:val="left"/>
            </w:pPr>
            <w:r>
              <w:rPr>
                <w:b/>
              </w:rPr>
              <w:t>25.0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BB46C7D" w14:textId="77777777" w:rsidR="006A5F66" w:rsidRDefault="00000000">
            <w:pPr>
              <w:spacing w:after="0" w:line="259" w:lineRule="auto"/>
              <w:ind w:left="0" w:firstLine="0"/>
              <w:jc w:val="left"/>
            </w:pPr>
            <w:r>
              <w:rPr>
                <w:b/>
              </w:rPr>
              <w:t>24.9</w:t>
            </w:r>
            <w:r>
              <w:t xml:space="preserve"> </w:t>
            </w:r>
          </w:p>
        </w:tc>
      </w:tr>
    </w:tbl>
    <w:p w14:paraId="0333FAD3" w14:textId="77777777" w:rsidR="006A5F66" w:rsidRDefault="00000000">
      <w:pPr>
        <w:spacing w:after="245"/>
        <w:ind w:left="17"/>
        <w:jc w:val="left"/>
      </w:pPr>
      <w:r>
        <w:rPr>
          <w:b/>
        </w:rPr>
        <w:t>Formula</w:t>
      </w:r>
      <w:r>
        <w:t xml:space="preserve"> </w:t>
      </w:r>
    </w:p>
    <w:p w14:paraId="7C2A2027" w14:textId="77777777" w:rsidR="006A5F66" w:rsidRDefault="00000000">
      <w:pPr>
        <w:spacing w:after="269"/>
        <w:ind w:left="17" w:right="40"/>
      </w:pPr>
      <w:r>
        <w:t xml:space="preserve">Payable Days = (Trade Payables ÷ Operating Costs) × 365 </w:t>
      </w:r>
    </w:p>
    <w:p w14:paraId="77207E84" w14:textId="77777777" w:rsidR="006A5F66" w:rsidRDefault="00000000">
      <w:pPr>
        <w:pStyle w:val="Heading4"/>
        <w:ind w:left="17"/>
      </w:pPr>
      <w:r>
        <w:t xml:space="preserve">Interpretation </w:t>
      </w:r>
    </w:p>
    <w:p w14:paraId="34A27295" w14:textId="77777777" w:rsidR="006A5F66" w:rsidRDefault="00000000">
      <w:pPr>
        <w:spacing w:after="36"/>
        <w:ind w:left="17" w:right="40"/>
      </w:pPr>
      <w:r>
        <w:t>Payable days measure how efficiently IHG manages payments to suppliers while maintaining adequate liquidity. As an asset-light hospitality business, IHG prioritises disciplined payment practices, effective cash flow forecasting, and financial flexibility rather than extending supplier credit excessively, supporting operational stability during periods of demand uncertainty (InterContinental Hotels Group PLC, 2025; Ross et al., 2022).</w:t>
      </w:r>
    </w:p>
    <w:p w14:paraId="571295DE" w14:textId="77777777" w:rsidR="006A5F66" w:rsidRDefault="00000000">
      <w:pPr>
        <w:spacing w:after="965" w:line="259" w:lineRule="auto"/>
        <w:ind w:left="0" w:firstLine="0"/>
        <w:jc w:val="right"/>
      </w:pPr>
      <w:r>
        <w:rPr>
          <w:noProof/>
          <w:sz w:val="22"/>
        </w:rPr>
        <mc:AlternateContent>
          <mc:Choice Requires="wpg">
            <w:drawing>
              <wp:inline distT="0" distB="0" distL="0" distR="0" wp14:anchorId="303467FE" wp14:editId="65864407">
                <wp:extent cx="6847840" cy="9525"/>
                <wp:effectExtent l="0" t="0" r="0" b="0"/>
                <wp:docPr id="38518" name="Group 38518"/>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2140" name="Shape 2140"/>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8518" style="width:539.2pt;height:0.75pt;mso-position-horizontal-relative:char;mso-position-vertical-relative:line" coordsize="68478,95">
                <v:shape id="Shape 2140"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7F0C5A62" w14:textId="77777777" w:rsidR="006A5F66" w:rsidRDefault="00000000">
      <w:pPr>
        <w:pStyle w:val="Heading3"/>
        <w:ind w:left="9"/>
      </w:pPr>
      <w:r>
        <w:lastRenderedPageBreak/>
        <w:t xml:space="preserve">1.2.4 Gearing Ratios </w:t>
      </w:r>
    </w:p>
    <w:p w14:paraId="17F461A8" w14:textId="77777777" w:rsidR="006A5F66" w:rsidRDefault="00000000">
      <w:pPr>
        <w:ind w:left="17" w:right="40"/>
      </w:pPr>
      <w:r>
        <w:t xml:space="preserve">Gearing ratios evaluate IHG's reliance on debt financing and its ability to meet interest obligations, providing insight into long-term financial risk (Brigham and Ehrhardt, 2022). Although leverage remains relatively high, strong interest coverage and recurring franchise and management fee income enhance financial resilience and support debt-servicing capacity (InterContinental Hotels Group PLC, 2025). </w:t>
      </w:r>
    </w:p>
    <w:tbl>
      <w:tblPr>
        <w:tblStyle w:val="TableGrid"/>
        <w:tblW w:w="10786" w:type="dxa"/>
        <w:tblInd w:w="31" w:type="dxa"/>
        <w:tblCellMar>
          <w:top w:w="233" w:type="dxa"/>
          <w:left w:w="127" w:type="dxa"/>
          <w:bottom w:w="171" w:type="dxa"/>
          <w:right w:w="115" w:type="dxa"/>
        </w:tblCellMar>
        <w:tblLook w:val="04A0" w:firstRow="1" w:lastRow="0" w:firstColumn="1" w:lastColumn="0" w:noHBand="0" w:noVBand="1"/>
      </w:tblPr>
      <w:tblGrid>
        <w:gridCol w:w="1798"/>
        <w:gridCol w:w="1798"/>
        <w:gridCol w:w="1796"/>
        <w:gridCol w:w="1800"/>
        <w:gridCol w:w="1798"/>
        <w:gridCol w:w="1796"/>
      </w:tblGrid>
      <w:tr w:rsidR="006A5F66" w14:paraId="3E35F84F" w14:textId="77777777">
        <w:trPr>
          <w:trHeight w:val="1118"/>
        </w:trPr>
        <w:tc>
          <w:tcPr>
            <w:tcW w:w="1798" w:type="dxa"/>
            <w:tcBorders>
              <w:top w:val="single" w:sz="6" w:space="0" w:color="BFC3C8"/>
              <w:left w:val="single" w:sz="6" w:space="0" w:color="BFC3C8"/>
              <w:bottom w:val="single" w:sz="6" w:space="0" w:color="BFC3C8"/>
              <w:right w:val="single" w:sz="6" w:space="0" w:color="BFC3C8"/>
            </w:tcBorders>
            <w:vAlign w:val="bottom"/>
          </w:tcPr>
          <w:p w14:paraId="15532DD8" w14:textId="77777777" w:rsidR="006A5F66" w:rsidRDefault="00000000">
            <w:pPr>
              <w:spacing w:after="10" w:line="259" w:lineRule="auto"/>
              <w:ind w:left="0" w:firstLine="0"/>
              <w:jc w:val="left"/>
            </w:pPr>
            <w:r>
              <w:rPr>
                <w:b/>
              </w:rPr>
              <w:t>Debt-to-</w:t>
            </w:r>
            <w:r>
              <w:t xml:space="preserve"> </w:t>
            </w:r>
          </w:p>
          <w:p w14:paraId="331279B5" w14:textId="77777777" w:rsidR="006A5F66" w:rsidRDefault="00000000">
            <w:pPr>
              <w:spacing w:after="0" w:line="259" w:lineRule="auto"/>
              <w:ind w:left="0" w:firstLine="0"/>
              <w:jc w:val="left"/>
            </w:pPr>
            <w:r>
              <w:rPr>
                <w:b/>
              </w:rPr>
              <w:t>Equity</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6D3DE1B"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8FCAB57"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40461A46"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C6AB7F5"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5202B9E" w14:textId="77777777" w:rsidR="006A5F66" w:rsidRDefault="00000000">
            <w:pPr>
              <w:spacing w:after="0" w:line="259" w:lineRule="auto"/>
              <w:ind w:left="0" w:firstLine="0"/>
              <w:jc w:val="left"/>
            </w:pPr>
            <w:r>
              <w:rPr>
                <w:b/>
              </w:rPr>
              <w:t>2024</w:t>
            </w:r>
            <w:r>
              <w:t xml:space="preserve"> </w:t>
            </w:r>
          </w:p>
        </w:tc>
      </w:tr>
      <w:tr w:rsidR="006A5F66" w14:paraId="0465709D"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3783B31C" w14:textId="77777777" w:rsidR="006A5F66" w:rsidRDefault="00000000">
            <w:pPr>
              <w:spacing w:after="12" w:line="259" w:lineRule="auto"/>
              <w:ind w:left="0" w:firstLine="0"/>
              <w:jc w:val="left"/>
            </w:pPr>
            <w:r>
              <w:t xml:space="preserve">Total Debt  </w:t>
            </w:r>
          </w:p>
          <w:p w14:paraId="527B0CCB"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5A6967F" w14:textId="77777777" w:rsidR="006A5F66" w:rsidRDefault="00000000">
            <w:pPr>
              <w:spacing w:after="0" w:line="259" w:lineRule="auto"/>
              <w:ind w:left="0" w:firstLine="0"/>
              <w:jc w:val="left"/>
            </w:pPr>
            <w:r>
              <w:t xml:space="preserve">4,201 </w:t>
            </w:r>
          </w:p>
        </w:tc>
        <w:tc>
          <w:tcPr>
            <w:tcW w:w="1796" w:type="dxa"/>
            <w:tcBorders>
              <w:top w:val="single" w:sz="6" w:space="0" w:color="BFC3C8"/>
              <w:left w:val="single" w:sz="6" w:space="0" w:color="BFC3C8"/>
              <w:bottom w:val="single" w:sz="6" w:space="0" w:color="BFC3C8"/>
              <w:right w:val="single" w:sz="6" w:space="0" w:color="BFC3C8"/>
            </w:tcBorders>
          </w:tcPr>
          <w:p w14:paraId="72E85C4D" w14:textId="77777777" w:rsidR="006A5F66" w:rsidRDefault="00000000">
            <w:pPr>
              <w:spacing w:after="0" w:line="259" w:lineRule="auto"/>
              <w:ind w:left="0" w:firstLine="0"/>
              <w:jc w:val="left"/>
            </w:pPr>
            <w:r>
              <w:t xml:space="preserve">4,276 </w:t>
            </w:r>
          </w:p>
        </w:tc>
        <w:tc>
          <w:tcPr>
            <w:tcW w:w="1800" w:type="dxa"/>
            <w:tcBorders>
              <w:top w:val="single" w:sz="6" w:space="0" w:color="BFC3C8"/>
              <w:left w:val="single" w:sz="6" w:space="0" w:color="BFC3C8"/>
              <w:bottom w:val="single" w:sz="6" w:space="0" w:color="BFC3C8"/>
              <w:right w:val="single" w:sz="6" w:space="0" w:color="BFC3C8"/>
            </w:tcBorders>
          </w:tcPr>
          <w:p w14:paraId="5729F1D4" w14:textId="77777777" w:rsidR="006A5F66" w:rsidRDefault="00000000">
            <w:pPr>
              <w:spacing w:after="0" w:line="259" w:lineRule="auto"/>
              <w:ind w:left="2" w:firstLine="0"/>
              <w:jc w:val="left"/>
            </w:pPr>
            <w:r>
              <w:t xml:space="preserve">4,601 </w:t>
            </w:r>
          </w:p>
        </w:tc>
        <w:tc>
          <w:tcPr>
            <w:tcW w:w="1798" w:type="dxa"/>
            <w:tcBorders>
              <w:top w:val="single" w:sz="6" w:space="0" w:color="BFC3C8"/>
              <w:left w:val="single" w:sz="6" w:space="0" w:color="BFC3C8"/>
              <w:bottom w:val="single" w:sz="6" w:space="0" w:color="BFC3C8"/>
              <w:right w:val="single" w:sz="6" w:space="0" w:color="BFC3C8"/>
            </w:tcBorders>
          </w:tcPr>
          <w:p w14:paraId="7F2F3597" w14:textId="77777777" w:rsidR="006A5F66" w:rsidRDefault="00000000">
            <w:pPr>
              <w:spacing w:after="0" w:line="259" w:lineRule="auto"/>
              <w:ind w:left="1" w:firstLine="0"/>
              <w:jc w:val="left"/>
            </w:pPr>
            <w:r>
              <w:t xml:space="preserve">4,756 </w:t>
            </w:r>
          </w:p>
        </w:tc>
        <w:tc>
          <w:tcPr>
            <w:tcW w:w="1796" w:type="dxa"/>
            <w:tcBorders>
              <w:top w:val="single" w:sz="6" w:space="0" w:color="BFC3C8"/>
              <w:left w:val="single" w:sz="6" w:space="0" w:color="BFC3C8"/>
              <w:bottom w:val="single" w:sz="6" w:space="0" w:color="BFC3C8"/>
              <w:right w:val="single" w:sz="6" w:space="0" w:color="BFC3C8"/>
            </w:tcBorders>
          </w:tcPr>
          <w:p w14:paraId="5127F16B" w14:textId="77777777" w:rsidR="006A5F66" w:rsidRDefault="00000000">
            <w:pPr>
              <w:spacing w:after="0" w:line="259" w:lineRule="auto"/>
              <w:ind w:left="0" w:firstLine="0"/>
              <w:jc w:val="left"/>
            </w:pPr>
            <w:r>
              <w:t xml:space="preserve">4,932 </w:t>
            </w:r>
          </w:p>
        </w:tc>
      </w:tr>
      <w:tr w:rsidR="006A5F66" w14:paraId="3AC7318C" w14:textId="77777777">
        <w:trPr>
          <w:trHeight w:val="1457"/>
        </w:trPr>
        <w:tc>
          <w:tcPr>
            <w:tcW w:w="1798" w:type="dxa"/>
            <w:tcBorders>
              <w:top w:val="single" w:sz="6" w:space="0" w:color="BFC3C8"/>
              <w:left w:val="single" w:sz="6" w:space="0" w:color="BFC3C8"/>
              <w:bottom w:val="single" w:sz="6" w:space="0" w:color="BFC3C8"/>
              <w:right w:val="single" w:sz="6" w:space="0" w:color="BFC3C8"/>
            </w:tcBorders>
            <w:vAlign w:val="bottom"/>
          </w:tcPr>
          <w:p w14:paraId="429DE93D" w14:textId="77777777" w:rsidR="006A5F66" w:rsidRDefault="00000000">
            <w:pPr>
              <w:spacing w:after="15" w:line="259" w:lineRule="auto"/>
              <w:ind w:left="0" w:firstLine="0"/>
              <w:jc w:val="left"/>
            </w:pPr>
            <w:r>
              <w:t xml:space="preserve">Shareholders’  </w:t>
            </w:r>
          </w:p>
          <w:p w14:paraId="3F099776" w14:textId="77777777" w:rsidR="006A5F66" w:rsidRDefault="00000000">
            <w:pPr>
              <w:spacing w:after="10" w:line="259" w:lineRule="auto"/>
              <w:ind w:left="0" w:firstLine="0"/>
              <w:jc w:val="left"/>
            </w:pPr>
            <w:r>
              <w:t xml:space="preserve">Equity  </w:t>
            </w:r>
          </w:p>
          <w:p w14:paraId="6E045C96"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860D4B6" w14:textId="77777777" w:rsidR="006A5F66" w:rsidRDefault="00000000">
            <w:pPr>
              <w:spacing w:after="0" w:line="259" w:lineRule="auto"/>
              <w:ind w:left="0" w:firstLine="0"/>
              <w:jc w:val="left"/>
            </w:pPr>
            <w:r>
              <w:t xml:space="preserve">838 </w:t>
            </w:r>
          </w:p>
        </w:tc>
        <w:tc>
          <w:tcPr>
            <w:tcW w:w="1796" w:type="dxa"/>
            <w:tcBorders>
              <w:top w:val="single" w:sz="6" w:space="0" w:color="BFC3C8"/>
              <w:left w:val="single" w:sz="6" w:space="0" w:color="BFC3C8"/>
              <w:bottom w:val="single" w:sz="6" w:space="0" w:color="BFC3C8"/>
              <w:right w:val="single" w:sz="6" w:space="0" w:color="BFC3C8"/>
            </w:tcBorders>
          </w:tcPr>
          <w:p w14:paraId="75CD2B72" w14:textId="77777777" w:rsidR="006A5F66" w:rsidRDefault="00000000">
            <w:pPr>
              <w:spacing w:after="0" w:line="259" w:lineRule="auto"/>
              <w:ind w:left="0" w:firstLine="0"/>
              <w:jc w:val="left"/>
            </w:pPr>
            <w:r>
              <w:t xml:space="preserve">1,049 </w:t>
            </w:r>
          </w:p>
        </w:tc>
        <w:tc>
          <w:tcPr>
            <w:tcW w:w="1800" w:type="dxa"/>
            <w:tcBorders>
              <w:top w:val="single" w:sz="6" w:space="0" w:color="BFC3C8"/>
              <w:left w:val="single" w:sz="6" w:space="0" w:color="BFC3C8"/>
              <w:bottom w:val="single" w:sz="6" w:space="0" w:color="BFC3C8"/>
              <w:right w:val="single" w:sz="6" w:space="0" w:color="BFC3C8"/>
            </w:tcBorders>
          </w:tcPr>
          <w:p w14:paraId="5B08B2BE" w14:textId="77777777" w:rsidR="006A5F66" w:rsidRDefault="00000000">
            <w:pPr>
              <w:spacing w:after="0" w:line="259" w:lineRule="auto"/>
              <w:ind w:left="2" w:firstLine="0"/>
              <w:jc w:val="left"/>
            </w:pPr>
            <w:r>
              <w:t xml:space="preserve">1,275 </w:t>
            </w:r>
          </w:p>
        </w:tc>
        <w:tc>
          <w:tcPr>
            <w:tcW w:w="1798" w:type="dxa"/>
            <w:tcBorders>
              <w:top w:val="single" w:sz="6" w:space="0" w:color="BFC3C8"/>
              <w:left w:val="single" w:sz="6" w:space="0" w:color="BFC3C8"/>
              <w:bottom w:val="single" w:sz="6" w:space="0" w:color="BFC3C8"/>
              <w:right w:val="single" w:sz="6" w:space="0" w:color="BFC3C8"/>
            </w:tcBorders>
          </w:tcPr>
          <w:p w14:paraId="77BE0673" w14:textId="77777777" w:rsidR="006A5F66" w:rsidRDefault="00000000">
            <w:pPr>
              <w:spacing w:after="0" w:line="259" w:lineRule="auto"/>
              <w:ind w:left="1" w:firstLine="0"/>
              <w:jc w:val="left"/>
            </w:pPr>
            <w:r>
              <w:t xml:space="preserve">1,485 </w:t>
            </w:r>
          </w:p>
        </w:tc>
        <w:tc>
          <w:tcPr>
            <w:tcW w:w="1796" w:type="dxa"/>
            <w:tcBorders>
              <w:top w:val="single" w:sz="6" w:space="0" w:color="BFC3C8"/>
              <w:left w:val="single" w:sz="6" w:space="0" w:color="BFC3C8"/>
              <w:bottom w:val="single" w:sz="6" w:space="0" w:color="BFC3C8"/>
              <w:right w:val="single" w:sz="6" w:space="0" w:color="BFC3C8"/>
            </w:tcBorders>
          </w:tcPr>
          <w:p w14:paraId="500A6B67" w14:textId="77777777" w:rsidR="006A5F66" w:rsidRDefault="00000000">
            <w:pPr>
              <w:spacing w:after="0" w:line="259" w:lineRule="auto"/>
              <w:ind w:left="0" w:firstLine="0"/>
              <w:jc w:val="left"/>
            </w:pPr>
            <w:r>
              <w:t xml:space="preserve">1,596 </w:t>
            </w:r>
          </w:p>
        </w:tc>
      </w:tr>
      <w:tr w:rsidR="006A5F66" w14:paraId="3C806511"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06C4AD9E" w14:textId="77777777" w:rsidR="006A5F66" w:rsidRDefault="00000000">
            <w:pPr>
              <w:spacing w:after="10" w:line="259" w:lineRule="auto"/>
              <w:ind w:left="0" w:firstLine="0"/>
              <w:jc w:val="left"/>
            </w:pPr>
            <w:r>
              <w:rPr>
                <w:b/>
              </w:rPr>
              <w:t>Debt-to-</w:t>
            </w:r>
            <w:r>
              <w:t xml:space="preserve"> </w:t>
            </w:r>
          </w:p>
          <w:p w14:paraId="42452D23" w14:textId="77777777" w:rsidR="006A5F66" w:rsidRDefault="00000000">
            <w:pPr>
              <w:spacing w:after="0" w:line="259" w:lineRule="auto"/>
              <w:ind w:left="0" w:firstLine="0"/>
              <w:jc w:val="left"/>
            </w:pPr>
            <w:r>
              <w:rPr>
                <w:b/>
              </w:rPr>
              <w:t>Equity</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2E16E08" w14:textId="77777777" w:rsidR="006A5F66" w:rsidRDefault="00000000">
            <w:pPr>
              <w:spacing w:after="0" w:line="259" w:lineRule="auto"/>
              <w:ind w:left="0" w:firstLine="0"/>
              <w:jc w:val="left"/>
            </w:pPr>
            <w:r>
              <w:rPr>
                <w:b/>
              </w:rPr>
              <w:t>5.01</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D470C56" w14:textId="77777777" w:rsidR="006A5F66" w:rsidRDefault="00000000">
            <w:pPr>
              <w:spacing w:after="0" w:line="259" w:lineRule="auto"/>
              <w:ind w:left="0" w:firstLine="0"/>
              <w:jc w:val="left"/>
            </w:pPr>
            <w:r>
              <w:rPr>
                <w:b/>
              </w:rPr>
              <w:t>4.08</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39B11A95" w14:textId="77777777" w:rsidR="006A5F66" w:rsidRDefault="00000000">
            <w:pPr>
              <w:spacing w:after="0" w:line="259" w:lineRule="auto"/>
              <w:ind w:left="2" w:firstLine="0"/>
              <w:jc w:val="left"/>
            </w:pPr>
            <w:r>
              <w:rPr>
                <w:b/>
              </w:rPr>
              <w:t>3.61</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A5589B7" w14:textId="77777777" w:rsidR="006A5F66" w:rsidRDefault="00000000">
            <w:pPr>
              <w:spacing w:after="0" w:line="259" w:lineRule="auto"/>
              <w:ind w:left="1" w:firstLine="0"/>
              <w:jc w:val="left"/>
            </w:pPr>
            <w:r>
              <w:rPr>
                <w:b/>
              </w:rPr>
              <w:t>3.20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1E91052E" w14:textId="77777777" w:rsidR="006A5F66" w:rsidRDefault="00000000">
            <w:pPr>
              <w:spacing w:after="0" w:line="259" w:lineRule="auto"/>
              <w:ind w:left="0" w:firstLine="0"/>
              <w:jc w:val="left"/>
            </w:pPr>
            <w:r>
              <w:rPr>
                <w:b/>
              </w:rPr>
              <w:t>3.09</w:t>
            </w:r>
            <w:r>
              <w:t xml:space="preserve"> </w:t>
            </w:r>
          </w:p>
        </w:tc>
      </w:tr>
    </w:tbl>
    <w:p w14:paraId="24B20F39" w14:textId="77777777" w:rsidR="006A5F66" w:rsidRDefault="00000000">
      <w:pPr>
        <w:spacing w:after="245"/>
        <w:ind w:left="17"/>
        <w:jc w:val="left"/>
      </w:pPr>
      <w:r>
        <w:rPr>
          <w:b/>
        </w:rPr>
        <w:t>Formula</w:t>
      </w:r>
      <w:r>
        <w:t xml:space="preserve"> </w:t>
      </w:r>
    </w:p>
    <w:p w14:paraId="5DFED393" w14:textId="77777777" w:rsidR="006A5F66" w:rsidRDefault="00000000">
      <w:pPr>
        <w:spacing w:after="255"/>
        <w:ind w:left="17" w:right="40"/>
      </w:pPr>
      <w:r>
        <w:t xml:space="preserve">Debt-to-Equity = Total Debt ÷ Shareholders’ Equity </w:t>
      </w:r>
    </w:p>
    <w:p w14:paraId="14078E63" w14:textId="77777777" w:rsidR="006A5F66" w:rsidRDefault="00000000">
      <w:pPr>
        <w:pStyle w:val="Heading4"/>
        <w:ind w:left="17"/>
      </w:pPr>
      <w:r>
        <w:t xml:space="preserve">Interpretation </w:t>
      </w:r>
    </w:p>
    <w:p w14:paraId="00EE3998" w14:textId="77777777" w:rsidR="006A5F66" w:rsidRDefault="00000000">
      <w:pPr>
        <w:ind w:left="17" w:right="40"/>
      </w:pPr>
      <w:r>
        <w:t xml:space="preserve">The debt-to-equity ratio reflects IHG's level of financial leverage and exposure to financing risk. Although higher interest rates increase borrowing costs, its asset-light business model and recurring franchise and management fee income support sustainable leverage and effective debt servicing, provided refinancing risks are carefully managed (Brigham and Ehrhardt, 2022; InterContinental Hotels Group PLC, 2025). </w:t>
      </w:r>
    </w:p>
    <w:tbl>
      <w:tblPr>
        <w:tblStyle w:val="TableGrid"/>
        <w:tblW w:w="10786" w:type="dxa"/>
        <w:tblInd w:w="31" w:type="dxa"/>
        <w:tblCellMar>
          <w:top w:w="0"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052C164C" w14:textId="77777777">
        <w:trPr>
          <w:trHeight w:val="782"/>
        </w:trPr>
        <w:tc>
          <w:tcPr>
            <w:tcW w:w="1798" w:type="dxa"/>
            <w:tcBorders>
              <w:top w:val="single" w:sz="6" w:space="0" w:color="BFC3C8"/>
              <w:left w:val="single" w:sz="6" w:space="0" w:color="BFC3C8"/>
              <w:bottom w:val="single" w:sz="6" w:space="0" w:color="BFC3C8"/>
              <w:right w:val="single" w:sz="6" w:space="0" w:color="BFC3C8"/>
            </w:tcBorders>
            <w:vAlign w:val="bottom"/>
          </w:tcPr>
          <w:p w14:paraId="4E243696" w14:textId="77777777" w:rsidR="006A5F66" w:rsidRDefault="00000000">
            <w:pPr>
              <w:spacing w:after="0" w:line="259" w:lineRule="auto"/>
              <w:ind w:left="0" w:firstLine="0"/>
              <w:jc w:val="left"/>
            </w:pPr>
            <w:r>
              <w:rPr>
                <w:b/>
              </w:rPr>
              <w:t>Debt Ratio</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5E4F0570"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1890830A"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7AFFD8F1"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44328C3D"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623ACF35" w14:textId="77777777" w:rsidR="006A5F66" w:rsidRDefault="00000000">
            <w:pPr>
              <w:spacing w:after="0" w:line="259" w:lineRule="auto"/>
              <w:ind w:left="0" w:firstLine="0"/>
              <w:jc w:val="left"/>
            </w:pPr>
            <w:r>
              <w:rPr>
                <w:b/>
              </w:rPr>
              <w:t>2024</w:t>
            </w:r>
            <w:r>
              <w:t xml:space="preserve"> </w:t>
            </w:r>
          </w:p>
        </w:tc>
      </w:tr>
      <w:tr w:rsidR="006A5F66" w14:paraId="36EE2C1C" w14:textId="77777777">
        <w:trPr>
          <w:trHeight w:val="1119"/>
        </w:trPr>
        <w:tc>
          <w:tcPr>
            <w:tcW w:w="1798" w:type="dxa"/>
            <w:tcBorders>
              <w:top w:val="single" w:sz="6" w:space="0" w:color="BFC3C8"/>
              <w:left w:val="single" w:sz="6" w:space="0" w:color="BFC3C8"/>
              <w:bottom w:val="single" w:sz="6" w:space="0" w:color="BFC3C8"/>
              <w:right w:val="single" w:sz="6" w:space="0" w:color="BFC3C8"/>
            </w:tcBorders>
            <w:vAlign w:val="bottom"/>
          </w:tcPr>
          <w:p w14:paraId="0760269F" w14:textId="77777777" w:rsidR="006A5F66" w:rsidRDefault="00000000">
            <w:pPr>
              <w:spacing w:after="10" w:line="259" w:lineRule="auto"/>
              <w:ind w:left="0" w:firstLine="0"/>
              <w:jc w:val="left"/>
            </w:pPr>
            <w:r>
              <w:t xml:space="preserve">Total Debt  </w:t>
            </w:r>
          </w:p>
          <w:p w14:paraId="0EB66068"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59D2391" w14:textId="77777777" w:rsidR="006A5F66" w:rsidRDefault="00000000">
            <w:pPr>
              <w:spacing w:after="0" w:line="259" w:lineRule="auto"/>
              <w:ind w:left="0" w:firstLine="0"/>
              <w:jc w:val="left"/>
            </w:pPr>
            <w:r>
              <w:t xml:space="preserve">4,201 </w:t>
            </w:r>
          </w:p>
        </w:tc>
        <w:tc>
          <w:tcPr>
            <w:tcW w:w="1796" w:type="dxa"/>
            <w:tcBorders>
              <w:top w:val="single" w:sz="6" w:space="0" w:color="BFC3C8"/>
              <w:left w:val="single" w:sz="6" w:space="0" w:color="BFC3C8"/>
              <w:bottom w:val="single" w:sz="6" w:space="0" w:color="BFC3C8"/>
              <w:right w:val="single" w:sz="6" w:space="0" w:color="BFC3C8"/>
            </w:tcBorders>
          </w:tcPr>
          <w:p w14:paraId="786A2479" w14:textId="77777777" w:rsidR="006A5F66" w:rsidRDefault="00000000">
            <w:pPr>
              <w:spacing w:after="0" w:line="259" w:lineRule="auto"/>
              <w:ind w:left="0" w:firstLine="0"/>
              <w:jc w:val="left"/>
            </w:pPr>
            <w:r>
              <w:t xml:space="preserve">4,276 </w:t>
            </w:r>
          </w:p>
        </w:tc>
        <w:tc>
          <w:tcPr>
            <w:tcW w:w="1800" w:type="dxa"/>
            <w:tcBorders>
              <w:top w:val="single" w:sz="6" w:space="0" w:color="BFC3C8"/>
              <w:left w:val="single" w:sz="6" w:space="0" w:color="BFC3C8"/>
              <w:bottom w:val="single" w:sz="6" w:space="0" w:color="BFC3C8"/>
              <w:right w:val="single" w:sz="6" w:space="0" w:color="BFC3C8"/>
            </w:tcBorders>
          </w:tcPr>
          <w:p w14:paraId="1B063C02" w14:textId="77777777" w:rsidR="006A5F66" w:rsidRDefault="00000000">
            <w:pPr>
              <w:spacing w:after="0" w:line="259" w:lineRule="auto"/>
              <w:ind w:left="2" w:firstLine="0"/>
              <w:jc w:val="left"/>
            </w:pPr>
            <w:r>
              <w:t xml:space="preserve">4,601 </w:t>
            </w:r>
          </w:p>
        </w:tc>
        <w:tc>
          <w:tcPr>
            <w:tcW w:w="1798" w:type="dxa"/>
            <w:tcBorders>
              <w:top w:val="single" w:sz="6" w:space="0" w:color="BFC3C8"/>
              <w:left w:val="single" w:sz="6" w:space="0" w:color="BFC3C8"/>
              <w:bottom w:val="single" w:sz="6" w:space="0" w:color="BFC3C8"/>
              <w:right w:val="single" w:sz="6" w:space="0" w:color="BFC3C8"/>
            </w:tcBorders>
          </w:tcPr>
          <w:p w14:paraId="5938CA8D" w14:textId="77777777" w:rsidR="006A5F66" w:rsidRDefault="00000000">
            <w:pPr>
              <w:spacing w:after="0" w:line="259" w:lineRule="auto"/>
              <w:ind w:left="1" w:firstLine="0"/>
              <w:jc w:val="left"/>
            </w:pPr>
            <w:r>
              <w:t xml:space="preserve">4,756 </w:t>
            </w:r>
          </w:p>
        </w:tc>
        <w:tc>
          <w:tcPr>
            <w:tcW w:w="1796" w:type="dxa"/>
            <w:tcBorders>
              <w:top w:val="single" w:sz="6" w:space="0" w:color="BFC3C8"/>
              <w:left w:val="single" w:sz="6" w:space="0" w:color="BFC3C8"/>
              <w:bottom w:val="single" w:sz="6" w:space="0" w:color="BFC3C8"/>
              <w:right w:val="single" w:sz="6" w:space="0" w:color="BFC3C8"/>
            </w:tcBorders>
          </w:tcPr>
          <w:p w14:paraId="72BF7B68" w14:textId="77777777" w:rsidR="006A5F66" w:rsidRDefault="00000000">
            <w:pPr>
              <w:spacing w:after="0" w:line="259" w:lineRule="auto"/>
              <w:ind w:left="0" w:firstLine="0"/>
              <w:jc w:val="left"/>
            </w:pPr>
            <w:r>
              <w:t xml:space="preserve">4,932 </w:t>
            </w:r>
          </w:p>
        </w:tc>
      </w:tr>
      <w:tr w:rsidR="006A5F66" w14:paraId="2490D8FF" w14:textId="77777777">
        <w:trPr>
          <w:trHeight w:val="1116"/>
        </w:trPr>
        <w:tc>
          <w:tcPr>
            <w:tcW w:w="1798" w:type="dxa"/>
            <w:tcBorders>
              <w:top w:val="single" w:sz="6" w:space="0" w:color="BFC3C8"/>
              <w:left w:val="single" w:sz="6" w:space="0" w:color="BFC3C8"/>
              <w:bottom w:val="single" w:sz="6" w:space="0" w:color="BFC3C8"/>
              <w:right w:val="single" w:sz="6" w:space="0" w:color="BFC3C8"/>
            </w:tcBorders>
            <w:vAlign w:val="bottom"/>
          </w:tcPr>
          <w:p w14:paraId="6A1EF43A" w14:textId="77777777" w:rsidR="006A5F66" w:rsidRDefault="00000000">
            <w:pPr>
              <w:spacing w:after="29" w:line="259" w:lineRule="auto"/>
              <w:ind w:left="0" w:firstLine="0"/>
              <w:jc w:val="left"/>
            </w:pPr>
            <w:r>
              <w:lastRenderedPageBreak/>
              <w:t xml:space="preserve">Total Assets  </w:t>
            </w:r>
          </w:p>
          <w:p w14:paraId="408C4EE7"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1BBDB18" w14:textId="77777777" w:rsidR="006A5F66" w:rsidRDefault="00000000">
            <w:pPr>
              <w:spacing w:after="0" w:line="259" w:lineRule="auto"/>
              <w:ind w:left="0" w:firstLine="0"/>
              <w:jc w:val="left"/>
            </w:pPr>
            <w:r>
              <w:t xml:space="preserve">5,039 </w:t>
            </w:r>
          </w:p>
        </w:tc>
        <w:tc>
          <w:tcPr>
            <w:tcW w:w="1796" w:type="dxa"/>
            <w:tcBorders>
              <w:top w:val="single" w:sz="6" w:space="0" w:color="BFC3C8"/>
              <w:left w:val="single" w:sz="6" w:space="0" w:color="BFC3C8"/>
              <w:bottom w:val="single" w:sz="6" w:space="0" w:color="BFC3C8"/>
              <w:right w:val="single" w:sz="6" w:space="0" w:color="BFC3C8"/>
            </w:tcBorders>
          </w:tcPr>
          <w:p w14:paraId="7ED10620" w14:textId="77777777" w:rsidR="006A5F66" w:rsidRDefault="00000000">
            <w:pPr>
              <w:spacing w:after="0" w:line="259" w:lineRule="auto"/>
              <w:ind w:left="0" w:firstLine="0"/>
              <w:jc w:val="left"/>
            </w:pPr>
            <w:r>
              <w:t xml:space="preserve">5,325 </w:t>
            </w:r>
          </w:p>
        </w:tc>
        <w:tc>
          <w:tcPr>
            <w:tcW w:w="1800" w:type="dxa"/>
            <w:tcBorders>
              <w:top w:val="single" w:sz="6" w:space="0" w:color="BFC3C8"/>
              <w:left w:val="single" w:sz="6" w:space="0" w:color="BFC3C8"/>
              <w:bottom w:val="single" w:sz="6" w:space="0" w:color="BFC3C8"/>
              <w:right w:val="single" w:sz="6" w:space="0" w:color="BFC3C8"/>
            </w:tcBorders>
          </w:tcPr>
          <w:p w14:paraId="33E4F4BC" w14:textId="77777777" w:rsidR="006A5F66" w:rsidRDefault="00000000">
            <w:pPr>
              <w:spacing w:after="0" w:line="259" w:lineRule="auto"/>
              <w:ind w:left="2" w:firstLine="0"/>
              <w:jc w:val="left"/>
            </w:pPr>
            <w:r>
              <w:t xml:space="preserve">5,876 </w:t>
            </w:r>
          </w:p>
        </w:tc>
        <w:tc>
          <w:tcPr>
            <w:tcW w:w="1798" w:type="dxa"/>
            <w:tcBorders>
              <w:top w:val="single" w:sz="6" w:space="0" w:color="BFC3C8"/>
              <w:left w:val="single" w:sz="6" w:space="0" w:color="BFC3C8"/>
              <w:bottom w:val="single" w:sz="6" w:space="0" w:color="BFC3C8"/>
              <w:right w:val="single" w:sz="6" w:space="0" w:color="BFC3C8"/>
            </w:tcBorders>
          </w:tcPr>
          <w:p w14:paraId="718D948E" w14:textId="77777777" w:rsidR="006A5F66" w:rsidRDefault="00000000">
            <w:pPr>
              <w:spacing w:after="0" w:line="259" w:lineRule="auto"/>
              <w:ind w:left="1" w:firstLine="0"/>
              <w:jc w:val="left"/>
            </w:pPr>
            <w:r>
              <w:t xml:space="preserve">6,241 </w:t>
            </w:r>
          </w:p>
        </w:tc>
        <w:tc>
          <w:tcPr>
            <w:tcW w:w="1796" w:type="dxa"/>
            <w:tcBorders>
              <w:top w:val="single" w:sz="6" w:space="0" w:color="BFC3C8"/>
              <w:left w:val="single" w:sz="6" w:space="0" w:color="BFC3C8"/>
              <w:bottom w:val="single" w:sz="6" w:space="0" w:color="BFC3C8"/>
              <w:right w:val="single" w:sz="6" w:space="0" w:color="BFC3C8"/>
            </w:tcBorders>
          </w:tcPr>
          <w:p w14:paraId="5F88F7A2" w14:textId="77777777" w:rsidR="006A5F66" w:rsidRDefault="00000000">
            <w:pPr>
              <w:spacing w:after="0" w:line="259" w:lineRule="auto"/>
              <w:ind w:left="0" w:firstLine="0"/>
              <w:jc w:val="left"/>
            </w:pPr>
            <w:r>
              <w:t xml:space="preserve">6,528 </w:t>
            </w:r>
          </w:p>
        </w:tc>
      </w:tr>
      <w:tr w:rsidR="006A5F66" w14:paraId="30E980B2" w14:textId="77777777">
        <w:trPr>
          <w:trHeight w:val="782"/>
        </w:trPr>
        <w:tc>
          <w:tcPr>
            <w:tcW w:w="1798" w:type="dxa"/>
            <w:tcBorders>
              <w:top w:val="single" w:sz="6" w:space="0" w:color="BFC3C8"/>
              <w:left w:val="single" w:sz="6" w:space="0" w:color="BFC3C8"/>
              <w:bottom w:val="single" w:sz="6" w:space="0" w:color="BFC3C8"/>
              <w:right w:val="single" w:sz="6" w:space="0" w:color="BFC3C8"/>
            </w:tcBorders>
            <w:vAlign w:val="bottom"/>
          </w:tcPr>
          <w:p w14:paraId="63E16BA0" w14:textId="77777777" w:rsidR="006A5F66" w:rsidRDefault="00000000">
            <w:pPr>
              <w:spacing w:after="0" w:line="259" w:lineRule="auto"/>
              <w:ind w:left="0" w:firstLine="0"/>
              <w:jc w:val="left"/>
            </w:pPr>
            <w:r>
              <w:rPr>
                <w:b/>
              </w:rPr>
              <w:t>Debt Ratio</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59EAD3C8" w14:textId="77777777" w:rsidR="006A5F66" w:rsidRDefault="00000000">
            <w:pPr>
              <w:spacing w:after="0" w:line="259" w:lineRule="auto"/>
              <w:ind w:left="0" w:firstLine="0"/>
              <w:jc w:val="left"/>
            </w:pPr>
            <w:r>
              <w:rPr>
                <w:b/>
              </w:rPr>
              <w:t>83.37%</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20CB86C3" w14:textId="77777777" w:rsidR="006A5F66" w:rsidRDefault="00000000">
            <w:pPr>
              <w:spacing w:after="0" w:line="259" w:lineRule="auto"/>
              <w:ind w:left="0" w:firstLine="0"/>
              <w:jc w:val="left"/>
            </w:pPr>
            <w:r>
              <w:rPr>
                <w:b/>
              </w:rPr>
              <w:t>80.30%</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3AFD97EB" w14:textId="77777777" w:rsidR="006A5F66" w:rsidRDefault="00000000">
            <w:pPr>
              <w:spacing w:after="0" w:line="259" w:lineRule="auto"/>
              <w:ind w:left="2" w:firstLine="0"/>
              <w:jc w:val="left"/>
            </w:pPr>
            <w:r>
              <w:rPr>
                <w:b/>
              </w:rPr>
              <w:t>78.30%</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2DB9EB3D" w14:textId="77777777" w:rsidR="006A5F66" w:rsidRDefault="00000000">
            <w:pPr>
              <w:spacing w:after="0" w:line="259" w:lineRule="auto"/>
              <w:ind w:left="1" w:firstLine="0"/>
              <w:jc w:val="left"/>
            </w:pPr>
            <w:r>
              <w:rPr>
                <w:b/>
              </w:rPr>
              <w:t>76.20%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508246F8" w14:textId="77777777" w:rsidR="006A5F66" w:rsidRDefault="00000000">
            <w:pPr>
              <w:spacing w:after="0" w:line="259" w:lineRule="auto"/>
              <w:ind w:left="0" w:firstLine="0"/>
              <w:jc w:val="left"/>
            </w:pPr>
            <w:r>
              <w:rPr>
                <w:b/>
              </w:rPr>
              <w:t>75.55%</w:t>
            </w:r>
            <w:r>
              <w:t xml:space="preserve"> </w:t>
            </w:r>
          </w:p>
        </w:tc>
      </w:tr>
    </w:tbl>
    <w:p w14:paraId="08FAF606" w14:textId="77777777" w:rsidR="006A5F66" w:rsidRDefault="00000000">
      <w:pPr>
        <w:spacing w:after="245"/>
        <w:ind w:left="17"/>
        <w:jc w:val="left"/>
      </w:pPr>
      <w:r>
        <w:rPr>
          <w:b/>
        </w:rPr>
        <w:t>Formula</w:t>
      </w:r>
      <w:r>
        <w:t xml:space="preserve"> </w:t>
      </w:r>
    </w:p>
    <w:p w14:paraId="1EBCF0FD" w14:textId="77777777" w:rsidR="006A5F66" w:rsidRDefault="00000000">
      <w:pPr>
        <w:spacing w:after="254"/>
        <w:ind w:left="17" w:right="40"/>
      </w:pPr>
      <w:r>
        <w:t xml:space="preserve">Debt Ratio = Total Debt ÷ Total Assets </w:t>
      </w:r>
    </w:p>
    <w:p w14:paraId="5175E536" w14:textId="77777777" w:rsidR="006A5F66" w:rsidRDefault="00000000">
      <w:pPr>
        <w:pStyle w:val="Heading4"/>
        <w:ind w:left="17"/>
      </w:pPr>
      <w:r>
        <w:t xml:space="preserve">Interpretation </w:t>
      </w:r>
    </w:p>
    <w:p w14:paraId="32E73783" w14:textId="77777777" w:rsidR="006A5F66" w:rsidRDefault="00000000">
      <w:pPr>
        <w:ind w:left="17" w:right="40"/>
      </w:pPr>
      <w:r>
        <w:t xml:space="preserve">The debt ratio measures the proportion of IHG's assets financed through debt, providing an indication of </w:t>
      </w:r>
      <w:proofErr w:type="spellStart"/>
      <w:r>
        <w:t>longterm</w:t>
      </w:r>
      <w:proofErr w:type="spellEnd"/>
      <w:r>
        <w:t xml:space="preserve"> financial risk (Brigham and Ehrhardt, 2022). For asset-light hospitality companies, debt levels should be assessed alongside lease obligations, contractual commitments, and the stability of recurring franchise and management fee income (InterContinental Hotels Group PLC, 2025). </w:t>
      </w:r>
    </w:p>
    <w:tbl>
      <w:tblPr>
        <w:tblStyle w:val="TableGrid"/>
        <w:tblW w:w="10786" w:type="dxa"/>
        <w:tblInd w:w="31" w:type="dxa"/>
        <w:tblCellMar>
          <w:top w:w="228"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4E199629" w14:textId="77777777">
        <w:trPr>
          <w:trHeight w:val="1114"/>
        </w:trPr>
        <w:tc>
          <w:tcPr>
            <w:tcW w:w="1798" w:type="dxa"/>
            <w:tcBorders>
              <w:top w:val="single" w:sz="6" w:space="0" w:color="BFC3C8"/>
              <w:left w:val="single" w:sz="6" w:space="0" w:color="BFC3C8"/>
              <w:bottom w:val="single" w:sz="6" w:space="0" w:color="BFC3C8"/>
              <w:right w:val="single" w:sz="6" w:space="0" w:color="BFC3C8"/>
            </w:tcBorders>
            <w:vAlign w:val="bottom"/>
          </w:tcPr>
          <w:p w14:paraId="6B496FD5" w14:textId="77777777" w:rsidR="006A5F66" w:rsidRDefault="00000000">
            <w:pPr>
              <w:spacing w:after="10" w:line="259" w:lineRule="auto"/>
              <w:ind w:left="0" w:firstLine="0"/>
              <w:jc w:val="left"/>
            </w:pPr>
            <w:r>
              <w:rPr>
                <w:b/>
              </w:rPr>
              <w:t xml:space="preserve">Interest </w:t>
            </w:r>
            <w:r>
              <w:t xml:space="preserve"> </w:t>
            </w:r>
          </w:p>
          <w:p w14:paraId="7B543703" w14:textId="77777777" w:rsidR="006A5F66" w:rsidRDefault="00000000">
            <w:pPr>
              <w:spacing w:after="0" w:line="259" w:lineRule="auto"/>
              <w:ind w:left="0" w:firstLine="0"/>
              <w:jc w:val="left"/>
            </w:pPr>
            <w:r>
              <w:rPr>
                <w:b/>
              </w:rPr>
              <w:t>Coverage</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8CF5903"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7596A9B8"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2FF9EBAF"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21D36B86"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6D0AA14" w14:textId="77777777" w:rsidR="006A5F66" w:rsidRDefault="00000000">
            <w:pPr>
              <w:spacing w:after="0" w:line="259" w:lineRule="auto"/>
              <w:ind w:left="0" w:firstLine="0"/>
              <w:jc w:val="left"/>
            </w:pPr>
            <w:r>
              <w:rPr>
                <w:b/>
              </w:rPr>
              <w:t>2024</w:t>
            </w:r>
            <w:r>
              <w:t xml:space="preserve"> </w:t>
            </w:r>
          </w:p>
        </w:tc>
      </w:tr>
      <w:tr w:rsidR="006A5F66" w14:paraId="2F5CA6B2" w14:textId="77777777">
        <w:trPr>
          <w:trHeight w:val="780"/>
        </w:trPr>
        <w:tc>
          <w:tcPr>
            <w:tcW w:w="1798" w:type="dxa"/>
            <w:tcBorders>
              <w:top w:val="single" w:sz="6" w:space="0" w:color="BFC3C8"/>
              <w:left w:val="single" w:sz="6" w:space="0" w:color="BFC3C8"/>
              <w:bottom w:val="single" w:sz="6" w:space="0" w:color="BFC3C8"/>
              <w:right w:val="single" w:sz="6" w:space="0" w:color="BFC3C8"/>
            </w:tcBorders>
            <w:vAlign w:val="bottom"/>
          </w:tcPr>
          <w:p w14:paraId="46A27504" w14:textId="77777777" w:rsidR="006A5F66" w:rsidRDefault="00000000">
            <w:pPr>
              <w:spacing w:after="0" w:line="259" w:lineRule="auto"/>
              <w:ind w:left="0" w:firstLine="0"/>
              <w:jc w:val="left"/>
            </w:pPr>
            <w:r>
              <w:t>EBIT (</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616FF74A" w14:textId="77777777" w:rsidR="006A5F66" w:rsidRDefault="00000000">
            <w:pPr>
              <w:spacing w:after="0" w:line="259" w:lineRule="auto"/>
              <w:ind w:left="0" w:firstLine="0"/>
              <w:jc w:val="left"/>
            </w:pPr>
            <w:r>
              <w:t xml:space="preserve">153 </w:t>
            </w:r>
          </w:p>
        </w:tc>
        <w:tc>
          <w:tcPr>
            <w:tcW w:w="1796" w:type="dxa"/>
            <w:tcBorders>
              <w:top w:val="single" w:sz="6" w:space="0" w:color="BFC3C8"/>
              <w:left w:val="single" w:sz="6" w:space="0" w:color="BFC3C8"/>
              <w:bottom w:val="single" w:sz="6" w:space="0" w:color="BFC3C8"/>
              <w:right w:val="single" w:sz="6" w:space="0" w:color="BFC3C8"/>
            </w:tcBorders>
            <w:vAlign w:val="bottom"/>
          </w:tcPr>
          <w:p w14:paraId="1F6EADBF" w14:textId="77777777" w:rsidR="006A5F66" w:rsidRDefault="00000000">
            <w:pPr>
              <w:spacing w:after="0" w:line="259" w:lineRule="auto"/>
              <w:ind w:left="0" w:firstLine="0"/>
              <w:jc w:val="left"/>
            </w:pPr>
            <w:r>
              <w:t xml:space="preserve">534 </w:t>
            </w:r>
          </w:p>
        </w:tc>
        <w:tc>
          <w:tcPr>
            <w:tcW w:w="1800" w:type="dxa"/>
            <w:tcBorders>
              <w:top w:val="single" w:sz="6" w:space="0" w:color="BFC3C8"/>
              <w:left w:val="single" w:sz="6" w:space="0" w:color="BFC3C8"/>
              <w:bottom w:val="single" w:sz="6" w:space="0" w:color="BFC3C8"/>
              <w:right w:val="single" w:sz="6" w:space="0" w:color="BFC3C8"/>
            </w:tcBorders>
            <w:vAlign w:val="bottom"/>
          </w:tcPr>
          <w:p w14:paraId="740C4662" w14:textId="77777777" w:rsidR="006A5F66" w:rsidRDefault="00000000">
            <w:pPr>
              <w:spacing w:after="0" w:line="259" w:lineRule="auto"/>
              <w:ind w:left="2" w:firstLine="0"/>
              <w:jc w:val="left"/>
            </w:pPr>
            <w:r>
              <w:t xml:space="preserve">628 </w:t>
            </w:r>
          </w:p>
        </w:tc>
        <w:tc>
          <w:tcPr>
            <w:tcW w:w="1798" w:type="dxa"/>
            <w:tcBorders>
              <w:top w:val="single" w:sz="6" w:space="0" w:color="BFC3C8"/>
              <w:left w:val="single" w:sz="6" w:space="0" w:color="BFC3C8"/>
              <w:bottom w:val="single" w:sz="6" w:space="0" w:color="BFC3C8"/>
              <w:right w:val="single" w:sz="6" w:space="0" w:color="BFC3C8"/>
            </w:tcBorders>
            <w:vAlign w:val="bottom"/>
          </w:tcPr>
          <w:p w14:paraId="15F5212E" w14:textId="77777777" w:rsidR="006A5F66" w:rsidRDefault="00000000">
            <w:pPr>
              <w:spacing w:after="0" w:line="259" w:lineRule="auto"/>
              <w:ind w:left="1" w:firstLine="0"/>
              <w:jc w:val="left"/>
            </w:pPr>
            <w:r>
              <w:t xml:space="preserve">1,066 </w:t>
            </w:r>
          </w:p>
        </w:tc>
        <w:tc>
          <w:tcPr>
            <w:tcW w:w="1796" w:type="dxa"/>
            <w:tcBorders>
              <w:top w:val="single" w:sz="6" w:space="0" w:color="BFC3C8"/>
              <w:left w:val="single" w:sz="6" w:space="0" w:color="BFC3C8"/>
              <w:bottom w:val="single" w:sz="6" w:space="0" w:color="BFC3C8"/>
              <w:right w:val="single" w:sz="6" w:space="0" w:color="BFC3C8"/>
            </w:tcBorders>
            <w:vAlign w:val="bottom"/>
          </w:tcPr>
          <w:p w14:paraId="780693AF" w14:textId="77777777" w:rsidR="006A5F66" w:rsidRDefault="00000000">
            <w:pPr>
              <w:spacing w:after="0" w:line="259" w:lineRule="auto"/>
              <w:ind w:left="0" w:firstLine="0"/>
              <w:jc w:val="left"/>
            </w:pPr>
            <w:r>
              <w:t xml:space="preserve">1,124 </w:t>
            </w:r>
          </w:p>
        </w:tc>
      </w:tr>
      <w:tr w:rsidR="006A5F66" w14:paraId="77F2CD31" w14:textId="77777777">
        <w:trPr>
          <w:trHeight w:val="1452"/>
        </w:trPr>
        <w:tc>
          <w:tcPr>
            <w:tcW w:w="1798" w:type="dxa"/>
            <w:tcBorders>
              <w:top w:val="single" w:sz="6" w:space="0" w:color="BFC3C8"/>
              <w:left w:val="single" w:sz="6" w:space="0" w:color="BFC3C8"/>
              <w:bottom w:val="single" w:sz="6" w:space="0" w:color="BFC3C8"/>
              <w:right w:val="single" w:sz="6" w:space="0" w:color="BFC3C8"/>
            </w:tcBorders>
            <w:vAlign w:val="bottom"/>
          </w:tcPr>
          <w:p w14:paraId="1073D9E7" w14:textId="77777777" w:rsidR="006A5F66" w:rsidRDefault="00000000">
            <w:pPr>
              <w:spacing w:after="0" w:line="285" w:lineRule="auto"/>
              <w:ind w:left="0" w:firstLine="0"/>
              <w:jc w:val="left"/>
            </w:pPr>
            <w:proofErr w:type="gramStart"/>
            <w:r>
              <w:t>Interest  Expense</w:t>
            </w:r>
            <w:proofErr w:type="gramEnd"/>
            <w:r>
              <w:t xml:space="preserve">  </w:t>
            </w:r>
          </w:p>
          <w:p w14:paraId="477B2139"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9B66B49" w14:textId="77777777" w:rsidR="006A5F66" w:rsidRDefault="00000000">
            <w:pPr>
              <w:spacing w:after="0" w:line="259" w:lineRule="auto"/>
              <w:ind w:left="0" w:firstLine="0"/>
              <w:jc w:val="left"/>
            </w:pPr>
            <w:r>
              <w:t xml:space="preserve">127 </w:t>
            </w:r>
          </w:p>
        </w:tc>
        <w:tc>
          <w:tcPr>
            <w:tcW w:w="1796" w:type="dxa"/>
            <w:tcBorders>
              <w:top w:val="single" w:sz="6" w:space="0" w:color="BFC3C8"/>
              <w:left w:val="single" w:sz="6" w:space="0" w:color="BFC3C8"/>
              <w:bottom w:val="single" w:sz="6" w:space="0" w:color="BFC3C8"/>
              <w:right w:val="single" w:sz="6" w:space="0" w:color="BFC3C8"/>
            </w:tcBorders>
          </w:tcPr>
          <w:p w14:paraId="463EB8B8" w14:textId="77777777" w:rsidR="006A5F66" w:rsidRDefault="00000000">
            <w:pPr>
              <w:spacing w:after="0" w:line="259" w:lineRule="auto"/>
              <w:ind w:left="0" w:firstLine="0"/>
              <w:jc w:val="left"/>
            </w:pPr>
            <w:r>
              <w:t xml:space="preserve">108 </w:t>
            </w:r>
          </w:p>
        </w:tc>
        <w:tc>
          <w:tcPr>
            <w:tcW w:w="1800" w:type="dxa"/>
            <w:tcBorders>
              <w:top w:val="single" w:sz="6" w:space="0" w:color="BFC3C8"/>
              <w:left w:val="single" w:sz="6" w:space="0" w:color="BFC3C8"/>
              <w:bottom w:val="single" w:sz="6" w:space="0" w:color="BFC3C8"/>
              <w:right w:val="single" w:sz="6" w:space="0" w:color="BFC3C8"/>
            </w:tcBorders>
          </w:tcPr>
          <w:p w14:paraId="6F414594" w14:textId="77777777" w:rsidR="006A5F66" w:rsidRDefault="00000000">
            <w:pPr>
              <w:spacing w:after="0" w:line="259" w:lineRule="auto"/>
              <w:ind w:left="2" w:firstLine="0"/>
              <w:jc w:val="left"/>
            </w:pPr>
            <w:r>
              <w:t xml:space="preserve">116 </w:t>
            </w:r>
          </w:p>
        </w:tc>
        <w:tc>
          <w:tcPr>
            <w:tcW w:w="1798" w:type="dxa"/>
            <w:tcBorders>
              <w:top w:val="single" w:sz="6" w:space="0" w:color="BFC3C8"/>
              <w:left w:val="single" w:sz="6" w:space="0" w:color="BFC3C8"/>
              <w:bottom w:val="single" w:sz="6" w:space="0" w:color="BFC3C8"/>
              <w:right w:val="single" w:sz="6" w:space="0" w:color="BFC3C8"/>
            </w:tcBorders>
          </w:tcPr>
          <w:p w14:paraId="36173DB2" w14:textId="77777777" w:rsidR="006A5F66" w:rsidRDefault="00000000">
            <w:pPr>
              <w:spacing w:after="0" w:line="259" w:lineRule="auto"/>
              <w:ind w:left="1" w:firstLine="0"/>
              <w:jc w:val="left"/>
            </w:pPr>
            <w:r>
              <w:t xml:space="preserve">146 </w:t>
            </w:r>
          </w:p>
        </w:tc>
        <w:tc>
          <w:tcPr>
            <w:tcW w:w="1796" w:type="dxa"/>
            <w:tcBorders>
              <w:top w:val="single" w:sz="6" w:space="0" w:color="BFC3C8"/>
              <w:left w:val="single" w:sz="6" w:space="0" w:color="BFC3C8"/>
              <w:bottom w:val="single" w:sz="6" w:space="0" w:color="BFC3C8"/>
              <w:right w:val="single" w:sz="6" w:space="0" w:color="BFC3C8"/>
            </w:tcBorders>
          </w:tcPr>
          <w:p w14:paraId="34A6A41D" w14:textId="77777777" w:rsidR="006A5F66" w:rsidRDefault="00000000">
            <w:pPr>
              <w:spacing w:after="0" w:line="259" w:lineRule="auto"/>
              <w:ind w:left="0" w:firstLine="0"/>
              <w:jc w:val="left"/>
            </w:pPr>
            <w:r>
              <w:t xml:space="preserve">152 </w:t>
            </w:r>
          </w:p>
        </w:tc>
      </w:tr>
      <w:tr w:rsidR="006A5F66" w14:paraId="724E32BD" w14:textId="77777777">
        <w:trPr>
          <w:trHeight w:val="1114"/>
        </w:trPr>
        <w:tc>
          <w:tcPr>
            <w:tcW w:w="1798" w:type="dxa"/>
            <w:tcBorders>
              <w:top w:val="single" w:sz="6" w:space="0" w:color="BFC3C8"/>
              <w:left w:val="single" w:sz="6" w:space="0" w:color="BFC3C8"/>
              <w:bottom w:val="single" w:sz="6" w:space="0" w:color="BFC3C8"/>
              <w:right w:val="single" w:sz="6" w:space="0" w:color="BFC3C8"/>
            </w:tcBorders>
            <w:vAlign w:val="bottom"/>
          </w:tcPr>
          <w:p w14:paraId="38B6B6C7" w14:textId="77777777" w:rsidR="006A5F66" w:rsidRDefault="00000000">
            <w:pPr>
              <w:spacing w:after="29" w:line="259" w:lineRule="auto"/>
              <w:ind w:left="0" w:firstLine="0"/>
              <w:jc w:val="left"/>
            </w:pPr>
            <w:r>
              <w:rPr>
                <w:b/>
              </w:rPr>
              <w:t xml:space="preserve">Interest </w:t>
            </w:r>
            <w:r>
              <w:t xml:space="preserve"> </w:t>
            </w:r>
          </w:p>
          <w:p w14:paraId="548ED260" w14:textId="77777777" w:rsidR="006A5F66" w:rsidRDefault="00000000">
            <w:pPr>
              <w:spacing w:after="0" w:line="259" w:lineRule="auto"/>
              <w:ind w:left="0" w:firstLine="0"/>
              <w:jc w:val="left"/>
            </w:pPr>
            <w:r>
              <w:rPr>
                <w:b/>
              </w:rPr>
              <w:t>Coverage (x)</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6297DCD" w14:textId="77777777" w:rsidR="006A5F66" w:rsidRDefault="00000000">
            <w:pPr>
              <w:spacing w:after="0" w:line="259" w:lineRule="auto"/>
              <w:ind w:left="0" w:firstLine="0"/>
              <w:jc w:val="left"/>
            </w:pPr>
            <w:r>
              <w:rPr>
                <w:b/>
              </w:rPr>
              <w:t>−1.20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0CBDB8C" w14:textId="77777777" w:rsidR="006A5F66" w:rsidRDefault="00000000">
            <w:pPr>
              <w:spacing w:after="0" w:line="259" w:lineRule="auto"/>
              <w:ind w:left="0" w:firstLine="0"/>
              <w:jc w:val="left"/>
            </w:pPr>
            <w:r>
              <w:rPr>
                <w:b/>
              </w:rPr>
              <w:t>4.94</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27B23492" w14:textId="77777777" w:rsidR="006A5F66" w:rsidRDefault="00000000">
            <w:pPr>
              <w:spacing w:after="0" w:line="259" w:lineRule="auto"/>
              <w:ind w:left="2" w:firstLine="0"/>
              <w:jc w:val="left"/>
            </w:pPr>
            <w:r>
              <w:rPr>
                <w:b/>
              </w:rPr>
              <w:t>5.41</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A978D0B" w14:textId="77777777" w:rsidR="006A5F66" w:rsidRDefault="00000000">
            <w:pPr>
              <w:spacing w:after="0" w:line="259" w:lineRule="auto"/>
              <w:ind w:left="1" w:firstLine="0"/>
              <w:jc w:val="left"/>
            </w:pPr>
            <w:r>
              <w:rPr>
                <w:b/>
              </w:rPr>
              <w:t>7.30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230AD9B1" w14:textId="77777777" w:rsidR="006A5F66" w:rsidRDefault="00000000">
            <w:pPr>
              <w:spacing w:after="0" w:line="259" w:lineRule="auto"/>
              <w:ind w:left="0" w:firstLine="0"/>
              <w:jc w:val="left"/>
            </w:pPr>
            <w:r>
              <w:rPr>
                <w:b/>
              </w:rPr>
              <w:t>7.39</w:t>
            </w:r>
            <w:r>
              <w:t xml:space="preserve"> </w:t>
            </w:r>
          </w:p>
        </w:tc>
      </w:tr>
    </w:tbl>
    <w:p w14:paraId="3CFD7BE4" w14:textId="77777777" w:rsidR="006A5F66" w:rsidRDefault="00000000">
      <w:pPr>
        <w:pStyle w:val="Heading4"/>
        <w:ind w:left="17"/>
      </w:pPr>
      <w:r>
        <w:t>Formula</w:t>
      </w:r>
      <w:r>
        <w:rPr>
          <w:b w:val="0"/>
        </w:rPr>
        <w:t xml:space="preserve"> </w:t>
      </w:r>
    </w:p>
    <w:p w14:paraId="63869DC9" w14:textId="77777777" w:rsidR="006A5F66" w:rsidRDefault="00000000">
      <w:pPr>
        <w:spacing w:after="252"/>
        <w:ind w:left="17" w:right="40"/>
      </w:pPr>
      <w:r>
        <w:t xml:space="preserve">Interest Coverage = EBIT ÷ Interest Expense </w:t>
      </w:r>
    </w:p>
    <w:p w14:paraId="3E601E8E" w14:textId="77777777" w:rsidR="006A5F66" w:rsidRDefault="00000000">
      <w:pPr>
        <w:ind w:left="17" w:right="40"/>
      </w:pPr>
      <w:r>
        <w:t xml:space="preserve">Strong interest coverage demonstrates that IHG generates sufficient operating profit to comfortably meet its financing costs, reducing financial risk despite higher interest rates (Brigham and Ehrhardt, 2022). The improvement from 2020 to 2024 reflects recovering earnings and resilient cash flows as global travel demand </w:t>
      </w:r>
    </w:p>
    <w:p w14:paraId="08811511" w14:textId="77777777" w:rsidR="006A5F66" w:rsidRDefault="00000000">
      <w:pPr>
        <w:tabs>
          <w:tab w:val="center" w:pos="3285"/>
          <w:tab w:val="center" w:pos="5554"/>
          <w:tab w:val="center" w:pos="7293"/>
          <w:tab w:val="center" w:pos="8927"/>
          <w:tab w:val="right" w:pos="10861"/>
        </w:tabs>
        <w:spacing w:after="36"/>
        <w:ind w:left="0" w:firstLine="0"/>
        <w:jc w:val="left"/>
      </w:pPr>
      <w:r>
        <w:t xml:space="preserve">strengthened </w:t>
      </w:r>
      <w:r>
        <w:tab/>
        <w:t xml:space="preserve">(InterContinental </w:t>
      </w:r>
      <w:r>
        <w:tab/>
        <w:t xml:space="preserve">Hotels </w:t>
      </w:r>
      <w:r>
        <w:tab/>
        <w:t xml:space="preserve">Group </w:t>
      </w:r>
      <w:r>
        <w:tab/>
        <w:t xml:space="preserve">PLC, </w:t>
      </w:r>
      <w:r>
        <w:tab/>
        <w:t>2025)</w:t>
      </w:r>
    </w:p>
    <w:p w14:paraId="5B11DABB" w14:textId="77777777" w:rsidR="006A5F66" w:rsidRDefault="00000000">
      <w:pPr>
        <w:spacing w:after="0" w:line="259" w:lineRule="auto"/>
        <w:ind w:left="0" w:firstLine="0"/>
        <w:jc w:val="right"/>
      </w:pPr>
      <w:r>
        <w:rPr>
          <w:noProof/>
          <w:sz w:val="22"/>
        </w:rPr>
        <mc:AlternateContent>
          <mc:Choice Requires="wpg">
            <w:drawing>
              <wp:inline distT="0" distB="0" distL="0" distR="0" wp14:anchorId="6AECA8B1" wp14:editId="14107A93">
                <wp:extent cx="6847840" cy="9525"/>
                <wp:effectExtent l="0" t="0" r="0" b="0"/>
                <wp:docPr id="42455" name="Group 42455"/>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2460" name="Shape 2460"/>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2455" style="width:539.2pt;height:0.75pt;mso-position-horizontal-relative:char;mso-position-vertical-relative:line" coordsize="68478,95">
                <v:shape id="Shape 2460"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5701228E" w14:textId="77777777" w:rsidR="006A5F66" w:rsidRDefault="00000000">
      <w:pPr>
        <w:pStyle w:val="Heading3"/>
        <w:ind w:left="9"/>
      </w:pPr>
      <w:r>
        <w:lastRenderedPageBreak/>
        <w:t xml:space="preserve">1.2.5 Investment Ratios </w:t>
      </w:r>
    </w:p>
    <w:p w14:paraId="61978DA1" w14:textId="77777777" w:rsidR="006A5F66" w:rsidRDefault="00000000">
      <w:pPr>
        <w:ind w:left="17" w:right="40"/>
      </w:pPr>
      <w:r>
        <w:t xml:space="preserve">Investment ratios evaluate shareholder returns, dividend policy, and market confidence in IHG's future performance (Ross et al., 2022). Earnings per share, dividend yield, and the price-to-earnings ratio reflect the company's financial recovery, supported by improved profitability, dividend reinstatement, and share buyback programmes following the pandemic (InterContinental Hotels Group PLC, 2025). </w:t>
      </w:r>
    </w:p>
    <w:tbl>
      <w:tblPr>
        <w:tblStyle w:val="TableGrid"/>
        <w:tblW w:w="10786" w:type="dxa"/>
        <w:tblInd w:w="31" w:type="dxa"/>
        <w:tblCellMar>
          <w:top w:w="223" w:type="dxa"/>
          <w:left w:w="127" w:type="dxa"/>
          <w:bottom w:w="164" w:type="dxa"/>
          <w:right w:w="115" w:type="dxa"/>
        </w:tblCellMar>
        <w:tblLook w:val="04A0" w:firstRow="1" w:lastRow="0" w:firstColumn="1" w:lastColumn="0" w:noHBand="0" w:noVBand="1"/>
      </w:tblPr>
      <w:tblGrid>
        <w:gridCol w:w="1798"/>
        <w:gridCol w:w="1798"/>
        <w:gridCol w:w="1796"/>
        <w:gridCol w:w="1800"/>
        <w:gridCol w:w="1798"/>
        <w:gridCol w:w="1796"/>
      </w:tblGrid>
      <w:tr w:rsidR="006A5F66" w14:paraId="5A867CD9" w14:textId="77777777">
        <w:trPr>
          <w:trHeight w:val="1111"/>
        </w:trPr>
        <w:tc>
          <w:tcPr>
            <w:tcW w:w="1798" w:type="dxa"/>
            <w:tcBorders>
              <w:top w:val="single" w:sz="6" w:space="0" w:color="BFC3C8"/>
              <w:left w:val="single" w:sz="6" w:space="0" w:color="BFC3C8"/>
              <w:bottom w:val="single" w:sz="6" w:space="0" w:color="BFC3C8"/>
              <w:right w:val="single" w:sz="6" w:space="0" w:color="BFC3C8"/>
            </w:tcBorders>
            <w:vAlign w:val="bottom"/>
          </w:tcPr>
          <w:p w14:paraId="0E2156D9" w14:textId="77777777" w:rsidR="006A5F66" w:rsidRDefault="00000000">
            <w:pPr>
              <w:spacing w:after="12" w:line="259" w:lineRule="auto"/>
              <w:ind w:left="0" w:firstLine="0"/>
              <w:jc w:val="left"/>
            </w:pPr>
            <w:r>
              <w:rPr>
                <w:b/>
              </w:rPr>
              <w:t xml:space="preserve">Earnings Per </w:t>
            </w:r>
            <w:r>
              <w:t xml:space="preserve"> </w:t>
            </w:r>
          </w:p>
          <w:p w14:paraId="300D71E3" w14:textId="77777777" w:rsidR="006A5F66" w:rsidRDefault="00000000">
            <w:pPr>
              <w:spacing w:after="0" w:line="259" w:lineRule="auto"/>
              <w:ind w:left="0" w:firstLine="0"/>
              <w:jc w:val="left"/>
            </w:pPr>
            <w:r>
              <w:rPr>
                <w:b/>
              </w:rPr>
              <w:t>Share (EPS)</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ED6EE01"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66755C5A"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3F64C72E"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183A0B6D"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5D514AA" w14:textId="77777777" w:rsidR="006A5F66" w:rsidRDefault="00000000">
            <w:pPr>
              <w:spacing w:after="0" w:line="259" w:lineRule="auto"/>
              <w:ind w:left="0" w:firstLine="0"/>
              <w:jc w:val="left"/>
            </w:pPr>
            <w:r>
              <w:rPr>
                <w:b/>
              </w:rPr>
              <w:t>2024</w:t>
            </w:r>
            <w:r>
              <w:t xml:space="preserve"> </w:t>
            </w:r>
          </w:p>
        </w:tc>
      </w:tr>
      <w:tr w:rsidR="006A5F66" w14:paraId="2E3DBDD3" w14:textId="77777777">
        <w:trPr>
          <w:trHeight w:val="1111"/>
        </w:trPr>
        <w:tc>
          <w:tcPr>
            <w:tcW w:w="1798" w:type="dxa"/>
            <w:tcBorders>
              <w:top w:val="single" w:sz="6" w:space="0" w:color="BFC3C8"/>
              <w:left w:val="single" w:sz="6" w:space="0" w:color="BFC3C8"/>
              <w:bottom w:val="single" w:sz="6" w:space="0" w:color="BFC3C8"/>
              <w:right w:val="single" w:sz="6" w:space="0" w:color="BFC3C8"/>
            </w:tcBorders>
            <w:vAlign w:val="bottom"/>
          </w:tcPr>
          <w:p w14:paraId="7470686C" w14:textId="77777777" w:rsidR="006A5F66" w:rsidRDefault="00000000">
            <w:pPr>
              <w:spacing w:after="12" w:line="259" w:lineRule="auto"/>
              <w:ind w:left="0" w:firstLine="0"/>
              <w:jc w:val="left"/>
            </w:pPr>
            <w:r>
              <w:t xml:space="preserve">Net Profit  </w:t>
            </w:r>
          </w:p>
          <w:p w14:paraId="1762DE0A"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6ECE133" w14:textId="77777777" w:rsidR="006A5F66" w:rsidRDefault="00000000">
            <w:pPr>
              <w:spacing w:after="0" w:line="259" w:lineRule="auto"/>
              <w:ind w:left="0" w:firstLine="0"/>
              <w:jc w:val="left"/>
            </w:pPr>
            <w:r>
              <w:t xml:space="preserve">260 </w:t>
            </w:r>
          </w:p>
        </w:tc>
        <w:tc>
          <w:tcPr>
            <w:tcW w:w="1796" w:type="dxa"/>
            <w:tcBorders>
              <w:top w:val="single" w:sz="6" w:space="0" w:color="BFC3C8"/>
              <w:left w:val="single" w:sz="6" w:space="0" w:color="BFC3C8"/>
              <w:bottom w:val="single" w:sz="6" w:space="0" w:color="BFC3C8"/>
              <w:right w:val="single" w:sz="6" w:space="0" w:color="BFC3C8"/>
            </w:tcBorders>
          </w:tcPr>
          <w:p w14:paraId="08884AE1" w14:textId="77777777" w:rsidR="006A5F66" w:rsidRDefault="00000000">
            <w:pPr>
              <w:spacing w:after="0" w:line="259" w:lineRule="auto"/>
              <w:ind w:left="0" w:firstLine="0"/>
              <w:jc w:val="left"/>
            </w:pPr>
            <w:r>
              <w:t xml:space="preserve">367 </w:t>
            </w:r>
          </w:p>
        </w:tc>
        <w:tc>
          <w:tcPr>
            <w:tcW w:w="1800" w:type="dxa"/>
            <w:tcBorders>
              <w:top w:val="single" w:sz="6" w:space="0" w:color="BFC3C8"/>
              <w:left w:val="single" w:sz="6" w:space="0" w:color="BFC3C8"/>
              <w:bottom w:val="single" w:sz="6" w:space="0" w:color="BFC3C8"/>
              <w:right w:val="single" w:sz="6" w:space="0" w:color="BFC3C8"/>
            </w:tcBorders>
          </w:tcPr>
          <w:p w14:paraId="6FAD5C0C" w14:textId="77777777" w:rsidR="006A5F66" w:rsidRDefault="00000000">
            <w:pPr>
              <w:spacing w:after="0" w:line="259" w:lineRule="auto"/>
              <w:ind w:left="2" w:firstLine="0"/>
              <w:jc w:val="left"/>
            </w:pPr>
            <w:r>
              <w:t xml:space="preserve">540 </w:t>
            </w:r>
          </w:p>
        </w:tc>
        <w:tc>
          <w:tcPr>
            <w:tcW w:w="1798" w:type="dxa"/>
            <w:tcBorders>
              <w:top w:val="single" w:sz="6" w:space="0" w:color="BFC3C8"/>
              <w:left w:val="single" w:sz="6" w:space="0" w:color="BFC3C8"/>
              <w:bottom w:val="single" w:sz="6" w:space="0" w:color="BFC3C8"/>
              <w:right w:val="single" w:sz="6" w:space="0" w:color="BFC3C8"/>
            </w:tcBorders>
          </w:tcPr>
          <w:p w14:paraId="68B12F0B" w14:textId="77777777" w:rsidR="006A5F66" w:rsidRDefault="00000000">
            <w:pPr>
              <w:spacing w:after="0" w:line="259" w:lineRule="auto"/>
              <w:ind w:left="1" w:firstLine="0"/>
              <w:jc w:val="left"/>
            </w:pPr>
            <w:r>
              <w:t xml:space="preserve">750 </w:t>
            </w:r>
          </w:p>
        </w:tc>
        <w:tc>
          <w:tcPr>
            <w:tcW w:w="1796" w:type="dxa"/>
            <w:tcBorders>
              <w:top w:val="single" w:sz="6" w:space="0" w:color="BFC3C8"/>
              <w:left w:val="single" w:sz="6" w:space="0" w:color="BFC3C8"/>
              <w:bottom w:val="single" w:sz="6" w:space="0" w:color="BFC3C8"/>
              <w:right w:val="single" w:sz="6" w:space="0" w:color="BFC3C8"/>
            </w:tcBorders>
          </w:tcPr>
          <w:p w14:paraId="7066AE68" w14:textId="77777777" w:rsidR="006A5F66" w:rsidRDefault="00000000">
            <w:pPr>
              <w:spacing w:after="0" w:line="259" w:lineRule="auto"/>
              <w:ind w:left="0" w:firstLine="0"/>
              <w:jc w:val="left"/>
            </w:pPr>
            <w:r>
              <w:t xml:space="preserve">819 </w:t>
            </w:r>
          </w:p>
        </w:tc>
      </w:tr>
      <w:tr w:rsidR="006A5F66" w14:paraId="35CB3756" w14:textId="77777777">
        <w:trPr>
          <w:trHeight w:val="1112"/>
        </w:trPr>
        <w:tc>
          <w:tcPr>
            <w:tcW w:w="1798" w:type="dxa"/>
            <w:tcBorders>
              <w:top w:val="single" w:sz="6" w:space="0" w:color="BFC3C8"/>
              <w:left w:val="single" w:sz="6" w:space="0" w:color="BFC3C8"/>
              <w:bottom w:val="single" w:sz="6" w:space="0" w:color="BFC3C8"/>
              <w:right w:val="single" w:sz="6" w:space="0" w:color="BFC3C8"/>
            </w:tcBorders>
            <w:vAlign w:val="bottom"/>
          </w:tcPr>
          <w:p w14:paraId="11A80CD0" w14:textId="77777777" w:rsidR="006A5F66" w:rsidRDefault="00000000">
            <w:pPr>
              <w:spacing w:after="29" w:line="259" w:lineRule="auto"/>
              <w:ind w:left="0" w:firstLine="0"/>
              <w:jc w:val="left"/>
            </w:pPr>
            <w:r>
              <w:t xml:space="preserve">Weighted Avg.  </w:t>
            </w:r>
          </w:p>
          <w:p w14:paraId="77005423" w14:textId="77777777" w:rsidR="006A5F66" w:rsidRDefault="00000000">
            <w:pPr>
              <w:spacing w:after="0" w:line="259" w:lineRule="auto"/>
              <w:ind w:left="0" w:firstLine="0"/>
              <w:jc w:val="left"/>
            </w:pPr>
            <w:r>
              <w:t xml:space="preserve">Shares (m) </w:t>
            </w:r>
          </w:p>
        </w:tc>
        <w:tc>
          <w:tcPr>
            <w:tcW w:w="1798" w:type="dxa"/>
            <w:tcBorders>
              <w:top w:val="single" w:sz="6" w:space="0" w:color="BFC3C8"/>
              <w:left w:val="single" w:sz="6" w:space="0" w:color="BFC3C8"/>
              <w:bottom w:val="single" w:sz="6" w:space="0" w:color="BFC3C8"/>
              <w:right w:val="single" w:sz="6" w:space="0" w:color="BFC3C8"/>
            </w:tcBorders>
          </w:tcPr>
          <w:p w14:paraId="62A8B4FB" w14:textId="77777777" w:rsidR="006A5F66" w:rsidRDefault="00000000">
            <w:pPr>
              <w:spacing w:after="0" w:line="259" w:lineRule="auto"/>
              <w:ind w:left="0" w:firstLine="0"/>
              <w:jc w:val="left"/>
            </w:pPr>
            <w:r>
              <w:t xml:space="preserve">187.8 </w:t>
            </w:r>
          </w:p>
        </w:tc>
        <w:tc>
          <w:tcPr>
            <w:tcW w:w="1796" w:type="dxa"/>
            <w:tcBorders>
              <w:top w:val="single" w:sz="6" w:space="0" w:color="BFC3C8"/>
              <w:left w:val="single" w:sz="6" w:space="0" w:color="BFC3C8"/>
              <w:bottom w:val="single" w:sz="6" w:space="0" w:color="BFC3C8"/>
              <w:right w:val="single" w:sz="6" w:space="0" w:color="BFC3C8"/>
            </w:tcBorders>
          </w:tcPr>
          <w:p w14:paraId="7D33DB2B" w14:textId="77777777" w:rsidR="006A5F66" w:rsidRDefault="00000000">
            <w:pPr>
              <w:spacing w:after="0" w:line="259" w:lineRule="auto"/>
              <w:ind w:left="0" w:firstLine="0"/>
              <w:jc w:val="left"/>
            </w:pPr>
            <w:r>
              <w:t xml:space="preserve">184.2 </w:t>
            </w:r>
          </w:p>
        </w:tc>
        <w:tc>
          <w:tcPr>
            <w:tcW w:w="1800" w:type="dxa"/>
            <w:tcBorders>
              <w:top w:val="single" w:sz="6" w:space="0" w:color="BFC3C8"/>
              <w:left w:val="single" w:sz="6" w:space="0" w:color="BFC3C8"/>
              <w:bottom w:val="single" w:sz="6" w:space="0" w:color="BFC3C8"/>
              <w:right w:val="single" w:sz="6" w:space="0" w:color="BFC3C8"/>
            </w:tcBorders>
          </w:tcPr>
          <w:p w14:paraId="496C0698" w14:textId="77777777" w:rsidR="006A5F66" w:rsidRDefault="00000000">
            <w:pPr>
              <w:spacing w:after="0" w:line="259" w:lineRule="auto"/>
              <w:ind w:left="2" w:firstLine="0"/>
              <w:jc w:val="left"/>
            </w:pPr>
            <w:r>
              <w:t xml:space="preserve">181.4 </w:t>
            </w:r>
          </w:p>
        </w:tc>
        <w:tc>
          <w:tcPr>
            <w:tcW w:w="1798" w:type="dxa"/>
            <w:tcBorders>
              <w:top w:val="single" w:sz="6" w:space="0" w:color="BFC3C8"/>
              <w:left w:val="single" w:sz="6" w:space="0" w:color="BFC3C8"/>
              <w:bottom w:val="single" w:sz="6" w:space="0" w:color="BFC3C8"/>
              <w:right w:val="single" w:sz="6" w:space="0" w:color="BFC3C8"/>
            </w:tcBorders>
          </w:tcPr>
          <w:p w14:paraId="5045C65E" w14:textId="77777777" w:rsidR="006A5F66" w:rsidRDefault="00000000">
            <w:pPr>
              <w:spacing w:after="0" w:line="259" w:lineRule="auto"/>
              <w:ind w:left="1" w:firstLine="0"/>
              <w:jc w:val="left"/>
            </w:pPr>
            <w:r>
              <w:t xml:space="preserve">178.6 </w:t>
            </w:r>
          </w:p>
        </w:tc>
        <w:tc>
          <w:tcPr>
            <w:tcW w:w="1796" w:type="dxa"/>
            <w:tcBorders>
              <w:top w:val="single" w:sz="6" w:space="0" w:color="BFC3C8"/>
              <w:left w:val="single" w:sz="6" w:space="0" w:color="BFC3C8"/>
              <w:bottom w:val="single" w:sz="6" w:space="0" w:color="BFC3C8"/>
              <w:right w:val="single" w:sz="6" w:space="0" w:color="BFC3C8"/>
            </w:tcBorders>
          </w:tcPr>
          <w:p w14:paraId="1FD7D320" w14:textId="77777777" w:rsidR="006A5F66" w:rsidRDefault="00000000">
            <w:pPr>
              <w:spacing w:after="0" w:line="259" w:lineRule="auto"/>
              <w:ind w:left="0" w:firstLine="0"/>
              <w:jc w:val="left"/>
            </w:pPr>
            <w:r>
              <w:t xml:space="preserve">176.3 </w:t>
            </w:r>
          </w:p>
        </w:tc>
      </w:tr>
      <w:tr w:rsidR="006A5F66" w14:paraId="1B71AFDB" w14:textId="77777777">
        <w:trPr>
          <w:trHeight w:val="775"/>
        </w:trPr>
        <w:tc>
          <w:tcPr>
            <w:tcW w:w="1798" w:type="dxa"/>
            <w:tcBorders>
              <w:top w:val="single" w:sz="6" w:space="0" w:color="BFC3C8"/>
              <w:left w:val="single" w:sz="6" w:space="0" w:color="BFC3C8"/>
              <w:bottom w:val="single" w:sz="6" w:space="0" w:color="BFC3C8"/>
              <w:right w:val="single" w:sz="6" w:space="0" w:color="BFC3C8"/>
            </w:tcBorders>
            <w:vAlign w:val="bottom"/>
          </w:tcPr>
          <w:p w14:paraId="5016A75F" w14:textId="77777777" w:rsidR="006A5F66" w:rsidRDefault="00000000">
            <w:pPr>
              <w:spacing w:after="0" w:line="259" w:lineRule="auto"/>
              <w:ind w:left="0" w:firstLine="0"/>
              <w:jc w:val="left"/>
            </w:pPr>
            <w:r>
              <w:rPr>
                <w:b/>
              </w:rPr>
              <w:t>EPS (US$)</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101FCC25" w14:textId="77777777" w:rsidR="006A5F66" w:rsidRDefault="00000000">
            <w:pPr>
              <w:spacing w:after="0" w:line="259" w:lineRule="auto"/>
              <w:ind w:left="0" w:firstLine="0"/>
              <w:jc w:val="left"/>
            </w:pPr>
            <w:r>
              <w:rPr>
                <w:b/>
              </w:rPr>
              <w:t>138.4</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2EE758BF" w14:textId="77777777" w:rsidR="006A5F66" w:rsidRDefault="00000000">
            <w:pPr>
              <w:spacing w:after="0" w:line="259" w:lineRule="auto"/>
              <w:ind w:left="0" w:firstLine="0"/>
              <w:jc w:val="left"/>
            </w:pPr>
            <w:r>
              <w:rPr>
                <w:b/>
              </w:rPr>
              <w:t>199.2</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7C445ECA" w14:textId="77777777" w:rsidR="006A5F66" w:rsidRDefault="00000000">
            <w:pPr>
              <w:spacing w:after="0" w:line="259" w:lineRule="auto"/>
              <w:ind w:left="2" w:firstLine="0"/>
              <w:jc w:val="left"/>
            </w:pPr>
            <w:r>
              <w:rPr>
                <w:b/>
              </w:rPr>
              <w:t>297.7</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65F56F8E" w14:textId="77777777" w:rsidR="006A5F66" w:rsidRDefault="00000000">
            <w:pPr>
              <w:spacing w:after="0" w:line="259" w:lineRule="auto"/>
              <w:ind w:left="1" w:firstLine="0"/>
              <w:jc w:val="left"/>
            </w:pPr>
            <w:r>
              <w:rPr>
                <w:b/>
              </w:rPr>
              <w:t>420.0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13C58450" w14:textId="77777777" w:rsidR="006A5F66" w:rsidRDefault="00000000">
            <w:pPr>
              <w:spacing w:after="0" w:line="259" w:lineRule="auto"/>
              <w:ind w:left="0" w:firstLine="0"/>
              <w:jc w:val="left"/>
            </w:pPr>
            <w:r>
              <w:rPr>
                <w:b/>
              </w:rPr>
              <w:t>464.5</w:t>
            </w:r>
            <w:r>
              <w:t xml:space="preserve"> </w:t>
            </w:r>
          </w:p>
        </w:tc>
      </w:tr>
    </w:tbl>
    <w:p w14:paraId="73742046" w14:textId="77777777" w:rsidR="006A5F66" w:rsidRDefault="00000000">
      <w:pPr>
        <w:spacing w:after="245"/>
        <w:ind w:left="17"/>
        <w:jc w:val="left"/>
      </w:pPr>
      <w:r>
        <w:rPr>
          <w:b/>
        </w:rPr>
        <w:t>Formula</w:t>
      </w:r>
      <w:r>
        <w:t xml:space="preserve"> </w:t>
      </w:r>
    </w:p>
    <w:p w14:paraId="490714B7" w14:textId="77777777" w:rsidR="006A5F66" w:rsidRDefault="00000000">
      <w:pPr>
        <w:ind w:left="17" w:right="40"/>
      </w:pPr>
      <w:r>
        <w:t xml:space="preserve">EPS = Net Profit ÷ Weighted Average Shares </w:t>
      </w:r>
    </w:p>
    <w:p w14:paraId="2FB290EA" w14:textId="77777777" w:rsidR="006A5F66" w:rsidRDefault="00000000">
      <w:pPr>
        <w:pStyle w:val="Heading4"/>
        <w:ind w:left="17"/>
      </w:pPr>
      <w:r>
        <w:t xml:space="preserve">Interpretation </w:t>
      </w:r>
    </w:p>
    <w:p w14:paraId="706E3214" w14:textId="77777777" w:rsidR="006A5F66" w:rsidRDefault="00000000">
      <w:pPr>
        <w:ind w:left="17" w:right="40"/>
      </w:pPr>
      <w:r>
        <w:t xml:space="preserve">Earnings per share (EPS) strengthened as profitability recovered following the pandemic, supported by higher earnings and disciplined capital allocation, including share buyback programmes (InterContinental Hotels Group PLC, 2025). Sustained EPS growth enhances shareholder value when driven by recurring franchise income and operational performance rather than short-term cyclical improvements (Ross et al., 2022). </w:t>
      </w:r>
    </w:p>
    <w:tbl>
      <w:tblPr>
        <w:tblStyle w:val="TableGrid"/>
        <w:tblW w:w="10786" w:type="dxa"/>
        <w:tblInd w:w="31" w:type="dxa"/>
        <w:tblCellMar>
          <w:top w:w="233" w:type="dxa"/>
          <w:left w:w="127" w:type="dxa"/>
          <w:bottom w:w="171" w:type="dxa"/>
          <w:right w:w="115" w:type="dxa"/>
        </w:tblCellMar>
        <w:tblLook w:val="04A0" w:firstRow="1" w:lastRow="0" w:firstColumn="1" w:lastColumn="0" w:noHBand="0" w:noVBand="1"/>
      </w:tblPr>
      <w:tblGrid>
        <w:gridCol w:w="1798"/>
        <w:gridCol w:w="1798"/>
        <w:gridCol w:w="1796"/>
        <w:gridCol w:w="1800"/>
        <w:gridCol w:w="1798"/>
        <w:gridCol w:w="1796"/>
      </w:tblGrid>
      <w:tr w:rsidR="006A5F66" w14:paraId="3A1878A7"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4E8417A2" w14:textId="77777777" w:rsidR="006A5F66" w:rsidRDefault="00000000">
            <w:pPr>
              <w:spacing w:after="12" w:line="259" w:lineRule="auto"/>
              <w:ind w:left="0" w:firstLine="0"/>
              <w:jc w:val="left"/>
            </w:pPr>
            <w:r>
              <w:rPr>
                <w:b/>
              </w:rPr>
              <w:t xml:space="preserve">Dividend </w:t>
            </w:r>
            <w:r>
              <w:t xml:space="preserve"> </w:t>
            </w:r>
          </w:p>
          <w:p w14:paraId="3C8B911F" w14:textId="77777777" w:rsidR="006A5F66" w:rsidRDefault="00000000">
            <w:pPr>
              <w:spacing w:after="0" w:line="259" w:lineRule="auto"/>
              <w:ind w:left="0" w:firstLine="0"/>
              <w:jc w:val="left"/>
            </w:pPr>
            <w:r>
              <w:rPr>
                <w:b/>
              </w:rPr>
              <w:t>Yield</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14B21FC"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A63A493"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6BAD880C"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7B491CBB"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3EE0332F" w14:textId="77777777" w:rsidR="006A5F66" w:rsidRDefault="00000000">
            <w:pPr>
              <w:spacing w:after="0" w:line="259" w:lineRule="auto"/>
              <w:ind w:left="0" w:firstLine="0"/>
              <w:jc w:val="left"/>
            </w:pPr>
            <w:r>
              <w:rPr>
                <w:b/>
              </w:rPr>
              <w:t>2024</w:t>
            </w:r>
            <w:r>
              <w:t xml:space="preserve"> </w:t>
            </w:r>
          </w:p>
        </w:tc>
      </w:tr>
      <w:tr w:rsidR="006A5F66" w14:paraId="1A818C2B"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57D96BB1" w14:textId="77777777" w:rsidR="006A5F66" w:rsidRDefault="00000000">
            <w:pPr>
              <w:spacing w:after="10" w:line="259" w:lineRule="auto"/>
              <w:ind w:left="0" w:firstLine="0"/>
              <w:jc w:val="left"/>
            </w:pPr>
            <w:r>
              <w:t xml:space="preserve">Dividend per  </w:t>
            </w:r>
          </w:p>
          <w:p w14:paraId="4B055B03" w14:textId="77777777" w:rsidR="006A5F66" w:rsidRDefault="00000000">
            <w:pPr>
              <w:spacing w:after="0" w:line="259" w:lineRule="auto"/>
              <w:ind w:left="0" w:firstLine="0"/>
              <w:jc w:val="left"/>
            </w:pPr>
            <w:r>
              <w:t xml:space="preserve">Share (US$) </w:t>
            </w:r>
          </w:p>
        </w:tc>
        <w:tc>
          <w:tcPr>
            <w:tcW w:w="1798" w:type="dxa"/>
            <w:tcBorders>
              <w:top w:val="single" w:sz="6" w:space="0" w:color="BFC3C8"/>
              <w:left w:val="single" w:sz="6" w:space="0" w:color="BFC3C8"/>
              <w:bottom w:val="single" w:sz="6" w:space="0" w:color="BFC3C8"/>
              <w:right w:val="single" w:sz="6" w:space="0" w:color="BFC3C8"/>
            </w:tcBorders>
          </w:tcPr>
          <w:p w14:paraId="278169A4" w14:textId="77777777" w:rsidR="006A5F66" w:rsidRDefault="00000000">
            <w:pPr>
              <w:spacing w:after="0" w:line="259" w:lineRule="auto"/>
              <w:ind w:left="0" w:firstLine="0"/>
              <w:jc w:val="left"/>
            </w:pPr>
            <w:r>
              <w:t xml:space="preserve">43.9 </w:t>
            </w:r>
          </w:p>
        </w:tc>
        <w:tc>
          <w:tcPr>
            <w:tcW w:w="1796" w:type="dxa"/>
            <w:tcBorders>
              <w:top w:val="single" w:sz="6" w:space="0" w:color="BFC3C8"/>
              <w:left w:val="single" w:sz="6" w:space="0" w:color="BFC3C8"/>
              <w:bottom w:val="single" w:sz="6" w:space="0" w:color="BFC3C8"/>
              <w:right w:val="single" w:sz="6" w:space="0" w:color="BFC3C8"/>
            </w:tcBorders>
          </w:tcPr>
          <w:p w14:paraId="2ABE9378" w14:textId="77777777" w:rsidR="006A5F66" w:rsidRDefault="00000000">
            <w:pPr>
              <w:spacing w:after="0" w:line="259" w:lineRule="auto"/>
              <w:ind w:left="0" w:firstLine="0"/>
              <w:jc w:val="left"/>
            </w:pPr>
            <w:r>
              <w:t xml:space="preserve">85.9 </w:t>
            </w:r>
          </w:p>
        </w:tc>
        <w:tc>
          <w:tcPr>
            <w:tcW w:w="1800" w:type="dxa"/>
            <w:tcBorders>
              <w:top w:val="single" w:sz="6" w:space="0" w:color="BFC3C8"/>
              <w:left w:val="single" w:sz="6" w:space="0" w:color="BFC3C8"/>
              <w:bottom w:val="single" w:sz="6" w:space="0" w:color="BFC3C8"/>
              <w:right w:val="single" w:sz="6" w:space="0" w:color="BFC3C8"/>
            </w:tcBorders>
          </w:tcPr>
          <w:p w14:paraId="6C2C22BB" w14:textId="77777777" w:rsidR="006A5F66" w:rsidRDefault="00000000">
            <w:pPr>
              <w:spacing w:after="0" w:line="259" w:lineRule="auto"/>
              <w:ind w:left="2" w:firstLine="0"/>
              <w:jc w:val="left"/>
            </w:pPr>
            <w:r>
              <w:t xml:space="preserve">137.9 </w:t>
            </w:r>
          </w:p>
        </w:tc>
        <w:tc>
          <w:tcPr>
            <w:tcW w:w="1798" w:type="dxa"/>
            <w:tcBorders>
              <w:top w:val="single" w:sz="6" w:space="0" w:color="BFC3C8"/>
              <w:left w:val="single" w:sz="6" w:space="0" w:color="BFC3C8"/>
              <w:bottom w:val="single" w:sz="6" w:space="0" w:color="BFC3C8"/>
              <w:right w:val="single" w:sz="6" w:space="0" w:color="BFC3C8"/>
            </w:tcBorders>
          </w:tcPr>
          <w:p w14:paraId="743D4C5A" w14:textId="77777777" w:rsidR="006A5F66" w:rsidRDefault="00000000">
            <w:pPr>
              <w:spacing w:after="0" w:line="259" w:lineRule="auto"/>
              <w:ind w:left="1" w:firstLine="0"/>
              <w:jc w:val="left"/>
            </w:pPr>
            <w:r>
              <w:t xml:space="preserve">152.4 </w:t>
            </w:r>
          </w:p>
        </w:tc>
        <w:tc>
          <w:tcPr>
            <w:tcW w:w="1796" w:type="dxa"/>
            <w:tcBorders>
              <w:top w:val="single" w:sz="6" w:space="0" w:color="BFC3C8"/>
              <w:left w:val="single" w:sz="6" w:space="0" w:color="BFC3C8"/>
              <w:bottom w:val="single" w:sz="6" w:space="0" w:color="BFC3C8"/>
              <w:right w:val="single" w:sz="6" w:space="0" w:color="BFC3C8"/>
            </w:tcBorders>
          </w:tcPr>
          <w:p w14:paraId="6EA7129A" w14:textId="77777777" w:rsidR="006A5F66" w:rsidRDefault="00000000">
            <w:pPr>
              <w:spacing w:after="0" w:line="259" w:lineRule="auto"/>
              <w:ind w:left="0" w:firstLine="0"/>
              <w:jc w:val="left"/>
            </w:pPr>
            <w:r>
              <w:t xml:space="preserve">167.6 </w:t>
            </w:r>
          </w:p>
        </w:tc>
      </w:tr>
      <w:tr w:rsidR="006A5F66" w14:paraId="10FA0DA8" w14:textId="77777777">
        <w:trPr>
          <w:trHeight w:val="1455"/>
        </w:trPr>
        <w:tc>
          <w:tcPr>
            <w:tcW w:w="1798" w:type="dxa"/>
            <w:tcBorders>
              <w:top w:val="single" w:sz="6" w:space="0" w:color="BFC3C8"/>
              <w:left w:val="single" w:sz="6" w:space="0" w:color="BFC3C8"/>
              <w:bottom w:val="single" w:sz="6" w:space="0" w:color="BFC3C8"/>
              <w:right w:val="single" w:sz="6" w:space="0" w:color="BFC3C8"/>
            </w:tcBorders>
            <w:vAlign w:val="bottom"/>
          </w:tcPr>
          <w:p w14:paraId="76EB0896" w14:textId="77777777" w:rsidR="006A5F66" w:rsidRDefault="00000000">
            <w:pPr>
              <w:spacing w:after="2" w:line="270" w:lineRule="auto"/>
              <w:ind w:left="0" w:firstLine="0"/>
              <w:jc w:val="left"/>
            </w:pPr>
            <w:r>
              <w:lastRenderedPageBreak/>
              <w:t xml:space="preserve">Market Price per Share  </w:t>
            </w:r>
          </w:p>
          <w:p w14:paraId="31B560D3" w14:textId="77777777" w:rsidR="006A5F66" w:rsidRDefault="00000000">
            <w:pPr>
              <w:spacing w:after="0" w:line="259" w:lineRule="auto"/>
              <w:ind w:left="0" w:firstLine="0"/>
              <w:jc w:val="left"/>
            </w:pPr>
            <w:r>
              <w:t xml:space="preserve">(US$) </w:t>
            </w:r>
          </w:p>
        </w:tc>
        <w:tc>
          <w:tcPr>
            <w:tcW w:w="1798" w:type="dxa"/>
            <w:tcBorders>
              <w:top w:val="single" w:sz="6" w:space="0" w:color="BFC3C8"/>
              <w:left w:val="single" w:sz="6" w:space="0" w:color="BFC3C8"/>
              <w:bottom w:val="single" w:sz="6" w:space="0" w:color="BFC3C8"/>
              <w:right w:val="single" w:sz="6" w:space="0" w:color="BFC3C8"/>
            </w:tcBorders>
          </w:tcPr>
          <w:p w14:paraId="16503BB9" w14:textId="77777777" w:rsidR="006A5F66" w:rsidRDefault="00000000">
            <w:pPr>
              <w:spacing w:after="0" w:line="259" w:lineRule="auto"/>
              <w:ind w:left="0" w:firstLine="0"/>
              <w:jc w:val="left"/>
            </w:pPr>
            <w:r>
              <w:t xml:space="preserve">56.20 </w:t>
            </w:r>
          </w:p>
        </w:tc>
        <w:tc>
          <w:tcPr>
            <w:tcW w:w="1796" w:type="dxa"/>
            <w:tcBorders>
              <w:top w:val="single" w:sz="6" w:space="0" w:color="BFC3C8"/>
              <w:left w:val="single" w:sz="6" w:space="0" w:color="BFC3C8"/>
              <w:bottom w:val="single" w:sz="6" w:space="0" w:color="BFC3C8"/>
              <w:right w:val="single" w:sz="6" w:space="0" w:color="BFC3C8"/>
            </w:tcBorders>
          </w:tcPr>
          <w:p w14:paraId="1F0FDD1C" w14:textId="77777777" w:rsidR="006A5F66" w:rsidRDefault="00000000">
            <w:pPr>
              <w:spacing w:after="0" w:line="259" w:lineRule="auto"/>
              <w:ind w:left="0" w:firstLine="0"/>
              <w:jc w:val="left"/>
            </w:pPr>
            <w:r>
              <w:t xml:space="preserve">69.50 </w:t>
            </w:r>
          </w:p>
        </w:tc>
        <w:tc>
          <w:tcPr>
            <w:tcW w:w="1800" w:type="dxa"/>
            <w:tcBorders>
              <w:top w:val="single" w:sz="6" w:space="0" w:color="BFC3C8"/>
              <w:left w:val="single" w:sz="6" w:space="0" w:color="BFC3C8"/>
              <w:bottom w:val="single" w:sz="6" w:space="0" w:color="BFC3C8"/>
              <w:right w:val="single" w:sz="6" w:space="0" w:color="BFC3C8"/>
            </w:tcBorders>
          </w:tcPr>
          <w:p w14:paraId="3EA237CA" w14:textId="77777777" w:rsidR="006A5F66" w:rsidRDefault="00000000">
            <w:pPr>
              <w:spacing w:after="0" w:line="259" w:lineRule="auto"/>
              <w:ind w:left="2" w:firstLine="0"/>
              <w:jc w:val="left"/>
            </w:pPr>
            <w:r>
              <w:t xml:space="preserve">63.80 </w:t>
            </w:r>
          </w:p>
        </w:tc>
        <w:tc>
          <w:tcPr>
            <w:tcW w:w="1798" w:type="dxa"/>
            <w:tcBorders>
              <w:top w:val="single" w:sz="6" w:space="0" w:color="BFC3C8"/>
              <w:left w:val="single" w:sz="6" w:space="0" w:color="BFC3C8"/>
              <w:bottom w:val="single" w:sz="6" w:space="0" w:color="BFC3C8"/>
              <w:right w:val="single" w:sz="6" w:space="0" w:color="BFC3C8"/>
            </w:tcBorders>
          </w:tcPr>
          <w:p w14:paraId="70431832" w14:textId="77777777" w:rsidR="006A5F66" w:rsidRDefault="00000000">
            <w:pPr>
              <w:spacing w:after="0" w:line="259" w:lineRule="auto"/>
              <w:ind w:left="1" w:firstLine="0"/>
              <w:jc w:val="left"/>
            </w:pPr>
            <w:r>
              <w:t xml:space="preserve">92.40 </w:t>
            </w:r>
          </w:p>
        </w:tc>
        <w:tc>
          <w:tcPr>
            <w:tcW w:w="1796" w:type="dxa"/>
            <w:tcBorders>
              <w:top w:val="single" w:sz="6" w:space="0" w:color="BFC3C8"/>
              <w:left w:val="single" w:sz="6" w:space="0" w:color="BFC3C8"/>
              <w:bottom w:val="single" w:sz="6" w:space="0" w:color="BFC3C8"/>
              <w:right w:val="single" w:sz="6" w:space="0" w:color="BFC3C8"/>
            </w:tcBorders>
          </w:tcPr>
          <w:p w14:paraId="590431DF" w14:textId="77777777" w:rsidR="006A5F66" w:rsidRDefault="00000000">
            <w:pPr>
              <w:spacing w:after="0" w:line="259" w:lineRule="auto"/>
              <w:ind w:left="0" w:firstLine="0"/>
              <w:jc w:val="left"/>
            </w:pPr>
            <w:r>
              <w:t xml:space="preserve">112.30 </w:t>
            </w:r>
          </w:p>
        </w:tc>
      </w:tr>
      <w:tr w:rsidR="006A5F66" w14:paraId="60D7A9D9"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63EAB11C" w14:textId="77777777" w:rsidR="006A5F66" w:rsidRDefault="00000000">
            <w:pPr>
              <w:spacing w:after="12" w:line="259" w:lineRule="auto"/>
              <w:ind w:left="0" w:firstLine="0"/>
              <w:jc w:val="left"/>
            </w:pPr>
            <w:r>
              <w:rPr>
                <w:b/>
              </w:rPr>
              <w:t xml:space="preserve">Dividend </w:t>
            </w:r>
            <w:r>
              <w:t xml:space="preserve"> </w:t>
            </w:r>
          </w:p>
          <w:p w14:paraId="3D995929" w14:textId="77777777" w:rsidR="006A5F66" w:rsidRDefault="00000000">
            <w:pPr>
              <w:spacing w:after="0" w:line="259" w:lineRule="auto"/>
              <w:ind w:left="0" w:firstLine="0"/>
              <w:jc w:val="left"/>
            </w:pPr>
            <w:r>
              <w:rPr>
                <w:b/>
              </w:rPr>
              <w:t>Yield (%)</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EFE5981" w14:textId="77777777" w:rsidR="006A5F66" w:rsidRDefault="00000000">
            <w:pPr>
              <w:spacing w:after="0" w:line="259" w:lineRule="auto"/>
              <w:ind w:left="0" w:firstLine="0"/>
              <w:jc w:val="left"/>
            </w:pPr>
            <w:r>
              <w:rPr>
                <w:b/>
              </w:rPr>
              <w:t>0.78%</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3EBC7B03" w14:textId="77777777" w:rsidR="006A5F66" w:rsidRDefault="00000000">
            <w:pPr>
              <w:spacing w:after="0" w:line="259" w:lineRule="auto"/>
              <w:ind w:left="0" w:firstLine="0"/>
              <w:jc w:val="left"/>
            </w:pPr>
            <w:r>
              <w:rPr>
                <w:b/>
              </w:rPr>
              <w:t>1.24%</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5FC7F110" w14:textId="77777777" w:rsidR="006A5F66" w:rsidRDefault="00000000">
            <w:pPr>
              <w:spacing w:after="0" w:line="259" w:lineRule="auto"/>
              <w:ind w:left="2" w:firstLine="0"/>
              <w:jc w:val="left"/>
            </w:pPr>
            <w:r>
              <w:rPr>
                <w:b/>
              </w:rPr>
              <w:t>2.16%</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1477DDE3" w14:textId="77777777" w:rsidR="006A5F66" w:rsidRDefault="00000000">
            <w:pPr>
              <w:spacing w:after="0" w:line="259" w:lineRule="auto"/>
              <w:ind w:left="1" w:firstLine="0"/>
              <w:jc w:val="left"/>
            </w:pPr>
            <w:r>
              <w:rPr>
                <w:b/>
              </w:rPr>
              <w:t>1.65%</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55881698" w14:textId="77777777" w:rsidR="006A5F66" w:rsidRDefault="00000000">
            <w:pPr>
              <w:spacing w:after="0" w:line="259" w:lineRule="auto"/>
              <w:ind w:left="0" w:firstLine="0"/>
              <w:jc w:val="left"/>
            </w:pPr>
            <w:r>
              <w:rPr>
                <w:b/>
              </w:rPr>
              <w:t>1.49%</w:t>
            </w:r>
            <w:r>
              <w:t xml:space="preserve"> </w:t>
            </w:r>
          </w:p>
        </w:tc>
      </w:tr>
    </w:tbl>
    <w:p w14:paraId="4C9BC17F" w14:textId="77777777" w:rsidR="006A5F66" w:rsidRDefault="00000000">
      <w:pPr>
        <w:spacing w:after="245"/>
        <w:ind w:left="17"/>
        <w:jc w:val="left"/>
      </w:pPr>
      <w:r>
        <w:rPr>
          <w:b/>
        </w:rPr>
        <w:t>Formula</w:t>
      </w:r>
      <w:r>
        <w:t xml:space="preserve"> </w:t>
      </w:r>
    </w:p>
    <w:p w14:paraId="0E5B12E9" w14:textId="77777777" w:rsidR="006A5F66" w:rsidRDefault="00000000">
      <w:pPr>
        <w:ind w:left="17" w:right="40"/>
      </w:pPr>
      <w:r>
        <w:t xml:space="preserve">Dividend Yield = Dividend per Share ÷ Market Price per Share × 100 </w:t>
      </w:r>
    </w:p>
    <w:p w14:paraId="56F12C17" w14:textId="77777777" w:rsidR="006A5F66" w:rsidRDefault="00000000">
      <w:pPr>
        <w:pStyle w:val="Heading4"/>
        <w:ind w:left="17"/>
      </w:pPr>
      <w:r>
        <w:t xml:space="preserve">Interpretation </w:t>
      </w:r>
    </w:p>
    <w:p w14:paraId="7D355813" w14:textId="77777777" w:rsidR="006A5F66" w:rsidRDefault="00000000">
      <w:pPr>
        <w:ind w:left="17" w:right="40"/>
      </w:pPr>
      <w:r>
        <w:t xml:space="preserve">Dividend yield reflects the cash return shareholders receive relative to the company's market value, indicating confidence in future financial performance (Ross et al., 2022). IHG's dividend policy demonstrates management's confidence in sustainable cash flows while balancing shareholder distributions with investment opportunities and resilience against future economic uncertainty (InterContinental Hotels Group PLC, 2025) </w:t>
      </w:r>
    </w:p>
    <w:tbl>
      <w:tblPr>
        <w:tblStyle w:val="TableGrid"/>
        <w:tblW w:w="10786" w:type="dxa"/>
        <w:tblInd w:w="31" w:type="dxa"/>
        <w:tblCellMar>
          <w:top w:w="233" w:type="dxa"/>
          <w:left w:w="127" w:type="dxa"/>
          <w:bottom w:w="168" w:type="dxa"/>
          <w:right w:w="115" w:type="dxa"/>
        </w:tblCellMar>
        <w:tblLook w:val="04A0" w:firstRow="1" w:lastRow="0" w:firstColumn="1" w:lastColumn="0" w:noHBand="0" w:noVBand="1"/>
      </w:tblPr>
      <w:tblGrid>
        <w:gridCol w:w="1798"/>
        <w:gridCol w:w="1798"/>
        <w:gridCol w:w="1796"/>
        <w:gridCol w:w="1800"/>
        <w:gridCol w:w="1798"/>
        <w:gridCol w:w="1796"/>
      </w:tblGrid>
      <w:tr w:rsidR="006A5F66" w14:paraId="59E54F23" w14:textId="77777777">
        <w:trPr>
          <w:trHeight w:val="785"/>
        </w:trPr>
        <w:tc>
          <w:tcPr>
            <w:tcW w:w="1798" w:type="dxa"/>
            <w:tcBorders>
              <w:top w:val="single" w:sz="6" w:space="0" w:color="BFC3C8"/>
              <w:left w:val="single" w:sz="6" w:space="0" w:color="BFC3C8"/>
              <w:bottom w:val="single" w:sz="6" w:space="0" w:color="BFC3C8"/>
              <w:right w:val="single" w:sz="6" w:space="0" w:color="BFC3C8"/>
            </w:tcBorders>
            <w:vAlign w:val="bottom"/>
          </w:tcPr>
          <w:p w14:paraId="0280DC6C" w14:textId="77777777" w:rsidR="006A5F66" w:rsidRDefault="00000000">
            <w:pPr>
              <w:spacing w:after="0" w:line="259" w:lineRule="auto"/>
              <w:ind w:left="0" w:firstLine="0"/>
              <w:jc w:val="left"/>
            </w:pPr>
            <w:r>
              <w:rPr>
                <w:b/>
              </w:rPr>
              <w:t>P/E Ratio</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2494D71B"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7D0CDF4E"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71DFA287"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2B6B042A"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438B811F" w14:textId="77777777" w:rsidR="006A5F66" w:rsidRDefault="00000000">
            <w:pPr>
              <w:spacing w:after="0" w:line="259" w:lineRule="auto"/>
              <w:ind w:left="0" w:firstLine="0"/>
              <w:jc w:val="left"/>
            </w:pPr>
            <w:r>
              <w:rPr>
                <w:b/>
              </w:rPr>
              <w:t>2024</w:t>
            </w:r>
            <w:r>
              <w:t xml:space="preserve"> </w:t>
            </w:r>
          </w:p>
        </w:tc>
      </w:tr>
      <w:tr w:rsidR="006A5F66" w14:paraId="37E32D1F" w14:textId="77777777">
        <w:trPr>
          <w:trHeight w:val="1457"/>
        </w:trPr>
        <w:tc>
          <w:tcPr>
            <w:tcW w:w="1798" w:type="dxa"/>
            <w:tcBorders>
              <w:top w:val="single" w:sz="6" w:space="0" w:color="BFC3C8"/>
              <w:left w:val="single" w:sz="6" w:space="0" w:color="BFC3C8"/>
              <w:bottom w:val="single" w:sz="6" w:space="0" w:color="BFC3C8"/>
              <w:right w:val="single" w:sz="6" w:space="0" w:color="BFC3C8"/>
            </w:tcBorders>
            <w:vAlign w:val="bottom"/>
          </w:tcPr>
          <w:p w14:paraId="4D19D97D" w14:textId="77777777" w:rsidR="006A5F66" w:rsidRDefault="00000000">
            <w:pPr>
              <w:spacing w:after="0" w:line="271" w:lineRule="auto"/>
              <w:ind w:left="0" w:firstLine="0"/>
              <w:jc w:val="left"/>
            </w:pPr>
            <w:r>
              <w:t xml:space="preserve">Market Price per Share  </w:t>
            </w:r>
          </w:p>
          <w:p w14:paraId="73B98033" w14:textId="77777777" w:rsidR="006A5F66" w:rsidRDefault="00000000">
            <w:pPr>
              <w:spacing w:after="0" w:line="259" w:lineRule="auto"/>
              <w:ind w:left="0" w:firstLine="0"/>
              <w:jc w:val="left"/>
            </w:pPr>
            <w:r>
              <w:t xml:space="preserve">(US$) </w:t>
            </w:r>
          </w:p>
        </w:tc>
        <w:tc>
          <w:tcPr>
            <w:tcW w:w="1798" w:type="dxa"/>
            <w:tcBorders>
              <w:top w:val="single" w:sz="6" w:space="0" w:color="BFC3C8"/>
              <w:left w:val="single" w:sz="6" w:space="0" w:color="BFC3C8"/>
              <w:bottom w:val="single" w:sz="6" w:space="0" w:color="BFC3C8"/>
              <w:right w:val="single" w:sz="6" w:space="0" w:color="BFC3C8"/>
            </w:tcBorders>
          </w:tcPr>
          <w:p w14:paraId="2E782508" w14:textId="77777777" w:rsidR="006A5F66" w:rsidRDefault="00000000">
            <w:pPr>
              <w:spacing w:after="0" w:line="259" w:lineRule="auto"/>
              <w:ind w:left="0" w:firstLine="0"/>
              <w:jc w:val="left"/>
            </w:pPr>
            <w:r>
              <w:t xml:space="preserve">56.20 </w:t>
            </w:r>
          </w:p>
        </w:tc>
        <w:tc>
          <w:tcPr>
            <w:tcW w:w="1796" w:type="dxa"/>
            <w:tcBorders>
              <w:top w:val="single" w:sz="6" w:space="0" w:color="BFC3C8"/>
              <w:left w:val="single" w:sz="6" w:space="0" w:color="BFC3C8"/>
              <w:bottom w:val="single" w:sz="6" w:space="0" w:color="BFC3C8"/>
              <w:right w:val="single" w:sz="6" w:space="0" w:color="BFC3C8"/>
            </w:tcBorders>
          </w:tcPr>
          <w:p w14:paraId="52316B2A" w14:textId="77777777" w:rsidR="006A5F66" w:rsidRDefault="00000000">
            <w:pPr>
              <w:spacing w:after="0" w:line="259" w:lineRule="auto"/>
              <w:ind w:left="0" w:firstLine="0"/>
              <w:jc w:val="left"/>
            </w:pPr>
            <w:r>
              <w:t xml:space="preserve">69.50 </w:t>
            </w:r>
          </w:p>
        </w:tc>
        <w:tc>
          <w:tcPr>
            <w:tcW w:w="1800" w:type="dxa"/>
            <w:tcBorders>
              <w:top w:val="single" w:sz="6" w:space="0" w:color="BFC3C8"/>
              <w:left w:val="single" w:sz="6" w:space="0" w:color="BFC3C8"/>
              <w:bottom w:val="single" w:sz="6" w:space="0" w:color="BFC3C8"/>
              <w:right w:val="single" w:sz="6" w:space="0" w:color="BFC3C8"/>
            </w:tcBorders>
          </w:tcPr>
          <w:p w14:paraId="4CE8FA22" w14:textId="77777777" w:rsidR="006A5F66" w:rsidRDefault="00000000">
            <w:pPr>
              <w:spacing w:after="0" w:line="259" w:lineRule="auto"/>
              <w:ind w:left="2" w:firstLine="0"/>
              <w:jc w:val="left"/>
            </w:pPr>
            <w:r>
              <w:t xml:space="preserve">63.80 </w:t>
            </w:r>
          </w:p>
        </w:tc>
        <w:tc>
          <w:tcPr>
            <w:tcW w:w="1798" w:type="dxa"/>
            <w:tcBorders>
              <w:top w:val="single" w:sz="6" w:space="0" w:color="BFC3C8"/>
              <w:left w:val="single" w:sz="6" w:space="0" w:color="BFC3C8"/>
              <w:bottom w:val="single" w:sz="6" w:space="0" w:color="BFC3C8"/>
              <w:right w:val="single" w:sz="6" w:space="0" w:color="BFC3C8"/>
            </w:tcBorders>
          </w:tcPr>
          <w:p w14:paraId="20D0B5F5" w14:textId="77777777" w:rsidR="006A5F66" w:rsidRDefault="00000000">
            <w:pPr>
              <w:spacing w:after="0" w:line="259" w:lineRule="auto"/>
              <w:ind w:left="1" w:firstLine="0"/>
              <w:jc w:val="left"/>
            </w:pPr>
            <w:r>
              <w:t xml:space="preserve">92.40 </w:t>
            </w:r>
          </w:p>
        </w:tc>
        <w:tc>
          <w:tcPr>
            <w:tcW w:w="1796" w:type="dxa"/>
            <w:tcBorders>
              <w:top w:val="single" w:sz="6" w:space="0" w:color="BFC3C8"/>
              <w:left w:val="single" w:sz="6" w:space="0" w:color="BFC3C8"/>
              <w:bottom w:val="single" w:sz="6" w:space="0" w:color="BFC3C8"/>
              <w:right w:val="single" w:sz="6" w:space="0" w:color="BFC3C8"/>
            </w:tcBorders>
          </w:tcPr>
          <w:p w14:paraId="01E1360C" w14:textId="77777777" w:rsidR="006A5F66" w:rsidRDefault="00000000">
            <w:pPr>
              <w:spacing w:after="0" w:line="259" w:lineRule="auto"/>
              <w:ind w:left="0" w:firstLine="0"/>
              <w:jc w:val="left"/>
            </w:pPr>
            <w:r>
              <w:t xml:space="preserve">92.40 </w:t>
            </w:r>
          </w:p>
        </w:tc>
      </w:tr>
      <w:tr w:rsidR="006A5F66" w14:paraId="59E6B28D" w14:textId="77777777">
        <w:trPr>
          <w:trHeight w:val="783"/>
        </w:trPr>
        <w:tc>
          <w:tcPr>
            <w:tcW w:w="1798" w:type="dxa"/>
            <w:tcBorders>
              <w:top w:val="single" w:sz="6" w:space="0" w:color="BFC3C8"/>
              <w:left w:val="single" w:sz="6" w:space="0" w:color="BFC3C8"/>
              <w:bottom w:val="single" w:sz="6" w:space="0" w:color="BFC3C8"/>
              <w:right w:val="single" w:sz="6" w:space="0" w:color="BFC3C8"/>
            </w:tcBorders>
            <w:vAlign w:val="bottom"/>
          </w:tcPr>
          <w:p w14:paraId="2146D209" w14:textId="77777777" w:rsidR="006A5F66" w:rsidRDefault="00000000">
            <w:pPr>
              <w:spacing w:after="0" w:line="259" w:lineRule="auto"/>
              <w:ind w:left="0" w:firstLine="0"/>
              <w:jc w:val="left"/>
            </w:pPr>
            <w:r>
              <w:t xml:space="preserve">EPS (US$) </w:t>
            </w:r>
          </w:p>
        </w:tc>
        <w:tc>
          <w:tcPr>
            <w:tcW w:w="1798" w:type="dxa"/>
            <w:tcBorders>
              <w:top w:val="single" w:sz="6" w:space="0" w:color="BFC3C8"/>
              <w:left w:val="single" w:sz="6" w:space="0" w:color="BFC3C8"/>
              <w:bottom w:val="single" w:sz="6" w:space="0" w:color="BFC3C8"/>
              <w:right w:val="single" w:sz="6" w:space="0" w:color="BFC3C8"/>
            </w:tcBorders>
            <w:vAlign w:val="bottom"/>
          </w:tcPr>
          <w:p w14:paraId="34F47099" w14:textId="77777777" w:rsidR="006A5F66" w:rsidRDefault="00000000">
            <w:pPr>
              <w:spacing w:after="0" w:line="259" w:lineRule="auto"/>
              <w:ind w:left="0" w:firstLine="0"/>
              <w:jc w:val="left"/>
            </w:pPr>
            <w:r>
              <w:t xml:space="preserve">1.384 </w:t>
            </w:r>
          </w:p>
        </w:tc>
        <w:tc>
          <w:tcPr>
            <w:tcW w:w="1796" w:type="dxa"/>
            <w:tcBorders>
              <w:top w:val="single" w:sz="6" w:space="0" w:color="BFC3C8"/>
              <w:left w:val="single" w:sz="6" w:space="0" w:color="BFC3C8"/>
              <w:bottom w:val="single" w:sz="6" w:space="0" w:color="BFC3C8"/>
              <w:right w:val="single" w:sz="6" w:space="0" w:color="BFC3C8"/>
            </w:tcBorders>
            <w:vAlign w:val="bottom"/>
          </w:tcPr>
          <w:p w14:paraId="20906272" w14:textId="77777777" w:rsidR="006A5F66" w:rsidRDefault="00000000">
            <w:pPr>
              <w:spacing w:after="0" w:line="259" w:lineRule="auto"/>
              <w:ind w:left="0" w:firstLine="0"/>
              <w:jc w:val="left"/>
            </w:pPr>
            <w:r>
              <w:t xml:space="preserve">1.992 </w:t>
            </w:r>
          </w:p>
        </w:tc>
        <w:tc>
          <w:tcPr>
            <w:tcW w:w="1800" w:type="dxa"/>
            <w:tcBorders>
              <w:top w:val="single" w:sz="6" w:space="0" w:color="BFC3C8"/>
              <w:left w:val="single" w:sz="6" w:space="0" w:color="BFC3C8"/>
              <w:bottom w:val="single" w:sz="6" w:space="0" w:color="BFC3C8"/>
              <w:right w:val="single" w:sz="6" w:space="0" w:color="BFC3C8"/>
            </w:tcBorders>
            <w:vAlign w:val="bottom"/>
          </w:tcPr>
          <w:p w14:paraId="5E1D601E" w14:textId="77777777" w:rsidR="006A5F66" w:rsidRDefault="00000000">
            <w:pPr>
              <w:spacing w:after="0" w:line="259" w:lineRule="auto"/>
              <w:ind w:left="2" w:firstLine="0"/>
              <w:jc w:val="left"/>
            </w:pPr>
            <w:r>
              <w:t xml:space="preserve">2.977 </w:t>
            </w:r>
          </w:p>
        </w:tc>
        <w:tc>
          <w:tcPr>
            <w:tcW w:w="1798" w:type="dxa"/>
            <w:tcBorders>
              <w:top w:val="single" w:sz="6" w:space="0" w:color="BFC3C8"/>
              <w:left w:val="single" w:sz="6" w:space="0" w:color="BFC3C8"/>
              <w:bottom w:val="single" w:sz="6" w:space="0" w:color="BFC3C8"/>
              <w:right w:val="single" w:sz="6" w:space="0" w:color="BFC3C8"/>
            </w:tcBorders>
            <w:vAlign w:val="bottom"/>
          </w:tcPr>
          <w:p w14:paraId="27FD3B49" w14:textId="77777777" w:rsidR="006A5F66" w:rsidRDefault="00000000">
            <w:pPr>
              <w:spacing w:after="0" w:line="259" w:lineRule="auto"/>
              <w:ind w:left="1" w:firstLine="0"/>
              <w:jc w:val="left"/>
            </w:pPr>
            <w:r>
              <w:t xml:space="preserve">4.200 </w:t>
            </w:r>
          </w:p>
        </w:tc>
        <w:tc>
          <w:tcPr>
            <w:tcW w:w="1796" w:type="dxa"/>
            <w:tcBorders>
              <w:top w:val="single" w:sz="6" w:space="0" w:color="BFC3C8"/>
              <w:left w:val="single" w:sz="6" w:space="0" w:color="BFC3C8"/>
              <w:bottom w:val="single" w:sz="6" w:space="0" w:color="BFC3C8"/>
              <w:right w:val="single" w:sz="6" w:space="0" w:color="BFC3C8"/>
            </w:tcBorders>
            <w:vAlign w:val="bottom"/>
          </w:tcPr>
          <w:p w14:paraId="38D837F0" w14:textId="77777777" w:rsidR="006A5F66" w:rsidRDefault="00000000">
            <w:pPr>
              <w:spacing w:after="0" w:line="259" w:lineRule="auto"/>
              <w:ind w:left="0" w:firstLine="0"/>
              <w:jc w:val="left"/>
            </w:pPr>
            <w:r>
              <w:t xml:space="preserve">4.645 </w:t>
            </w:r>
          </w:p>
        </w:tc>
      </w:tr>
      <w:tr w:rsidR="006A5F66" w14:paraId="5907975F" w14:textId="77777777">
        <w:trPr>
          <w:trHeight w:val="785"/>
        </w:trPr>
        <w:tc>
          <w:tcPr>
            <w:tcW w:w="1798" w:type="dxa"/>
            <w:tcBorders>
              <w:top w:val="single" w:sz="6" w:space="0" w:color="BFC3C8"/>
              <w:left w:val="single" w:sz="6" w:space="0" w:color="BFC3C8"/>
              <w:bottom w:val="single" w:sz="6" w:space="0" w:color="BFC3C8"/>
              <w:right w:val="single" w:sz="6" w:space="0" w:color="BFC3C8"/>
            </w:tcBorders>
            <w:vAlign w:val="bottom"/>
          </w:tcPr>
          <w:p w14:paraId="025CA631" w14:textId="77777777" w:rsidR="006A5F66" w:rsidRDefault="00000000">
            <w:pPr>
              <w:spacing w:after="0" w:line="259" w:lineRule="auto"/>
              <w:ind w:left="0" w:firstLine="0"/>
              <w:jc w:val="left"/>
            </w:pPr>
            <w:r>
              <w:rPr>
                <w:b/>
              </w:rPr>
              <w:t>P/E (x)</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3760468C" w14:textId="77777777" w:rsidR="006A5F66" w:rsidRDefault="00000000">
            <w:pPr>
              <w:spacing w:after="0" w:line="259" w:lineRule="auto"/>
              <w:ind w:left="0" w:firstLine="0"/>
              <w:jc w:val="left"/>
            </w:pPr>
            <w:r>
              <w:rPr>
                <w:b/>
              </w:rPr>
              <w:t>N/A</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037F2ACD" w14:textId="77777777" w:rsidR="006A5F66" w:rsidRDefault="00000000">
            <w:pPr>
              <w:spacing w:after="0" w:line="259" w:lineRule="auto"/>
              <w:ind w:left="0" w:firstLine="0"/>
              <w:jc w:val="left"/>
            </w:pPr>
            <w:r>
              <w:rPr>
                <w:b/>
              </w:rPr>
              <w:t>34.89</w:t>
            </w:r>
            <w:r>
              <w:t xml:space="preserve"> </w:t>
            </w:r>
          </w:p>
        </w:tc>
        <w:tc>
          <w:tcPr>
            <w:tcW w:w="1800" w:type="dxa"/>
            <w:tcBorders>
              <w:top w:val="single" w:sz="6" w:space="0" w:color="BFC3C8"/>
              <w:left w:val="single" w:sz="6" w:space="0" w:color="BFC3C8"/>
              <w:bottom w:val="single" w:sz="6" w:space="0" w:color="BFC3C8"/>
              <w:right w:val="single" w:sz="6" w:space="0" w:color="BFC3C8"/>
            </w:tcBorders>
            <w:vAlign w:val="bottom"/>
          </w:tcPr>
          <w:p w14:paraId="4099BEF5" w14:textId="77777777" w:rsidR="006A5F66" w:rsidRDefault="00000000">
            <w:pPr>
              <w:spacing w:after="0" w:line="259" w:lineRule="auto"/>
              <w:ind w:left="2" w:firstLine="0"/>
              <w:jc w:val="left"/>
            </w:pPr>
            <w:r>
              <w:rPr>
                <w:b/>
              </w:rPr>
              <w:t>21.43</w:t>
            </w:r>
            <w:r>
              <w:t xml:space="preserve"> </w:t>
            </w:r>
          </w:p>
        </w:tc>
        <w:tc>
          <w:tcPr>
            <w:tcW w:w="1798" w:type="dxa"/>
            <w:tcBorders>
              <w:top w:val="single" w:sz="6" w:space="0" w:color="BFC3C8"/>
              <w:left w:val="single" w:sz="6" w:space="0" w:color="BFC3C8"/>
              <w:bottom w:val="single" w:sz="6" w:space="0" w:color="BFC3C8"/>
              <w:right w:val="single" w:sz="6" w:space="0" w:color="BFC3C8"/>
            </w:tcBorders>
            <w:vAlign w:val="bottom"/>
          </w:tcPr>
          <w:p w14:paraId="653F9797" w14:textId="77777777" w:rsidR="006A5F66" w:rsidRDefault="00000000">
            <w:pPr>
              <w:spacing w:after="0" w:line="259" w:lineRule="auto"/>
              <w:ind w:left="1" w:firstLine="0"/>
              <w:jc w:val="left"/>
            </w:pPr>
            <w:r>
              <w:rPr>
                <w:b/>
              </w:rPr>
              <w:t>22.00</w:t>
            </w:r>
            <w:r>
              <w:t xml:space="preserve"> </w:t>
            </w:r>
          </w:p>
        </w:tc>
        <w:tc>
          <w:tcPr>
            <w:tcW w:w="1796" w:type="dxa"/>
            <w:tcBorders>
              <w:top w:val="single" w:sz="6" w:space="0" w:color="BFC3C8"/>
              <w:left w:val="single" w:sz="6" w:space="0" w:color="BFC3C8"/>
              <w:bottom w:val="single" w:sz="6" w:space="0" w:color="BFC3C8"/>
              <w:right w:val="single" w:sz="6" w:space="0" w:color="BFC3C8"/>
            </w:tcBorders>
            <w:vAlign w:val="bottom"/>
          </w:tcPr>
          <w:p w14:paraId="53A76CD9" w14:textId="77777777" w:rsidR="006A5F66" w:rsidRDefault="00000000">
            <w:pPr>
              <w:spacing w:after="0" w:line="259" w:lineRule="auto"/>
              <w:ind w:left="0" w:firstLine="0"/>
              <w:jc w:val="left"/>
            </w:pPr>
            <w:r>
              <w:rPr>
                <w:b/>
              </w:rPr>
              <w:t>24.18</w:t>
            </w:r>
            <w:r>
              <w:t xml:space="preserve"> </w:t>
            </w:r>
          </w:p>
        </w:tc>
      </w:tr>
    </w:tbl>
    <w:p w14:paraId="13470FD9" w14:textId="77777777" w:rsidR="006A5F66" w:rsidRDefault="00000000">
      <w:pPr>
        <w:spacing w:after="245"/>
        <w:ind w:left="17"/>
        <w:jc w:val="left"/>
      </w:pPr>
      <w:r>
        <w:rPr>
          <w:b/>
        </w:rPr>
        <w:t>Formula</w:t>
      </w:r>
      <w:r>
        <w:t xml:space="preserve"> </w:t>
      </w:r>
    </w:p>
    <w:p w14:paraId="2837C6BC" w14:textId="77777777" w:rsidR="006A5F66" w:rsidRDefault="00000000">
      <w:pPr>
        <w:spacing w:after="252"/>
        <w:ind w:left="17" w:right="40"/>
      </w:pPr>
      <w:r>
        <w:t xml:space="preserve">P/E Ratio = Market Price per Share ÷ EPS </w:t>
      </w:r>
    </w:p>
    <w:p w14:paraId="7ECFD809" w14:textId="77777777" w:rsidR="006A5F66" w:rsidRDefault="00000000">
      <w:pPr>
        <w:pStyle w:val="Heading4"/>
        <w:ind w:left="17"/>
      </w:pPr>
      <w:r>
        <w:t xml:space="preserve">Interpretation </w:t>
      </w:r>
    </w:p>
    <w:p w14:paraId="069FC4E3" w14:textId="77777777" w:rsidR="006A5F66" w:rsidRDefault="00000000">
      <w:pPr>
        <w:spacing w:after="36"/>
        <w:ind w:left="17" w:right="40"/>
      </w:pPr>
      <w:r>
        <w:t>The price-to-earnings (P/E) ratio reflects investor expectations regarding IHG's future growth potential and financial risk (Brealey, Myers and Allen, 2023). Market valuation is supported by recurring franchise income, brand strength, and hotel pipeline growth but may be constrained by geopolitical uncertainty, rising interest rates, and weaker travel demand (InterContinental Hotels Group PLC, 2025).</w:t>
      </w:r>
    </w:p>
    <w:p w14:paraId="3A50F66E" w14:textId="77777777" w:rsidR="006A5F66" w:rsidRDefault="00000000">
      <w:pPr>
        <w:spacing w:after="965" w:line="259" w:lineRule="auto"/>
        <w:ind w:left="0" w:firstLine="0"/>
        <w:jc w:val="right"/>
      </w:pPr>
      <w:r>
        <w:rPr>
          <w:noProof/>
          <w:sz w:val="22"/>
        </w:rPr>
        <w:lastRenderedPageBreak/>
        <mc:AlternateContent>
          <mc:Choice Requires="wpg">
            <w:drawing>
              <wp:inline distT="0" distB="0" distL="0" distR="0" wp14:anchorId="573B1F02" wp14:editId="1221861E">
                <wp:extent cx="6847840" cy="9525"/>
                <wp:effectExtent l="0" t="0" r="0" b="0"/>
                <wp:docPr id="42368" name="Group 42368"/>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3130" name="Shape 3130"/>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2368" style="width:539.2pt;height:0.75pt;mso-position-horizontal-relative:char;mso-position-vertical-relative:line" coordsize="68478,95">
                <v:shape id="Shape 3130"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4F0ABC1E" w14:textId="77777777" w:rsidR="006A5F66" w:rsidRDefault="00000000">
      <w:pPr>
        <w:pStyle w:val="Heading3"/>
        <w:ind w:left="9"/>
      </w:pPr>
      <w:r>
        <w:t xml:space="preserve">1.2.6 Cash Flow Analysis </w:t>
      </w:r>
    </w:p>
    <w:p w14:paraId="69DFA2C9" w14:textId="77777777" w:rsidR="006A5F66" w:rsidRDefault="00000000">
      <w:pPr>
        <w:ind w:left="17" w:right="40"/>
      </w:pPr>
      <w:r>
        <w:t xml:space="preserve">Cash flow analysis evaluates IHG's ability to generate sufficient cash to finance operations, meet financial obligations, and deliver shareholder returns (Brigham and Ehrhardt, 2022). Improved operating and free cash flows supported dividends, share buybacks, debt servicing, and strategic investment, demonstrating strong financial resilience and effective capital management (InterContinental Hotels Group PLC, 2025). </w:t>
      </w:r>
    </w:p>
    <w:tbl>
      <w:tblPr>
        <w:tblStyle w:val="TableGrid"/>
        <w:tblW w:w="10786" w:type="dxa"/>
        <w:tblInd w:w="31" w:type="dxa"/>
        <w:tblCellMar>
          <w:top w:w="235" w:type="dxa"/>
          <w:left w:w="127" w:type="dxa"/>
          <w:bottom w:w="171" w:type="dxa"/>
          <w:right w:w="115" w:type="dxa"/>
        </w:tblCellMar>
        <w:tblLook w:val="04A0" w:firstRow="1" w:lastRow="0" w:firstColumn="1" w:lastColumn="0" w:noHBand="0" w:noVBand="1"/>
      </w:tblPr>
      <w:tblGrid>
        <w:gridCol w:w="1798"/>
        <w:gridCol w:w="1798"/>
        <w:gridCol w:w="1796"/>
        <w:gridCol w:w="1800"/>
        <w:gridCol w:w="1798"/>
        <w:gridCol w:w="1796"/>
      </w:tblGrid>
      <w:tr w:rsidR="006A5F66" w14:paraId="76847F7B" w14:textId="77777777">
        <w:trPr>
          <w:trHeight w:val="1121"/>
        </w:trPr>
        <w:tc>
          <w:tcPr>
            <w:tcW w:w="1798" w:type="dxa"/>
            <w:tcBorders>
              <w:top w:val="single" w:sz="6" w:space="0" w:color="BFC3C8"/>
              <w:left w:val="single" w:sz="6" w:space="0" w:color="BFC3C8"/>
              <w:bottom w:val="single" w:sz="6" w:space="0" w:color="BFC3C8"/>
              <w:right w:val="single" w:sz="6" w:space="0" w:color="BFC3C8"/>
            </w:tcBorders>
            <w:vAlign w:val="bottom"/>
          </w:tcPr>
          <w:p w14:paraId="4374FBB2" w14:textId="77777777" w:rsidR="006A5F66" w:rsidRDefault="00000000">
            <w:pPr>
              <w:spacing w:after="12" w:line="259" w:lineRule="auto"/>
              <w:ind w:left="0" w:firstLine="0"/>
              <w:jc w:val="left"/>
            </w:pPr>
            <w:r>
              <w:rPr>
                <w:b/>
              </w:rPr>
              <w:t xml:space="preserve">Operating </w:t>
            </w:r>
            <w:r>
              <w:t xml:space="preserve"> </w:t>
            </w:r>
          </w:p>
          <w:p w14:paraId="79E8AD1C" w14:textId="77777777" w:rsidR="006A5F66" w:rsidRDefault="00000000">
            <w:pPr>
              <w:spacing w:after="0" w:line="259" w:lineRule="auto"/>
              <w:ind w:left="0" w:firstLine="0"/>
              <w:jc w:val="left"/>
            </w:pPr>
            <w:r>
              <w:rPr>
                <w:b/>
              </w:rPr>
              <w:t>Cash Flow</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6E45F604"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CFBF88F"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397B383A"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728DE57"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05E67E36" w14:textId="77777777" w:rsidR="006A5F66" w:rsidRDefault="00000000">
            <w:pPr>
              <w:spacing w:after="0" w:line="259" w:lineRule="auto"/>
              <w:ind w:left="0" w:firstLine="0"/>
              <w:jc w:val="left"/>
            </w:pPr>
            <w:r>
              <w:rPr>
                <w:b/>
              </w:rPr>
              <w:t>2024</w:t>
            </w:r>
            <w:r>
              <w:t xml:space="preserve"> </w:t>
            </w:r>
          </w:p>
        </w:tc>
      </w:tr>
      <w:tr w:rsidR="006A5F66" w14:paraId="288AF051" w14:textId="77777777">
        <w:trPr>
          <w:trHeight w:val="1457"/>
        </w:trPr>
        <w:tc>
          <w:tcPr>
            <w:tcW w:w="1798" w:type="dxa"/>
            <w:tcBorders>
              <w:top w:val="single" w:sz="6" w:space="0" w:color="BFC3C8"/>
              <w:left w:val="single" w:sz="6" w:space="0" w:color="BFC3C8"/>
              <w:bottom w:val="single" w:sz="6" w:space="0" w:color="BFC3C8"/>
              <w:right w:val="single" w:sz="6" w:space="0" w:color="BFC3C8"/>
            </w:tcBorders>
            <w:vAlign w:val="bottom"/>
          </w:tcPr>
          <w:p w14:paraId="541B95C8" w14:textId="77777777" w:rsidR="006A5F66" w:rsidRDefault="00000000">
            <w:pPr>
              <w:spacing w:after="15" w:line="259" w:lineRule="auto"/>
              <w:ind w:left="0" w:firstLine="0"/>
              <w:jc w:val="left"/>
            </w:pPr>
            <w:r>
              <w:t xml:space="preserve">Operating  </w:t>
            </w:r>
          </w:p>
          <w:p w14:paraId="414DFC7D" w14:textId="77777777" w:rsidR="006A5F66" w:rsidRDefault="00000000">
            <w:pPr>
              <w:spacing w:after="10" w:line="259" w:lineRule="auto"/>
              <w:ind w:left="0" w:firstLine="0"/>
              <w:jc w:val="left"/>
            </w:pPr>
            <w:r>
              <w:t xml:space="preserve">Cash Flow  </w:t>
            </w:r>
          </w:p>
          <w:p w14:paraId="67DC114A"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0902179" w14:textId="77777777" w:rsidR="006A5F66" w:rsidRDefault="00000000">
            <w:pPr>
              <w:spacing w:after="0" w:line="259" w:lineRule="auto"/>
              <w:ind w:left="0" w:firstLine="0"/>
              <w:jc w:val="left"/>
            </w:pPr>
            <w:r>
              <w:t xml:space="preserve">323 </w:t>
            </w:r>
          </w:p>
        </w:tc>
        <w:tc>
          <w:tcPr>
            <w:tcW w:w="1796" w:type="dxa"/>
            <w:tcBorders>
              <w:top w:val="single" w:sz="6" w:space="0" w:color="BFC3C8"/>
              <w:left w:val="single" w:sz="6" w:space="0" w:color="BFC3C8"/>
              <w:bottom w:val="single" w:sz="6" w:space="0" w:color="BFC3C8"/>
              <w:right w:val="single" w:sz="6" w:space="0" w:color="BFC3C8"/>
            </w:tcBorders>
          </w:tcPr>
          <w:p w14:paraId="3460CD6A" w14:textId="77777777" w:rsidR="006A5F66" w:rsidRDefault="00000000">
            <w:pPr>
              <w:spacing w:after="0" w:line="259" w:lineRule="auto"/>
              <w:ind w:left="0" w:firstLine="0"/>
              <w:jc w:val="left"/>
            </w:pPr>
            <w:r>
              <w:t xml:space="preserve">746 </w:t>
            </w:r>
          </w:p>
        </w:tc>
        <w:tc>
          <w:tcPr>
            <w:tcW w:w="1800" w:type="dxa"/>
            <w:tcBorders>
              <w:top w:val="single" w:sz="6" w:space="0" w:color="BFC3C8"/>
              <w:left w:val="single" w:sz="6" w:space="0" w:color="BFC3C8"/>
              <w:bottom w:val="single" w:sz="6" w:space="0" w:color="BFC3C8"/>
              <w:right w:val="single" w:sz="6" w:space="0" w:color="BFC3C8"/>
            </w:tcBorders>
          </w:tcPr>
          <w:p w14:paraId="00B526AB" w14:textId="77777777" w:rsidR="006A5F66" w:rsidRDefault="00000000">
            <w:pPr>
              <w:spacing w:after="0" w:line="259" w:lineRule="auto"/>
              <w:ind w:left="2" w:firstLine="0"/>
              <w:jc w:val="left"/>
            </w:pPr>
            <w:r>
              <w:t xml:space="preserve">941 </w:t>
            </w:r>
          </w:p>
        </w:tc>
        <w:tc>
          <w:tcPr>
            <w:tcW w:w="1798" w:type="dxa"/>
            <w:tcBorders>
              <w:top w:val="single" w:sz="6" w:space="0" w:color="BFC3C8"/>
              <w:left w:val="single" w:sz="6" w:space="0" w:color="BFC3C8"/>
              <w:bottom w:val="single" w:sz="6" w:space="0" w:color="BFC3C8"/>
              <w:right w:val="single" w:sz="6" w:space="0" w:color="BFC3C8"/>
            </w:tcBorders>
          </w:tcPr>
          <w:p w14:paraId="40990DDB" w14:textId="77777777" w:rsidR="006A5F66" w:rsidRDefault="00000000">
            <w:pPr>
              <w:spacing w:after="0" w:line="259" w:lineRule="auto"/>
              <w:ind w:left="1" w:firstLine="0"/>
              <w:jc w:val="left"/>
            </w:pPr>
            <w:r>
              <w:t xml:space="preserve">1,121 </w:t>
            </w:r>
          </w:p>
        </w:tc>
        <w:tc>
          <w:tcPr>
            <w:tcW w:w="1796" w:type="dxa"/>
            <w:tcBorders>
              <w:top w:val="single" w:sz="6" w:space="0" w:color="BFC3C8"/>
              <w:left w:val="single" w:sz="6" w:space="0" w:color="BFC3C8"/>
              <w:bottom w:val="single" w:sz="6" w:space="0" w:color="BFC3C8"/>
              <w:right w:val="single" w:sz="6" w:space="0" w:color="BFC3C8"/>
            </w:tcBorders>
          </w:tcPr>
          <w:p w14:paraId="4AB54E55" w14:textId="77777777" w:rsidR="006A5F66" w:rsidRDefault="00000000">
            <w:pPr>
              <w:spacing w:after="0" w:line="259" w:lineRule="auto"/>
              <w:ind w:left="0" w:firstLine="0"/>
              <w:jc w:val="left"/>
            </w:pPr>
            <w:r>
              <w:t xml:space="preserve">1,198 </w:t>
            </w:r>
          </w:p>
        </w:tc>
      </w:tr>
    </w:tbl>
    <w:p w14:paraId="75321A4E" w14:textId="77777777" w:rsidR="006A5F66" w:rsidRDefault="00000000">
      <w:pPr>
        <w:pStyle w:val="Heading4"/>
        <w:ind w:left="17"/>
      </w:pPr>
      <w:r>
        <w:t xml:space="preserve">Interpretation </w:t>
      </w:r>
    </w:p>
    <w:p w14:paraId="1E281C19" w14:textId="77777777" w:rsidR="006A5F66" w:rsidRDefault="00000000">
      <w:pPr>
        <w:ind w:left="17" w:right="40"/>
      </w:pPr>
      <w:r>
        <w:t xml:space="preserve">IHG's operating cash flow strengthened significantly between 2020 and 2024, driven by recovering hotel demand, increasing franchise and management fee income, and effective working capital management (InterContinental Hotels Group PLC, 2025). Strong operating cash flow enhances financial flexibility, supporting shareholder distributions and improving resilience during periods of economic uncertainty (Brigham and Ehrhardt, 2022). </w:t>
      </w:r>
    </w:p>
    <w:tbl>
      <w:tblPr>
        <w:tblStyle w:val="TableGrid"/>
        <w:tblW w:w="10786" w:type="dxa"/>
        <w:tblInd w:w="31" w:type="dxa"/>
        <w:tblCellMar>
          <w:top w:w="221" w:type="dxa"/>
          <w:left w:w="127" w:type="dxa"/>
          <w:bottom w:w="167" w:type="dxa"/>
          <w:right w:w="115" w:type="dxa"/>
        </w:tblCellMar>
        <w:tblLook w:val="04A0" w:firstRow="1" w:lastRow="0" w:firstColumn="1" w:lastColumn="0" w:noHBand="0" w:noVBand="1"/>
      </w:tblPr>
      <w:tblGrid>
        <w:gridCol w:w="1798"/>
        <w:gridCol w:w="1798"/>
        <w:gridCol w:w="1796"/>
        <w:gridCol w:w="1800"/>
        <w:gridCol w:w="1798"/>
        <w:gridCol w:w="1796"/>
      </w:tblGrid>
      <w:tr w:rsidR="006A5F66" w14:paraId="16416787"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03CAA501" w14:textId="77777777" w:rsidR="006A5F66" w:rsidRDefault="00000000">
            <w:pPr>
              <w:spacing w:after="10" w:line="259" w:lineRule="auto"/>
              <w:ind w:left="0" w:firstLine="0"/>
              <w:jc w:val="left"/>
            </w:pPr>
            <w:r>
              <w:rPr>
                <w:b/>
              </w:rPr>
              <w:t xml:space="preserve">Free Cash </w:t>
            </w:r>
            <w:r>
              <w:t xml:space="preserve"> </w:t>
            </w:r>
          </w:p>
          <w:p w14:paraId="1028DA81" w14:textId="77777777" w:rsidR="006A5F66" w:rsidRDefault="00000000">
            <w:pPr>
              <w:spacing w:after="0" w:line="259" w:lineRule="auto"/>
              <w:ind w:left="0" w:firstLine="0"/>
              <w:jc w:val="left"/>
            </w:pPr>
            <w:r>
              <w:rPr>
                <w:b/>
              </w:rPr>
              <w:t>Flow</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0A5330C0" w14:textId="77777777" w:rsidR="006A5F66" w:rsidRDefault="00000000">
            <w:pPr>
              <w:spacing w:after="0" w:line="259" w:lineRule="auto"/>
              <w:ind w:left="0" w:firstLine="0"/>
              <w:jc w:val="left"/>
            </w:pPr>
            <w:r>
              <w:rPr>
                <w:b/>
              </w:rPr>
              <w:t>2020</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3481FDD5" w14:textId="77777777" w:rsidR="006A5F66" w:rsidRDefault="00000000">
            <w:pPr>
              <w:spacing w:after="0" w:line="259" w:lineRule="auto"/>
              <w:ind w:left="0" w:firstLine="0"/>
              <w:jc w:val="left"/>
            </w:pPr>
            <w:r>
              <w:rPr>
                <w:b/>
              </w:rPr>
              <w:t>2021</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79F3A42D" w14:textId="77777777" w:rsidR="006A5F66" w:rsidRDefault="00000000">
            <w:pPr>
              <w:spacing w:after="0" w:line="259" w:lineRule="auto"/>
              <w:ind w:left="2" w:firstLine="0"/>
              <w:jc w:val="left"/>
            </w:pPr>
            <w:r>
              <w:rPr>
                <w:b/>
              </w:rPr>
              <w:t>2022</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12EE3D59" w14:textId="77777777" w:rsidR="006A5F66" w:rsidRDefault="00000000">
            <w:pPr>
              <w:spacing w:after="0" w:line="259" w:lineRule="auto"/>
              <w:ind w:left="1" w:firstLine="0"/>
              <w:jc w:val="left"/>
            </w:pPr>
            <w:r>
              <w:rPr>
                <w:b/>
              </w:rPr>
              <w:t>2023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58B4417E" w14:textId="77777777" w:rsidR="006A5F66" w:rsidRDefault="00000000">
            <w:pPr>
              <w:spacing w:after="0" w:line="259" w:lineRule="auto"/>
              <w:ind w:left="0" w:firstLine="0"/>
              <w:jc w:val="left"/>
            </w:pPr>
            <w:r>
              <w:rPr>
                <w:b/>
              </w:rPr>
              <w:t>2024</w:t>
            </w:r>
            <w:r>
              <w:t xml:space="preserve"> </w:t>
            </w:r>
          </w:p>
        </w:tc>
      </w:tr>
      <w:tr w:rsidR="006A5F66" w14:paraId="3A6506DA" w14:textId="77777777">
        <w:trPr>
          <w:trHeight w:val="1443"/>
        </w:trPr>
        <w:tc>
          <w:tcPr>
            <w:tcW w:w="1798" w:type="dxa"/>
            <w:tcBorders>
              <w:top w:val="single" w:sz="6" w:space="0" w:color="BFC3C8"/>
              <w:left w:val="single" w:sz="6" w:space="0" w:color="BFC3C8"/>
              <w:bottom w:val="single" w:sz="6" w:space="0" w:color="BFC3C8"/>
              <w:right w:val="single" w:sz="6" w:space="0" w:color="BFC3C8"/>
            </w:tcBorders>
            <w:vAlign w:val="bottom"/>
          </w:tcPr>
          <w:p w14:paraId="662D56F8" w14:textId="77777777" w:rsidR="006A5F66" w:rsidRDefault="00000000">
            <w:pPr>
              <w:spacing w:after="29" w:line="259" w:lineRule="auto"/>
              <w:ind w:left="0" w:firstLine="0"/>
              <w:jc w:val="left"/>
            </w:pPr>
            <w:r>
              <w:t xml:space="preserve">Operating  </w:t>
            </w:r>
          </w:p>
          <w:p w14:paraId="746E5962" w14:textId="77777777" w:rsidR="006A5F66" w:rsidRDefault="00000000">
            <w:pPr>
              <w:spacing w:after="12" w:line="259" w:lineRule="auto"/>
              <w:ind w:left="0" w:firstLine="0"/>
              <w:jc w:val="left"/>
            </w:pPr>
            <w:r>
              <w:t xml:space="preserve">Cash Flow  </w:t>
            </w:r>
          </w:p>
          <w:p w14:paraId="4867F704"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77C3C61" w14:textId="77777777" w:rsidR="006A5F66" w:rsidRDefault="00000000">
            <w:pPr>
              <w:spacing w:after="0" w:line="259" w:lineRule="auto"/>
              <w:ind w:left="0" w:firstLine="0"/>
              <w:jc w:val="left"/>
            </w:pPr>
            <w:r>
              <w:t xml:space="preserve">323 </w:t>
            </w:r>
          </w:p>
        </w:tc>
        <w:tc>
          <w:tcPr>
            <w:tcW w:w="1796" w:type="dxa"/>
            <w:tcBorders>
              <w:top w:val="single" w:sz="6" w:space="0" w:color="BFC3C8"/>
              <w:left w:val="single" w:sz="6" w:space="0" w:color="BFC3C8"/>
              <w:bottom w:val="single" w:sz="6" w:space="0" w:color="BFC3C8"/>
              <w:right w:val="single" w:sz="6" w:space="0" w:color="BFC3C8"/>
            </w:tcBorders>
          </w:tcPr>
          <w:p w14:paraId="54252C9B" w14:textId="77777777" w:rsidR="006A5F66" w:rsidRDefault="00000000">
            <w:pPr>
              <w:spacing w:after="0" w:line="259" w:lineRule="auto"/>
              <w:ind w:left="0" w:firstLine="0"/>
              <w:jc w:val="left"/>
            </w:pPr>
            <w:r>
              <w:t xml:space="preserve">746 </w:t>
            </w:r>
          </w:p>
        </w:tc>
        <w:tc>
          <w:tcPr>
            <w:tcW w:w="1800" w:type="dxa"/>
            <w:tcBorders>
              <w:top w:val="single" w:sz="6" w:space="0" w:color="BFC3C8"/>
              <w:left w:val="single" w:sz="6" w:space="0" w:color="BFC3C8"/>
              <w:bottom w:val="single" w:sz="6" w:space="0" w:color="BFC3C8"/>
              <w:right w:val="single" w:sz="6" w:space="0" w:color="BFC3C8"/>
            </w:tcBorders>
          </w:tcPr>
          <w:p w14:paraId="312D0835" w14:textId="77777777" w:rsidR="006A5F66" w:rsidRDefault="00000000">
            <w:pPr>
              <w:spacing w:after="0" w:line="259" w:lineRule="auto"/>
              <w:ind w:left="2" w:firstLine="0"/>
              <w:jc w:val="left"/>
            </w:pPr>
            <w:r>
              <w:t xml:space="preserve">941 </w:t>
            </w:r>
          </w:p>
        </w:tc>
        <w:tc>
          <w:tcPr>
            <w:tcW w:w="1798" w:type="dxa"/>
            <w:tcBorders>
              <w:top w:val="single" w:sz="6" w:space="0" w:color="BFC3C8"/>
              <w:left w:val="single" w:sz="6" w:space="0" w:color="BFC3C8"/>
              <w:bottom w:val="single" w:sz="6" w:space="0" w:color="BFC3C8"/>
              <w:right w:val="single" w:sz="6" w:space="0" w:color="BFC3C8"/>
            </w:tcBorders>
          </w:tcPr>
          <w:p w14:paraId="27A0A130" w14:textId="77777777" w:rsidR="006A5F66" w:rsidRDefault="00000000">
            <w:pPr>
              <w:spacing w:after="0" w:line="259" w:lineRule="auto"/>
              <w:ind w:left="1" w:firstLine="0"/>
              <w:jc w:val="left"/>
            </w:pPr>
            <w:r>
              <w:t xml:space="preserve">1,121 </w:t>
            </w:r>
          </w:p>
        </w:tc>
        <w:tc>
          <w:tcPr>
            <w:tcW w:w="1796" w:type="dxa"/>
            <w:tcBorders>
              <w:top w:val="single" w:sz="6" w:space="0" w:color="BFC3C8"/>
              <w:left w:val="single" w:sz="6" w:space="0" w:color="BFC3C8"/>
              <w:bottom w:val="single" w:sz="6" w:space="0" w:color="BFC3C8"/>
              <w:right w:val="single" w:sz="6" w:space="0" w:color="BFC3C8"/>
            </w:tcBorders>
          </w:tcPr>
          <w:p w14:paraId="5854704C" w14:textId="77777777" w:rsidR="006A5F66" w:rsidRDefault="00000000">
            <w:pPr>
              <w:spacing w:after="0" w:line="259" w:lineRule="auto"/>
              <w:ind w:left="0" w:firstLine="0"/>
              <w:jc w:val="left"/>
            </w:pPr>
            <w:r>
              <w:t xml:space="preserve">1,198 </w:t>
            </w:r>
          </w:p>
        </w:tc>
      </w:tr>
      <w:tr w:rsidR="006A5F66" w14:paraId="0315CB4B" w14:textId="77777777">
        <w:trPr>
          <w:trHeight w:val="1445"/>
        </w:trPr>
        <w:tc>
          <w:tcPr>
            <w:tcW w:w="1798" w:type="dxa"/>
            <w:tcBorders>
              <w:top w:val="single" w:sz="6" w:space="0" w:color="BFC3C8"/>
              <w:left w:val="single" w:sz="6" w:space="0" w:color="BFC3C8"/>
              <w:bottom w:val="single" w:sz="6" w:space="0" w:color="BFC3C8"/>
              <w:right w:val="single" w:sz="6" w:space="0" w:color="BFC3C8"/>
            </w:tcBorders>
            <w:vAlign w:val="bottom"/>
          </w:tcPr>
          <w:p w14:paraId="50C49A9B" w14:textId="77777777" w:rsidR="006A5F66" w:rsidRDefault="00000000">
            <w:pPr>
              <w:spacing w:after="15" w:line="259" w:lineRule="auto"/>
              <w:ind w:left="0" w:firstLine="0"/>
              <w:jc w:val="left"/>
            </w:pPr>
            <w:r>
              <w:t xml:space="preserve">Capital  </w:t>
            </w:r>
          </w:p>
          <w:p w14:paraId="216C1C1B" w14:textId="77777777" w:rsidR="006A5F66" w:rsidRDefault="00000000">
            <w:pPr>
              <w:spacing w:after="12" w:line="259" w:lineRule="auto"/>
              <w:ind w:left="0" w:firstLine="0"/>
              <w:jc w:val="left"/>
            </w:pPr>
            <w:r>
              <w:t xml:space="preserve">Expenditure  </w:t>
            </w:r>
          </w:p>
          <w:p w14:paraId="4B7EEB95" w14:textId="77777777" w:rsidR="006A5F66" w:rsidRDefault="00000000">
            <w:pPr>
              <w:spacing w:after="0" w:line="259" w:lineRule="auto"/>
              <w:ind w:left="0" w:firstLine="0"/>
              <w:jc w:val="left"/>
            </w:pPr>
            <w:r>
              <w:t>(</w:t>
            </w:r>
            <w:proofErr w:type="spellStart"/>
            <w:r>
              <w:t>US$m</w:t>
            </w:r>
            <w:proofErr w:type="spellEnd"/>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5F20A0AC" w14:textId="77777777" w:rsidR="006A5F66" w:rsidRDefault="00000000">
            <w:pPr>
              <w:spacing w:after="0" w:line="259" w:lineRule="auto"/>
              <w:ind w:left="0" w:firstLine="0"/>
              <w:jc w:val="left"/>
            </w:pPr>
            <w:r>
              <w:t xml:space="preserve">61 </w:t>
            </w:r>
          </w:p>
        </w:tc>
        <w:tc>
          <w:tcPr>
            <w:tcW w:w="1796" w:type="dxa"/>
            <w:tcBorders>
              <w:top w:val="single" w:sz="6" w:space="0" w:color="BFC3C8"/>
              <w:left w:val="single" w:sz="6" w:space="0" w:color="BFC3C8"/>
              <w:bottom w:val="single" w:sz="6" w:space="0" w:color="BFC3C8"/>
              <w:right w:val="single" w:sz="6" w:space="0" w:color="BFC3C8"/>
            </w:tcBorders>
          </w:tcPr>
          <w:p w14:paraId="01C0D5C2" w14:textId="77777777" w:rsidR="006A5F66" w:rsidRDefault="00000000">
            <w:pPr>
              <w:spacing w:after="0" w:line="259" w:lineRule="auto"/>
              <w:ind w:left="0" w:firstLine="0"/>
              <w:jc w:val="left"/>
            </w:pPr>
            <w:r>
              <w:t xml:space="preserve">71 </w:t>
            </w:r>
          </w:p>
        </w:tc>
        <w:tc>
          <w:tcPr>
            <w:tcW w:w="1800" w:type="dxa"/>
            <w:tcBorders>
              <w:top w:val="single" w:sz="6" w:space="0" w:color="BFC3C8"/>
              <w:left w:val="single" w:sz="6" w:space="0" w:color="BFC3C8"/>
              <w:bottom w:val="single" w:sz="6" w:space="0" w:color="BFC3C8"/>
              <w:right w:val="single" w:sz="6" w:space="0" w:color="BFC3C8"/>
            </w:tcBorders>
          </w:tcPr>
          <w:p w14:paraId="5DD51CD6" w14:textId="77777777" w:rsidR="006A5F66" w:rsidRDefault="00000000">
            <w:pPr>
              <w:spacing w:after="0" w:line="259" w:lineRule="auto"/>
              <w:ind w:left="2" w:firstLine="0"/>
              <w:jc w:val="left"/>
            </w:pPr>
            <w:r>
              <w:t xml:space="preserve">85 </w:t>
            </w:r>
          </w:p>
        </w:tc>
        <w:tc>
          <w:tcPr>
            <w:tcW w:w="1798" w:type="dxa"/>
            <w:tcBorders>
              <w:top w:val="single" w:sz="6" w:space="0" w:color="BFC3C8"/>
              <w:left w:val="single" w:sz="6" w:space="0" w:color="BFC3C8"/>
              <w:bottom w:val="single" w:sz="6" w:space="0" w:color="BFC3C8"/>
              <w:right w:val="single" w:sz="6" w:space="0" w:color="BFC3C8"/>
            </w:tcBorders>
          </w:tcPr>
          <w:p w14:paraId="53C021C6" w14:textId="77777777" w:rsidR="006A5F66" w:rsidRDefault="00000000">
            <w:pPr>
              <w:spacing w:after="0" w:line="259" w:lineRule="auto"/>
              <w:ind w:left="1" w:firstLine="0"/>
              <w:jc w:val="left"/>
            </w:pPr>
            <w:r>
              <w:t xml:space="preserve">98 </w:t>
            </w:r>
          </w:p>
        </w:tc>
        <w:tc>
          <w:tcPr>
            <w:tcW w:w="1796" w:type="dxa"/>
            <w:tcBorders>
              <w:top w:val="single" w:sz="6" w:space="0" w:color="BFC3C8"/>
              <w:left w:val="single" w:sz="6" w:space="0" w:color="BFC3C8"/>
              <w:bottom w:val="single" w:sz="6" w:space="0" w:color="BFC3C8"/>
              <w:right w:val="single" w:sz="6" w:space="0" w:color="BFC3C8"/>
            </w:tcBorders>
          </w:tcPr>
          <w:p w14:paraId="0CDC8638" w14:textId="77777777" w:rsidR="006A5F66" w:rsidRDefault="00000000">
            <w:pPr>
              <w:spacing w:after="0" w:line="259" w:lineRule="auto"/>
              <w:ind w:left="0" w:firstLine="0"/>
              <w:jc w:val="left"/>
            </w:pPr>
            <w:r>
              <w:t xml:space="preserve">106 </w:t>
            </w:r>
          </w:p>
        </w:tc>
      </w:tr>
      <w:tr w:rsidR="006A5F66" w14:paraId="05CE3B4B" w14:textId="77777777">
        <w:trPr>
          <w:trHeight w:val="1109"/>
        </w:trPr>
        <w:tc>
          <w:tcPr>
            <w:tcW w:w="1798" w:type="dxa"/>
            <w:tcBorders>
              <w:top w:val="single" w:sz="6" w:space="0" w:color="BFC3C8"/>
              <w:left w:val="single" w:sz="6" w:space="0" w:color="BFC3C8"/>
              <w:bottom w:val="single" w:sz="6" w:space="0" w:color="BFC3C8"/>
              <w:right w:val="single" w:sz="6" w:space="0" w:color="BFC3C8"/>
            </w:tcBorders>
            <w:vAlign w:val="bottom"/>
          </w:tcPr>
          <w:p w14:paraId="7624B184" w14:textId="77777777" w:rsidR="006A5F66" w:rsidRDefault="00000000">
            <w:pPr>
              <w:spacing w:after="10" w:line="259" w:lineRule="auto"/>
              <w:ind w:left="0" w:firstLine="0"/>
              <w:jc w:val="left"/>
            </w:pPr>
            <w:r>
              <w:rPr>
                <w:b/>
              </w:rPr>
              <w:lastRenderedPageBreak/>
              <w:t xml:space="preserve">Free Cash </w:t>
            </w:r>
            <w:r>
              <w:t xml:space="preserve"> </w:t>
            </w:r>
          </w:p>
          <w:p w14:paraId="78BB1AC6" w14:textId="77777777" w:rsidR="006A5F66" w:rsidRDefault="00000000">
            <w:pPr>
              <w:spacing w:after="0" w:line="259" w:lineRule="auto"/>
              <w:ind w:left="0" w:firstLine="0"/>
              <w:jc w:val="left"/>
            </w:pPr>
            <w:r>
              <w:rPr>
                <w:b/>
              </w:rPr>
              <w:t>Flow (</w:t>
            </w:r>
            <w:proofErr w:type="spellStart"/>
            <w:r>
              <w:rPr>
                <w:b/>
              </w:rPr>
              <w:t>US$m</w:t>
            </w:r>
            <w:proofErr w:type="spellEnd"/>
            <w:r>
              <w:rPr>
                <w:b/>
              </w:rPr>
              <w:t>)</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3CFF1E95" w14:textId="77777777" w:rsidR="006A5F66" w:rsidRDefault="00000000">
            <w:pPr>
              <w:spacing w:after="0" w:line="259" w:lineRule="auto"/>
              <w:ind w:left="0" w:firstLine="0"/>
              <w:jc w:val="left"/>
            </w:pPr>
            <w:r>
              <w:rPr>
                <w:b/>
              </w:rPr>
              <w:t>262</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22450F53" w14:textId="77777777" w:rsidR="006A5F66" w:rsidRDefault="00000000">
            <w:pPr>
              <w:spacing w:after="0" w:line="259" w:lineRule="auto"/>
              <w:ind w:left="0" w:firstLine="0"/>
              <w:jc w:val="left"/>
            </w:pPr>
            <w:r>
              <w:rPr>
                <w:b/>
              </w:rPr>
              <w:t>675</w:t>
            </w:r>
            <w:r>
              <w:t xml:space="preserve"> </w:t>
            </w:r>
          </w:p>
        </w:tc>
        <w:tc>
          <w:tcPr>
            <w:tcW w:w="1800" w:type="dxa"/>
            <w:tcBorders>
              <w:top w:val="single" w:sz="6" w:space="0" w:color="BFC3C8"/>
              <w:left w:val="single" w:sz="6" w:space="0" w:color="BFC3C8"/>
              <w:bottom w:val="single" w:sz="6" w:space="0" w:color="BFC3C8"/>
              <w:right w:val="single" w:sz="6" w:space="0" w:color="BFC3C8"/>
            </w:tcBorders>
          </w:tcPr>
          <w:p w14:paraId="4E69AAC9" w14:textId="77777777" w:rsidR="006A5F66" w:rsidRDefault="00000000">
            <w:pPr>
              <w:spacing w:after="0" w:line="259" w:lineRule="auto"/>
              <w:ind w:left="2" w:firstLine="0"/>
              <w:jc w:val="left"/>
            </w:pPr>
            <w:r>
              <w:rPr>
                <w:b/>
              </w:rPr>
              <w:t>856</w:t>
            </w:r>
            <w:r>
              <w:t xml:space="preserve"> </w:t>
            </w:r>
          </w:p>
        </w:tc>
        <w:tc>
          <w:tcPr>
            <w:tcW w:w="1798" w:type="dxa"/>
            <w:tcBorders>
              <w:top w:val="single" w:sz="6" w:space="0" w:color="BFC3C8"/>
              <w:left w:val="single" w:sz="6" w:space="0" w:color="BFC3C8"/>
              <w:bottom w:val="single" w:sz="6" w:space="0" w:color="BFC3C8"/>
              <w:right w:val="single" w:sz="6" w:space="0" w:color="BFC3C8"/>
            </w:tcBorders>
          </w:tcPr>
          <w:p w14:paraId="46C9AD5F" w14:textId="77777777" w:rsidR="006A5F66" w:rsidRDefault="00000000">
            <w:pPr>
              <w:spacing w:after="0" w:line="259" w:lineRule="auto"/>
              <w:ind w:left="1" w:firstLine="0"/>
              <w:jc w:val="left"/>
            </w:pPr>
            <w:r>
              <w:rPr>
                <w:b/>
              </w:rPr>
              <w:t>1,023</w:t>
            </w:r>
            <w:r>
              <w:t xml:space="preserve"> </w:t>
            </w:r>
          </w:p>
        </w:tc>
        <w:tc>
          <w:tcPr>
            <w:tcW w:w="1796" w:type="dxa"/>
            <w:tcBorders>
              <w:top w:val="single" w:sz="6" w:space="0" w:color="BFC3C8"/>
              <w:left w:val="single" w:sz="6" w:space="0" w:color="BFC3C8"/>
              <w:bottom w:val="single" w:sz="6" w:space="0" w:color="BFC3C8"/>
              <w:right w:val="single" w:sz="6" w:space="0" w:color="BFC3C8"/>
            </w:tcBorders>
          </w:tcPr>
          <w:p w14:paraId="420CF2DF" w14:textId="77777777" w:rsidR="006A5F66" w:rsidRDefault="00000000">
            <w:pPr>
              <w:spacing w:after="0" w:line="259" w:lineRule="auto"/>
              <w:ind w:left="0" w:firstLine="0"/>
              <w:jc w:val="left"/>
            </w:pPr>
            <w:r>
              <w:rPr>
                <w:b/>
              </w:rPr>
              <w:t>1,092</w:t>
            </w:r>
            <w:r>
              <w:t xml:space="preserve"> </w:t>
            </w:r>
          </w:p>
        </w:tc>
      </w:tr>
    </w:tbl>
    <w:p w14:paraId="53C55D66" w14:textId="77777777" w:rsidR="006A5F66" w:rsidRDefault="00000000">
      <w:pPr>
        <w:pStyle w:val="Heading4"/>
        <w:ind w:left="17"/>
      </w:pPr>
      <w:r>
        <w:t xml:space="preserve">Interpretation </w:t>
      </w:r>
    </w:p>
    <w:p w14:paraId="559CF1E3" w14:textId="77777777" w:rsidR="006A5F66" w:rsidRDefault="00000000">
      <w:pPr>
        <w:spacing w:after="233"/>
        <w:ind w:left="17" w:right="40"/>
      </w:pPr>
      <w:r>
        <w:t xml:space="preserve">Growth in free cash flow enhanced IHG's financial flexibility, supporting dividends, share repurchases, debt repayment, and strategic investment in brand development and hotel expansion (InterContinental Hotels Group PLC, 2025). Maintaining strong free cash flow enables sustainable shareholder returns while reducing refinancing risk during periods of macroeconomic uncertainty (Ross et al., 2022). </w:t>
      </w:r>
    </w:p>
    <w:p w14:paraId="00F87785" w14:textId="77777777" w:rsidR="006A5F66" w:rsidRDefault="00000000">
      <w:pPr>
        <w:pStyle w:val="Heading2"/>
        <w:ind w:left="9"/>
      </w:pPr>
      <w:r>
        <w:t xml:space="preserve">1.3 Overall Summary / Key Findings </w:t>
      </w:r>
    </w:p>
    <w:p w14:paraId="570DEBED" w14:textId="77777777" w:rsidR="006A5F66" w:rsidRDefault="00000000">
      <w:pPr>
        <w:pStyle w:val="Heading3"/>
        <w:spacing w:after="0"/>
        <w:ind w:left="17"/>
      </w:pPr>
      <w:r>
        <w:rPr>
          <w:sz w:val="24"/>
        </w:rPr>
        <w:t xml:space="preserve">Strengths </w:t>
      </w:r>
    </w:p>
    <w:p w14:paraId="4C20CF4B" w14:textId="77777777" w:rsidR="006A5F66" w:rsidRDefault="00000000">
      <w:pPr>
        <w:numPr>
          <w:ilvl w:val="0"/>
          <w:numId w:val="4"/>
        </w:numPr>
        <w:ind w:left="734" w:right="40" w:hanging="360"/>
      </w:pPr>
      <w:r>
        <w:t xml:space="preserve">IHG demonstrated a strong recovery in revenue and operating profitability between 2020 and 2024, driven by the normalisation of global travel demand, higher occupancy rates, and improvements in Revenue per Available Room (RevPAR) (InterContinental Hotels Group PLC, 2025).  </w:t>
      </w:r>
    </w:p>
    <w:p w14:paraId="21BD60A4" w14:textId="77777777" w:rsidR="006A5F66" w:rsidRDefault="00000000">
      <w:pPr>
        <w:numPr>
          <w:ilvl w:val="0"/>
          <w:numId w:val="4"/>
        </w:numPr>
        <w:ind w:left="734" w:right="40" w:hanging="360"/>
      </w:pPr>
      <w:r>
        <w:t xml:space="preserve">The company's resilient asset-light business model, supported by recurring franchise and management fee income, enabled scalable earnings growth, robust cash generation, and improved operational efficiency (InterContinental Hotels Group PLC, 2025; Brigham and Ehrhardt, 2022).  </w:t>
      </w:r>
    </w:p>
    <w:p w14:paraId="793138BC" w14:textId="77777777" w:rsidR="006A5F66" w:rsidRDefault="00000000">
      <w:pPr>
        <w:numPr>
          <w:ilvl w:val="0"/>
          <w:numId w:val="4"/>
        </w:numPr>
        <w:ind w:left="734" w:right="40" w:hanging="360"/>
      </w:pPr>
      <w:r>
        <w:t xml:space="preserve">IHG maintained disciplined capital allocation by balancing shareholder distributions through dividends and share buyback programmes while continuing to invest in brand development and global hotel expansion, enhancing long-term shareholder value (Ross et al., 2022; InterContinental Hotels Group PLC, 2025).  </w:t>
      </w:r>
      <w:r>
        <w:rPr>
          <w:b/>
        </w:rPr>
        <w:t xml:space="preserve">Weaknesses </w:t>
      </w:r>
    </w:p>
    <w:p w14:paraId="705A773C" w14:textId="77777777" w:rsidR="006A5F66" w:rsidRDefault="00000000">
      <w:pPr>
        <w:numPr>
          <w:ilvl w:val="0"/>
          <w:numId w:val="4"/>
        </w:numPr>
        <w:ind w:left="734" w:right="40" w:hanging="360"/>
      </w:pPr>
      <w:r>
        <w:t xml:space="preserve">Despite the recovery, IHG's financial performance remains sensitive to macroeconomic conditions that influence international travel demand, consumer confidence, and discretionary spending across global hospitality markets (Brealey, Myers and Allen, 2023).  </w:t>
      </w:r>
    </w:p>
    <w:p w14:paraId="599D2B36" w14:textId="77777777" w:rsidR="006A5F66" w:rsidRDefault="00000000">
      <w:pPr>
        <w:numPr>
          <w:ilvl w:val="0"/>
          <w:numId w:val="4"/>
        </w:numPr>
        <w:ind w:left="734" w:right="40" w:hanging="360"/>
      </w:pPr>
      <w:r>
        <w:t xml:space="preserve">Inflationary pressures on wages, utilities, and operating expenses may constrain future margin expansion if cost increases exceed pricing power or productivity improvements (InterContinental Hotels Group PLC, 2025; Brigham and Ehrhardt, 2022).  </w:t>
      </w:r>
    </w:p>
    <w:p w14:paraId="7D8F9E8A" w14:textId="77777777" w:rsidR="006A5F66" w:rsidRDefault="00000000">
      <w:pPr>
        <w:numPr>
          <w:ilvl w:val="0"/>
          <w:numId w:val="4"/>
        </w:numPr>
        <w:ind w:left="734" w:right="40" w:hanging="360"/>
      </w:pPr>
      <w:r>
        <w:t>Current and quick ratios remained close to 1, highlighting the importance of maintaining strong operating cash flows, effective working capital management, and access to committed financing facilities to support short-term liquidity (</w:t>
      </w:r>
      <w:proofErr w:type="spellStart"/>
      <w:r>
        <w:t>Atrill</w:t>
      </w:r>
      <w:proofErr w:type="spellEnd"/>
      <w:r>
        <w:t xml:space="preserve"> and McLaney, 2022; InterContinental Hotels Group PLC, 2025).  </w:t>
      </w:r>
    </w:p>
    <w:p w14:paraId="09C211DE" w14:textId="77777777" w:rsidR="006A5F66" w:rsidRDefault="00000000">
      <w:pPr>
        <w:pStyle w:val="Heading3"/>
        <w:spacing w:after="0"/>
        <w:ind w:left="17"/>
      </w:pPr>
      <w:r>
        <w:rPr>
          <w:sz w:val="24"/>
        </w:rPr>
        <w:t xml:space="preserve">Risks </w:t>
      </w:r>
    </w:p>
    <w:p w14:paraId="75341D54" w14:textId="77777777" w:rsidR="006A5F66" w:rsidRDefault="00000000">
      <w:pPr>
        <w:numPr>
          <w:ilvl w:val="0"/>
          <w:numId w:val="5"/>
        </w:numPr>
        <w:ind w:left="734" w:right="40" w:hanging="360"/>
      </w:pPr>
      <w:r>
        <w:t xml:space="preserve">Geopolitical instability, economic uncertainty, and regional disruptions may reduce international travel demand, affecting hotel occupancy, franchise fee income, and overall operating performance (InterContinental Hotels Group PLC, 2025).  </w:t>
      </w:r>
    </w:p>
    <w:p w14:paraId="6B561BBF" w14:textId="77777777" w:rsidR="006A5F66" w:rsidRDefault="00000000">
      <w:pPr>
        <w:numPr>
          <w:ilvl w:val="0"/>
          <w:numId w:val="5"/>
        </w:numPr>
        <w:ind w:left="734" w:right="40" w:hanging="360"/>
      </w:pPr>
      <w:r>
        <w:t xml:space="preserve">Higher interest rates and tighter credit conditions could increase borrowing costs and refinancing risk, placing additional pressure on future profitability and cash flows (Brigham and Ehrhardt, 2022).  </w:t>
      </w:r>
    </w:p>
    <w:p w14:paraId="61734E85" w14:textId="77777777" w:rsidR="006A5F66" w:rsidRDefault="00000000">
      <w:pPr>
        <w:numPr>
          <w:ilvl w:val="0"/>
          <w:numId w:val="5"/>
        </w:numPr>
        <w:spacing w:after="36"/>
        <w:ind w:left="734" w:right="40" w:hanging="360"/>
      </w:pPr>
      <w:r>
        <w:t xml:space="preserve">Brand reputation, service quality, environmental, social and governance (ESG) performance, labour practices, and responsible sourcing remain critical factors influencing owner confidence, customer loyalty, long-term fee growth, and market valuation (Brealey, Myers and Allen, 2023; InterContinental Hotels Group PLC, 2025). </w:t>
      </w:r>
    </w:p>
    <w:p w14:paraId="1F981FF5" w14:textId="77777777" w:rsidR="006A5F66" w:rsidRDefault="00000000">
      <w:pPr>
        <w:spacing w:after="980" w:line="259" w:lineRule="auto"/>
        <w:ind w:left="0" w:firstLine="0"/>
        <w:jc w:val="right"/>
      </w:pPr>
      <w:r>
        <w:rPr>
          <w:noProof/>
          <w:sz w:val="22"/>
        </w:rPr>
        <mc:AlternateContent>
          <mc:Choice Requires="wpg">
            <w:drawing>
              <wp:inline distT="0" distB="0" distL="0" distR="0" wp14:anchorId="2B22E013" wp14:editId="73FB1510">
                <wp:extent cx="6847840" cy="9525"/>
                <wp:effectExtent l="0" t="0" r="0" b="0"/>
                <wp:docPr id="40925" name="Group 40925"/>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3762" name="Shape 3762"/>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40925" style="width:539.2pt;height:0.75pt;mso-position-horizontal-relative:char;mso-position-vertical-relative:line" coordsize="68478,95">
                <v:shape id="Shape 3762"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2A0EB31A" w14:textId="77777777" w:rsidR="006A5F66" w:rsidRDefault="00000000">
      <w:pPr>
        <w:pStyle w:val="Heading1"/>
        <w:ind w:left="9"/>
      </w:pPr>
      <w:r>
        <w:lastRenderedPageBreak/>
        <w:t xml:space="preserve">2. Working Capital Management Analysis </w:t>
      </w:r>
    </w:p>
    <w:p w14:paraId="10F9AFA9" w14:textId="77777777" w:rsidR="006A5F66" w:rsidRDefault="00000000">
      <w:pPr>
        <w:spacing w:after="233"/>
        <w:ind w:left="17" w:right="40"/>
      </w:pPr>
      <w:r>
        <w:t xml:space="preserve">IHG maintains relatively stable liquidity through its asset-light operating model, which relies primarily on recurring franchise and management fee income rather than inventory-intensive operations (InterContinental Hotels Group PLC, 2025). According to </w:t>
      </w:r>
      <w:proofErr w:type="spellStart"/>
      <w:r>
        <w:t>Atrill</w:t>
      </w:r>
      <w:proofErr w:type="spellEnd"/>
      <w:r>
        <w:t xml:space="preserve"> and McLaney (2022), service-based organisations typically operate with lower working capital requirements because of predictable cash inflows and limited inventory holdings. Ross et al. (2022) further argue that effective working capital management enhances liquidity while supporting shareholder value through improved cash conversion. </w:t>
      </w:r>
    </w:p>
    <w:p w14:paraId="55D4973F" w14:textId="77777777" w:rsidR="006A5F66" w:rsidRDefault="00000000">
      <w:pPr>
        <w:pStyle w:val="Heading2"/>
        <w:ind w:left="9"/>
      </w:pPr>
      <w:r>
        <w:t xml:space="preserve">2.1 Operating Cycle </w:t>
      </w:r>
    </w:p>
    <w:p w14:paraId="57BB3635" w14:textId="77777777" w:rsidR="006A5F66" w:rsidRDefault="00000000">
      <w:pPr>
        <w:spacing w:after="127"/>
        <w:ind w:left="17" w:right="40"/>
      </w:pPr>
      <w:r>
        <w:t>IHG's operating cycle remains relatively efficient because of its asset-light business model, which requires minimal inventory and generates predictable franchise and management fee income (InterContinental Hotels Group PLC, 2025). The current ratio remained close to 1, reflecting a business model where liquidity depends primarily on strong operating cash flows rather than large current asset balances (</w:t>
      </w:r>
      <w:proofErr w:type="spellStart"/>
      <w:r>
        <w:t>Atrill</w:t>
      </w:r>
      <w:proofErr w:type="spellEnd"/>
      <w:r>
        <w:t xml:space="preserve"> and McLaney, 2022). Consequently, maintaining effective cash management and access to committed credit facilities is essential to preserving financial resilience during periods of economic uncertainty (Brigham and Ehrhardt, 2022). </w:t>
      </w:r>
    </w:p>
    <w:tbl>
      <w:tblPr>
        <w:tblStyle w:val="TableGrid"/>
        <w:tblW w:w="10310" w:type="dxa"/>
        <w:tblInd w:w="260" w:type="dxa"/>
        <w:tblCellMar>
          <w:top w:w="89" w:type="dxa"/>
          <w:left w:w="23" w:type="dxa"/>
          <w:bottom w:w="0" w:type="dxa"/>
          <w:right w:w="105" w:type="dxa"/>
        </w:tblCellMar>
        <w:tblLook w:val="04A0" w:firstRow="1" w:lastRow="0" w:firstColumn="1" w:lastColumn="0" w:noHBand="0" w:noVBand="1"/>
      </w:tblPr>
      <w:tblGrid>
        <w:gridCol w:w="2948"/>
        <w:gridCol w:w="1566"/>
        <w:gridCol w:w="1419"/>
        <w:gridCol w:w="1701"/>
        <w:gridCol w:w="1560"/>
        <w:gridCol w:w="1116"/>
      </w:tblGrid>
      <w:tr w:rsidR="006A5F66" w14:paraId="756746BE" w14:textId="77777777">
        <w:trPr>
          <w:trHeight w:val="800"/>
        </w:trPr>
        <w:tc>
          <w:tcPr>
            <w:tcW w:w="2948" w:type="dxa"/>
            <w:tcBorders>
              <w:top w:val="double" w:sz="4" w:space="0" w:color="000000"/>
              <w:left w:val="double" w:sz="4" w:space="0" w:color="000000"/>
              <w:bottom w:val="double" w:sz="4" w:space="0" w:color="000000"/>
              <w:right w:val="double" w:sz="4" w:space="0" w:color="000000"/>
            </w:tcBorders>
          </w:tcPr>
          <w:p w14:paraId="441B85CA" w14:textId="77777777" w:rsidR="006A5F66" w:rsidRDefault="00000000">
            <w:pPr>
              <w:spacing w:after="0" w:line="259" w:lineRule="auto"/>
              <w:ind w:left="0" w:firstLine="0"/>
              <w:jc w:val="left"/>
            </w:pPr>
            <w:r>
              <w:rPr>
                <w:b/>
              </w:rPr>
              <w:t xml:space="preserve">Particulars </w:t>
            </w:r>
          </w:p>
        </w:tc>
        <w:tc>
          <w:tcPr>
            <w:tcW w:w="1566" w:type="dxa"/>
            <w:tcBorders>
              <w:top w:val="double" w:sz="4" w:space="0" w:color="000000"/>
              <w:left w:val="double" w:sz="4" w:space="0" w:color="000000"/>
              <w:bottom w:val="double" w:sz="4" w:space="0" w:color="000000"/>
              <w:right w:val="double" w:sz="4" w:space="0" w:color="000000"/>
            </w:tcBorders>
          </w:tcPr>
          <w:p w14:paraId="6EE87DDB" w14:textId="77777777" w:rsidR="006A5F66" w:rsidRDefault="00000000">
            <w:pPr>
              <w:spacing w:after="0" w:line="259" w:lineRule="auto"/>
              <w:ind w:left="2" w:firstLine="0"/>
              <w:jc w:val="left"/>
            </w:pPr>
            <w:r>
              <w:rPr>
                <w:b/>
              </w:rPr>
              <w:t xml:space="preserve">       2020 </w:t>
            </w:r>
          </w:p>
        </w:tc>
        <w:tc>
          <w:tcPr>
            <w:tcW w:w="1419" w:type="dxa"/>
            <w:tcBorders>
              <w:top w:val="double" w:sz="4" w:space="0" w:color="000000"/>
              <w:left w:val="double" w:sz="4" w:space="0" w:color="000000"/>
              <w:bottom w:val="double" w:sz="4" w:space="0" w:color="000000"/>
              <w:right w:val="double" w:sz="4" w:space="0" w:color="000000"/>
            </w:tcBorders>
          </w:tcPr>
          <w:p w14:paraId="683134D7" w14:textId="77777777" w:rsidR="006A5F66" w:rsidRDefault="00000000">
            <w:pPr>
              <w:spacing w:after="0" w:line="259" w:lineRule="auto"/>
              <w:ind w:left="1" w:firstLine="0"/>
              <w:jc w:val="left"/>
            </w:pPr>
            <w:r>
              <w:rPr>
                <w:b/>
              </w:rPr>
              <w:t xml:space="preserve">       2021 </w:t>
            </w:r>
          </w:p>
        </w:tc>
        <w:tc>
          <w:tcPr>
            <w:tcW w:w="1701" w:type="dxa"/>
            <w:tcBorders>
              <w:top w:val="double" w:sz="4" w:space="0" w:color="000000"/>
              <w:left w:val="double" w:sz="4" w:space="0" w:color="000000"/>
              <w:bottom w:val="double" w:sz="4" w:space="0" w:color="000000"/>
              <w:right w:val="double" w:sz="4" w:space="0" w:color="000000"/>
            </w:tcBorders>
          </w:tcPr>
          <w:p w14:paraId="42C506BB" w14:textId="77777777" w:rsidR="006A5F66" w:rsidRDefault="00000000">
            <w:pPr>
              <w:spacing w:after="0" w:line="259" w:lineRule="auto"/>
              <w:ind w:left="1" w:firstLine="0"/>
              <w:jc w:val="left"/>
            </w:pPr>
            <w:r>
              <w:rPr>
                <w:b/>
              </w:rPr>
              <w:t xml:space="preserve">          2022 </w:t>
            </w:r>
          </w:p>
        </w:tc>
        <w:tc>
          <w:tcPr>
            <w:tcW w:w="1560" w:type="dxa"/>
            <w:tcBorders>
              <w:top w:val="double" w:sz="4" w:space="0" w:color="000000"/>
              <w:left w:val="double" w:sz="4" w:space="0" w:color="000000"/>
              <w:bottom w:val="double" w:sz="4" w:space="0" w:color="000000"/>
              <w:right w:val="double" w:sz="4" w:space="0" w:color="000000"/>
            </w:tcBorders>
          </w:tcPr>
          <w:p w14:paraId="1B9FF99F" w14:textId="77777777" w:rsidR="006A5F66" w:rsidRDefault="00000000">
            <w:pPr>
              <w:spacing w:after="0" w:line="259" w:lineRule="auto"/>
              <w:ind w:left="2" w:firstLine="0"/>
              <w:jc w:val="left"/>
            </w:pPr>
            <w:r>
              <w:rPr>
                <w:b/>
              </w:rPr>
              <w:t xml:space="preserve">        2023 </w:t>
            </w:r>
          </w:p>
        </w:tc>
        <w:tc>
          <w:tcPr>
            <w:tcW w:w="1116" w:type="dxa"/>
            <w:tcBorders>
              <w:top w:val="double" w:sz="4" w:space="0" w:color="000000"/>
              <w:left w:val="double" w:sz="4" w:space="0" w:color="000000"/>
              <w:bottom w:val="double" w:sz="4" w:space="0" w:color="000000"/>
              <w:right w:val="double" w:sz="4" w:space="0" w:color="000000"/>
            </w:tcBorders>
          </w:tcPr>
          <w:p w14:paraId="6337F963" w14:textId="77777777" w:rsidR="006A5F66" w:rsidRDefault="00000000">
            <w:pPr>
              <w:spacing w:after="0" w:line="259" w:lineRule="auto"/>
              <w:ind w:left="2" w:firstLine="0"/>
              <w:jc w:val="left"/>
            </w:pPr>
            <w:r>
              <w:rPr>
                <w:b/>
              </w:rPr>
              <w:t xml:space="preserve">     2024 </w:t>
            </w:r>
          </w:p>
        </w:tc>
      </w:tr>
      <w:tr w:rsidR="006A5F66" w14:paraId="4FE50560" w14:textId="77777777">
        <w:trPr>
          <w:trHeight w:val="797"/>
        </w:trPr>
        <w:tc>
          <w:tcPr>
            <w:tcW w:w="2948" w:type="dxa"/>
            <w:tcBorders>
              <w:top w:val="double" w:sz="4" w:space="0" w:color="000000"/>
              <w:left w:val="double" w:sz="4" w:space="0" w:color="000000"/>
              <w:bottom w:val="double" w:sz="4" w:space="0" w:color="000000"/>
              <w:right w:val="double" w:sz="4" w:space="0" w:color="000000"/>
            </w:tcBorders>
          </w:tcPr>
          <w:p w14:paraId="1611E9ED" w14:textId="77777777" w:rsidR="006A5F66" w:rsidRDefault="00000000">
            <w:pPr>
              <w:spacing w:after="0" w:line="259" w:lineRule="auto"/>
              <w:ind w:left="0" w:firstLine="0"/>
              <w:jc w:val="left"/>
            </w:pPr>
            <w:r>
              <w:t xml:space="preserve">Inventory Days </w:t>
            </w:r>
          </w:p>
        </w:tc>
        <w:tc>
          <w:tcPr>
            <w:tcW w:w="1566" w:type="dxa"/>
            <w:tcBorders>
              <w:top w:val="double" w:sz="4" w:space="0" w:color="000000"/>
              <w:left w:val="double" w:sz="4" w:space="0" w:color="000000"/>
              <w:bottom w:val="double" w:sz="4" w:space="0" w:color="000000"/>
              <w:right w:val="double" w:sz="4" w:space="0" w:color="000000"/>
            </w:tcBorders>
          </w:tcPr>
          <w:p w14:paraId="4847E929" w14:textId="77777777" w:rsidR="006A5F66" w:rsidRDefault="00000000">
            <w:pPr>
              <w:spacing w:after="0" w:line="259" w:lineRule="auto"/>
              <w:ind w:left="2" w:firstLine="0"/>
              <w:jc w:val="left"/>
            </w:pPr>
            <w:r>
              <w:rPr>
                <w:b/>
              </w:rPr>
              <w:t xml:space="preserve">         1.2</w:t>
            </w:r>
            <w:r>
              <w:t xml:space="preserve"> </w:t>
            </w:r>
          </w:p>
        </w:tc>
        <w:tc>
          <w:tcPr>
            <w:tcW w:w="1419" w:type="dxa"/>
            <w:tcBorders>
              <w:top w:val="double" w:sz="4" w:space="0" w:color="000000"/>
              <w:left w:val="double" w:sz="4" w:space="0" w:color="000000"/>
              <w:bottom w:val="double" w:sz="4" w:space="0" w:color="000000"/>
              <w:right w:val="double" w:sz="4" w:space="0" w:color="000000"/>
            </w:tcBorders>
          </w:tcPr>
          <w:p w14:paraId="09C8AF5A" w14:textId="77777777" w:rsidR="006A5F66" w:rsidRDefault="00000000">
            <w:pPr>
              <w:spacing w:after="0" w:line="259" w:lineRule="auto"/>
              <w:ind w:left="1" w:firstLine="0"/>
              <w:jc w:val="left"/>
            </w:pPr>
            <w:r>
              <w:rPr>
                <w:b/>
              </w:rPr>
              <w:t xml:space="preserve">         1.5</w:t>
            </w:r>
            <w:r>
              <w:t xml:space="preserve"> </w:t>
            </w:r>
          </w:p>
        </w:tc>
        <w:tc>
          <w:tcPr>
            <w:tcW w:w="1701" w:type="dxa"/>
            <w:tcBorders>
              <w:top w:val="double" w:sz="4" w:space="0" w:color="000000"/>
              <w:left w:val="double" w:sz="4" w:space="0" w:color="000000"/>
              <w:bottom w:val="double" w:sz="4" w:space="0" w:color="000000"/>
              <w:right w:val="double" w:sz="4" w:space="0" w:color="000000"/>
            </w:tcBorders>
          </w:tcPr>
          <w:p w14:paraId="72FBC0EC" w14:textId="77777777" w:rsidR="006A5F66" w:rsidRDefault="00000000">
            <w:pPr>
              <w:spacing w:after="0" w:line="259" w:lineRule="auto"/>
              <w:ind w:left="1" w:firstLine="0"/>
              <w:jc w:val="left"/>
            </w:pPr>
            <w:r>
              <w:rPr>
                <w:b/>
              </w:rPr>
              <w:t xml:space="preserve">            1.4</w:t>
            </w:r>
            <w:r>
              <w:t xml:space="preserve"> </w:t>
            </w:r>
          </w:p>
        </w:tc>
        <w:tc>
          <w:tcPr>
            <w:tcW w:w="1560" w:type="dxa"/>
            <w:tcBorders>
              <w:top w:val="double" w:sz="4" w:space="0" w:color="000000"/>
              <w:left w:val="double" w:sz="4" w:space="0" w:color="000000"/>
              <w:bottom w:val="double" w:sz="4" w:space="0" w:color="000000"/>
              <w:right w:val="double" w:sz="4" w:space="0" w:color="000000"/>
            </w:tcBorders>
          </w:tcPr>
          <w:p w14:paraId="3F250489" w14:textId="77777777" w:rsidR="006A5F66" w:rsidRDefault="00000000">
            <w:pPr>
              <w:spacing w:after="0" w:line="259" w:lineRule="auto"/>
              <w:ind w:left="2" w:firstLine="0"/>
              <w:jc w:val="left"/>
            </w:pPr>
            <w:r>
              <w:rPr>
                <w:b/>
              </w:rPr>
              <w:t xml:space="preserve">         1.5</w:t>
            </w:r>
            <w:r>
              <w:t xml:space="preserve"> </w:t>
            </w:r>
          </w:p>
        </w:tc>
        <w:tc>
          <w:tcPr>
            <w:tcW w:w="1116" w:type="dxa"/>
            <w:tcBorders>
              <w:top w:val="double" w:sz="4" w:space="0" w:color="000000"/>
              <w:left w:val="double" w:sz="4" w:space="0" w:color="000000"/>
              <w:bottom w:val="double" w:sz="4" w:space="0" w:color="000000"/>
              <w:right w:val="double" w:sz="4" w:space="0" w:color="000000"/>
            </w:tcBorders>
          </w:tcPr>
          <w:p w14:paraId="0A2BDDB4" w14:textId="77777777" w:rsidR="006A5F66" w:rsidRDefault="00000000">
            <w:pPr>
              <w:spacing w:after="0" w:line="259" w:lineRule="auto"/>
              <w:ind w:left="2" w:firstLine="0"/>
              <w:jc w:val="left"/>
            </w:pPr>
            <w:r>
              <w:rPr>
                <w:b/>
              </w:rPr>
              <w:t xml:space="preserve">      1.5</w:t>
            </w:r>
            <w:r>
              <w:t xml:space="preserve"> </w:t>
            </w:r>
          </w:p>
        </w:tc>
      </w:tr>
      <w:tr w:rsidR="006A5F66" w14:paraId="1AD181A2" w14:textId="77777777">
        <w:trPr>
          <w:trHeight w:val="791"/>
        </w:trPr>
        <w:tc>
          <w:tcPr>
            <w:tcW w:w="2948" w:type="dxa"/>
            <w:tcBorders>
              <w:top w:val="double" w:sz="4" w:space="0" w:color="000000"/>
              <w:left w:val="double" w:sz="4" w:space="0" w:color="000000"/>
              <w:bottom w:val="double" w:sz="4" w:space="0" w:color="000000"/>
              <w:right w:val="double" w:sz="4" w:space="0" w:color="000000"/>
            </w:tcBorders>
          </w:tcPr>
          <w:p w14:paraId="200C1C8D" w14:textId="77777777" w:rsidR="006A5F66" w:rsidRDefault="00000000">
            <w:pPr>
              <w:spacing w:after="0" w:line="259" w:lineRule="auto"/>
              <w:ind w:left="0" w:firstLine="0"/>
              <w:jc w:val="left"/>
            </w:pPr>
            <w:r>
              <w:t xml:space="preserve">Receivables Days </w:t>
            </w:r>
          </w:p>
        </w:tc>
        <w:tc>
          <w:tcPr>
            <w:tcW w:w="1566" w:type="dxa"/>
            <w:tcBorders>
              <w:top w:val="double" w:sz="4" w:space="0" w:color="000000"/>
              <w:left w:val="double" w:sz="4" w:space="0" w:color="000000"/>
              <w:bottom w:val="double" w:sz="4" w:space="0" w:color="000000"/>
              <w:right w:val="double" w:sz="4" w:space="0" w:color="000000"/>
            </w:tcBorders>
          </w:tcPr>
          <w:p w14:paraId="0BB01D8D" w14:textId="77777777" w:rsidR="006A5F66" w:rsidRDefault="00000000">
            <w:pPr>
              <w:spacing w:after="0" w:line="259" w:lineRule="auto"/>
              <w:ind w:left="2" w:firstLine="0"/>
              <w:jc w:val="left"/>
            </w:pPr>
            <w:r>
              <w:rPr>
                <w:b/>
              </w:rPr>
              <w:t xml:space="preserve">        54.4</w:t>
            </w:r>
            <w:r>
              <w:t xml:space="preserve"> </w:t>
            </w:r>
          </w:p>
        </w:tc>
        <w:tc>
          <w:tcPr>
            <w:tcW w:w="1419" w:type="dxa"/>
            <w:tcBorders>
              <w:top w:val="double" w:sz="4" w:space="0" w:color="000000"/>
              <w:left w:val="double" w:sz="4" w:space="0" w:color="000000"/>
              <w:bottom w:val="double" w:sz="4" w:space="0" w:color="000000"/>
              <w:right w:val="double" w:sz="4" w:space="0" w:color="000000"/>
            </w:tcBorders>
          </w:tcPr>
          <w:p w14:paraId="7E6A52E8" w14:textId="77777777" w:rsidR="006A5F66" w:rsidRDefault="00000000">
            <w:pPr>
              <w:spacing w:after="0" w:line="259" w:lineRule="auto"/>
              <w:ind w:left="1" w:firstLine="0"/>
              <w:jc w:val="left"/>
            </w:pPr>
            <w:r>
              <w:rPr>
                <w:b/>
              </w:rPr>
              <w:t xml:space="preserve">        52.9</w:t>
            </w:r>
            <w:r>
              <w:t xml:space="preserve"> </w:t>
            </w:r>
          </w:p>
        </w:tc>
        <w:tc>
          <w:tcPr>
            <w:tcW w:w="1701" w:type="dxa"/>
            <w:tcBorders>
              <w:top w:val="double" w:sz="4" w:space="0" w:color="000000"/>
              <w:left w:val="double" w:sz="4" w:space="0" w:color="000000"/>
              <w:bottom w:val="double" w:sz="4" w:space="0" w:color="000000"/>
              <w:right w:val="double" w:sz="4" w:space="0" w:color="000000"/>
            </w:tcBorders>
          </w:tcPr>
          <w:p w14:paraId="4FFB8052" w14:textId="77777777" w:rsidR="006A5F66" w:rsidRDefault="00000000">
            <w:pPr>
              <w:spacing w:after="0" w:line="259" w:lineRule="auto"/>
              <w:ind w:left="1" w:firstLine="0"/>
              <w:jc w:val="left"/>
            </w:pPr>
            <w:r>
              <w:rPr>
                <w:b/>
              </w:rPr>
              <w:t xml:space="preserve">           46.2</w:t>
            </w:r>
            <w:r>
              <w:t xml:space="preserve"> </w:t>
            </w:r>
          </w:p>
        </w:tc>
        <w:tc>
          <w:tcPr>
            <w:tcW w:w="1560" w:type="dxa"/>
            <w:tcBorders>
              <w:top w:val="double" w:sz="4" w:space="0" w:color="000000"/>
              <w:left w:val="double" w:sz="4" w:space="0" w:color="000000"/>
              <w:bottom w:val="double" w:sz="4" w:space="0" w:color="000000"/>
              <w:right w:val="double" w:sz="4" w:space="0" w:color="000000"/>
            </w:tcBorders>
          </w:tcPr>
          <w:p w14:paraId="7E76B54F" w14:textId="77777777" w:rsidR="006A5F66" w:rsidRDefault="00000000">
            <w:pPr>
              <w:spacing w:after="0" w:line="259" w:lineRule="auto"/>
              <w:ind w:left="2" w:firstLine="0"/>
              <w:jc w:val="left"/>
            </w:pPr>
            <w:r>
              <w:rPr>
                <w:b/>
              </w:rPr>
              <w:t xml:space="preserve">        43.0</w:t>
            </w:r>
            <w:r>
              <w:t xml:space="preserve"> </w:t>
            </w:r>
          </w:p>
        </w:tc>
        <w:tc>
          <w:tcPr>
            <w:tcW w:w="1116" w:type="dxa"/>
            <w:tcBorders>
              <w:top w:val="double" w:sz="4" w:space="0" w:color="000000"/>
              <w:left w:val="double" w:sz="4" w:space="0" w:color="000000"/>
              <w:bottom w:val="double" w:sz="4" w:space="0" w:color="000000"/>
              <w:right w:val="double" w:sz="4" w:space="0" w:color="000000"/>
            </w:tcBorders>
          </w:tcPr>
          <w:p w14:paraId="2B168AA4" w14:textId="77777777" w:rsidR="006A5F66" w:rsidRDefault="00000000">
            <w:pPr>
              <w:spacing w:after="0" w:line="259" w:lineRule="auto"/>
              <w:ind w:left="2" w:firstLine="0"/>
              <w:jc w:val="left"/>
            </w:pPr>
            <w:r>
              <w:rPr>
                <w:b/>
              </w:rPr>
              <w:t xml:space="preserve">     43.5</w:t>
            </w:r>
            <w:r>
              <w:t xml:space="preserve"> </w:t>
            </w:r>
          </w:p>
        </w:tc>
      </w:tr>
      <w:tr w:rsidR="006A5F66" w14:paraId="15D23DCC" w14:textId="77777777">
        <w:trPr>
          <w:trHeight w:val="798"/>
        </w:trPr>
        <w:tc>
          <w:tcPr>
            <w:tcW w:w="2948" w:type="dxa"/>
            <w:tcBorders>
              <w:top w:val="double" w:sz="4" w:space="0" w:color="000000"/>
              <w:left w:val="double" w:sz="4" w:space="0" w:color="000000"/>
              <w:bottom w:val="double" w:sz="4" w:space="0" w:color="000000"/>
              <w:right w:val="double" w:sz="4" w:space="0" w:color="000000"/>
            </w:tcBorders>
          </w:tcPr>
          <w:p w14:paraId="7266E556" w14:textId="77777777" w:rsidR="006A5F66" w:rsidRDefault="00000000">
            <w:pPr>
              <w:spacing w:after="0" w:line="259" w:lineRule="auto"/>
              <w:ind w:left="0" w:firstLine="0"/>
              <w:jc w:val="left"/>
            </w:pPr>
            <w:r>
              <w:rPr>
                <w:b/>
              </w:rPr>
              <w:t xml:space="preserve">Particulars </w:t>
            </w:r>
          </w:p>
        </w:tc>
        <w:tc>
          <w:tcPr>
            <w:tcW w:w="1566" w:type="dxa"/>
            <w:tcBorders>
              <w:top w:val="double" w:sz="4" w:space="0" w:color="000000"/>
              <w:left w:val="double" w:sz="4" w:space="0" w:color="000000"/>
              <w:bottom w:val="double" w:sz="4" w:space="0" w:color="000000"/>
              <w:right w:val="double" w:sz="4" w:space="0" w:color="000000"/>
            </w:tcBorders>
          </w:tcPr>
          <w:p w14:paraId="70790B00" w14:textId="77777777" w:rsidR="006A5F66" w:rsidRDefault="00000000">
            <w:pPr>
              <w:spacing w:after="0" w:line="259" w:lineRule="auto"/>
              <w:ind w:left="2" w:firstLine="0"/>
              <w:jc w:val="left"/>
            </w:pPr>
            <w:r>
              <w:rPr>
                <w:b/>
              </w:rPr>
              <w:t xml:space="preserve">       2020 </w:t>
            </w:r>
          </w:p>
        </w:tc>
        <w:tc>
          <w:tcPr>
            <w:tcW w:w="1419" w:type="dxa"/>
            <w:tcBorders>
              <w:top w:val="double" w:sz="4" w:space="0" w:color="000000"/>
              <w:left w:val="double" w:sz="4" w:space="0" w:color="000000"/>
              <w:bottom w:val="double" w:sz="4" w:space="0" w:color="000000"/>
              <w:right w:val="double" w:sz="4" w:space="0" w:color="000000"/>
            </w:tcBorders>
          </w:tcPr>
          <w:p w14:paraId="6EA7FB74" w14:textId="77777777" w:rsidR="006A5F66" w:rsidRDefault="00000000">
            <w:pPr>
              <w:spacing w:after="0" w:line="259" w:lineRule="auto"/>
              <w:ind w:left="1" w:firstLine="0"/>
              <w:jc w:val="left"/>
            </w:pPr>
            <w:r>
              <w:rPr>
                <w:b/>
              </w:rPr>
              <w:t xml:space="preserve">       2021 </w:t>
            </w:r>
          </w:p>
        </w:tc>
        <w:tc>
          <w:tcPr>
            <w:tcW w:w="1701" w:type="dxa"/>
            <w:tcBorders>
              <w:top w:val="double" w:sz="4" w:space="0" w:color="000000"/>
              <w:left w:val="double" w:sz="4" w:space="0" w:color="000000"/>
              <w:bottom w:val="double" w:sz="4" w:space="0" w:color="000000"/>
              <w:right w:val="double" w:sz="4" w:space="0" w:color="000000"/>
            </w:tcBorders>
          </w:tcPr>
          <w:p w14:paraId="3D66861B" w14:textId="77777777" w:rsidR="006A5F66" w:rsidRDefault="00000000">
            <w:pPr>
              <w:spacing w:after="0" w:line="259" w:lineRule="auto"/>
              <w:ind w:left="1" w:firstLine="0"/>
              <w:jc w:val="left"/>
            </w:pPr>
            <w:r>
              <w:rPr>
                <w:b/>
              </w:rPr>
              <w:t xml:space="preserve">          2022 </w:t>
            </w:r>
          </w:p>
        </w:tc>
        <w:tc>
          <w:tcPr>
            <w:tcW w:w="1560" w:type="dxa"/>
            <w:tcBorders>
              <w:top w:val="double" w:sz="4" w:space="0" w:color="000000"/>
              <w:left w:val="double" w:sz="4" w:space="0" w:color="000000"/>
              <w:bottom w:val="double" w:sz="4" w:space="0" w:color="000000"/>
              <w:right w:val="double" w:sz="4" w:space="0" w:color="000000"/>
            </w:tcBorders>
          </w:tcPr>
          <w:p w14:paraId="2133821E" w14:textId="77777777" w:rsidR="006A5F66" w:rsidRDefault="00000000">
            <w:pPr>
              <w:spacing w:after="0" w:line="259" w:lineRule="auto"/>
              <w:ind w:left="2" w:firstLine="0"/>
              <w:jc w:val="left"/>
            </w:pPr>
            <w:r>
              <w:rPr>
                <w:b/>
              </w:rPr>
              <w:t xml:space="preserve">        2023 </w:t>
            </w:r>
          </w:p>
        </w:tc>
        <w:tc>
          <w:tcPr>
            <w:tcW w:w="1116" w:type="dxa"/>
            <w:tcBorders>
              <w:top w:val="double" w:sz="4" w:space="0" w:color="000000"/>
              <w:left w:val="double" w:sz="4" w:space="0" w:color="000000"/>
              <w:bottom w:val="double" w:sz="4" w:space="0" w:color="000000"/>
              <w:right w:val="double" w:sz="4" w:space="0" w:color="000000"/>
            </w:tcBorders>
          </w:tcPr>
          <w:p w14:paraId="5013773D" w14:textId="77777777" w:rsidR="006A5F66" w:rsidRDefault="00000000">
            <w:pPr>
              <w:spacing w:after="0" w:line="259" w:lineRule="auto"/>
              <w:ind w:left="2" w:firstLine="0"/>
              <w:jc w:val="left"/>
            </w:pPr>
            <w:r>
              <w:rPr>
                <w:b/>
              </w:rPr>
              <w:t xml:space="preserve">     2024 </w:t>
            </w:r>
          </w:p>
        </w:tc>
      </w:tr>
      <w:tr w:rsidR="006A5F66" w14:paraId="47B1157C" w14:textId="77777777">
        <w:trPr>
          <w:trHeight w:val="800"/>
        </w:trPr>
        <w:tc>
          <w:tcPr>
            <w:tcW w:w="2948" w:type="dxa"/>
            <w:tcBorders>
              <w:top w:val="double" w:sz="4" w:space="0" w:color="000000"/>
              <w:left w:val="double" w:sz="4" w:space="0" w:color="000000"/>
              <w:bottom w:val="double" w:sz="4" w:space="0" w:color="000000"/>
              <w:right w:val="double" w:sz="4" w:space="0" w:color="000000"/>
            </w:tcBorders>
          </w:tcPr>
          <w:p w14:paraId="3D997E65" w14:textId="77777777" w:rsidR="006A5F66" w:rsidRDefault="00000000">
            <w:pPr>
              <w:spacing w:after="0" w:line="259" w:lineRule="auto"/>
              <w:ind w:left="0" w:firstLine="0"/>
              <w:jc w:val="left"/>
            </w:pPr>
            <w:r>
              <w:t xml:space="preserve">Payables Days </w:t>
            </w:r>
          </w:p>
        </w:tc>
        <w:tc>
          <w:tcPr>
            <w:tcW w:w="1566" w:type="dxa"/>
            <w:tcBorders>
              <w:top w:val="double" w:sz="4" w:space="0" w:color="000000"/>
              <w:left w:val="double" w:sz="4" w:space="0" w:color="000000"/>
              <w:bottom w:val="double" w:sz="4" w:space="0" w:color="000000"/>
              <w:right w:val="double" w:sz="4" w:space="0" w:color="000000"/>
            </w:tcBorders>
          </w:tcPr>
          <w:p w14:paraId="4492C6E0" w14:textId="77777777" w:rsidR="006A5F66" w:rsidRDefault="00000000">
            <w:pPr>
              <w:spacing w:after="0" w:line="259" w:lineRule="auto"/>
              <w:ind w:left="2" w:firstLine="0"/>
              <w:jc w:val="left"/>
            </w:pPr>
            <w:r>
              <w:rPr>
                <w:b/>
              </w:rPr>
              <w:t xml:space="preserve">        28.5</w:t>
            </w:r>
            <w:r>
              <w:t xml:space="preserve"> </w:t>
            </w:r>
          </w:p>
        </w:tc>
        <w:tc>
          <w:tcPr>
            <w:tcW w:w="1419" w:type="dxa"/>
            <w:tcBorders>
              <w:top w:val="double" w:sz="4" w:space="0" w:color="000000"/>
              <w:left w:val="double" w:sz="4" w:space="0" w:color="000000"/>
              <w:bottom w:val="double" w:sz="4" w:space="0" w:color="000000"/>
              <w:right w:val="double" w:sz="4" w:space="0" w:color="000000"/>
            </w:tcBorders>
          </w:tcPr>
          <w:p w14:paraId="4DE46594" w14:textId="77777777" w:rsidR="006A5F66" w:rsidRDefault="00000000">
            <w:pPr>
              <w:spacing w:after="0" w:line="259" w:lineRule="auto"/>
              <w:ind w:left="1" w:firstLine="0"/>
              <w:jc w:val="left"/>
            </w:pPr>
            <w:r>
              <w:rPr>
                <w:b/>
              </w:rPr>
              <w:t xml:space="preserve">        28.7</w:t>
            </w:r>
            <w:r>
              <w:t xml:space="preserve"> </w:t>
            </w:r>
          </w:p>
        </w:tc>
        <w:tc>
          <w:tcPr>
            <w:tcW w:w="1701" w:type="dxa"/>
            <w:tcBorders>
              <w:top w:val="double" w:sz="4" w:space="0" w:color="000000"/>
              <w:left w:val="double" w:sz="4" w:space="0" w:color="000000"/>
              <w:bottom w:val="double" w:sz="4" w:space="0" w:color="000000"/>
              <w:right w:val="double" w:sz="4" w:space="0" w:color="000000"/>
            </w:tcBorders>
          </w:tcPr>
          <w:p w14:paraId="4E19AF50" w14:textId="77777777" w:rsidR="006A5F66" w:rsidRDefault="00000000">
            <w:pPr>
              <w:spacing w:after="0" w:line="259" w:lineRule="auto"/>
              <w:ind w:left="1" w:firstLine="0"/>
              <w:jc w:val="left"/>
            </w:pPr>
            <w:r>
              <w:rPr>
                <w:b/>
              </w:rPr>
              <w:t xml:space="preserve">           26.9</w:t>
            </w:r>
            <w:r>
              <w:t xml:space="preserve"> </w:t>
            </w:r>
          </w:p>
        </w:tc>
        <w:tc>
          <w:tcPr>
            <w:tcW w:w="1560" w:type="dxa"/>
            <w:tcBorders>
              <w:top w:val="double" w:sz="4" w:space="0" w:color="000000"/>
              <w:left w:val="double" w:sz="4" w:space="0" w:color="000000"/>
              <w:bottom w:val="double" w:sz="4" w:space="0" w:color="000000"/>
              <w:right w:val="double" w:sz="4" w:space="0" w:color="000000"/>
            </w:tcBorders>
          </w:tcPr>
          <w:p w14:paraId="4A677404" w14:textId="77777777" w:rsidR="006A5F66" w:rsidRDefault="00000000">
            <w:pPr>
              <w:spacing w:after="0" w:line="259" w:lineRule="auto"/>
              <w:ind w:left="2" w:firstLine="0"/>
              <w:jc w:val="left"/>
            </w:pPr>
            <w:r>
              <w:rPr>
                <w:b/>
              </w:rPr>
              <w:t xml:space="preserve">         25.0</w:t>
            </w:r>
            <w:r>
              <w:t xml:space="preserve"> </w:t>
            </w:r>
          </w:p>
        </w:tc>
        <w:tc>
          <w:tcPr>
            <w:tcW w:w="1116" w:type="dxa"/>
            <w:tcBorders>
              <w:top w:val="double" w:sz="4" w:space="0" w:color="000000"/>
              <w:left w:val="double" w:sz="4" w:space="0" w:color="000000"/>
              <w:bottom w:val="double" w:sz="4" w:space="0" w:color="000000"/>
              <w:right w:val="double" w:sz="4" w:space="0" w:color="000000"/>
            </w:tcBorders>
          </w:tcPr>
          <w:p w14:paraId="7DDAA321" w14:textId="77777777" w:rsidR="006A5F66" w:rsidRDefault="00000000">
            <w:pPr>
              <w:spacing w:after="0" w:line="259" w:lineRule="auto"/>
              <w:ind w:left="2" w:firstLine="0"/>
              <w:jc w:val="left"/>
            </w:pPr>
            <w:r>
              <w:rPr>
                <w:b/>
              </w:rPr>
              <w:t xml:space="preserve">     24.9</w:t>
            </w:r>
            <w:r>
              <w:t xml:space="preserve"> </w:t>
            </w:r>
          </w:p>
        </w:tc>
      </w:tr>
      <w:tr w:rsidR="006A5F66" w14:paraId="4A934157" w14:textId="77777777">
        <w:trPr>
          <w:trHeight w:val="800"/>
        </w:trPr>
        <w:tc>
          <w:tcPr>
            <w:tcW w:w="2948" w:type="dxa"/>
            <w:tcBorders>
              <w:top w:val="double" w:sz="4" w:space="0" w:color="000000"/>
              <w:left w:val="double" w:sz="4" w:space="0" w:color="000000"/>
              <w:bottom w:val="double" w:sz="4" w:space="0" w:color="000000"/>
              <w:right w:val="double" w:sz="4" w:space="0" w:color="000000"/>
            </w:tcBorders>
          </w:tcPr>
          <w:p w14:paraId="6F92107C" w14:textId="77777777" w:rsidR="006A5F66" w:rsidRDefault="00000000">
            <w:pPr>
              <w:spacing w:after="0" w:line="259" w:lineRule="auto"/>
              <w:ind w:left="0" w:firstLine="0"/>
              <w:jc w:val="left"/>
            </w:pPr>
            <w:r>
              <w:rPr>
                <w:b/>
              </w:rPr>
              <w:t>Cash Operating Cycle (Days)</w:t>
            </w:r>
            <w:r>
              <w:t xml:space="preserve"> </w:t>
            </w:r>
          </w:p>
        </w:tc>
        <w:tc>
          <w:tcPr>
            <w:tcW w:w="1566" w:type="dxa"/>
            <w:tcBorders>
              <w:top w:val="double" w:sz="4" w:space="0" w:color="000000"/>
              <w:left w:val="double" w:sz="4" w:space="0" w:color="000000"/>
              <w:bottom w:val="double" w:sz="4" w:space="0" w:color="000000"/>
              <w:right w:val="double" w:sz="4" w:space="0" w:color="000000"/>
            </w:tcBorders>
          </w:tcPr>
          <w:p w14:paraId="518F481A" w14:textId="77777777" w:rsidR="006A5F66" w:rsidRDefault="00000000">
            <w:pPr>
              <w:spacing w:after="0" w:line="259" w:lineRule="auto"/>
              <w:ind w:left="2" w:firstLine="0"/>
              <w:jc w:val="left"/>
            </w:pPr>
            <w:r>
              <w:rPr>
                <w:b/>
              </w:rPr>
              <w:t xml:space="preserve">        27.1</w:t>
            </w:r>
            <w:r>
              <w:t xml:space="preserve"> </w:t>
            </w:r>
          </w:p>
        </w:tc>
        <w:tc>
          <w:tcPr>
            <w:tcW w:w="1419" w:type="dxa"/>
            <w:tcBorders>
              <w:top w:val="double" w:sz="4" w:space="0" w:color="000000"/>
              <w:left w:val="double" w:sz="4" w:space="0" w:color="000000"/>
              <w:bottom w:val="double" w:sz="4" w:space="0" w:color="000000"/>
              <w:right w:val="double" w:sz="4" w:space="0" w:color="000000"/>
            </w:tcBorders>
          </w:tcPr>
          <w:p w14:paraId="00CDEC62" w14:textId="77777777" w:rsidR="006A5F66" w:rsidRDefault="00000000">
            <w:pPr>
              <w:spacing w:after="0" w:line="259" w:lineRule="auto"/>
              <w:ind w:left="1" w:firstLine="0"/>
              <w:jc w:val="left"/>
            </w:pPr>
            <w:r>
              <w:rPr>
                <w:b/>
              </w:rPr>
              <w:t xml:space="preserve">        25.7</w:t>
            </w:r>
            <w:r>
              <w:t xml:space="preserve"> </w:t>
            </w:r>
          </w:p>
        </w:tc>
        <w:tc>
          <w:tcPr>
            <w:tcW w:w="1701" w:type="dxa"/>
            <w:tcBorders>
              <w:top w:val="double" w:sz="4" w:space="0" w:color="000000"/>
              <w:left w:val="double" w:sz="4" w:space="0" w:color="000000"/>
              <w:bottom w:val="double" w:sz="4" w:space="0" w:color="000000"/>
              <w:right w:val="double" w:sz="4" w:space="0" w:color="000000"/>
            </w:tcBorders>
          </w:tcPr>
          <w:p w14:paraId="76F22465" w14:textId="77777777" w:rsidR="006A5F66" w:rsidRDefault="00000000">
            <w:pPr>
              <w:spacing w:after="0" w:line="259" w:lineRule="auto"/>
              <w:ind w:left="1" w:firstLine="0"/>
              <w:jc w:val="left"/>
            </w:pPr>
            <w:r>
              <w:rPr>
                <w:b/>
              </w:rPr>
              <w:t xml:space="preserve">           20.7</w:t>
            </w:r>
            <w:r>
              <w:t xml:space="preserve"> </w:t>
            </w:r>
          </w:p>
        </w:tc>
        <w:tc>
          <w:tcPr>
            <w:tcW w:w="1560" w:type="dxa"/>
            <w:tcBorders>
              <w:top w:val="double" w:sz="4" w:space="0" w:color="000000"/>
              <w:left w:val="double" w:sz="4" w:space="0" w:color="000000"/>
              <w:bottom w:val="double" w:sz="4" w:space="0" w:color="000000"/>
              <w:right w:val="double" w:sz="4" w:space="0" w:color="000000"/>
            </w:tcBorders>
          </w:tcPr>
          <w:p w14:paraId="426B2AC2" w14:textId="77777777" w:rsidR="006A5F66" w:rsidRDefault="00000000">
            <w:pPr>
              <w:spacing w:after="0" w:line="259" w:lineRule="auto"/>
              <w:ind w:left="2" w:firstLine="0"/>
              <w:jc w:val="left"/>
            </w:pPr>
            <w:r>
              <w:rPr>
                <w:b/>
              </w:rPr>
              <w:t xml:space="preserve">         19.5</w:t>
            </w:r>
            <w:r>
              <w:t xml:space="preserve"> </w:t>
            </w:r>
          </w:p>
        </w:tc>
        <w:tc>
          <w:tcPr>
            <w:tcW w:w="1116" w:type="dxa"/>
            <w:tcBorders>
              <w:top w:val="double" w:sz="4" w:space="0" w:color="000000"/>
              <w:left w:val="double" w:sz="4" w:space="0" w:color="000000"/>
              <w:bottom w:val="double" w:sz="4" w:space="0" w:color="000000"/>
              <w:right w:val="double" w:sz="4" w:space="0" w:color="000000"/>
            </w:tcBorders>
          </w:tcPr>
          <w:p w14:paraId="2454216E" w14:textId="77777777" w:rsidR="006A5F66" w:rsidRDefault="00000000">
            <w:pPr>
              <w:spacing w:after="0" w:line="259" w:lineRule="auto"/>
              <w:ind w:left="2" w:firstLine="0"/>
              <w:jc w:val="left"/>
            </w:pPr>
            <w:r>
              <w:rPr>
                <w:b/>
              </w:rPr>
              <w:t xml:space="preserve">     20.1</w:t>
            </w:r>
            <w:r>
              <w:t xml:space="preserve"> </w:t>
            </w:r>
          </w:p>
        </w:tc>
      </w:tr>
    </w:tbl>
    <w:p w14:paraId="0E3E9248" w14:textId="77777777" w:rsidR="006A5F66" w:rsidRDefault="00000000">
      <w:pPr>
        <w:spacing w:after="515" w:line="259" w:lineRule="auto"/>
        <w:ind w:left="0" w:firstLine="0"/>
        <w:jc w:val="left"/>
      </w:pPr>
      <w:r>
        <w:t xml:space="preserve"> </w:t>
      </w:r>
    </w:p>
    <w:p w14:paraId="117E884F" w14:textId="77777777" w:rsidR="006A5F66" w:rsidRDefault="00000000">
      <w:pPr>
        <w:spacing w:after="28"/>
        <w:ind w:left="9"/>
        <w:jc w:val="left"/>
      </w:pPr>
      <w:r>
        <w:rPr>
          <w:b/>
          <w:sz w:val="36"/>
        </w:rPr>
        <w:t xml:space="preserve">2.2 Current Working Capital, Liquidity Position, and Cash </w:t>
      </w:r>
      <w:r>
        <w:t xml:space="preserve"> </w:t>
      </w:r>
    </w:p>
    <w:p w14:paraId="3E40025C" w14:textId="77777777" w:rsidR="006A5F66" w:rsidRDefault="00000000">
      <w:pPr>
        <w:pStyle w:val="Heading1"/>
        <w:spacing w:after="47"/>
        <w:ind w:left="9"/>
      </w:pPr>
      <w:r>
        <w:t xml:space="preserve">Management </w:t>
      </w:r>
    </w:p>
    <w:p w14:paraId="38A75E16" w14:textId="77777777" w:rsidR="006A5F66" w:rsidRDefault="00000000">
      <w:pPr>
        <w:spacing w:after="0" w:line="259" w:lineRule="auto"/>
        <w:ind w:left="14" w:firstLine="0"/>
        <w:jc w:val="left"/>
      </w:pPr>
      <w:r>
        <w:rPr>
          <w:b/>
          <w:sz w:val="28"/>
        </w:rPr>
        <w:t xml:space="preserve">Table 2.2 Current Working Capital and Liquidity Position </w:t>
      </w:r>
    </w:p>
    <w:tbl>
      <w:tblPr>
        <w:tblStyle w:val="TableGrid"/>
        <w:tblW w:w="10558" w:type="dxa"/>
        <w:tblInd w:w="55" w:type="dxa"/>
        <w:tblCellMar>
          <w:top w:w="0" w:type="dxa"/>
          <w:left w:w="0" w:type="dxa"/>
          <w:bottom w:w="0" w:type="dxa"/>
          <w:right w:w="0" w:type="dxa"/>
        </w:tblCellMar>
        <w:tblLook w:val="04A0" w:firstRow="1" w:lastRow="0" w:firstColumn="1" w:lastColumn="0" w:noHBand="0" w:noVBand="1"/>
      </w:tblPr>
      <w:tblGrid>
        <w:gridCol w:w="2218"/>
        <w:gridCol w:w="755"/>
        <w:gridCol w:w="756"/>
        <w:gridCol w:w="755"/>
        <w:gridCol w:w="687"/>
        <w:gridCol w:w="5635"/>
      </w:tblGrid>
      <w:tr w:rsidR="006A5F66" w14:paraId="05B867EA" w14:textId="77777777">
        <w:trPr>
          <w:trHeight w:val="2105"/>
        </w:trPr>
        <w:tc>
          <w:tcPr>
            <w:tcW w:w="4356" w:type="dxa"/>
            <w:tcBorders>
              <w:top w:val="nil"/>
              <w:left w:val="nil"/>
              <w:bottom w:val="nil"/>
              <w:right w:val="nil"/>
            </w:tcBorders>
          </w:tcPr>
          <w:p w14:paraId="07D14398" w14:textId="77777777" w:rsidR="006A5F66" w:rsidRDefault="006A5F66">
            <w:pPr>
              <w:spacing w:after="0" w:line="259" w:lineRule="auto"/>
              <w:ind w:left="-595" w:right="20" w:firstLine="0"/>
              <w:jc w:val="left"/>
            </w:pPr>
          </w:p>
          <w:tbl>
            <w:tblPr>
              <w:tblStyle w:val="TableGrid"/>
              <w:tblW w:w="4335" w:type="dxa"/>
              <w:tblInd w:w="0" w:type="dxa"/>
              <w:tblCellMar>
                <w:top w:w="67" w:type="dxa"/>
                <w:left w:w="19" w:type="dxa"/>
                <w:bottom w:w="0" w:type="dxa"/>
                <w:right w:w="115" w:type="dxa"/>
              </w:tblCellMar>
              <w:tblLook w:val="04A0" w:firstRow="1" w:lastRow="0" w:firstColumn="1" w:lastColumn="0" w:noHBand="0" w:noVBand="1"/>
            </w:tblPr>
            <w:tblGrid>
              <w:gridCol w:w="4335"/>
            </w:tblGrid>
            <w:tr w:rsidR="006A5F66" w14:paraId="58CED823" w14:textId="77777777">
              <w:trPr>
                <w:trHeight w:val="394"/>
              </w:trPr>
              <w:tc>
                <w:tcPr>
                  <w:tcW w:w="4335" w:type="dxa"/>
                  <w:tcBorders>
                    <w:top w:val="single" w:sz="4" w:space="0" w:color="000000"/>
                    <w:left w:val="single" w:sz="4" w:space="0" w:color="000000"/>
                    <w:bottom w:val="double" w:sz="4" w:space="0" w:color="000000"/>
                    <w:right w:val="single" w:sz="4" w:space="0" w:color="000000"/>
                  </w:tcBorders>
                </w:tcPr>
                <w:p w14:paraId="021ACA48" w14:textId="77777777" w:rsidR="006A5F66" w:rsidRDefault="00000000">
                  <w:pPr>
                    <w:spacing w:after="0" w:line="259" w:lineRule="auto"/>
                    <w:ind w:left="0" w:firstLine="0"/>
                    <w:jc w:val="left"/>
                  </w:pPr>
                  <w:r>
                    <w:rPr>
                      <w:b/>
                    </w:rPr>
                    <w:t xml:space="preserve">Liquidity Measure </w:t>
                  </w:r>
                </w:p>
              </w:tc>
            </w:tr>
            <w:tr w:rsidR="006A5F66" w14:paraId="3BB97702" w14:textId="77777777">
              <w:trPr>
                <w:trHeight w:val="415"/>
              </w:trPr>
              <w:tc>
                <w:tcPr>
                  <w:tcW w:w="4335" w:type="dxa"/>
                  <w:tcBorders>
                    <w:top w:val="double" w:sz="4" w:space="0" w:color="000000"/>
                    <w:left w:val="single" w:sz="4" w:space="0" w:color="000000"/>
                    <w:bottom w:val="double" w:sz="4" w:space="0" w:color="000000"/>
                    <w:right w:val="single" w:sz="4" w:space="0" w:color="000000"/>
                  </w:tcBorders>
                </w:tcPr>
                <w:p w14:paraId="1246A876" w14:textId="77777777" w:rsidR="006A5F66" w:rsidRDefault="00000000">
                  <w:pPr>
                    <w:spacing w:after="0" w:line="259" w:lineRule="auto"/>
                    <w:ind w:left="0" w:firstLine="0"/>
                    <w:jc w:val="left"/>
                  </w:pPr>
                  <w:r>
                    <w:t xml:space="preserve">Current Ratio (times) </w:t>
                  </w:r>
                </w:p>
              </w:tc>
            </w:tr>
            <w:tr w:rsidR="006A5F66" w14:paraId="7A0FEB7D" w14:textId="77777777">
              <w:trPr>
                <w:trHeight w:val="418"/>
              </w:trPr>
              <w:tc>
                <w:tcPr>
                  <w:tcW w:w="4335" w:type="dxa"/>
                  <w:tcBorders>
                    <w:top w:val="double" w:sz="4" w:space="0" w:color="000000"/>
                    <w:left w:val="single" w:sz="4" w:space="0" w:color="000000"/>
                    <w:bottom w:val="double" w:sz="4" w:space="0" w:color="000000"/>
                    <w:right w:val="single" w:sz="4" w:space="0" w:color="000000"/>
                  </w:tcBorders>
                </w:tcPr>
                <w:p w14:paraId="55174DC9" w14:textId="77777777" w:rsidR="006A5F66" w:rsidRDefault="00000000">
                  <w:pPr>
                    <w:spacing w:after="0" w:line="259" w:lineRule="auto"/>
                    <w:ind w:left="0" w:firstLine="0"/>
                    <w:jc w:val="left"/>
                  </w:pPr>
                  <w:r>
                    <w:t xml:space="preserve">Quick Ratio (times) </w:t>
                  </w:r>
                </w:p>
              </w:tc>
            </w:tr>
            <w:tr w:rsidR="006A5F66" w14:paraId="13ABB5FB" w14:textId="77777777">
              <w:trPr>
                <w:trHeight w:val="415"/>
              </w:trPr>
              <w:tc>
                <w:tcPr>
                  <w:tcW w:w="4335" w:type="dxa"/>
                  <w:tcBorders>
                    <w:top w:val="double" w:sz="4" w:space="0" w:color="000000"/>
                    <w:left w:val="single" w:sz="4" w:space="0" w:color="000000"/>
                    <w:bottom w:val="double" w:sz="4" w:space="0" w:color="000000"/>
                    <w:right w:val="single" w:sz="4" w:space="0" w:color="000000"/>
                  </w:tcBorders>
                </w:tcPr>
                <w:p w14:paraId="4FCA0196" w14:textId="77777777" w:rsidR="006A5F66" w:rsidRDefault="00000000">
                  <w:pPr>
                    <w:spacing w:after="0" w:line="259" w:lineRule="auto"/>
                    <w:ind w:left="0" w:firstLine="0"/>
                    <w:jc w:val="left"/>
                  </w:pPr>
                  <w:r>
                    <w:t>Operating Cash Flow (</w:t>
                  </w:r>
                  <w:proofErr w:type="spellStart"/>
                  <w:r>
                    <w:t>US$m</w:t>
                  </w:r>
                  <w:proofErr w:type="spellEnd"/>
                  <w:r>
                    <w:t xml:space="preserve">) </w:t>
                  </w:r>
                </w:p>
              </w:tc>
            </w:tr>
            <w:tr w:rsidR="006A5F66" w14:paraId="36072ED6" w14:textId="77777777">
              <w:trPr>
                <w:trHeight w:val="463"/>
              </w:trPr>
              <w:tc>
                <w:tcPr>
                  <w:tcW w:w="4335" w:type="dxa"/>
                  <w:tcBorders>
                    <w:top w:val="double" w:sz="4" w:space="0" w:color="000000"/>
                    <w:left w:val="single" w:sz="4" w:space="0" w:color="000000"/>
                    <w:bottom w:val="single" w:sz="4" w:space="0" w:color="000000"/>
                    <w:right w:val="single" w:sz="4" w:space="0" w:color="000000"/>
                  </w:tcBorders>
                </w:tcPr>
                <w:p w14:paraId="3D711388" w14:textId="77777777" w:rsidR="006A5F66" w:rsidRDefault="00000000">
                  <w:pPr>
                    <w:spacing w:after="0" w:line="259" w:lineRule="auto"/>
                    <w:ind w:left="0" w:firstLine="0"/>
                    <w:jc w:val="left"/>
                  </w:pPr>
                  <w:r>
                    <w:t>Free Cash Flow (</w:t>
                  </w:r>
                  <w:proofErr w:type="spellStart"/>
                  <w:r>
                    <w:t>US$m</w:t>
                  </w:r>
                  <w:proofErr w:type="spellEnd"/>
                  <w:r>
                    <w:t xml:space="preserve">) </w:t>
                  </w:r>
                </w:p>
              </w:tc>
            </w:tr>
          </w:tbl>
          <w:p w14:paraId="4C9C86D5" w14:textId="77777777" w:rsidR="006A5F66" w:rsidRDefault="006A5F66">
            <w:pPr>
              <w:spacing w:after="160" w:line="259" w:lineRule="auto"/>
              <w:ind w:left="0" w:firstLine="0"/>
              <w:jc w:val="left"/>
            </w:pPr>
          </w:p>
        </w:tc>
        <w:tc>
          <w:tcPr>
            <w:tcW w:w="1275" w:type="dxa"/>
            <w:tcBorders>
              <w:top w:val="nil"/>
              <w:left w:val="nil"/>
              <w:bottom w:val="nil"/>
              <w:right w:val="nil"/>
            </w:tcBorders>
          </w:tcPr>
          <w:p w14:paraId="2BED70F9" w14:textId="77777777" w:rsidR="006A5F66" w:rsidRDefault="006A5F66">
            <w:pPr>
              <w:spacing w:after="0" w:line="259" w:lineRule="auto"/>
              <w:ind w:left="-4951" w:right="20" w:firstLine="0"/>
              <w:jc w:val="left"/>
            </w:pPr>
          </w:p>
          <w:tbl>
            <w:tblPr>
              <w:tblStyle w:val="TableGrid"/>
              <w:tblW w:w="1234" w:type="dxa"/>
              <w:tblInd w:w="20" w:type="dxa"/>
              <w:tblCellMar>
                <w:top w:w="67" w:type="dxa"/>
                <w:left w:w="115" w:type="dxa"/>
                <w:bottom w:w="0" w:type="dxa"/>
                <w:right w:w="115" w:type="dxa"/>
              </w:tblCellMar>
              <w:tblLook w:val="04A0" w:firstRow="1" w:lastRow="0" w:firstColumn="1" w:lastColumn="0" w:noHBand="0" w:noVBand="1"/>
            </w:tblPr>
            <w:tblGrid>
              <w:gridCol w:w="1234"/>
            </w:tblGrid>
            <w:tr w:rsidR="006A5F66" w14:paraId="43DBF31F" w14:textId="77777777">
              <w:trPr>
                <w:trHeight w:val="394"/>
              </w:trPr>
              <w:tc>
                <w:tcPr>
                  <w:tcW w:w="1234" w:type="dxa"/>
                  <w:tcBorders>
                    <w:top w:val="single" w:sz="4" w:space="0" w:color="000000"/>
                    <w:left w:val="single" w:sz="4" w:space="0" w:color="000000"/>
                    <w:bottom w:val="double" w:sz="4" w:space="0" w:color="000000"/>
                    <w:right w:val="single" w:sz="4" w:space="0" w:color="000000"/>
                  </w:tcBorders>
                </w:tcPr>
                <w:p w14:paraId="4F13C0E5" w14:textId="77777777" w:rsidR="006A5F66" w:rsidRDefault="00000000">
                  <w:pPr>
                    <w:spacing w:after="0" w:line="259" w:lineRule="auto"/>
                    <w:ind w:left="0" w:right="1" w:firstLine="0"/>
                    <w:jc w:val="center"/>
                  </w:pPr>
                  <w:r>
                    <w:rPr>
                      <w:b/>
                    </w:rPr>
                    <w:t xml:space="preserve">2020 </w:t>
                  </w:r>
                </w:p>
              </w:tc>
            </w:tr>
            <w:tr w:rsidR="006A5F66" w14:paraId="02B1AA5A" w14:textId="77777777">
              <w:trPr>
                <w:trHeight w:val="415"/>
              </w:trPr>
              <w:tc>
                <w:tcPr>
                  <w:tcW w:w="1234" w:type="dxa"/>
                  <w:tcBorders>
                    <w:top w:val="double" w:sz="4" w:space="0" w:color="000000"/>
                    <w:left w:val="single" w:sz="4" w:space="0" w:color="000000"/>
                    <w:bottom w:val="double" w:sz="4" w:space="0" w:color="000000"/>
                    <w:right w:val="single" w:sz="4" w:space="0" w:color="000000"/>
                  </w:tcBorders>
                </w:tcPr>
                <w:p w14:paraId="680AD59C" w14:textId="77777777" w:rsidR="006A5F66" w:rsidRDefault="00000000">
                  <w:pPr>
                    <w:spacing w:after="0" w:line="259" w:lineRule="auto"/>
                    <w:ind w:left="0" w:right="1" w:firstLine="0"/>
                    <w:jc w:val="center"/>
                  </w:pPr>
                  <w:r>
                    <w:t xml:space="preserve">1.20 </w:t>
                  </w:r>
                </w:p>
              </w:tc>
            </w:tr>
            <w:tr w:rsidR="006A5F66" w14:paraId="734A4415" w14:textId="77777777">
              <w:trPr>
                <w:trHeight w:val="418"/>
              </w:trPr>
              <w:tc>
                <w:tcPr>
                  <w:tcW w:w="1234" w:type="dxa"/>
                  <w:tcBorders>
                    <w:top w:val="double" w:sz="4" w:space="0" w:color="000000"/>
                    <w:left w:val="single" w:sz="4" w:space="0" w:color="000000"/>
                    <w:bottom w:val="double" w:sz="4" w:space="0" w:color="000000"/>
                    <w:right w:val="single" w:sz="4" w:space="0" w:color="000000"/>
                  </w:tcBorders>
                </w:tcPr>
                <w:p w14:paraId="74E0E8A7" w14:textId="77777777" w:rsidR="006A5F66" w:rsidRDefault="00000000">
                  <w:pPr>
                    <w:spacing w:after="0" w:line="259" w:lineRule="auto"/>
                    <w:ind w:left="0" w:right="1" w:firstLine="0"/>
                    <w:jc w:val="center"/>
                  </w:pPr>
                  <w:r>
                    <w:t xml:space="preserve">1.20 </w:t>
                  </w:r>
                </w:p>
              </w:tc>
            </w:tr>
            <w:tr w:rsidR="006A5F66" w14:paraId="669F0514" w14:textId="77777777">
              <w:trPr>
                <w:trHeight w:val="415"/>
              </w:trPr>
              <w:tc>
                <w:tcPr>
                  <w:tcW w:w="1234" w:type="dxa"/>
                  <w:tcBorders>
                    <w:top w:val="double" w:sz="4" w:space="0" w:color="000000"/>
                    <w:left w:val="single" w:sz="4" w:space="0" w:color="000000"/>
                    <w:bottom w:val="double" w:sz="4" w:space="0" w:color="000000"/>
                    <w:right w:val="single" w:sz="4" w:space="0" w:color="000000"/>
                  </w:tcBorders>
                </w:tcPr>
                <w:p w14:paraId="0322BC50" w14:textId="77777777" w:rsidR="006A5F66" w:rsidRDefault="00000000">
                  <w:pPr>
                    <w:spacing w:after="0" w:line="259" w:lineRule="auto"/>
                    <w:ind w:left="1" w:firstLine="0"/>
                    <w:jc w:val="center"/>
                  </w:pPr>
                  <w:r>
                    <w:t xml:space="preserve">323 </w:t>
                  </w:r>
                </w:p>
              </w:tc>
            </w:tr>
            <w:tr w:rsidR="006A5F66" w14:paraId="016BF5C5" w14:textId="77777777">
              <w:trPr>
                <w:trHeight w:val="463"/>
              </w:trPr>
              <w:tc>
                <w:tcPr>
                  <w:tcW w:w="1234" w:type="dxa"/>
                  <w:tcBorders>
                    <w:top w:val="double" w:sz="4" w:space="0" w:color="000000"/>
                    <w:left w:val="single" w:sz="4" w:space="0" w:color="000000"/>
                    <w:bottom w:val="single" w:sz="4" w:space="0" w:color="000000"/>
                    <w:right w:val="single" w:sz="4" w:space="0" w:color="000000"/>
                  </w:tcBorders>
                </w:tcPr>
                <w:p w14:paraId="7D92BD0F" w14:textId="77777777" w:rsidR="006A5F66" w:rsidRDefault="00000000">
                  <w:pPr>
                    <w:spacing w:after="0" w:line="259" w:lineRule="auto"/>
                    <w:ind w:left="1" w:firstLine="0"/>
                    <w:jc w:val="center"/>
                  </w:pPr>
                  <w:r>
                    <w:t xml:space="preserve">262 </w:t>
                  </w:r>
                </w:p>
              </w:tc>
            </w:tr>
          </w:tbl>
          <w:p w14:paraId="25C029DC" w14:textId="77777777" w:rsidR="006A5F66" w:rsidRDefault="006A5F66">
            <w:pPr>
              <w:spacing w:after="160" w:line="259" w:lineRule="auto"/>
              <w:ind w:left="0" w:firstLine="0"/>
              <w:jc w:val="left"/>
            </w:pPr>
          </w:p>
        </w:tc>
        <w:tc>
          <w:tcPr>
            <w:tcW w:w="1277" w:type="dxa"/>
            <w:tcBorders>
              <w:top w:val="nil"/>
              <w:left w:val="nil"/>
              <w:bottom w:val="nil"/>
              <w:right w:val="nil"/>
            </w:tcBorders>
          </w:tcPr>
          <w:p w14:paraId="5812A59A" w14:textId="77777777" w:rsidR="006A5F66" w:rsidRDefault="006A5F66">
            <w:pPr>
              <w:spacing w:after="0" w:line="259" w:lineRule="auto"/>
              <w:ind w:left="-6226" w:right="20" w:firstLine="0"/>
              <w:jc w:val="left"/>
            </w:pPr>
          </w:p>
          <w:tbl>
            <w:tblPr>
              <w:tblStyle w:val="TableGrid"/>
              <w:tblW w:w="1236" w:type="dxa"/>
              <w:tblInd w:w="20" w:type="dxa"/>
              <w:tblCellMar>
                <w:top w:w="67" w:type="dxa"/>
                <w:left w:w="115" w:type="dxa"/>
                <w:bottom w:w="0" w:type="dxa"/>
                <w:right w:w="115" w:type="dxa"/>
              </w:tblCellMar>
              <w:tblLook w:val="04A0" w:firstRow="1" w:lastRow="0" w:firstColumn="1" w:lastColumn="0" w:noHBand="0" w:noVBand="1"/>
            </w:tblPr>
            <w:tblGrid>
              <w:gridCol w:w="1236"/>
            </w:tblGrid>
            <w:tr w:rsidR="006A5F66" w14:paraId="54AD8634" w14:textId="77777777">
              <w:trPr>
                <w:trHeight w:val="394"/>
              </w:trPr>
              <w:tc>
                <w:tcPr>
                  <w:tcW w:w="1236" w:type="dxa"/>
                  <w:tcBorders>
                    <w:top w:val="single" w:sz="4" w:space="0" w:color="000000"/>
                    <w:left w:val="single" w:sz="4" w:space="0" w:color="000000"/>
                    <w:bottom w:val="double" w:sz="4" w:space="0" w:color="000000"/>
                    <w:right w:val="single" w:sz="4" w:space="0" w:color="000000"/>
                  </w:tcBorders>
                </w:tcPr>
                <w:p w14:paraId="5E67F1A1" w14:textId="77777777" w:rsidR="006A5F66" w:rsidRDefault="00000000">
                  <w:pPr>
                    <w:spacing w:after="0" w:line="259" w:lineRule="auto"/>
                    <w:ind w:left="0" w:right="3" w:firstLine="0"/>
                    <w:jc w:val="center"/>
                  </w:pPr>
                  <w:r>
                    <w:rPr>
                      <w:b/>
                    </w:rPr>
                    <w:t xml:space="preserve">2021 </w:t>
                  </w:r>
                </w:p>
              </w:tc>
            </w:tr>
            <w:tr w:rsidR="006A5F66" w14:paraId="14889D78" w14:textId="77777777">
              <w:trPr>
                <w:trHeight w:val="415"/>
              </w:trPr>
              <w:tc>
                <w:tcPr>
                  <w:tcW w:w="1236" w:type="dxa"/>
                  <w:tcBorders>
                    <w:top w:val="double" w:sz="4" w:space="0" w:color="000000"/>
                    <w:left w:val="single" w:sz="4" w:space="0" w:color="000000"/>
                    <w:bottom w:val="double" w:sz="4" w:space="0" w:color="000000"/>
                    <w:right w:val="single" w:sz="4" w:space="0" w:color="000000"/>
                  </w:tcBorders>
                </w:tcPr>
                <w:p w14:paraId="20025521" w14:textId="77777777" w:rsidR="006A5F66" w:rsidRDefault="00000000">
                  <w:pPr>
                    <w:spacing w:after="0" w:line="259" w:lineRule="auto"/>
                    <w:ind w:left="0" w:right="3" w:firstLine="0"/>
                    <w:jc w:val="center"/>
                  </w:pPr>
                  <w:r>
                    <w:t xml:space="preserve">1.13 </w:t>
                  </w:r>
                </w:p>
              </w:tc>
            </w:tr>
            <w:tr w:rsidR="006A5F66" w14:paraId="2485F7BE" w14:textId="77777777">
              <w:trPr>
                <w:trHeight w:val="418"/>
              </w:trPr>
              <w:tc>
                <w:tcPr>
                  <w:tcW w:w="1236" w:type="dxa"/>
                  <w:tcBorders>
                    <w:top w:val="double" w:sz="4" w:space="0" w:color="000000"/>
                    <w:left w:val="single" w:sz="4" w:space="0" w:color="000000"/>
                    <w:bottom w:val="double" w:sz="4" w:space="0" w:color="000000"/>
                    <w:right w:val="single" w:sz="4" w:space="0" w:color="000000"/>
                  </w:tcBorders>
                </w:tcPr>
                <w:p w14:paraId="580DCD33" w14:textId="77777777" w:rsidR="006A5F66" w:rsidRDefault="00000000">
                  <w:pPr>
                    <w:spacing w:after="0" w:line="259" w:lineRule="auto"/>
                    <w:ind w:left="0" w:right="3" w:firstLine="0"/>
                    <w:jc w:val="center"/>
                  </w:pPr>
                  <w:r>
                    <w:t xml:space="preserve">1.13 </w:t>
                  </w:r>
                </w:p>
              </w:tc>
            </w:tr>
            <w:tr w:rsidR="006A5F66" w14:paraId="77263D21" w14:textId="77777777">
              <w:trPr>
                <w:trHeight w:val="415"/>
              </w:trPr>
              <w:tc>
                <w:tcPr>
                  <w:tcW w:w="1236" w:type="dxa"/>
                  <w:tcBorders>
                    <w:top w:val="double" w:sz="4" w:space="0" w:color="000000"/>
                    <w:left w:val="single" w:sz="4" w:space="0" w:color="000000"/>
                    <w:bottom w:val="double" w:sz="4" w:space="0" w:color="000000"/>
                    <w:right w:val="single" w:sz="4" w:space="0" w:color="000000"/>
                  </w:tcBorders>
                </w:tcPr>
                <w:p w14:paraId="427E022C" w14:textId="77777777" w:rsidR="006A5F66" w:rsidRDefault="00000000">
                  <w:pPr>
                    <w:spacing w:after="0" w:line="259" w:lineRule="auto"/>
                    <w:ind w:left="0" w:right="1" w:firstLine="0"/>
                    <w:jc w:val="center"/>
                  </w:pPr>
                  <w:r>
                    <w:t xml:space="preserve">746 </w:t>
                  </w:r>
                </w:p>
              </w:tc>
            </w:tr>
            <w:tr w:rsidR="006A5F66" w14:paraId="641E495C" w14:textId="77777777">
              <w:trPr>
                <w:trHeight w:val="463"/>
              </w:trPr>
              <w:tc>
                <w:tcPr>
                  <w:tcW w:w="1236" w:type="dxa"/>
                  <w:tcBorders>
                    <w:top w:val="double" w:sz="4" w:space="0" w:color="000000"/>
                    <w:left w:val="single" w:sz="4" w:space="0" w:color="000000"/>
                    <w:bottom w:val="single" w:sz="4" w:space="0" w:color="000000"/>
                    <w:right w:val="single" w:sz="4" w:space="0" w:color="000000"/>
                  </w:tcBorders>
                </w:tcPr>
                <w:p w14:paraId="11041174" w14:textId="77777777" w:rsidR="006A5F66" w:rsidRDefault="00000000">
                  <w:pPr>
                    <w:spacing w:after="0" w:line="259" w:lineRule="auto"/>
                    <w:ind w:left="0" w:right="1" w:firstLine="0"/>
                    <w:jc w:val="center"/>
                  </w:pPr>
                  <w:r>
                    <w:t xml:space="preserve">675 </w:t>
                  </w:r>
                </w:p>
              </w:tc>
            </w:tr>
          </w:tbl>
          <w:p w14:paraId="78F12D6E" w14:textId="77777777" w:rsidR="006A5F66" w:rsidRDefault="006A5F66">
            <w:pPr>
              <w:spacing w:after="160" w:line="259" w:lineRule="auto"/>
              <w:ind w:left="0" w:firstLine="0"/>
              <w:jc w:val="left"/>
            </w:pPr>
          </w:p>
        </w:tc>
        <w:tc>
          <w:tcPr>
            <w:tcW w:w="1276" w:type="dxa"/>
            <w:tcBorders>
              <w:top w:val="nil"/>
              <w:left w:val="nil"/>
              <w:bottom w:val="nil"/>
              <w:right w:val="nil"/>
            </w:tcBorders>
          </w:tcPr>
          <w:p w14:paraId="5768BB16" w14:textId="77777777" w:rsidR="006A5F66" w:rsidRDefault="006A5F66">
            <w:pPr>
              <w:spacing w:after="0" w:line="259" w:lineRule="auto"/>
              <w:ind w:left="-7503" w:right="22" w:firstLine="0"/>
              <w:jc w:val="left"/>
            </w:pPr>
          </w:p>
          <w:tbl>
            <w:tblPr>
              <w:tblStyle w:val="TableGrid"/>
              <w:tblW w:w="1234" w:type="dxa"/>
              <w:tblInd w:w="20" w:type="dxa"/>
              <w:tblCellMar>
                <w:top w:w="67" w:type="dxa"/>
                <w:left w:w="115" w:type="dxa"/>
                <w:bottom w:w="0" w:type="dxa"/>
                <w:right w:w="115" w:type="dxa"/>
              </w:tblCellMar>
              <w:tblLook w:val="04A0" w:firstRow="1" w:lastRow="0" w:firstColumn="1" w:lastColumn="0" w:noHBand="0" w:noVBand="1"/>
            </w:tblPr>
            <w:tblGrid>
              <w:gridCol w:w="1234"/>
            </w:tblGrid>
            <w:tr w:rsidR="006A5F66" w14:paraId="5124DAC5" w14:textId="77777777">
              <w:trPr>
                <w:trHeight w:val="394"/>
              </w:trPr>
              <w:tc>
                <w:tcPr>
                  <w:tcW w:w="1234" w:type="dxa"/>
                  <w:tcBorders>
                    <w:top w:val="single" w:sz="4" w:space="0" w:color="000000"/>
                    <w:left w:val="single" w:sz="4" w:space="0" w:color="000000"/>
                    <w:bottom w:val="double" w:sz="4" w:space="0" w:color="000000"/>
                    <w:right w:val="single" w:sz="4" w:space="0" w:color="000000"/>
                  </w:tcBorders>
                </w:tcPr>
                <w:p w14:paraId="67DE2B02" w14:textId="77777777" w:rsidR="006A5F66" w:rsidRDefault="00000000">
                  <w:pPr>
                    <w:spacing w:after="0" w:line="259" w:lineRule="auto"/>
                    <w:ind w:left="0" w:firstLine="0"/>
                    <w:jc w:val="center"/>
                  </w:pPr>
                  <w:r>
                    <w:rPr>
                      <w:b/>
                    </w:rPr>
                    <w:t xml:space="preserve">2022 </w:t>
                  </w:r>
                </w:p>
              </w:tc>
            </w:tr>
            <w:tr w:rsidR="006A5F66" w14:paraId="5595C7C7" w14:textId="77777777">
              <w:trPr>
                <w:trHeight w:val="415"/>
              </w:trPr>
              <w:tc>
                <w:tcPr>
                  <w:tcW w:w="1234" w:type="dxa"/>
                  <w:tcBorders>
                    <w:top w:val="double" w:sz="4" w:space="0" w:color="000000"/>
                    <w:left w:val="single" w:sz="4" w:space="0" w:color="000000"/>
                    <w:bottom w:val="double" w:sz="4" w:space="0" w:color="000000"/>
                    <w:right w:val="single" w:sz="4" w:space="0" w:color="000000"/>
                  </w:tcBorders>
                </w:tcPr>
                <w:p w14:paraId="0DE998C0" w14:textId="77777777" w:rsidR="006A5F66" w:rsidRDefault="00000000">
                  <w:pPr>
                    <w:spacing w:after="0" w:line="259" w:lineRule="auto"/>
                    <w:ind w:left="0" w:firstLine="0"/>
                    <w:jc w:val="center"/>
                  </w:pPr>
                  <w:r>
                    <w:t xml:space="preserve">1.18 </w:t>
                  </w:r>
                </w:p>
              </w:tc>
            </w:tr>
            <w:tr w:rsidR="006A5F66" w14:paraId="11450681" w14:textId="77777777">
              <w:trPr>
                <w:trHeight w:val="418"/>
              </w:trPr>
              <w:tc>
                <w:tcPr>
                  <w:tcW w:w="1234" w:type="dxa"/>
                  <w:tcBorders>
                    <w:top w:val="double" w:sz="4" w:space="0" w:color="000000"/>
                    <w:left w:val="single" w:sz="4" w:space="0" w:color="000000"/>
                    <w:bottom w:val="double" w:sz="4" w:space="0" w:color="000000"/>
                    <w:right w:val="single" w:sz="4" w:space="0" w:color="000000"/>
                  </w:tcBorders>
                </w:tcPr>
                <w:p w14:paraId="6E1E08D0" w14:textId="77777777" w:rsidR="006A5F66" w:rsidRDefault="00000000">
                  <w:pPr>
                    <w:spacing w:after="0" w:line="259" w:lineRule="auto"/>
                    <w:ind w:left="0" w:firstLine="0"/>
                    <w:jc w:val="center"/>
                  </w:pPr>
                  <w:r>
                    <w:t xml:space="preserve">1.17 </w:t>
                  </w:r>
                </w:p>
              </w:tc>
            </w:tr>
            <w:tr w:rsidR="006A5F66" w14:paraId="393B4EDC" w14:textId="77777777">
              <w:trPr>
                <w:trHeight w:val="415"/>
              </w:trPr>
              <w:tc>
                <w:tcPr>
                  <w:tcW w:w="1234" w:type="dxa"/>
                  <w:tcBorders>
                    <w:top w:val="double" w:sz="4" w:space="0" w:color="000000"/>
                    <w:left w:val="single" w:sz="4" w:space="0" w:color="000000"/>
                    <w:bottom w:val="double" w:sz="4" w:space="0" w:color="000000"/>
                    <w:right w:val="single" w:sz="4" w:space="0" w:color="000000"/>
                  </w:tcBorders>
                </w:tcPr>
                <w:p w14:paraId="20174EEB" w14:textId="77777777" w:rsidR="006A5F66" w:rsidRDefault="00000000">
                  <w:pPr>
                    <w:spacing w:after="0" w:line="259" w:lineRule="auto"/>
                    <w:ind w:left="2" w:firstLine="0"/>
                    <w:jc w:val="center"/>
                  </w:pPr>
                  <w:r>
                    <w:t xml:space="preserve">941 </w:t>
                  </w:r>
                </w:p>
              </w:tc>
            </w:tr>
            <w:tr w:rsidR="006A5F66" w14:paraId="309105CF" w14:textId="77777777">
              <w:trPr>
                <w:trHeight w:val="463"/>
              </w:trPr>
              <w:tc>
                <w:tcPr>
                  <w:tcW w:w="1234" w:type="dxa"/>
                  <w:tcBorders>
                    <w:top w:val="double" w:sz="4" w:space="0" w:color="000000"/>
                    <w:left w:val="single" w:sz="4" w:space="0" w:color="000000"/>
                    <w:bottom w:val="single" w:sz="4" w:space="0" w:color="000000"/>
                    <w:right w:val="single" w:sz="4" w:space="0" w:color="000000"/>
                  </w:tcBorders>
                </w:tcPr>
                <w:p w14:paraId="334D1E52" w14:textId="77777777" w:rsidR="006A5F66" w:rsidRDefault="00000000">
                  <w:pPr>
                    <w:spacing w:after="0" w:line="259" w:lineRule="auto"/>
                    <w:ind w:left="2" w:firstLine="0"/>
                    <w:jc w:val="center"/>
                  </w:pPr>
                  <w:r>
                    <w:t xml:space="preserve">856 </w:t>
                  </w:r>
                </w:p>
              </w:tc>
            </w:tr>
          </w:tbl>
          <w:p w14:paraId="46989DC1" w14:textId="77777777" w:rsidR="006A5F66" w:rsidRDefault="006A5F66">
            <w:pPr>
              <w:spacing w:after="160" w:line="259" w:lineRule="auto"/>
              <w:ind w:left="0" w:firstLine="0"/>
              <w:jc w:val="left"/>
            </w:pPr>
          </w:p>
        </w:tc>
        <w:tc>
          <w:tcPr>
            <w:tcW w:w="1134" w:type="dxa"/>
            <w:tcBorders>
              <w:top w:val="nil"/>
              <w:left w:val="nil"/>
              <w:bottom w:val="nil"/>
              <w:right w:val="nil"/>
            </w:tcBorders>
          </w:tcPr>
          <w:p w14:paraId="67E8E0DC" w14:textId="77777777" w:rsidR="006A5F66" w:rsidRDefault="006A5F66">
            <w:pPr>
              <w:spacing w:after="0" w:line="259" w:lineRule="auto"/>
              <w:ind w:left="-8779" w:right="20" w:firstLine="0"/>
              <w:jc w:val="left"/>
            </w:pPr>
          </w:p>
          <w:tbl>
            <w:tblPr>
              <w:tblStyle w:val="TableGrid"/>
              <w:tblW w:w="1092" w:type="dxa"/>
              <w:tblInd w:w="22" w:type="dxa"/>
              <w:tblCellMar>
                <w:top w:w="67" w:type="dxa"/>
                <w:left w:w="115" w:type="dxa"/>
                <w:bottom w:w="0" w:type="dxa"/>
                <w:right w:w="115" w:type="dxa"/>
              </w:tblCellMar>
              <w:tblLook w:val="04A0" w:firstRow="1" w:lastRow="0" w:firstColumn="1" w:lastColumn="0" w:noHBand="0" w:noVBand="1"/>
            </w:tblPr>
            <w:tblGrid>
              <w:gridCol w:w="1092"/>
            </w:tblGrid>
            <w:tr w:rsidR="006A5F66" w14:paraId="6C320A51" w14:textId="77777777">
              <w:trPr>
                <w:trHeight w:val="394"/>
              </w:trPr>
              <w:tc>
                <w:tcPr>
                  <w:tcW w:w="1092" w:type="dxa"/>
                  <w:tcBorders>
                    <w:top w:val="single" w:sz="4" w:space="0" w:color="000000"/>
                    <w:left w:val="single" w:sz="4" w:space="0" w:color="000000"/>
                    <w:bottom w:val="double" w:sz="4" w:space="0" w:color="000000"/>
                    <w:right w:val="single" w:sz="4" w:space="0" w:color="000000"/>
                  </w:tcBorders>
                </w:tcPr>
                <w:p w14:paraId="6C073967" w14:textId="77777777" w:rsidR="006A5F66" w:rsidRDefault="00000000">
                  <w:pPr>
                    <w:spacing w:after="0" w:line="259" w:lineRule="auto"/>
                    <w:ind w:left="2" w:firstLine="0"/>
                    <w:jc w:val="center"/>
                  </w:pPr>
                  <w:r>
                    <w:rPr>
                      <w:b/>
                    </w:rPr>
                    <w:t xml:space="preserve">2023 </w:t>
                  </w:r>
                </w:p>
              </w:tc>
            </w:tr>
            <w:tr w:rsidR="006A5F66" w14:paraId="0952812B" w14:textId="77777777">
              <w:trPr>
                <w:trHeight w:val="415"/>
              </w:trPr>
              <w:tc>
                <w:tcPr>
                  <w:tcW w:w="1092" w:type="dxa"/>
                  <w:tcBorders>
                    <w:top w:val="double" w:sz="4" w:space="0" w:color="000000"/>
                    <w:left w:val="single" w:sz="4" w:space="0" w:color="000000"/>
                    <w:bottom w:val="double" w:sz="4" w:space="0" w:color="000000"/>
                    <w:right w:val="single" w:sz="4" w:space="0" w:color="000000"/>
                  </w:tcBorders>
                </w:tcPr>
                <w:p w14:paraId="56C2C6D3" w14:textId="77777777" w:rsidR="006A5F66" w:rsidRDefault="00000000">
                  <w:pPr>
                    <w:spacing w:after="0" w:line="259" w:lineRule="auto"/>
                    <w:ind w:left="1" w:firstLine="0"/>
                    <w:jc w:val="center"/>
                  </w:pPr>
                  <w:r>
                    <w:t xml:space="preserve">1.24 </w:t>
                  </w:r>
                </w:p>
              </w:tc>
            </w:tr>
            <w:tr w:rsidR="006A5F66" w14:paraId="451F4CE1" w14:textId="77777777">
              <w:trPr>
                <w:trHeight w:val="418"/>
              </w:trPr>
              <w:tc>
                <w:tcPr>
                  <w:tcW w:w="1092" w:type="dxa"/>
                  <w:tcBorders>
                    <w:top w:val="double" w:sz="4" w:space="0" w:color="000000"/>
                    <w:left w:val="single" w:sz="4" w:space="0" w:color="000000"/>
                    <w:bottom w:val="double" w:sz="4" w:space="0" w:color="000000"/>
                    <w:right w:val="single" w:sz="4" w:space="0" w:color="000000"/>
                  </w:tcBorders>
                </w:tcPr>
                <w:p w14:paraId="3D321368" w14:textId="77777777" w:rsidR="006A5F66" w:rsidRDefault="00000000">
                  <w:pPr>
                    <w:spacing w:after="0" w:line="259" w:lineRule="auto"/>
                    <w:ind w:left="1" w:firstLine="0"/>
                    <w:jc w:val="center"/>
                  </w:pPr>
                  <w:r>
                    <w:t xml:space="preserve">1.23 </w:t>
                  </w:r>
                </w:p>
              </w:tc>
            </w:tr>
            <w:tr w:rsidR="006A5F66" w14:paraId="7A422CED" w14:textId="77777777">
              <w:trPr>
                <w:trHeight w:val="415"/>
              </w:trPr>
              <w:tc>
                <w:tcPr>
                  <w:tcW w:w="1092" w:type="dxa"/>
                  <w:tcBorders>
                    <w:top w:val="double" w:sz="4" w:space="0" w:color="000000"/>
                    <w:left w:val="single" w:sz="4" w:space="0" w:color="000000"/>
                    <w:bottom w:val="double" w:sz="4" w:space="0" w:color="000000"/>
                    <w:right w:val="single" w:sz="4" w:space="0" w:color="000000"/>
                  </w:tcBorders>
                </w:tcPr>
                <w:p w14:paraId="5CD5343F" w14:textId="77777777" w:rsidR="006A5F66" w:rsidRDefault="00000000">
                  <w:pPr>
                    <w:spacing w:after="0" w:line="259" w:lineRule="auto"/>
                    <w:ind w:left="0" w:right="2" w:firstLine="0"/>
                    <w:jc w:val="center"/>
                  </w:pPr>
                  <w:r>
                    <w:t xml:space="preserve">1,121 </w:t>
                  </w:r>
                </w:p>
              </w:tc>
            </w:tr>
            <w:tr w:rsidR="006A5F66" w14:paraId="5876A1B0" w14:textId="77777777">
              <w:trPr>
                <w:trHeight w:val="463"/>
              </w:trPr>
              <w:tc>
                <w:tcPr>
                  <w:tcW w:w="1092" w:type="dxa"/>
                  <w:tcBorders>
                    <w:top w:val="double" w:sz="4" w:space="0" w:color="000000"/>
                    <w:left w:val="single" w:sz="4" w:space="0" w:color="000000"/>
                    <w:bottom w:val="single" w:sz="4" w:space="0" w:color="000000"/>
                    <w:right w:val="single" w:sz="4" w:space="0" w:color="000000"/>
                  </w:tcBorders>
                </w:tcPr>
                <w:p w14:paraId="57C26A58" w14:textId="77777777" w:rsidR="006A5F66" w:rsidRDefault="00000000">
                  <w:pPr>
                    <w:spacing w:after="0" w:line="259" w:lineRule="auto"/>
                    <w:ind w:left="0" w:right="2" w:firstLine="0"/>
                    <w:jc w:val="center"/>
                  </w:pPr>
                  <w:r>
                    <w:t xml:space="preserve">1,023 </w:t>
                  </w:r>
                </w:p>
              </w:tc>
            </w:tr>
          </w:tbl>
          <w:p w14:paraId="5A25B01B" w14:textId="77777777" w:rsidR="006A5F66" w:rsidRDefault="006A5F66">
            <w:pPr>
              <w:spacing w:after="160" w:line="259" w:lineRule="auto"/>
              <w:ind w:left="0" w:firstLine="0"/>
              <w:jc w:val="left"/>
            </w:pPr>
          </w:p>
        </w:tc>
        <w:tc>
          <w:tcPr>
            <w:tcW w:w="1240" w:type="dxa"/>
            <w:tcBorders>
              <w:top w:val="nil"/>
              <w:left w:val="nil"/>
              <w:bottom w:val="nil"/>
              <w:right w:val="nil"/>
            </w:tcBorders>
          </w:tcPr>
          <w:p w14:paraId="72E1ED79" w14:textId="77777777" w:rsidR="006A5F66" w:rsidRDefault="006A5F66">
            <w:pPr>
              <w:spacing w:after="0" w:line="259" w:lineRule="auto"/>
              <w:ind w:left="-9913" w:right="11153" w:firstLine="0"/>
              <w:jc w:val="left"/>
            </w:pPr>
          </w:p>
          <w:tbl>
            <w:tblPr>
              <w:tblStyle w:val="TableGrid"/>
              <w:tblW w:w="1220" w:type="dxa"/>
              <w:tblInd w:w="20" w:type="dxa"/>
              <w:tblCellMar>
                <w:top w:w="67" w:type="dxa"/>
                <w:left w:w="115" w:type="dxa"/>
                <w:bottom w:w="0" w:type="dxa"/>
                <w:right w:w="115" w:type="dxa"/>
              </w:tblCellMar>
              <w:tblLook w:val="04A0" w:firstRow="1" w:lastRow="0" w:firstColumn="1" w:lastColumn="0" w:noHBand="0" w:noVBand="1"/>
            </w:tblPr>
            <w:tblGrid>
              <w:gridCol w:w="1220"/>
            </w:tblGrid>
            <w:tr w:rsidR="006A5F66" w14:paraId="64326370" w14:textId="77777777">
              <w:trPr>
                <w:trHeight w:val="394"/>
              </w:trPr>
              <w:tc>
                <w:tcPr>
                  <w:tcW w:w="1220" w:type="dxa"/>
                  <w:tcBorders>
                    <w:top w:val="single" w:sz="4" w:space="0" w:color="000000"/>
                    <w:left w:val="single" w:sz="4" w:space="0" w:color="000000"/>
                    <w:bottom w:val="double" w:sz="4" w:space="0" w:color="000000"/>
                    <w:right w:val="single" w:sz="4" w:space="0" w:color="000000"/>
                  </w:tcBorders>
                </w:tcPr>
                <w:p w14:paraId="606029D9" w14:textId="77777777" w:rsidR="006A5F66" w:rsidRDefault="00000000">
                  <w:pPr>
                    <w:spacing w:after="0" w:line="259" w:lineRule="auto"/>
                    <w:ind w:left="0" w:firstLine="0"/>
                    <w:jc w:val="center"/>
                  </w:pPr>
                  <w:r>
                    <w:rPr>
                      <w:b/>
                    </w:rPr>
                    <w:t xml:space="preserve">2024 </w:t>
                  </w:r>
                </w:p>
              </w:tc>
            </w:tr>
            <w:tr w:rsidR="006A5F66" w14:paraId="1B350C91" w14:textId="77777777">
              <w:trPr>
                <w:trHeight w:val="415"/>
              </w:trPr>
              <w:tc>
                <w:tcPr>
                  <w:tcW w:w="1220" w:type="dxa"/>
                  <w:tcBorders>
                    <w:top w:val="double" w:sz="4" w:space="0" w:color="000000"/>
                    <w:left w:val="single" w:sz="4" w:space="0" w:color="000000"/>
                    <w:bottom w:val="double" w:sz="4" w:space="0" w:color="000000"/>
                    <w:right w:val="single" w:sz="4" w:space="0" w:color="000000"/>
                  </w:tcBorders>
                </w:tcPr>
                <w:p w14:paraId="7C1DB852" w14:textId="77777777" w:rsidR="006A5F66" w:rsidRDefault="00000000">
                  <w:pPr>
                    <w:spacing w:after="0" w:line="259" w:lineRule="auto"/>
                    <w:ind w:left="0" w:right="1" w:firstLine="0"/>
                    <w:jc w:val="center"/>
                  </w:pPr>
                  <w:r>
                    <w:t xml:space="preserve">1.27 </w:t>
                  </w:r>
                </w:p>
              </w:tc>
            </w:tr>
            <w:tr w:rsidR="006A5F66" w14:paraId="0C7F5673" w14:textId="77777777">
              <w:trPr>
                <w:trHeight w:val="418"/>
              </w:trPr>
              <w:tc>
                <w:tcPr>
                  <w:tcW w:w="1220" w:type="dxa"/>
                  <w:tcBorders>
                    <w:top w:val="double" w:sz="4" w:space="0" w:color="000000"/>
                    <w:left w:val="single" w:sz="4" w:space="0" w:color="000000"/>
                    <w:bottom w:val="double" w:sz="4" w:space="0" w:color="000000"/>
                    <w:right w:val="single" w:sz="4" w:space="0" w:color="000000"/>
                  </w:tcBorders>
                </w:tcPr>
                <w:p w14:paraId="5D2FC402" w14:textId="77777777" w:rsidR="006A5F66" w:rsidRDefault="00000000">
                  <w:pPr>
                    <w:spacing w:after="0" w:line="259" w:lineRule="auto"/>
                    <w:ind w:left="0" w:right="1" w:firstLine="0"/>
                    <w:jc w:val="center"/>
                  </w:pPr>
                  <w:r>
                    <w:t xml:space="preserve">1.27 </w:t>
                  </w:r>
                </w:p>
              </w:tc>
            </w:tr>
            <w:tr w:rsidR="006A5F66" w14:paraId="61BDF5BC" w14:textId="77777777">
              <w:trPr>
                <w:trHeight w:val="415"/>
              </w:trPr>
              <w:tc>
                <w:tcPr>
                  <w:tcW w:w="1220" w:type="dxa"/>
                  <w:tcBorders>
                    <w:top w:val="double" w:sz="4" w:space="0" w:color="000000"/>
                    <w:left w:val="single" w:sz="4" w:space="0" w:color="000000"/>
                    <w:bottom w:val="double" w:sz="4" w:space="0" w:color="000000"/>
                    <w:right w:val="single" w:sz="4" w:space="0" w:color="000000"/>
                  </w:tcBorders>
                </w:tcPr>
                <w:p w14:paraId="0C242577" w14:textId="77777777" w:rsidR="006A5F66" w:rsidRDefault="00000000">
                  <w:pPr>
                    <w:spacing w:after="0" w:line="259" w:lineRule="auto"/>
                    <w:ind w:left="1" w:firstLine="0"/>
                    <w:jc w:val="center"/>
                  </w:pPr>
                  <w:r>
                    <w:t xml:space="preserve">1,198 </w:t>
                  </w:r>
                </w:p>
              </w:tc>
            </w:tr>
            <w:tr w:rsidR="006A5F66" w14:paraId="57CF50C8" w14:textId="77777777">
              <w:trPr>
                <w:trHeight w:val="463"/>
              </w:trPr>
              <w:tc>
                <w:tcPr>
                  <w:tcW w:w="1220" w:type="dxa"/>
                  <w:tcBorders>
                    <w:top w:val="double" w:sz="4" w:space="0" w:color="000000"/>
                    <w:left w:val="single" w:sz="4" w:space="0" w:color="000000"/>
                    <w:bottom w:val="single" w:sz="4" w:space="0" w:color="000000"/>
                    <w:right w:val="single" w:sz="4" w:space="0" w:color="000000"/>
                  </w:tcBorders>
                </w:tcPr>
                <w:p w14:paraId="4F890D48" w14:textId="77777777" w:rsidR="006A5F66" w:rsidRDefault="00000000">
                  <w:pPr>
                    <w:spacing w:after="0" w:line="259" w:lineRule="auto"/>
                    <w:ind w:left="1" w:firstLine="0"/>
                    <w:jc w:val="center"/>
                  </w:pPr>
                  <w:r>
                    <w:t xml:space="preserve">1,092 </w:t>
                  </w:r>
                </w:p>
              </w:tc>
            </w:tr>
          </w:tbl>
          <w:p w14:paraId="475AE963" w14:textId="77777777" w:rsidR="006A5F66" w:rsidRDefault="006A5F66">
            <w:pPr>
              <w:spacing w:after="160" w:line="259" w:lineRule="auto"/>
              <w:ind w:left="0" w:firstLine="0"/>
              <w:jc w:val="left"/>
            </w:pPr>
          </w:p>
        </w:tc>
      </w:tr>
    </w:tbl>
    <w:p w14:paraId="0E773388" w14:textId="77777777" w:rsidR="006A5F66" w:rsidRDefault="00000000">
      <w:pPr>
        <w:spacing w:after="35" w:line="259" w:lineRule="auto"/>
        <w:ind w:left="65" w:firstLine="0"/>
        <w:jc w:val="left"/>
      </w:pPr>
      <w:r>
        <w:t xml:space="preserve"> </w:t>
      </w:r>
    </w:p>
    <w:p w14:paraId="0E00B2BD" w14:textId="77777777" w:rsidR="006A5F66" w:rsidRDefault="00000000">
      <w:pPr>
        <w:spacing w:after="20" w:line="259" w:lineRule="auto"/>
        <w:ind w:left="65" w:firstLine="0"/>
        <w:jc w:val="left"/>
      </w:pPr>
      <w:r>
        <w:t xml:space="preserve"> </w:t>
      </w:r>
      <w:r>
        <w:tab/>
        <w:t xml:space="preserve"> </w:t>
      </w:r>
      <w:r>
        <w:tab/>
        <w:t xml:space="preserve"> </w:t>
      </w:r>
      <w:r>
        <w:tab/>
        <w:t xml:space="preserve"> </w:t>
      </w:r>
      <w:r>
        <w:tab/>
        <w:t xml:space="preserve"> </w:t>
      </w:r>
      <w:r>
        <w:tab/>
        <w:t xml:space="preserve"> </w:t>
      </w:r>
    </w:p>
    <w:p w14:paraId="4BD5B754" w14:textId="77777777" w:rsidR="006A5F66" w:rsidRDefault="00000000">
      <w:pPr>
        <w:spacing w:after="63" w:line="259" w:lineRule="auto"/>
        <w:ind w:left="65" w:firstLine="0"/>
        <w:jc w:val="left"/>
      </w:pPr>
      <w:r>
        <w:t xml:space="preserve"> </w:t>
      </w:r>
    </w:p>
    <w:p w14:paraId="60E6F3F8" w14:textId="77777777" w:rsidR="006A5F66" w:rsidRDefault="00000000">
      <w:pPr>
        <w:spacing w:after="14"/>
        <w:ind w:left="9"/>
        <w:jc w:val="left"/>
      </w:pPr>
      <w:r>
        <w:rPr>
          <w:i/>
        </w:rPr>
        <w:t xml:space="preserve">Source: Adapted from InterContinental Hotels Group PLC Annual Reports (2021–2025) </w:t>
      </w:r>
    </w:p>
    <w:p w14:paraId="172A64DC" w14:textId="77777777" w:rsidR="006A5F66" w:rsidRDefault="00000000">
      <w:pPr>
        <w:spacing w:after="20" w:line="259" w:lineRule="auto"/>
        <w:ind w:left="14" w:firstLine="0"/>
        <w:jc w:val="left"/>
      </w:pPr>
      <w:r>
        <w:rPr>
          <w:i/>
        </w:rPr>
        <w:t xml:space="preserve"> </w:t>
      </w:r>
    </w:p>
    <w:p w14:paraId="506C17C0" w14:textId="77777777" w:rsidR="006A5F66" w:rsidRDefault="00000000">
      <w:pPr>
        <w:spacing w:after="22" w:line="259" w:lineRule="auto"/>
        <w:ind w:left="14" w:firstLine="0"/>
        <w:jc w:val="left"/>
      </w:pPr>
      <w:r>
        <w:rPr>
          <w:i/>
        </w:rPr>
        <w:t xml:space="preserve"> </w:t>
      </w:r>
    </w:p>
    <w:p w14:paraId="5DD7F3B2" w14:textId="77777777" w:rsidR="006A5F66" w:rsidRDefault="00000000">
      <w:pPr>
        <w:pStyle w:val="Heading2"/>
        <w:spacing w:after="395"/>
        <w:ind w:left="17"/>
      </w:pPr>
      <w:r>
        <w:rPr>
          <w:sz w:val="24"/>
        </w:rPr>
        <w:t xml:space="preserve">Interpretation </w:t>
      </w:r>
    </w:p>
    <w:p w14:paraId="40ACD06D" w14:textId="77777777" w:rsidR="006A5F66" w:rsidRDefault="00000000">
      <w:pPr>
        <w:spacing w:after="390"/>
        <w:ind w:left="17" w:right="40"/>
      </w:pPr>
      <w:r>
        <w:t xml:space="preserve">IHG's liquidity position should be evaluated using both traditional liquidity ratios and its ability to generate sustainable operating cash flows. Although the current and quick ratios remained close to </w:t>
      </w:r>
      <w:r>
        <w:rPr>
          <w:b/>
        </w:rPr>
        <w:t>1</w:t>
      </w:r>
      <w:r>
        <w:t xml:space="preserve"> throughout the review period, this is characteristic of asset-light hospitality companies such as </w:t>
      </w:r>
      <w:r>
        <w:rPr>
          <w:b/>
        </w:rPr>
        <w:t>IHG, Marriott International, and Hilton Worldwide</w:t>
      </w:r>
      <w:r>
        <w:t xml:space="preserve">, which rely on recurring franchise and management fee income rather than maintaining large inventories or significant working capital balances (InterContinental Hotels Group PLC, 2025). According to </w:t>
      </w:r>
      <w:proofErr w:type="spellStart"/>
      <w:r>
        <w:t>Atrill</w:t>
      </w:r>
      <w:proofErr w:type="spellEnd"/>
      <w:r>
        <w:t xml:space="preserve"> and McLaney (2022), liquidity ratios should be interpreted within the context of the industry because </w:t>
      </w:r>
      <w:proofErr w:type="spellStart"/>
      <w:r>
        <w:t>servicebased</w:t>
      </w:r>
      <w:proofErr w:type="spellEnd"/>
      <w:r>
        <w:t xml:space="preserve"> organisations generally require lower levels of current assets than manufacturing businesses.  </w:t>
      </w:r>
    </w:p>
    <w:p w14:paraId="40C4BA7E" w14:textId="77777777" w:rsidR="006A5F66" w:rsidRDefault="00000000">
      <w:pPr>
        <w:ind w:left="17" w:right="40"/>
      </w:pPr>
      <w:r>
        <w:t xml:space="preserve">The steady improvement in operating cash flow, increasing from </w:t>
      </w:r>
      <w:r>
        <w:rPr>
          <w:b/>
        </w:rPr>
        <w:t>US$323 million in 2020</w:t>
      </w:r>
      <w:r>
        <w:t xml:space="preserve"> to </w:t>
      </w:r>
      <w:r>
        <w:rPr>
          <w:b/>
        </w:rPr>
        <w:t>US$1.20 billion in 2024</w:t>
      </w:r>
      <w:r>
        <w:t xml:space="preserve">, demonstrates IHG's strengthened capacity to finance day-to-day operations, meet short-term obligations, and support shareholder returns without excessive reliance on external borrowing (InterContinental Hotels Group PLC, 2025). Strong cash generation also reflects the recovery in global travel demand, higher occupancy rates, and increased Revenue per Available Room (RevPAR), which enhanced recurring franchise and management fee income. </w:t>
      </w:r>
    </w:p>
    <w:p w14:paraId="563345E5" w14:textId="77777777" w:rsidR="006A5F66" w:rsidRDefault="00000000">
      <w:pPr>
        <w:spacing w:after="508"/>
        <w:ind w:left="17" w:right="40"/>
      </w:pPr>
      <w:r>
        <w:t xml:space="preserve">Effective cash management remains essential because liquidity is influenced by the timing of franchise fee collections, owner reimbursements, loyalty programme settlements, and seasonal fluctuations in travel demand. Consequently, maintaining adequate cash reserves and committed revolving credit facilities provides additional financial flexibility and reduces refinancing risk during periods of economic uncertainty (Brigham and Ehrhardt, 2022). Ross et al. (2022) argue that organisations with predictable operating cash flows and prudent liquidity management are better positioned to withstand market volatility while continuing to invest in growth opportunities and maximise shareholder value </w:t>
      </w:r>
    </w:p>
    <w:p w14:paraId="080D3F08" w14:textId="77777777" w:rsidR="006A5F66" w:rsidRDefault="00000000">
      <w:pPr>
        <w:pStyle w:val="Heading2"/>
        <w:ind w:left="9"/>
      </w:pPr>
      <w:r>
        <w:t xml:space="preserve">2.3 Implications of Operating and Free Cash Flow </w:t>
      </w:r>
    </w:p>
    <w:p w14:paraId="7F37CB67" w14:textId="77777777" w:rsidR="006A5F66" w:rsidRDefault="00000000">
      <w:pPr>
        <w:spacing w:after="234"/>
        <w:ind w:left="17" w:right="40"/>
      </w:pPr>
      <w:r>
        <w:t xml:space="preserve">Strong operating cash flow enhances IHG's day-to-day liquidity, enabling the company to meet financial obligations despite relatively modest working capital ratios (InterContinental Hotels Group PLC, 2025). Improved free cash flow supports dividends, share repurchases, debt servicing, and strategic investment while strengthening resilience against higher financing costs and macroeconomic uncertainty (Ross et al., 2022). </w:t>
      </w:r>
    </w:p>
    <w:p w14:paraId="1A8322C9" w14:textId="77777777" w:rsidR="006A5F66" w:rsidRDefault="00000000">
      <w:pPr>
        <w:pStyle w:val="Heading2"/>
        <w:ind w:left="9"/>
      </w:pPr>
      <w:r>
        <w:lastRenderedPageBreak/>
        <w:t xml:space="preserve">2.4 Recommendations for Improving Cash Management and Working Capital Efficiency </w:t>
      </w:r>
    </w:p>
    <w:p w14:paraId="33DA2FF1" w14:textId="77777777" w:rsidR="006A5F66" w:rsidRDefault="00000000">
      <w:pPr>
        <w:pStyle w:val="Heading3"/>
        <w:spacing w:after="0"/>
        <w:ind w:left="17"/>
      </w:pPr>
      <w:r>
        <w:rPr>
          <w:sz w:val="24"/>
        </w:rPr>
        <w:t xml:space="preserve">Receivables Discipline </w:t>
      </w:r>
    </w:p>
    <w:p w14:paraId="546E0FDC" w14:textId="77777777" w:rsidR="006A5F66" w:rsidRDefault="00000000">
      <w:pPr>
        <w:ind w:left="17" w:right="40"/>
      </w:pPr>
      <w:r>
        <w:t>IHG should strengthen the monitoring of franchise and management fee receivables by implementing automated ageing reports, real-time payment tracking, and clearly defined settlement terms within owner contracts. Improving receivables management would accelerate cash collections, reduce credit risk, and strengthen operating cash flows, thereby enhancing overall working capital efficiency (</w:t>
      </w:r>
      <w:proofErr w:type="spellStart"/>
      <w:r>
        <w:t>Atrill</w:t>
      </w:r>
      <w:proofErr w:type="spellEnd"/>
      <w:r>
        <w:t xml:space="preserve"> and McLaney, 2022; InterContinental Hotels Group PLC, 2025). </w:t>
      </w:r>
    </w:p>
    <w:p w14:paraId="1D634690" w14:textId="77777777" w:rsidR="006A5F66" w:rsidRDefault="00000000">
      <w:pPr>
        <w:pStyle w:val="Heading3"/>
        <w:spacing w:after="0"/>
        <w:ind w:left="17"/>
      </w:pPr>
      <w:r>
        <w:rPr>
          <w:sz w:val="24"/>
        </w:rPr>
        <w:t xml:space="preserve">Payables Optimisation </w:t>
      </w:r>
    </w:p>
    <w:p w14:paraId="0496BB69" w14:textId="77777777" w:rsidR="006A5F66" w:rsidRDefault="00000000">
      <w:pPr>
        <w:ind w:left="17" w:right="40"/>
      </w:pPr>
      <w:r>
        <w:t xml:space="preserve">The company should maintain structured payment schedules while negotiating supplier terms that preserve liquidity without compromising supplier relationships or service quality. Effective payables management supports cash flow stability and enables businesses to optimise working capital without damaging operational performance or long-term partnerships (Ross et al., 2022). </w:t>
      </w:r>
    </w:p>
    <w:p w14:paraId="25A06E5B" w14:textId="77777777" w:rsidR="006A5F66" w:rsidRDefault="00000000">
      <w:pPr>
        <w:pStyle w:val="Heading3"/>
        <w:spacing w:after="0"/>
        <w:ind w:left="17"/>
      </w:pPr>
      <w:r>
        <w:rPr>
          <w:sz w:val="24"/>
        </w:rPr>
        <w:t xml:space="preserve">Liquidity Buffers and Cash Forecasting </w:t>
      </w:r>
    </w:p>
    <w:p w14:paraId="16B67047" w14:textId="77777777" w:rsidR="006A5F66" w:rsidRDefault="00000000">
      <w:pPr>
        <w:ind w:left="17" w:right="40"/>
      </w:pPr>
      <w:r>
        <w:t xml:space="preserve">IHG should enhance scenario-based cash flow forecasting by incorporating potential demand shocks, geopolitical risks, foreign exchange volatility, and inflationary pressures into its financial planning. Maintaining adequate cash reserves and committed revolving credit facilities would improve financial resilience and reduce refinancing risk during periods of economic uncertainty (Brigham and Ehrhardt, 2022; InterContinental Hotels Group PLC, 2025). </w:t>
      </w:r>
    </w:p>
    <w:p w14:paraId="6FFE17C0" w14:textId="77777777" w:rsidR="006A5F66" w:rsidRDefault="00000000">
      <w:pPr>
        <w:pStyle w:val="Heading3"/>
        <w:spacing w:after="0"/>
        <w:ind w:left="17"/>
      </w:pPr>
      <w:r>
        <w:rPr>
          <w:sz w:val="24"/>
        </w:rPr>
        <w:t xml:space="preserve">Cost Management and Cash Conversion </w:t>
      </w:r>
    </w:p>
    <w:p w14:paraId="01E2174A" w14:textId="77777777" w:rsidR="006A5F66" w:rsidRDefault="00000000">
      <w:pPr>
        <w:spacing w:after="36"/>
        <w:ind w:left="17" w:right="40"/>
      </w:pPr>
      <w:r>
        <w:t xml:space="preserve">The company should continue implementing disciplined cost management initiatives while protecting guest experience, service quality, and brand standards. Improving operational efficiency and cash conversion will strengthen free cash flow, support long-term investment, and sustain shareholder returns throughout changing economic conditions (Brealey, Myers and Allen, 2023; InterContinental Hotels Group PLC, 2025). </w:t>
      </w:r>
    </w:p>
    <w:p w14:paraId="59A43325" w14:textId="77777777" w:rsidR="006A5F66" w:rsidRDefault="00000000">
      <w:pPr>
        <w:spacing w:after="0" w:line="259" w:lineRule="auto"/>
        <w:ind w:left="0" w:firstLine="0"/>
        <w:jc w:val="right"/>
      </w:pPr>
      <w:r>
        <w:rPr>
          <w:noProof/>
          <w:sz w:val="22"/>
        </w:rPr>
        <mc:AlternateContent>
          <mc:Choice Requires="wpg">
            <w:drawing>
              <wp:inline distT="0" distB="0" distL="0" distR="0" wp14:anchorId="0263F0B1" wp14:editId="4F155CBD">
                <wp:extent cx="6847840" cy="9525"/>
                <wp:effectExtent l="0" t="0" r="0" b="0"/>
                <wp:docPr id="38003" name="Group 38003"/>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4644" name="Shape 4644"/>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8003" style="width:539.2pt;height:0.75pt;mso-position-horizontal-relative:char;mso-position-vertical-relative:line" coordsize="68478,95">
                <v:shape id="Shape 4644"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0B4AF44E" w14:textId="77777777" w:rsidR="006A5F66" w:rsidRDefault="00000000">
      <w:pPr>
        <w:pStyle w:val="Heading1"/>
        <w:spacing w:after="270"/>
        <w:ind w:left="9"/>
      </w:pPr>
      <w:r>
        <w:t xml:space="preserve">3. Strategic Financial Restructuring Plan </w:t>
      </w:r>
    </w:p>
    <w:p w14:paraId="558B00FE" w14:textId="77777777" w:rsidR="006A5F66" w:rsidRDefault="00000000">
      <w:pPr>
        <w:pStyle w:val="Heading2"/>
        <w:ind w:left="9"/>
      </w:pPr>
      <w:r>
        <w:t xml:space="preserve">3.1 Need for Restructuring </w:t>
      </w:r>
    </w:p>
    <w:p w14:paraId="50B1F401" w14:textId="77777777" w:rsidR="006A5F66" w:rsidRDefault="00000000">
      <w:pPr>
        <w:spacing w:after="234"/>
        <w:ind w:left="17" w:right="40"/>
      </w:pPr>
      <w:r>
        <w:t xml:space="preserve">Despite IHG's strong recovery between 2020 and 2024, strategic restructuring remains important to protect profitability and maintain financial flexibility amid inflation, higher financing costs, and geopolitical uncertainty (InterContinental Hotels Group PLC, 2025). Priorities should include cost discipline, portfolio optimisation, and targeted investment in brands and digital platforms to support sustainable fee income growth (Brealey, Myers and Allen, 2023). </w:t>
      </w:r>
    </w:p>
    <w:p w14:paraId="55EA9B23" w14:textId="77777777" w:rsidR="006A5F66" w:rsidRDefault="00000000">
      <w:pPr>
        <w:pStyle w:val="Heading2"/>
        <w:ind w:left="9"/>
      </w:pPr>
      <w:r>
        <w:t xml:space="preserve">3.2 Restructuring Options </w:t>
      </w:r>
    </w:p>
    <w:p w14:paraId="244E6037" w14:textId="77777777" w:rsidR="006A5F66" w:rsidRDefault="00000000">
      <w:pPr>
        <w:spacing w:after="120"/>
        <w:ind w:left="17" w:right="40"/>
      </w:pPr>
      <w:r>
        <w:t xml:space="preserve">IHG can strengthen its long-term financial resilience through three complementary restructuring strategies.  </w:t>
      </w:r>
    </w:p>
    <w:p w14:paraId="6DCDD0EE" w14:textId="77777777" w:rsidR="006A5F66" w:rsidRDefault="00000000">
      <w:pPr>
        <w:spacing w:after="118"/>
        <w:ind w:left="17" w:right="40"/>
      </w:pPr>
      <w:r>
        <w:rPr>
          <w:b/>
        </w:rPr>
        <w:t>First</w:t>
      </w:r>
      <w:r>
        <w:t xml:space="preserve">, portfolio and cost-base optimisation should focus on reducing overheads, prioritising high-performing brands and markets, and reallocating resources towards high-return initiatives such as digital distribution, the IHG One Rewards loyalty programme, and owner support services. This would enhance operating efficiency, improve margins, and strengthen free cash flow generation (InterContinental Hotels Group PLC, 2025).  </w:t>
      </w:r>
    </w:p>
    <w:p w14:paraId="0BD52816" w14:textId="77777777" w:rsidR="006A5F66" w:rsidRDefault="00000000">
      <w:pPr>
        <w:spacing w:after="118"/>
        <w:ind w:left="17" w:right="40"/>
      </w:pPr>
      <w:r>
        <w:rPr>
          <w:b/>
        </w:rPr>
        <w:t>Second</w:t>
      </w:r>
      <w:r>
        <w:t xml:space="preserve">, capital structure optimisation should involve refinancing existing debt, extending debt maturities, actively managing interest rate exposure, and maintaining sufficient liquidity facilities to minimise refinancing risk and preserve financial flexibility during periods of economic uncertainty (Brigham and Ehrhardt, 2022).  </w:t>
      </w:r>
    </w:p>
    <w:p w14:paraId="0B6F7D95" w14:textId="77777777" w:rsidR="006A5F66" w:rsidRDefault="00000000">
      <w:pPr>
        <w:spacing w:after="231"/>
        <w:ind w:left="17" w:right="40"/>
      </w:pPr>
      <w:r>
        <w:rPr>
          <w:b/>
        </w:rPr>
        <w:lastRenderedPageBreak/>
        <w:t>Finally</w:t>
      </w:r>
      <w:r>
        <w:t xml:space="preserve">, selective disposals of non-core investments and the renegotiation of underperforming contracts would improve capital efficiency, reduce earnings volatility, and allow management to focus on sustainable fee income growth. According to Brealey, Myers and Allen (2023), these restructuring initiatives enhance shareholder value by improving capital allocation while maintaining strategic competitiveness. </w:t>
      </w:r>
    </w:p>
    <w:p w14:paraId="4F316956" w14:textId="77777777" w:rsidR="006A5F66" w:rsidRDefault="00000000">
      <w:pPr>
        <w:pStyle w:val="Heading2"/>
        <w:ind w:left="9"/>
      </w:pPr>
      <w:r>
        <w:t xml:space="preserve">3.3 Impact Evaluation </w:t>
      </w:r>
    </w:p>
    <w:p w14:paraId="35A2E887" w14:textId="77777777" w:rsidR="006A5F66" w:rsidRDefault="00000000">
      <w:pPr>
        <w:spacing w:after="234"/>
        <w:ind w:left="17" w:right="40"/>
      </w:pPr>
      <w:r>
        <w:t xml:space="preserve">The proposed restructuring strategies are expected to strengthen shareholder value by improving operating margins, increasing free cash flow, and supporting sustainable growth in franchise and management fee income (InterContinental Hotels Group PLC, 2025). However, shareholder distributions should remain aligned with </w:t>
      </w:r>
      <w:proofErr w:type="spellStart"/>
      <w:r>
        <w:t>longterm</w:t>
      </w:r>
      <w:proofErr w:type="spellEnd"/>
      <w:r>
        <w:t xml:space="preserve"> cash generation to preserve financial resilience during periods of uncertainty. Optimising the capital structure through prudent leverage, debt refinancing, and strong interest coverage will reduce exposure to higher interest rates and refinancing risk (Brigham and Ehrhardt, 2022). Furthermore, maintaining adequate liquidity buffers will enhance financial flexibility, enabling IHG to invest in brand development, digital innovation, and global expansion while responding effectively to changing market conditions (Brealey, Myers and Allen, 2023). </w:t>
      </w:r>
    </w:p>
    <w:p w14:paraId="45BF462E" w14:textId="77777777" w:rsidR="006A5F66" w:rsidRDefault="00000000">
      <w:pPr>
        <w:pStyle w:val="Heading2"/>
        <w:ind w:left="9"/>
      </w:pPr>
      <w:r>
        <w:t xml:space="preserve">3.4 International Considerations </w:t>
      </w:r>
    </w:p>
    <w:p w14:paraId="55F422F5" w14:textId="77777777" w:rsidR="006A5F66" w:rsidRDefault="00000000">
      <w:pPr>
        <w:spacing w:after="233"/>
        <w:ind w:left="17" w:right="40"/>
      </w:pPr>
      <w:r>
        <w:t xml:space="preserve">The proposed restructuring strategies will strengthen shareholder value by improving margins, enhancing free cash flow, and supporting sustainable fee income growth (InterContinental Hotels Group PLC, 2025). Prudent leverage, effective debt management, and adequate liquidity reserves will improve financial flexibility and reduce refinancing risk during periods of economic uncertainty (Brigham and Ehrhardt, 2022; Brealey, Myers and Allen, 2023). </w:t>
      </w:r>
    </w:p>
    <w:p w14:paraId="11EDFF74" w14:textId="77777777" w:rsidR="006A5F66" w:rsidRDefault="00000000">
      <w:pPr>
        <w:pStyle w:val="Heading2"/>
        <w:ind w:left="9"/>
      </w:pPr>
      <w:r>
        <w:t xml:space="preserve">3.5 Ethical Considerations </w:t>
      </w:r>
    </w:p>
    <w:p w14:paraId="726DAE93" w14:textId="77777777" w:rsidR="006A5F66" w:rsidRDefault="00000000">
      <w:pPr>
        <w:spacing w:after="36"/>
        <w:ind w:left="17" w:right="40"/>
      </w:pPr>
      <w:r>
        <w:t>Strong environmental, social and governance (ESG) practices enhance IHG's brand reputation, stakeholder confidence, and long-term business sustainability (InterContinental Hotels Group PLC, 2025). Effective governance, responsible sourcing, employee welfare, data privacy, and transparent sustainability reporting reduce reputational risk while strengthening owner relationships and supporting access to capital (</w:t>
      </w:r>
      <w:proofErr w:type="spellStart"/>
      <w:proofErr w:type="gramStart"/>
      <w:r>
        <w:t>Brealey,Myers</w:t>
      </w:r>
      <w:proofErr w:type="spellEnd"/>
      <w:proofErr w:type="gramEnd"/>
      <w:r>
        <w:t xml:space="preserve"> and Allen, 2023).</w:t>
      </w:r>
    </w:p>
    <w:p w14:paraId="74CF2866" w14:textId="77777777" w:rsidR="006A5F66" w:rsidRDefault="00000000">
      <w:pPr>
        <w:spacing w:after="965" w:line="259" w:lineRule="auto"/>
        <w:ind w:left="0" w:firstLine="0"/>
        <w:jc w:val="right"/>
      </w:pPr>
      <w:r>
        <w:rPr>
          <w:noProof/>
          <w:sz w:val="22"/>
        </w:rPr>
        <mc:AlternateContent>
          <mc:Choice Requires="wpg">
            <w:drawing>
              <wp:inline distT="0" distB="0" distL="0" distR="0" wp14:anchorId="01939F79" wp14:editId="1759A326">
                <wp:extent cx="6847840" cy="9525"/>
                <wp:effectExtent l="0" t="0" r="0" b="0"/>
                <wp:docPr id="37648" name="Group 37648"/>
                <wp:cNvGraphicFramePr/>
                <a:graphic xmlns:a="http://schemas.openxmlformats.org/drawingml/2006/main">
                  <a:graphicData uri="http://schemas.microsoft.com/office/word/2010/wordprocessingGroup">
                    <wpg:wgp>
                      <wpg:cNvGrpSpPr/>
                      <wpg:grpSpPr>
                        <a:xfrm>
                          <a:off x="0" y="0"/>
                          <a:ext cx="6847840" cy="9525"/>
                          <a:chOff x="0" y="0"/>
                          <a:chExt cx="6847840" cy="9525"/>
                        </a:xfrm>
                      </wpg:grpSpPr>
                      <wps:wsp>
                        <wps:cNvPr id="4875" name="Shape 4875"/>
                        <wps:cNvSpPr/>
                        <wps:spPr>
                          <a:xfrm>
                            <a:off x="0" y="0"/>
                            <a:ext cx="6847840" cy="0"/>
                          </a:xfrm>
                          <a:custGeom>
                            <a:avLst/>
                            <a:gdLst/>
                            <a:ahLst/>
                            <a:cxnLst/>
                            <a:rect l="0" t="0" r="0" b="0"/>
                            <a:pathLst>
                              <a:path w="6847840">
                                <a:moveTo>
                                  <a:pt x="0" y="0"/>
                                </a:moveTo>
                                <a:lnTo>
                                  <a:pt x="6847840" y="0"/>
                                </a:lnTo>
                              </a:path>
                            </a:pathLst>
                          </a:custGeom>
                          <a:ln w="9525" cap="rnd">
                            <a:miter lim="127000"/>
                          </a:ln>
                        </wps:spPr>
                        <wps:style>
                          <a:lnRef idx="1">
                            <a:srgbClr val="BFC3C8"/>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37648" style="width:539.2pt;height:0.75pt;mso-position-horizontal-relative:char;mso-position-vertical-relative:line" coordsize="68478,95">
                <v:shape id="Shape 4875" style="position:absolute;width:68478;height:0;left:0;top:0;" coordsize="6847840,0" path="m0,0l6847840,0">
                  <v:stroke weight="0.75pt" endcap="round" joinstyle="miter" miterlimit="10" on="true" color="#bfc3c8"/>
                  <v:fill on="false" color="#000000" opacity="0"/>
                </v:shape>
              </v:group>
            </w:pict>
          </mc:Fallback>
        </mc:AlternateContent>
      </w:r>
      <w:r>
        <w:t xml:space="preserve"> </w:t>
      </w:r>
    </w:p>
    <w:p w14:paraId="4A4DB994" w14:textId="77777777" w:rsidR="006A5F66" w:rsidRDefault="00000000">
      <w:pPr>
        <w:pStyle w:val="Heading1"/>
        <w:ind w:left="9"/>
      </w:pPr>
      <w:r>
        <w:t xml:space="preserve">Conclusion </w:t>
      </w:r>
    </w:p>
    <w:p w14:paraId="22D54B98" w14:textId="77777777" w:rsidR="006A5F66" w:rsidRDefault="00000000">
      <w:pPr>
        <w:spacing w:after="118"/>
        <w:ind w:left="17" w:right="40"/>
      </w:pPr>
      <w:r>
        <w:t xml:space="preserve">The financial analysis of InterContinental Hotels Group (IHG) between 2020 and 2024 demonstrates a strong recovery following the disruption caused by the COVID-19 pandemic. Revenue, operating profitability, and operating cash flow improved significantly during the period, reflecting the recovery in global travel demand, higher Revenue per Available Room (RevPAR), and the resilience of IHG's asset-light business model, which generates recurring franchise and management fee income (InterContinental Hotels Group PLC, 2025). These improvements strengthened earnings quality, enhanced liquidity, and supported continued shareholder returns through dividends and share buyback programmes while maintaining investment in future growth opportunities. According to Brigham and Ehrhardt (2022), sustainable profitability and strong cash generation are essential indicators of long-term financial stability and effective corporate financial management. </w:t>
      </w:r>
    </w:p>
    <w:p w14:paraId="6BC1BE1D" w14:textId="77777777" w:rsidR="006A5F66" w:rsidRDefault="00000000">
      <w:pPr>
        <w:spacing w:after="233"/>
        <w:ind w:left="17" w:right="40"/>
      </w:pPr>
      <w:r>
        <w:lastRenderedPageBreak/>
        <w:t>Despite these positive developments, IHG continues to face challenges arising from inflationary cost pressures, elevated financing costs, geopolitical uncertainty, and changing consumer travel patterns. Consequently, maintaining disciplined working capital management, prudent liquidity reserves, and an efficient capital structure remains essential to preserving financial resilience (</w:t>
      </w:r>
      <w:proofErr w:type="spellStart"/>
      <w:r>
        <w:t>Atrill</w:t>
      </w:r>
      <w:proofErr w:type="spellEnd"/>
      <w:r>
        <w:t xml:space="preserve"> and McLaney, 2022). Furthermore, continued investment in digital innovation, brand development, and international expansion, supported by effective environmental, social and governance (ESG) practices, will strengthen long-term competitiveness and stakeholder confidence (Brealey, Myers and Allen, 2023). Overall, IHG is well positioned to sustain profitable growth and maximise long-term shareholder value through disciplined financial management, strategic restructuring, and continued execution of its asset-light growth strategy (InterContinental Hotels Group PLC, 2025) </w:t>
      </w:r>
    </w:p>
    <w:p w14:paraId="02A74BB6" w14:textId="77777777" w:rsidR="006A5F66" w:rsidRDefault="00000000">
      <w:pPr>
        <w:spacing w:after="4"/>
        <w:ind w:left="9"/>
        <w:jc w:val="left"/>
      </w:pPr>
      <w:r>
        <w:rPr>
          <w:b/>
          <w:sz w:val="36"/>
        </w:rPr>
        <w:t xml:space="preserve">References: </w:t>
      </w:r>
    </w:p>
    <w:p w14:paraId="67102B41" w14:textId="77777777" w:rsidR="006A5F66" w:rsidRDefault="00000000">
      <w:pPr>
        <w:spacing w:after="251" w:line="259" w:lineRule="auto"/>
        <w:ind w:left="5"/>
        <w:jc w:val="left"/>
      </w:pPr>
      <w:hyperlink r:id="rId10">
        <w:r>
          <w:rPr>
            <w:color w:val="467886"/>
            <w:u w:val="single" w:color="467886"/>
          </w:rPr>
          <w:t xml:space="preserve">InterContinental Hotels Group Investor Relations </w:t>
        </w:r>
      </w:hyperlink>
      <w:hyperlink r:id="rId11">
        <w:r>
          <w:rPr>
            <w:color w:val="467886"/>
            <w:u w:val="single" w:color="467886"/>
          </w:rPr>
          <w:t xml:space="preserve">– </w:t>
        </w:r>
      </w:hyperlink>
      <w:hyperlink r:id="rId12">
        <w:r>
          <w:rPr>
            <w:color w:val="467886"/>
            <w:u w:val="single" w:color="467886"/>
          </w:rPr>
          <w:t>Annual Reports</w:t>
        </w:r>
      </w:hyperlink>
      <w:hyperlink r:id="rId13">
        <w:r>
          <w:t xml:space="preserve"> </w:t>
        </w:r>
      </w:hyperlink>
      <w:r>
        <w:t xml:space="preserve"> </w:t>
      </w:r>
    </w:p>
    <w:p w14:paraId="725847E9" w14:textId="77777777" w:rsidR="006A5F66" w:rsidRDefault="00000000">
      <w:pPr>
        <w:spacing w:after="247"/>
        <w:ind w:left="17" w:right="40"/>
      </w:pPr>
      <w:proofErr w:type="spellStart"/>
      <w:r>
        <w:t>Atrill</w:t>
      </w:r>
      <w:proofErr w:type="spellEnd"/>
      <w:r>
        <w:t xml:space="preserve">, P. and McLaney, E. (2023) </w:t>
      </w:r>
      <w:r>
        <w:rPr>
          <w:i/>
        </w:rPr>
        <w:t>Financial Accounting for Decision Makers</w:t>
      </w:r>
      <w:r>
        <w:t xml:space="preserve">. 10th </w:t>
      </w:r>
      <w:proofErr w:type="spellStart"/>
      <w:r>
        <w:t>edn</w:t>
      </w:r>
      <w:proofErr w:type="spellEnd"/>
      <w:r>
        <w:t xml:space="preserve">. Harlow: Pearson.  </w:t>
      </w:r>
    </w:p>
    <w:p w14:paraId="3FCBAAAF" w14:textId="77777777" w:rsidR="006A5F66" w:rsidRDefault="00000000">
      <w:pPr>
        <w:spacing w:after="242"/>
        <w:ind w:left="17" w:right="40"/>
      </w:pPr>
      <w:r>
        <w:t xml:space="preserve">Brealey, R.A., Myers, S.C. and Allen, F. (2023) </w:t>
      </w:r>
      <w:r>
        <w:rPr>
          <w:i/>
        </w:rPr>
        <w:t>Principles of Corporate Finance</w:t>
      </w:r>
      <w:r>
        <w:t xml:space="preserve">. 14th </w:t>
      </w:r>
      <w:proofErr w:type="spellStart"/>
      <w:r>
        <w:t>edn</w:t>
      </w:r>
      <w:proofErr w:type="spellEnd"/>
      <w:r>
        <w:t xml:space="preserve">. New York: McGraw-Hill Education.  </w:t>
      </w:r>
    </w:p>
    <w:p w14:paraId="035FCAED" w14:textId="77777777" w:rsidR="006A5F66" w:rsidRDefault="00000000">
      <w:pPr>
        <w:spacing w:after="244"/>
        <w:ind w:left="17" w:right="40"/>
      </w:pPr>
      <w:r>
        <w:t xml:space="preserve">Brigham, E.F. and Ehrhardt, M.C. (2022) </w:t>
      </w:r>
      <w:r>
        <w:rPr>
          <w:i/>
        </w:rPr>
        <w:t>Financial Management: Theory and Practice</w:t>
      </w:r>
      <w:r>
        <w:t xml:space="preserve">. 16th </w:t>
      </w:r>
      <w:proofErr w:type="spellStart"/>
      <w:r>
        <w:t>edn</w:t>
      </w:r>
      <w:proofErr w:type="spellEnd"/>
      <w:r>
        <w:t xml:space="preserve">. Boston: Cengage Learning.  </w:t>
      </w:r>
    </w:p>
    <w:p w14:paraId="0CF8A74A" w14:textId="77777777" w:rsidR="006A5F66" w:rsidRDefault="00000000">
      <w:pPr>
        <w:spacing w:after="251" w:line="259" w:lineRule="auto"/>
        <w:ind w:left="5"/>
        <w:jc w:val="left"/>
      </w:pPr>
      <w:hyperlink r:id="rId14">
        <w:r>
          <w:rPr>
            <w:color w:val="467886"/>
            <w:u w:val="single" w:color="467886"/>
          </w:rPr>
          <w:t>IHG 2024 Annual Report and Accounts</w:t>
        </w:r>
      </w:hyperlink>
      <w:hyperlink r:id="rId15">
        <w:r>
          <w:t xml:space="preserve"> </w:t>
        </w:r>
      </w:hyperlink>
      <w:r>
        <w:t xml:space="preserve"> </w:t>
      </w:r>
    </w:p>
    <w:p w14:paraId="3A367669" w14:textId="77777777" w:rsidR="006A5F66" w:rsidRDefault="00000000">
      <w:pPr>
        <w:spacing w:after="247"/>
        <w:ind w:left="17" w:right="40"/>
      </w:pPr>
      <w:r>
        <w:t xml:space="preserve">IHG 2023 Annual Report and Accounts  </w:t>
      </w:r>
    </w:p>
    <w:p w14:paraId="56695A48" w14:textId="77777777" w:rsidR="006A5F66" w:rsidRDefault="00000000">
      <w:pPr>
        <w:ind w:left="17" w:right="40"/>
      </w:pPr>
      <w:r>
        <w:t xml:space="preserve">IHG 2022 Annual Report and Accounts  </w:t>
      </w:r>
    </w:p>
    <w:p w14:paraId="22B96894" w14:textId="77777777" w:rsidR="006A5F66" w:rsidRDefault="00000000">
      <w:pPr>
        <w:spacing w:after="247"/>
        <w:ind w:left="17" w:right="40"/>
      </w:pPr>
      <w:r>
        <w:t xml:space="preserve">IHG 2021 Annual Report and Accounts  </w:t>
      </w:r>
    </w:p>
    <w:p w14:paraId="3DEDC93C" w14:textId="77777777" w:rsidR="006A5F66" w:rsidRDefault="00000000">
      <w:pPr>
        <w:spacing w:after="245"/>
        <w:ind w:left="17" w:right="40"/>
      </w:pPr>
      <w:r>
        <w:t xml:space="preserve">IHG 2020 Annual Report and Accounts  </w:t>
      </w:r>
    </w:p>
    <w:p w14:paraId="664DE9F9" w14:textId="77777777" w:rsidR="006A5F66" w:rsidRDefault="00000000">
      <w:pPr>
        <w:spacing w:after="244"/>
        <w:ind w:left="17" w:right="40"/>
      </w:pPr>
      <w:r>
        <w:t xml:space="preserve">Jensen, M.C. and Meckling, W.H. (1976) 'Theory of the firm: Managerial behaviour, agency costs and ownership structure', </w:t>
      </w:r>
      <w:r>
        <w:rPr>
          <w:i/>
        </w:rPr>
        <w:t>Journal of Financial Economics</w:t>
      </w:r>
      <w:r>
        <w:t xml:space="preserve">, 3(4), pp. 305–360.  </w:t>
      </w:r>
    </w:p>
    <w:p w14:paraId="5615D3DE" w14:textId="77777777" w:rsidR="006A5F66" w:rsidRDefault="00000000">
      <w:pPr>
        <w:spacing w:after="244"/>
        <w:ind w:left="17" w:right="40"/>
      </w:pPr>
      <w:r>
        <w:t xml:space="preserve">Kotler, P., Keller, K.L. and Chernev, A. (2022) </w:t>
      </w:r>
      <w:r>
        <w:rPr>
          <w:i/>
        </w:rPr>
        <w:t>Marketing Management</w:t>
      </w:r>
      <w:r>
        <w:t xml:space="preserve">. 16th </w:t>
      </w:r>
      <w:proofErr w:type="spellStart"/>
      <w:r>
        <w:t>edn</w:t>
      </w:r>
      <w:proofErr w:type="spellEnd"/>
      <w:r>
        <w:t xml:space="preserve">. Harlow: Pearson.  </w:t>
      </w:r>
    </w:p>
    <w:p w14:paraId="1E6DC065" w14:textId="77777777" w:rsidR="006A5F66" w:rsidRDefault="00000000">
      <w:pPr>
        <w:spacing w:after="244"/>
        <w:ind w:left="9"/>
        <w:jc w:val="left"/>
      </w:pPr>
      <w:r>
        <w:t xml:space="preserve">Porter, M.E. (1985) </w:t>
      </w:r>
      <w:r>
        <w:rPr>
          <w:i/>
        </w:rPr>
        <w:t>Competitive Advantage: Creating and Sustaining Superior Performance</w:t>
      </w:r>
      <w:r>
        <w:t xml:space="preserve">. New York: Free Press.  </w:t>
      </w:r>
    </w:p>
    <w:p w14:paraId="737AA6E0" w14:textId="77777777" w:rsidR="006A5F66" w:rsidRDefault="00000000">
      <w:pPr>
        <w:spacing w:after="242"/>
        <w:ind w:left="17" w:right="287"/>
      </w:pPr>
      <w:r>
        <w:t xml:space="preserve">Ross, S.A., Westerfield, R.W., Jordan, B.D., Lim, J. and Tan, R. (2022) </w:t>
      </w:r>
      <w:r>
        <w:rPr>
          <w:i/>
        </w:rPr>
        <w:t>Fundamentals of Corporate Finance</w:t>
      </w:r>
      <w:r>
        <w:t xml:space="preserve">. 13th </w:t>
      </w:r>
      <w:proofErr w:type="spellStart"/>
      <w:r>
        <w:t>edn</w:t>
      </w:r>
      <w:proofErr w:type="spellEnd"/>
      <w:r>
        <w:t xml:space="preserve">. New York: McGraw-Hill.  </w:t>
      </w:r>
    </w:p>
    <w:p w14:paraId="4360C474" w14:textId="77777777" w:rsidR="006A5F66" w:rsidRDefault="00000000">
      <w:pPr>
        <w:spacing w:after="244"/>
        <w:ind w:left="17" w:right="40"/>
      </w:pPr>
      <w:r>
        <w:t xml:space="preserve">Hillier, D., Ross, S., Westerfield, R., Jaffe, J. and Jordan, B. (2023) </w:t>
      </w:r>
      <w:r>
        <w:rPr>
          <w:i/>
        </w:rPr>
        <w:t>Corporate Finance</w:t>
      </w:r>
      <w:r>
        <w:t xml:space="preserve">. 5th European </w:t>
      </w:r>
      <w:proofErr w:type="spellStart"/>
      <w:r>
        <w:t>edn</w:t>
      </w:r>
      <w:proofErr w:type="spellEnd"/>
      <w:r>
        <w:t xml:space="preserve">. London: McGraw-Hill Education.  </w:t>
      </w:r>
    </w:p>
    <w:p w14:paraId="725D7153" w14:textId="77777777" w:rsidR="006A5F66" w:rsidRDefault="00000000">
      <w:pPr>
        <w:spacing w:after="244"/>
        <w:ind w:left="17" w:right="40"/>
      </w:pPr>
      <w:r>
        <w:t xml:space="preserve">Damodaran, A. (2021) </w:t>
      </w:r>
      <w:r>
        <w:rPr>
          <w:i/>
        </w:rPr>
        <w:t>Applied Corporate Finance</w:t>
      </w:r>
      <w:r>
        <w:t xml:space="preserve">. 5th </w:t>
      </w:r>
      <w:proofErr w:type="spellStart"/>
      <w:r>
        <w:t>edn</w:t>
      </w:r>
      <w:proofErr w:type="spellEnd"/>
      <w:r>
        <w:t xml:space="preserve">. Hoboken: John Wiley &amp; Sons.  </w:t>
      </w:r>
    </w:p>
    <w:p w14:paraId="05D17F88" w14:textId="77777777" w:rsidR="006A5F66" w:rsidRDefault="00000000">
      <w:pPr>
        <w:spacing w:after="247"/>
        <w:ind w:left="17" w:right="40"/>
      </w:pPr>
      <w:r>
        <w:t xml:space="preserve">Arnold, G. (2023) </w:t>
      </w:r>
      <w:r>
        <w:rPr>
          <w:i/>
        </w:rPr>
        <w:t>Corporate Financial Management</w:t>
      </w:r>
      <w:r>
        <w:t xml:space="preserve">. 7th </w:t>
      </w:r>
      <w:proofErr w:type="spellStart"/>
      <w:r>
        <w:t>edn</w:t>
      </w:r>
      <w:proofErr w:type="spellEnd"/>
      <w:r>
        <w:t xml:space="preserve">. Harlow: Pearson.  </w:t>
      </w:r>
    </w:p>
    <w:p w14:paraId="511639FB" w14:textId="77777777" w:rsidR="006A5F66" w:rsidRDefault="00000000">
      <w:pPr>
        <w:spacing w:after="244"/>
        <w:ind w:left="17" w:right="40"/>
      </w:pPr>
      <w:r>
        <w:lastRenderedPageBreak/>
        <w:t xml:space="preserve">Berk, J. and DeMarzo, P. (2023) </w:t>
      </w:r>
      <w:r>
        <w:rPr>
          <w:i/>
        </w:rPr>
        <w:t>Corporate Finance</w:t>
      </w:r>
      <w:r>
        <w:t xml:space="preserve">. 6th </w:t>
      </w:r>
      <w:proofErr w:type="spellStart"/>
      <w:r>
        <w:t>edn</w:t>
      </w:r>
      <w:proofErr w:type="spellEnd"/>
      <w:r>
        <w:t xml:space="preserve">. Harlow: Pearson.  </w:t>
      </w:r>
    </w:p>
    <w:p w14:paraId="5CBB2727" w14:textId="77777777" w:rsidR="006A5F66" w:rsidRDefault="00000000">
      <w:pPr>
        <w:spacing w:after="244"/>
        <w:ind w:left="17" w:right="40"/>
      </w:pPr>
      <w:r>
        <w:t xml:space="preserve">Gitman, L.J., </w:t>
      </w:r>
      <w:proofErr w:type="spellStart"/>
      <w:r>
        <w:t>Juchau</w:t>
      </w:r>
      <w:proofErr w:type="spellEnd"/>
      <w:r>
        <w:t xml:space="preserve">, R. and Flanagan, J. (2022) </w:t>
      </w:r>
      <w:r>
        <w:rPr>
          <w:i/>
        </w:rPr>
        <w:t>Principles of Managerial Finance</w:t>
      </w:r>
      <w:r>
        <w:t xml:space="preserve">. 8th Asia-Pacific </w:t>
      </w:r>
      <w:proofErr w:type="spellStart"/>
      <w:r>
        <w:t>edn</w:t>
      </w:r>
      <w:proofErr w:type="spellEnd"/>
      <w:r>
        <w:t xml:space="preserve">. Melbourne: Pearson.  </w:t>
      </w:r>
    </w:p>
    <w:p w14:paraId="12D9DC43" w14:textId="77777777" w:rsidR="006A5F66" w:rsidRDefault="00000000">
      <w:pPr>
        <w:spacing w:after="245"/>
        <w:ind w:left="17" w:right="40"/>
      </w:pPr>
      <w:r>
        <w:t xml:space="preserve">Watson, D. and Head, A. (2022) </w:t>
      </w:r>
      <w:r>
        <w:rPr>
          <w:i/>
        </w:rPr>
        <w:t>Corporate Finance: Principles and Practice</w:t>
      </w:r>
      <w:r>
        <w:t xml:space="preserve">. 9th </w:t>
      </w:r>
      <w:proofErr w:type="spellStart"/>
      <w:r>
        <w:t>edn</w:t>
      </w:r>
      <w:proofErr w:type="spellEnd"/>
      <w:r>
        <w:t xml:space="preserve">. Harlow: Pearson.  </w:t>
      </w:r>
    </w:p>
    <w:p w14:paraId="4AE3A8B1" w14:textId="77777777" w:rsidR="006A5F66" w:rsidRDefault="00000000">
      <w:pPr>
        <w:spacing w:after="247"/>
        <w:ind w:left="17" w:right="40"/>
      </w:pPr>
      <w:r>
        <w:t xml:space="preserve">Pandey, I.M. (2022) </w:t>
      </w:r>
      <w:r>
        <w:rPr>
          <w:i/>
        </w:rPr>
        <w:t>Financial Management</w:t>
      </w:r>
      <w:r>
        <w:t xml:space="preserve">. 12th </w:t>
      </w:r>
      <w:proofErr w:type="spellStart"/>
      <w:r>
        <w:t>edn</w:t>
      </w:r>
      <w:proofErr w:type="spellEnd"/>
      <w:r>
        <w:t xml:space="preserve">. New Delhi: Vikas Publishing.  </w:t>
      </w:r>
    </w:p>
    <w:p w14:paraId="1ACB6A8A" w14:textId="77777777" w:rsidR="006A5F66" w:rsidRDefault="00000000">
      <w:pPr>
        <w:spacing w:after="242"/>
        <w:ind w:left="17" w:right="40"/>
      </w:pPr>
      <w:r>
        <w:t xml:space="preserve">Van Horne, J.C. and Wachowicz, J.M. (2021) </w:t>
      </w:r>
      <w:r>
        <w:rPr>
          <w:i/>
        </w:rPr>
        <w:t>Fundamentals of Financial Management</w:t>
      </w:r>
      <w:r>
        <w:t xml:space="preserve">. 15th </w:t>
      </w:r>
      <w:proofErr w:type="spellStart"/>
      <w:r>
        <w:t>edn</w:t>
      </w:r>
      <w:proofErr w:type="spellEnd"/>
      <w:r>
        <w:t xml:space="preserve">. Harlow: Pearson.  </w:t>
      </w:r>
    </w:p>
    <w:p w14:paraId="08C2FA9D" w14:textId="77777777" w:rsidR="006A5F66" w:rsidRDefault="00000000">
      <w:pPr>
        <w:spacing w:after="244"/>
        <w:ind w:left="17" w:right="40"/>
      </w:pPr>
      <w:r>
        <w:t xml:space="preserve">White, G.I., Sondhi, A.C. and Fried, D. (2021) </w:t>
      </w:r>
      <w:r>
        <w:rPr>
          <w:i/>
        </w:rPr>
        <w:t>The Analysis and Use of Financial Statements</w:t>
      </w:r>
      <w:r>
        <w:t xml:space="preserve">. 4th </w:t>
      </w:r>
      <w:proofErr w:type="spellStart"/>
      <w:r>
        <w:t>edn</w:t>
      </w:r>
      <w:proofErr w:type="spellEnd"/>
      <w:r>
        <w:t xml:space="preserve">. Hoboken: John Wiley &amp; Sons.  </w:t>
      </w:r>
    </w:p>
    <w:p w14:paraId="3B1521A4" w14:textId="77777777" w:rsidR="006A5F66" w:rsidRDefault="00000000">
      <w:pPr>
        <w:spacing w:after="242"/>
        <w:ind w:left="17" w:right="868"/>
      </w:pPr>
      <w:r>
        <w:t xml:space="preserve">Wild, J.J., Subramanyam, K.R. and Halsey, R.F. (2021) </w:t>
      </w:r>
      <w:r>
        <w:rPr>
          <w:i/>
        </w:rPr>
        <w:t>Financial Statement Analysis</w:t>
      </w:r>
      <w:r>
        <w:t xml:space="preserve">. 12th </w:t>
      </w:r>
      <w:proofErr w:type="spellStart"/>
      <w:r>
        <w:t>edn</w:t>
      </w:r>
      <w:proofErr w:type="spellEnd"/>
      <w:r>
        <w:t xml:space="preserve">. New York: McGraw-Hill.  </w:t>
      </w:r>
    </w:p>
    <w:p w14:paraId="34B86ACB" w14:textId="77777777" w:rsidR="006A5F66" w:rsidRDefault="00000000">
      <w:pPr>
        <w:spacing w:after="247"/>
        <w:ind w:left="17" w:right="40"/>
      </w:pPr>
      <w:r>
        <w:t xml:space="preserve">Fraser, L.M. and Ormiston, A. (2022) </w:t>
      </w:r>
      <w:r>
        <w:rPr>
          <w:i/>
        </w:rPr>
        <w:t>Understanding Financial Statements</w:t>
      </w:r>
      <w:r>
        <w:t xml:space="preserve">. 12th </w:t>
      </w:r>
      <w:proofErr w:type="spellStart"/>
      <w:r>
        <w:t>edn</w:t>
      </w:r>
      <w:proofErr w:type="spellEnd"/>
      <w:r>
        <w:t xml:space="preserve">. Harlow: Pearson.  </w:t>
      </w:r>
    </w:p>
    <w:p w14:paraId="21E5BBE6" w14:textId="77777777" w:rsidR="006A5F66" w:rsidRDefault="00000000">
      <w:pPr>
        <w:spacing w:after="242"/>
        <w:ind w:left="17" w:right="40"/>
      </w:pPr>
      <w:r>
        <w:t xml:space="preserve">Graham, J.R., Smart, S.B. and Megginson, W.L. (2020) </w:t>
      </w:r>
      <w:r>
        <w:rPr>
          <w:i/>
        </w:rPr>
        <w:t>Corporate Finance: Linking Theory to What Companies Do</w:t>
      </w:r>
      <w:r>
        <w:t xml:space="preserve">. 5th </w:t>
      </w:r>
      <w:proofErr w:type="spellStart"/>
      <w:r>
        <w:t>edn</w:t>
      </w:r>
      <w:proofErr w:type="spellEnd"/>
      <w:r>
        <w:t xml:space="preserve">. Boston: Cengage.  </w:t>
      </w:r>
    </w:p>
    <w:p w14:paraId="05662B58" w14:textId="77777777" w:rsidR="006A5F66" w:rsidRDefault="00000000">
      <w:pPr>
        <w:spacing w:after="244"/>
        <w:ind w:left="17" w:right="40"/>
      </w:pPr>
      <w:r>
        <w:t xml:space="preserve">Brealey, R.A., Myers, S.C. and Allen, F. (2023) 'Capital budgeting and investment decisions', in </w:t>
      </w:r>
      <w:r>
        <w:rPr>
          <w:i/>
        </w:rPr>
        <w:t>Principles of Corporate Finance</w:t>
      </w:r>
      <w:r>
        <w:t xml:space="preserve">. 14th </w:t>
      </w:r>
      <w:proofErr w:type="spellStart"/>
      <w:r>
        <w:t>edn</w:t>
      </w:r>
      <w:proofErr w:type="spellEnd"/>
      <w:r>
        <w:t xml:space="preserve">. New York: McGraw-Hill.  </w:t>
      </w:r>
    </w:p>
    <w:p w14:paraId="3B9978B4" w14:textId="77777777" w:rsidR="006A5F66" w:rsidRDefault="00000000">
      <w:pPr>
        <w:ind w:left="17" w:right="40"/>
      </w:pPr>
      <w:r>
        <w:t xml:space="preserve">Brigham, E.F. and Ehrhardt, M.C. (2022) 'Working capital management', in </w:t>
      </w:r>
      <w:r>
        <w:rPr>
          <w:i/>
        </w:rPr>
        <w:t>Financial Management: Theory and Practice</w:t>
      </w:r>
      <w:r>
        <w:t xml:space="preserve">. 16th </w:t>
      </w:r>
      <w:proofErr w:type="spellStart"/>
      <w:r>
        <w:t>edn</w:t>
      </w:r>
      <w:proofErr w:type="spellEnd"/>
      <w:r>
        <w:t xml:space="preserve">. Boston: Cengage Learning.  </w:t>
      </w:r>
    </w:p>
    <w:p w14:paraId="09B871E7" w14:textId="77777777" w:rsidR="006A5F66" w:rsidRDefault="00000000">
      <w:pPr>
        <w:spacing w:after="245"/>
        <w:ind w:left="17" w:right="40"/>
      </w:pPr>
      <w:r>
        <w:t xml:space="preserve">Ross, S.A., Westerfield, R.W. and Jordan, B.D. (2022) 'Investment appraisal techniques', in </w:t>
      </w:r>
      <w:r>
        <w:rPr>
          <w:i/>
        </w:rPr>
        <w:t>Fundamentals of Corporate Finance</w:t>
      </w:r>
      <w:r>
        <w:t xml:space="preserve">. 13th </w:t>
      </w:r>
      <w:proofErr w:type="spellStart"/>
      <w:r>
        <w:t>edn</w:t>
      </w:r>
      <w:proofErr w:type="spellEnd"/>
      <w:r>
        <w:t xml:space="preserve">. New York: McGraw-Hill.  </w:t>
      </w:r>
    </w:p>
    <w:p w14:paraId="03F65C99" w14:textId="77777777" w:rsidR="006A5F66" w:rsidRDefault="00000000">
      <w:pPr>
        <w:spacing w:after="244"/>
        <w:ind w:left="17" w:right="40"/>
      </w:pPr>
      <w:r>
        <w:t xml:space="preserve">Myers, S.C. (1984) 'The capital structure puzzle', </w:t>
      </w:r>
      <w:r>
        <w:rPr>
          <w:i/>
        </w:rPr>
        <w:t>Journal of Finance</w:t>
      </w:r>
      <w:r>
        <w:t xml:space="preserve">, 39(3), pp. 575–592.  </w:t>
      </w:r>
    </w:p>
    <w:p w14:paraId="1D4B1D78" w14:textId="77777777" w:rsidR="006A5F66" w:rsidRDefault="00000000">
      <w:pPr>
        <w:spacing w:after="244"/>
        <w:ind w:left="17" w:right="40"/>
      </w:pPr>
      <w:r>
        <w:t xml:space="preserve">Modigliani, F. and Miller, M.H. (1963) 'Corporate income taxes and the cost of capital', </w:t>
      </w:r>
      <w:r>
        <w:rPr>
          <w:i/>
        </w:rPr>
        <w:t>American Economic Review</w:t>
      </w:r>
      <w:r>
        <w:t xml:space="preserve">, 53(3), pp. 433–443.  </w:t>
      </w:r>
    </w:p>
    <w:p w14:paraId="65B64DCC" w14:textId="77777777" w:rsidR="006A5F66" w:rsidRDefault="00000000">
      <w:pPr>
        <w:ind w:left="17" w:right="40"/>
      </w:pPr>
      <w:r>
        <w:t xml:space="preserve">Pecking Order Theory:  </w:t>
      </w:r>
    </w:p>
    <w:p w14:paraId="1DD376B5" w14:textId="77777777" w:rsidR="006A5F66" w:rsidRDefault="00000000">
      <w:pPr>
        <w:spacing w:after="244"/>
        <w:ind w:left="17" w:right="40"/>
      </w:pPr>
      <w:r>
        <w:t xml:space="preserve">Myers, S.C. and Majluf, N.S. (1984) 'Corporate financing and investment decisions when firms have information that investors do not have', </w:t>
      </w:r>
      <w:r>
        <w:rPr>
          <w:i/>
        </w:rPr>
        <w:t>Journal of Financial Economics</w:t>
      </w:r>
      <w:r>
        <w:t xml:space="preserve">, 13(2), pp. 187–221.  </w:t>
      </w:r>
    </w:p>
    <w:p w14:paraId="547DD14C" w14:textId="77777777" w:rsidR="006A5F66" w:rsidRDefault="00000000">
      <w:pPr>
        <w:ind w:left="17" w:right="40"/>
      </w:pPr>
      <w:r>
        <w:t xml:space="preserve">Trade-off Theory:  </w:t>
      </w:r>
    </w:p>
    <w:p w14:paraId="79D33EC0" w14:textId="77777777" w:rsidR="006A5F66" w:rsidRDefault="00000000">
      <w:pPr>
        <w:spacing w:after="242"/>
        <w:ind w:left="17" w:right="40"/>
      </w:pPr>
      <w:r>
        <w:t xml:space="preserve">Kraus, A. and Litzenberger, R.H. (1973) 'A state-preference model of optimal financial leverage', </w:t>
      </w:r>
      <w:r>
        <w:rPr>
          <w:i/>
        </w:rPr>
        <w:t>Journal of Finance</w:t>
      </w:r>
      <w:r>
        <w:t xml:space="preserve">, 28(4), pp. 911–922.  </w:t>
      </w:r>
    </w:p>
    <w:p w14:paraId="381B4C67" w14:textId="77777777" w:rsidR="006A5F66" w:rsidRDefault="00000000">
      <w:pPr>
        <w:ind w:left="17" w:right="40"/>
      </w:pPr>
      <w:r>
        <w:t xml:space="preserve">Working Capital:  </w:t>
      </w:r>
    </w:p>
    <w:p w14:paraId="0A4EE09D" w14:textId="77777777" w:rsidR="006A5F66" w:rsidRDefault="00000000">
      <w:pPr>
        <w:spacing w:after="242"/>
        <w:ind w:left="17" w:right="40"/>
      </w:pPr>
      <w:r>
        <w:t xml:space="preserve">Deloof, M. (2003) 'Does working capital management affect profitability of Belgian firms?', </w:t>
      </w:r>
      <w:r>
        <w:rPr>
          <w:i/>
        </w:rPr>
        <w:t>Journal of Business Finance &amp; Accounting</w:t>
      </w:r>
      <w:r>
        <w:t xml:space="preserve">, 30(3–4), pp. 573–588.  </w:t>
      </w:r>
    </w:p>
    <w:p w14:paraId="0F0BAEAB" w14:textId="77777777" w:rsidR="006A5F66" w:rsidRDefault="00000000">
      <w:pPr>
        <w:spacing w:after="244"/>
        <w:ind w:left="17" w:right="40"/>
      </w:pPr>
      <w:r>
        <w:t xml:space="preserve">Lazaridis, I. and </w:t>
      </w:r>
      <w:proofErr w:type="spellStart"/>
      <w:r>
        <w:t>Tryfonidis</w:t>
      </w:r>
      <w:proofErr w:type="spellEnd"/>
      <w:r>
        <w:t xml:space="preserve">, D. (2006) 'Relationship between working capital management and profitability of listed companies', </w:t>
      </w:r>
      <w:r>
        <w:rPr>
          <w:i/>
        </w:rPr>
        <w:t>Journal of Financial Management and Analysis</w:t>
      </w:r>
      <w:r>
        <w:t xml:space="preserve">, 19(1), pp. 26–35.  </w:t>
      </w:r>
    </w:p>
    <w:p w14:paraId="4E38A279" w14:textId="77777777" w:rsidR="006A5F66" w:rsidRDefault="00000000">
      <w:pPr>
        <w:ind w:left="17" w:right="40"/>
      </w:pPr>
      <w:r>
        <w:lastRenderedPageBreak/>
        <w:t xml:space="preserve">Hospitality Finance:  </w:t>
      </w:r>
    </w:p>
    <w:p w14:paraId="6DBDD951" w14:textId="77777777" w:rsidR="006A5F66" w:rsidRDefault="00000000">
      <w:pPr>
        <w:spacing w:after="242"/>
        <w:ind w:left="17" w:right="40"/>
      </w:pPr>
      <w:r>
        <w:t xml:space="preserve">Jagels, M.G. and Coltman, M.M. (2021) </w:t>
      </w:r>
      <w:r>
        <w:rPr>
          <w:i/>
        </w:rPr>
        <w:t>Hospitality Management Accounting</w:t>
      </w:r>
      <w:r>
        <w:t xml:space="preserve">. 12th </w:t>
      </w:r>
      <w:proofErr w:type="spellStart"/>
      <w:r>
        <w:t>edn</w:t>
      </w:r>
      <w:proofErr w:type="spellEnd"/>
      <w:r>
        <w:t xml:space="preserve">. Hoboken: John Wiley &amp; Sons.  </w:t>
      </w:r>
    </w:p>
    <w:p w14:paraId="2746DEB4" w14:textId="77777777" w:rsidR="006A5F66" w:rsidRDefault="00000000">
      <w:pPr>
        <w:spacing w:after="244"/>
        <w:ind w:left="17" w:right="863"/>
      </w:pPr>
      <w:r>
        <w:t xml:space="preserve">Harris, P.J. and Mongiello, M. (2006) 'Accounting and financial management in the hospitality industry', </w:t>
      </w:r>
      <w:r>
        <w:rPr>
          <w:i/>
        </w:rPr>
        <w:t>International Journal of Hospitality Management</w:t>
      </w:r>
      <w:r>
        <w:t xml:space="preserve">, 25(1), pp. 1–8.  </w:t>
      </w:r>
    </w:p>
    <w:p w14:paraId="64DA76FB" w14:textId="77777777" w:rsidR="006A5F66" w:rsidRDefault="00000000">
      <w:pPr>
        <w:ind w:left="17" w:right="40"/>
      </w:pPr>
      <w:r>
        <w:t xml:space="preserve">Corporate Governance:  </w:t>
      </w:r>
    </w:p>
    <w:p w14:paraId="2C1361FD" w14:textId="77777777" w:rsidR="006A5F66" w:rsidRDefault="00000000">
      <w:pPr>
        <w:spacing w:after="251" w:line="259" w:lineRule="auto"/>
        <w:ind w:left="5"/>
        <w:jc w:val="left"/>
      </w:pPr>
      <w:hyperlink r:id="rId16">
        <w:r>
          <w:rPr>
            <w:color w:val="467886"/>
            <w:u w:val="single" w:color="467886"/>
          </w:rPr>
          <w:t xml:space="preserve">UK Corporate Governance Code </w:t>
        </w:r>
      </w:hyperlink>
      <w:hyperlink r:id="rId17">
        <w:r>
          <w:rPr>
            <w:color w:val="467886"/>
            <w:u w:val="single" w:color="467886"/>
          </w:rPr>
          <w:t xml:space="preserve">– </w:t>
        </w:r>
      </w:hyperlink>
      <w:hyperlink r:id="rId18">
        <w:r>
          <w:rPr>
            <w:color w:val="467886"/>
            <w:u w:val="single" w:color="467886"/>
          </w:rPr>
          <w:t>Financial Reporting Council</w:t>
        </w:r>
      </w:hyperlink>
      <w:hyperlink r:id="rId19">
        <w:r>
          <w:t xml:space="preserve"> </w:t>
        </w:r>
      </w:hyperlink>
      <w:r>
        <w:t xml:space="preserve"> </w:t>
      </w:r>
    </w:p>
    <w:p w14:paraId="7EA2E27A" w14:textId="77777777" w:rsidR="006A5F66" w:rsidRDefault="00000000">
      <w:pPr>
        <w:ind w:left="17" w:right="40"/>
      </w:pPr>
      <w:r>
        <w:t xml:space="preserve">Sustainability:  </w:t>
      </w:r>
    </w:p>
    <w:p w14:paraId="49D74BAB" w14:textId="77777777" w:rsidR="006A5F66" w:rsidRDefault="00000000">
      <w:pPr>
        <w:spacing w:after="251" w:line="259" w:lineRule="auto"/>
        <w:ind w:left="5"/>
        <w:jc w:val="left"/>
      </w:pPr>
      <w:hyperlink r:id="rId20">
        <w:r>
          <w:rPr>
            <w:color w:val="467886"/>
            <w:u w:val="single" w:color="467886"/>
          </w:rPr>
          <w:t>IHG Responsible Business Report</w:t>
        </w:r>
      </w:hyperlink>
      <w:hyperlink r:id="rId21">
        <w:r>
          <w:t xml:space="preserve"> </w:t>
        </w:r>
      </w:hyperlink>
      <w:r>
        <w:t xml:space="preserve"> </w:t>
      </w:r>
    </w:p>
    <w:p w14:paraId="637EC7F2" w14:textId="77777777" w:rsidR="006A5F66" w:rsidRDefault="00000000">
      <w:pPr>
        <w:ind w:left="17" w:right="40"/>
      </w:pPr>
      <w:r>
        <w:t xml:space="preserve">Artificial Intelligence:  </w:t>
      </w:r>
    </w:p>
    <w:p w14:paraId="11C96D2D" w14:textId="77777777" w:rsidR="006A5F66" w:rsidRDefault="00000000">
      <w:pPr>
        <w:spacing w:after="251" w:line="259" w:lineRule="auto"/>
        <w:ind w:left="5"/>
        <w:jc w:val="left"/>
      </w:pPr>
      <w:hyperlink r:id="rId22">
        <w:r>
          <w:rPr>
            <w:color w:val="467886"/>
            <w:u w:val="single" w:color="467886"/>
          </w:rPr>
          <w:t>Stanford AI Index Report 2024</w:t>
        </w:r>
      </w:hyperlink>
      <w:hyperlink r:id="rId23">
        <w:r>
          <w:t xml:space="preserve"> </w:t>
        </w:r>
      </w:hyperlink>
      <w:r>
        <w:t xml:space="preserve"> </w:t>
      </w:r>
    </w:p>
    <w:p w14:paraId="776E1E27" w14:textId="77777777" w:rsidR="006A5F66" w:rsidRDefault="00000000">
      <w:pPr>
        <w:spacing w:after="244"/>
        <w:ind w:left="9"/>
        <w:jc w:val="left"/>
      </w:pPr>
      <w:r>
        <w:t xml:space="preserve">Brynjolfsson, E. and McAfee, A. (2017) </w:t>
      </w:r>
      <w:r>
        <w:rPr>
          <w:i/>
        </w:rPr>
        <w:t>The Business of Artificial Intelligence</w:t>
      </w:r>
      <w:r>
        <w:t xml:space="preserve">. </w:t>
      </w:r>
      <w:r>
        <w:rPr>
          <w:i/>
        </w:rPr>
        <w:t>Harvard Business Review</w:t>
      </w:r>
      <w:r>
        <w:t xml:space="preserve">.  </w:t>
      </w:r>
    </w:p>
    <w:p w14:paraId="5687B0F5" w14:textId="77777777" w:rsidR="006A5F66" w:rsidRDefault="00000000">
      <w:pPr>
        <w:ind w:left="17" w:right="40"/>
      </w:pPr>
      <w:r>
        <w:t xml:space="preserve">Responsible AI and ESG:  </w:t>
      </w:r>
    </w:p>
    <w:p w14:paraId="2E9C8B56" w14:textId="77777777" w:rsidR="006A5F66" w:rsidRDefault="00000000">
      <w:pPr>
        <w:spacing w:after="251" w:line="259" w:lineRule="auto"/>
        <w:ind w:left="5"/>
        <w:jc w:val="left"/>
      </w:pPr>
      <w:hyperlink r:id="rId24">
        <w:r>
          <w:rPr>
            <w:color w:val="467886"/>
            <w:u w:val="single" w:color="467886"/>
          </w:rPr>
          <w:t>Integrating ESG and AI: A Comprehensive Responsible AI Assessment Framework</w:t>
        </w:r>
      </w:hyperlink>
      <w:hyperlink r:id="rId25">
        <w:r>
          <w:t xml:space="preserve"> </w:t>
        </w:r>
      </w:hyperlink>
      <w:r>
        <w:t xml:space="preserve"> </w:t>
      </w:r>
    </w:p>
    <w:p w14:paraId="469A1E09" w14:textId="77777777" w:rsidR="006A5F66" w:rsidRDefault="00000000">
      <w:pPr>
        <w:ind w:left="17" w:right="40"/>
      </w:pPr>
      <w:r>
        <w:t xml:space="preserve">Data Protection:  </w:t>
      </w:r>
    </w:p>
    <w:p w14:paraId="217F172A" w14:textId="77777777" w:rsidR="006A5F66" w:rsidRDefault="00000000">
      <w:pPr>
        <w:spacing w:after="251" w:line="259" w:lineRule="auto"/>
        <w:ind w:left="5"/>
        <w:jc w:val="left"/>
      </w:pPr>
      <w:hyperlink r:id="rId26">
        <w:r>
          <w:rPr>
            <w:color w:val="467886"/>
            <w:u w:val="single" w:color="467886"/>
          </w:rPr>
          <w:t xml:space="preserve">UK General Data Protection Regulation (UK GDPR) Guidance </w:t>
        </w:r>
      </w:hyperlink>
      <w:hyperlink r:id="rId27">
        <w:r>
          <w:rPr>
            <w:color w:val="467886"/>
            <w:u w:val="single" w:color="467886"/>
          </w:rPr>
          <w:t xml:space="preserve">– </w:t>
        </w:r>
      </w:hyperlink>
      <w:hyperlink r:id="rId28">
        <w:r>
          <w:rPr>
            <w:color w:val="467886"/>
            <w:u w:val="single" w:color="467886"/>
          </w:rPr>
          <w:t>ICO</w:t>
        </w:r>
      </w:hyperlink>
      <w:hyperlink r:id="rId29">
        <w:r>
          <w:t xml:space="preserve"> </w:t>
        </w:r>
      </w:hyperlink>
      <w:r>
        <w:t xml:space="preserve"> </w:t>
      </w:r>
    </w:p>
    <w:p w14:paraId="23A85C35" w14:textId="77777777" w:rsidR="006A5F66" w:rsidRDefault="00000000">
      <w:pPr>
        <w:spacing w:after="0" w:line="259" w:lineRule="auto"/>
        <w:ind w:left="0" w:firstLine="0"/>
        <w:jc w:val="left"/>
      </w:pPr>
      <w:r>
        <w:t xml:space="preserve"> </w:t>
      </w:r>
    </w:p>
    <w:sectPr w:rsidR="006A5F66">
      <w:footerReference w:type="even" r:id="rId30"/>
      <w:footerReference w:type="default" r:id="rId31"/>
      <w:footerReference w:type="first" r:id="rId32"/>
      <w:pgSz w:w="11911" w:h="16838"/>
      <w:pgMar w:top="569" w:right="510" w:bottom="1424" w:left="540" w:header="720" w:footer="71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0E01B" w14:textId="77777777" w:rsidR="00F05447" w:rsidRDefault="00F05447">
      <w:pPr>
        <w:spacing w:after="0" w:line="240" w:lineRule="auto"/>
      </w:pPr>
      <w:r>
        <w:separator/>
      </w:r>
    </w:p>
  </w:endnote>
  <w:endnote w:type="continuationSeparator" w:id="0">
    <w:p w14:paraId="3C983E44" w14:textId="77777777" w:rsidR="00F05447" w:rsidRDefault="00F0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D1BBB" w14:textId="77777777" w:rsidR="006A5F66" w:rsidRDefault="00000000">
    <w:pPr>
      <w:spacing w:after="0" w:line="259" w:lineRule="auto"/>
      <w:ind w:left="16" w:firstLine="0"/>
      <w:jc w:val="center"/>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A9261" w14:textId="77777777" w:rsidR="006A5F66" w:rsidRDefault="00000000">
    <w:pPr>
      <w:spacing w:after="0" w:line="259" w:lineRule="auto"/>
      <w:ind w:left="16" w:firstLine="0"/>
      <w:jc w:val="center"/>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BC535" w14:textId="77777777" w:rsidR="006A5F66" w:rsidRDefault="00000000">
    <w:pPr>
      <w:spacing w:after="0" w:line="259" w:lineRule="auto"/>
      <w:ind w:left="16" w:firstLine="0"/>
      <w:jc w:val="center"/>
    </w:pPr>
    <w:r>
      <w:fldChar w:fldCharType="begin"/>
    </w:r>
    <w:r>
      <w:instrText xml:space="preserve"> PAGE   \* MERGEFORMAT </w:instrText>
    </w:r>
    <w:r>
      <w:fldChar w:fldCharType="separate"/>
    </w:r>
    <w:r>
      <w:t>1</w:t>
    </w:r>
    <w:r>
      <w:fldChar w:fldCharType="end"/>
    </w: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1F694" w14:textId="77777777" w:rsidR="006A5F66" w:rsidRDefault="00000000">
    <w:pPr>
      <w:spacing w:after="0" w:line="259" w:lineRule="auto"/>
      <w:ind w:left="0" w:right="33" w:firstLine="0"/>
      <w:jc w:val="center"/>
    </w:pPr>
    <w:r>
      <w:fldChar w:fldCharType="begin"/>
    </w:r>
    <w:r>
      <w:instrText xml:space="preserve"> PAGE   \* MERGEFORMAT </w:instrText>
    </w:r>
    <w:r>
      <w:fldChar w:fldCharType="separate"/>
    </w:r>
    <w:r>
      <w:t>2</w:t>
    </w:r>
    <w:r>
      <w:fldChar w:fldCharType="end"/>
    </w:r>
    <w:r>
      <w:t xml:space="preserve"> </w:t>
    </w:r>
  </w:p>
  <w:p w14:paraId="5C8D54D2" w14:textId="77777777" w:rsidR="006A5F66" w:rsidRDefault="00000000">
    <w:pPr>
      <w:spacing w:after="0" w:line="259" w:lineRule="auto"/>
      <w:ind w:left="14"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E51B11" w14:textId="77777777" w:rsidR="006A5F66" w:rsidRDefault="00000000">
    <w:pPr>
      <w:spacing w:after="0" w:line="259" w:lineRule="auto"/>
      <w:ind w:left="0" w:right="33" w:firstLine="0"/>
      <w:jc w:val="center"/>
    </w:pPr>
    <w:r>
      <w:fldChar w:fldCharType="begin"/>
    </w:r>
    <w:r>
      <w:instrText xml:space="preserve"> PAGE   \* MERGEFORMAT </w:instrText>
    </w:r>
    <w:r>
      <w:fldChar w:fldCharType="separate"/>
    </w:r>
    <w:r>
      <w:t>2</w:t>
    </w:r>
    <w:r>
      <w:fldChar w:fldCharType="end"/>
    </w:r>
    <w:r>
      <w:t xml:space="preserve"> </w:t>
    </w:r>
  </w:p>
  <w:p w14:paraId="3C4C2235" w14:textId="77777777" w:rsidR="006A5F66" w:rsidRDefault="00000000">
    <w:pPr>
      <w:spacing w:after="0" w:line="259" w:lineRule="auto"/>
      <w:ind w:left="14"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04E75" w14:textId="77777777" w:rsidR="006A5F66" w:rsidRDefault="00000000">
    <w:pPr>
      <w:spacing w:after="0" w:line="259" w:lineRule="auto"/>
      <w:ind w:left="0" w:right="33" w:firstLine="0"/>
      <w:jc w:val="center"/>
    </w:pPr>
    <w:r>
      <w:fldChar w:fldCharType="begin"/>
    </w:r>
    <w:r>
      <w:instrText xml:space="preserve"> PAGE   \* MERGEFORMAT </w:instrText>
    </w:r>
    <w:r>
      <w:fldChar w:fldCharType="separate"/>
    </w:r>
    <w:r>
      <w:t>2</w:t>
    </w:r>
    <w:r>
      <w:fldChar w:fldCharType="end"/>
    </w:r>
    <w:r>
      <w:t xml:space="preserve"> </w:t>
    </w:r>
  </w:p>
  <w:p w14:paraId="338EC1C9" w14:textId="77777777" w:rsidR="006A5F66" w:rsidRDefault="00000000">
    <w:pPr>
      <w:spacing w:after="0" w:line="259" w:lineRule="auto"/>
      <w:ind w:left="14"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AA0D9" w14:textId="77777777" w:rsidR="00F05447" w:rsidRDefault="00F05447">
      <w:pPr>
        <w:spacing w:after="0" w:line="240" w:lineRule="auto"/>
      </w:pPr>
      <w:r>
        <w:separator/>
      </w:r>
    </w:p>
  </w:footnote>
  <w:footnote w:type="continuationSeparator" w:id="0">
    <w:p w14:paraId="2B84C906" w14:textId="77777777" w:rsidR="00F05447" w:rsidRDefault="00F05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24CB3"/>
    <w:multiLevelType w:val="hybridMultilevel"/>
    <w:tmpl w:val="845A0BF0"/>
    <w:lvl w:ilvl="0" w:tplc="74B25360">
      <w:start w:val="1"/>
      <w:numFmt w:val="bullet"/>
      <w:lvlText w:val="•"/>
      <w:lvlJc w:val="left"/>
      <w:pPr>
        <w:ind w:left="7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8BAB216">
      <w:start w:val="1"/>
      <w:numFmt w:val="bullet"/>
      <w:lvlText w:val="o"/>
      <w:lvlJc w:val="left"/>
      <w:pPr>
        <w:ind w:left="145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2B60478">
      <w:start w:val="1"/>
      <w:numFmt w:val="bullet"/>
      <w:lvlText w:val="▪"/>
      <w:lvlJc w:val="left"/>
      <w:pPr>
        <w:ind w:left="217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B78690E">
      <w:start w:val="1"/>
      <w:numFmt w:val="bullet"/>
      <w:lvlText w:val="•"/>
      <w:lvlJc w:val="left"/>
      <w:pPr>
        <w:ind w:left="28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19E2072">
      <w:start w:val="1"/>
      <w:numFmt w:val="bullet"/>
      <w:lvlText w:val="o"/>
      <w:lvlJc w:val="left"/>
      <w:pPr>
        <w:ind w:left="361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2C0B56C">
      <w:start w:val="1"/>
      <w:numFmt w:val="bullet"/>
      <w:lvlText w:val="▪"/>
      <w:lvlJc w:val="left"/>
      <w:pPr>
        <w:ind w:left="433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3DE4566">
      <w:start w:val="1"/>
      <w:numFmt w:val="bullet"/>
      <w:lvlText w:val="•"/>
      <w:lvlJc w:val="left"/>
      <w:pPr>
        <w:ind w:left="50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CFAD9AA">
      <w:start w:val="1"/>
      <w:numFmt w:val="bullet"/>
      <w:lvlText w:val="o"/>
      <w:lvlJc w:val="left"/>
      <w:pPr>
        <w:ind w:left="577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38A08AA">
      <w:start w:val="1"/>
      <w:numFmt w:val="bullet"/>
      <w:lvlText w:val="▪"/>
      <w:lvlJc w:val="left"/>
      <w:pPr>
        <w:ind w:left="649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89A4388"/>
    <w:multiLevelType w:val="hybridMultilevel"/>
    <w:tmpl w:val="1722BC34"/>
    <w:lvl w:ilvl="0" w:tplc="994452BE">
      <w:start w:val="1"/>
      <w:numFmt w:val="bullet"/>
      <w:lvlText w:val="•"/>
      <w:lvlJc w:val="left"/>
      <w:pPr>
        <w:ind w:left="7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09E615C">
      <w:start w:val="1"/>
      <w:numFmt w:val="bullet"/>
      <w:lvlText w:val="o"/>
      <w:lvlJc w:val="left"/>
      <w:pPr>
        <w:ind w:left="145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088204C">
      <w:start w:val="1"/>
      <w:numFmt w:val="bullet"/>
      <w:lvlText w:val="▪"/>
      <w:lvlJc w:val="left"/>
      <w:pPr>
        <w:ind w:left="217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32EDDEE">
      <w:start w:val="1"/>
      <w:numFmt w:val="bullet"/>
      <w:lvlText w:val="•"/>
      <w:lvlJc w:val="left"/>
      <w:pPr>
        <w:ind w:left="28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1EC9C7A">
      <w:start w:val="1"/>
      <w:numFmt w:val="bullet"/>
      <w:lvlText w:val="o"/>
      <w:lvlJc w:val="left"/>
      <w:pPr>
        <w:ind w:left="361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A20610A">
      <w:start w:val="1"/>
      <w:numFmt w:val="bullet"/>
      <w:lvlText w:val="▪"/>
      <w:lvlJc w:val="left"/>
      <w:pPr>
        <w:ind w:left="433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C1A2692">
      <w:start w:val="1"/>
      <w:numFmt w:val="bullet"/>
      <w:lvlText w:val="•"/>
      <w:lvlJc w:val="left"/>
      <w:pPr>
        <w:ind w:left="50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B6E8632">
      <w:start w:val="1"/>
      <w:numFmt w:val="bullet"/>
      <w:lvlText w:val="o"/>
      <w:lvlJc w:val="left"/>
      <w:pPr>
        <w:ind w:left="577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FF49C90">
      <w:start w:val="1"/>
      <w:numFmt w:val="bullet"/>
      <w:lvlText w:val="▪"/>
      <w:lvlJc w:val="left"/>
      <w:pPr>
        <w:ind w:left="6494"/>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412E305B"/>
    <w:multiLevelType w:val="multilevel"/>
    <w:tmpl w:val="BBF4F83A"/>
    <w:lvl w:ilvl="0">
      <w:start w:val="1"/>
      <w:numFmt w:val="decimal"/>
      <w:lvlText w:val="%1"/>
      <w:lvlJc w:val="left"/>
      <w:pPr>
        <w:ind w:left="3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start w:val="1"/>
      <w:numFmt w:val="decimal"/>
      <w:lvlRestart w:val="0"/>
      <w:lvlText w:val="%1.%2"/>
      <w:lvlJc w:val="left"/>
      <w:pPr>
        <w:ind w:left="154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227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99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71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443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515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87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59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8645F70"/>
    <w:multiLevelType w:val="hybridMultilevel"/>
    <w:tmpl w:val="3D7AE89A"/>
    <w:lvl w:ilvl="0" w:tplc="2402EB3E">
      <w:start w:val="1"/>
      <w:numFmt w:val="decimal"/>
      <w:lvlText w:val="%1."/>
      <w:lvlJc w:val="left"/>
      <w:pPr>
        <w:ind w:left="4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4C46C74">
      <w:start w:val="1"/>
      <w:numFmt w:val="lowerLetter"/>
      <w:lvlText w:val="%2"/>
      <w:lvlJc w:val="left"/>
      <w:pPr>
        <w:ind w:left="12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140AEE2">
      <w:start w:val="1"/>
      <w:numFmt w:val="lowerRoman"/>
      <w:lvlText w:val="%3"/>
      <w:lvlJc w:val="left"/>
      <w:pPr>
        <w:ind w:left="19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7B48C16">
      <w:start w:val="1"/>
      <w:numFmt w:val="decimal"/>
      <w:lvlText w:val="%4"/>
      <w:lvlJc w:val="left"/>
      <w:pPr>
        <w:ind w:left="265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B3CC1378">
      <w:start w:val="1"/>
      <w:numFmt w:val="lowerLetter"/>
      <w:lvlText w:val="%5"/>
      <w:lvlJc w:val="left"/>
      <w:pPr>
        <w:ind w:left="337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67FE0288">
      <w:start w:val="1"/>
      <w:numFmt w:val="lowerRoman"/>
      <w:lvlText w:val="%6"/>
      <w:lvlJc w:val="left"/>
      <w:pPr>
        <w:ind w:left="40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8FA04F6C">
      <w:start w:val="1"/>
      <w:numFmt w:val="decimal"/>
      <w:lvlText w:val="%7"/>
      <w:lvlJc w:val="left"/>
      <w:pPr>
        <w:ind w:left="48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59EAE70C">
      <w:start w:val="1"/>
      <w:numFmt w:val="lowerLetter"/>
      <w:lvlText w:val="%8"/>
      <w:lvlJc w:val="left"/>
      <w:pPr>
        <w:ind w:left="55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7668134">
      <w:start w:val="1"/>
      <w:numFmt w:val="lowerRoman"/>
      <w:lvlText w:val="%9"/>
      <w:lvlJc w:val="left"/>
      <w:pPr>
        <w:ind w:left="625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8B35010"/>
    <w:multiLevelType w:val="multilevel"/>
    <w:tmpl w:val="63029DDE"/>
    <w:lvl w:ilvl="0">
      <w:start w:val="1"/>
      <w:numFmt w:val="decimal"/>
      <w:lvlText w:val="%1"/>
      <w:lvlJc w:val="left"/>
      <w:pPr>
        <w:ind w:left="3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start w:val="2"/>
      <w:numFmt w:val="decimal"/>
      <w:lvlText w:val="%1.%2"/>
      <w:lvlJc w:val="left"/>
      <w:pPr>
        <w:ind w:left="102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start w:val="1"/>
      <w:numFmt w:val="decimal"/>
      <w:lvlRestart w:val="0"/>
      <w:lvlText w:val="%1.%2.%3"/>
      <w:lvlJc w:val="left"/>
      <w:pPr>
        <w:ind w:left="198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4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1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8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5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2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0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858343479">
    <w:abstractNumId w:val="3"/>
  </w:num>
  <w:num w:numId="2" w16cid:durableId="978150512">
    <w:abstractNumId w:val="2"/>
  </w:num>
  <w:num w:numId="3" w16cid:durableId="1469782853">
    <w:abstractNumId w:val="4"/>
  </w:num>
  <w:num w:numId="4" w16cid:durableId="1470593203">
    <w:abstractNumId w:val="0"/>
  </w:num>
  <w:num w:numId="5" w16cid:durableId="1980260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F66"/>
    <w:rsid w:val="006A5F66"/>
    <w:rsid w:val="00A30F70"/>
    <w:rsid w:val="00D8077A"/>
    <w:rsid w:val="00F05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A873C"/>
  <w15:docId w15:val="{AB388E2B-E78A-4D42-A419-2F993F305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65" w:lineRule="auto"/>
      <w:ind w:left="144" w:hanging="10"/>
      <w:jc w:val="both"/>
    </w:pPr>
    <w:rPr>
      <w:rFonts w:ascii="Calibri" w:eastAsia="Calibri" w:hAnsi="Calibri" w:cs="Calibri"/>
      <w:color w:val="000000"/>
    </w:rPr>
  </w:style>
  <w:style w:type="paragraph" w:styleId="Heading1">
    <w:name w:val="heading 1"/>
    <w:next w:val="Normal"/>
    <w:link w:val="Heading1Char"/>
    <w:uiPriority w:val="9"/>
    <w:qFormat/>
    <w:pPr>
      <w:keepNext/>
      <w:keepLines/>
      <w:spacing w:after="4" w:line="265" w:lineRule="auto"/>
      <w:ind w:left="10" w:hanging="10"/>
      <w:outlineLvl w:val="0"/>
    </w:pPr>
    <w:rPr>
      <w:rFonts w:ascii="Calibri" w:eastAsia="Calibri" w:hAnsi="Calibri" w:cs="Calibri"/>
      <w:b/>
      <w:color w:val="000000"/>
      <w:sz w:val="36"/>
    </w:rPr>
  </w:style>
  <w:style w:type="paragraph" w:styleId="Heading2">
    <w:name w:val="heading 2"/>
    <w:next w:val="Normal"/>
    <w:link w:val="Heading2Char"/>
    <w:uiPriority w:val="9"/>
    <w:unhideWhenUsed/>
    <w:qFormat/>
    <w:pPr>
      <w:keepNext/>
      <w:keepLines/>
      <w:spacing w:after="4" w:line="265" w:lineRule="auto"/>
      <w:ind w:left="10" w:hanging="10"/>
      <w:outlineLvl w:val="1"/>
    </w:pPr>
    <w:rPr>
      <w:rFonts w:ascii="Calibri" w:eastAsia="Calibri" w:hAnsi="Calibri" w:cs="Calibri"/>
      <w:b/>
      <w:color w:val="000000"/>
      <w:sz w:val="36"/>
    </w:rPr>
  </w:style>
  <w:style w:type="paragraph" w:styleId="Heading3">
    <w:name w:val="heading 3"/>
    <w:next w:val="Normal"/>
    <w:link w:val="Heading3Char"/>
    <w:uiPriority w:val="9"/>
    <w:unhideWhenUsed/>
    <w:qFormat/>
    <w:pPr>
      <w:keepNext/>
      <w:keepLines/>
      <w:spacing w:after="4" w:line="265" w:lineRule="auto"/>
      <w:ind w:left="10" w:hanging="10"/>
      <w:outlineLvl w:val="2"/>
    </w:pPr>
    <w:rPr>
      <w:rFonts w:ascii="Calibri" w:eastAsia="Calibri" w:hAnsi="Calibri" w:cs="Calibri"/>
      <w:b/>
      <w:color w:val="000000"/>
      <w:sz w:val="36"/>
    </w:rPr>
  </w:style>
  <w:style w:type="paragraph" w:styleId="Heading4">
    <w:name w:val="heading 4"/>
    <w:next w:val="Normal"/>
    <w:link w:val="Heading4Char"/>
    <w:uiPriority w:val="9"/>
    <w:unhideWhenUsed/>
    <w:qFormat/>
    <w:pPr>
      <w:keepNext/>
      <w:keepLines/>
      <w:spacing w:after="245" w:line="265" w:lineRule="auto"/>
      <w:ind w:left="10" w:hanging="10"/>
      <w:outlineLvl w:val="3"/>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36"/>
    </w:rPr>
  </w:style>
  <w:style w:type="character" w:customStyle="1" w:styleId="Heading2Char">
    <w:name w:val="Heading 2 Char"/>
    <w:link w:val="Heading2"/>
    <w:rPr>
      <w:rFonts w:ascii="Calibri" w:eastAsia="Calibri" w:hAnsi="Calibri" w:cs="Calibri"/>
      <w:b/>
      <w:color w:val="000000"/>
      <w:sz w:val="36"/>
    </w:rPr>
  </w:style>
  <w:style w:type="character" w:customStyle="1" w:styleId="Heading3Char">
    <w:name w:val="Heading 3 Char"/>
    <w:link w:val="Heading3"/>
    <w:rPr>
      <w:rFonts w:ascii="Calibri" w:eastAsia="Calibri" w:hAnsi="Calibri" w:cs="Calibri"/>
      <w:b/>
      <w:color w:val="000000"/>
      <w:sz w:val="36"/>
    </w:rPr>
  </w:style>
  <w:style w:type="character" w:customStyle="1" w:styleId="Heading4Char">
    <w:name w:val="Heading 4 Char"/>
    <w:link w:val="Heading4"/>
    <w:rPr>
      <w:rFonts w:ascii="Calibri" w:eastAsia="Calibri" w:hAnsi="Calibri" w:cs="Calibri"/>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ihgplc.com/en/investors/shareholder-centre/annual-reports-and-responsible-business-reports?utm_source=chatgpt.com" TargetMode="External"/><Relationship Id="rId18" Type="http://schemas.openxmlformats.org/officeDocument/2006/relationships/hyperlink" Target="https://www.frc.org.uk/library/standards-codes-policy/corporate-governance/uk-corporate-governance-code/?utm_source=chatgpt.com" TargetMode="External"/><Relationship Id="rId26" Type="http://schemas.openxmlformats.org/officeDocument/2006/relationships/hyperlink" Target="https://ico.org.uk/for-organisations/uk-gdpr-guidance-and-resources/?utm_source=chatgpt.com" TargetMode="External"/><Relationship Id="rId3" Type="http://schemas.openxmlformats.org/officeDocument/2006/relationships/settings" Target="settings.xml"/><Relationship Id="rId21" Type="http://schemas.openxmlformats.org/officeDocument/2006/relationships/hyperlink" Target="https://www.ihgplc.com/en/responsible-business?utm_source=chatgpt.com" TargetMode="External"/><Relationship Id="rId34"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hyperlink" Target="https://www.ihgplc.com/en/investors/shareholder-centre/annual-reports-and-responsible-business-reports?utm_source=chatgpt.com" TargetMode="External"/><Relationship Id="rId17" Type="http://schemas.openxmlformats.org/officeDocument/2006/relationships/hyperlink" Target="https://www.frc.org.uk/library/standards-codes-policy/corporate-governance/uk-corporate-governance-code/?utm_source=chatgpt.com" TargetMode="External"/><Relationship Id="rId25" Type="http://schemas.openxmlformats.org/officeDocument/2006/relationships/hyperlink" Target="https://arxiv.org/abs/2408.00965?utm_source=chatgpt.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rc.org.uk/library/standards-codes-policy/corporate-governance/uk-corporate-governance-code/?utm_source=chatgpt.com" TargetMode="External"/><Relationship Id="rId20" Type="http://schemas.openxmlformats.org/officeDocument/2006/relationships/hyperlink" Target="https://www.ihgplc.com/en/responsible-business?utm_source=chatgpt.com" TargetMode="External"/><Relationship Id="rId29" Type="http://schemas.openxmlformats.org/officeDocument/2006/relationships/hyperlink" Target="https://ico.org.uk/for-organisations/uk-gdpr-guidance-and-resource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gplc.com/en/investors/shareholder-centre/annual-reports-and-responsible-business-reports?utm_source=chatgpt.com" TargetMode="External"/><Relationship Id="rId24" Type="http://schemas.openxmlformats.org/officeDocument/2006/relationships/hyperlink" Target="https://arxiv.org/abs/2408.00965?utm_source=chatgpt.com" TargetMode="External"/><Relationship Id="rId32"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hyperlink" Target="https://www.ihgplc.com/~/media/Files/I/Ihg-Plc/investors/annual-report/2024/ihg-ar-2024.pdf?utm_source=chatgpt.com" TargetMode="External"/><Relationship Id="rId23" Type="http://schemas.openxmlformats.org/officeDocument/2006/relationships/hyperlink" Target="https://arxiv.org/abs/2405.19522?utm_source=chatgpt.com" TargetMode="External"/><Relationship Id="rId28" Type="http://schemas.openxmlformats.org/officeDocument/2006/relationships/hyperlink" Target="https://ico.org.uk/for-organisations/uk-gdpr-guidance-and-resources/?utm_source=chatgpt.com" TargetMode="External"/><Relationship Id="rId10" Type="http://schemas.openxmlformats.org/officeDocument/2006/relationships/hyperlink" Target="https://www.ihgplc.com/en/investors/shareholder-centre/annual-reports-and-responsible-business-reports?utm_source=chatgpt.com" TargetMode="External"/><Relationship Id="rId19" Type="http://schemas.openxmlformats.org/officeDocument/2006/relationships/hyperlink" Target="https://www.frc.org.uk/library/standards-codes-policy/corporate-governance/uk-corporate-governance-code/?utm_source=chatgpt.com" TargetMode="External"/><Relationship Id="rId31"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hyperlink" Target="https://www.ihgplc.com/~/media/Files/I/Ihg-Plc/investors/annual-report/2024/ihg-ar-2024.pdf?utm_source=chatgpt.com" TargetMode="External"/><Relationship Id="rId22" Type="http://schemas.openxmlformats.org/officeDocument/2006/relationships/hyperlink" Target="https://arxiv.org/abs/2405.19522?utm_source=chatgpt.com" TargetMode="External"/><Relationship Id="rId27" Type="http://schemas.openxmlformats.org/officeDocument/2006/relationships/hyperlink" Target="https://ico.org.uk/for-organisations/uk-gdpr-guidance-and-resources/?utm_source=chatgpt.com" TargetMode="External"/><Relationship Id="rId30" Type="http://schemas.openxmlformats.org/officeDocument/2006/relationships/footer" Target="footer4.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6331</Words>
  <Characters>36092</Characters>
  <Application>Microsoft Office Word</Application>
  <DocSecurity>0</DocSecurity>
  <Lines>300</Lines>
  <Paragraphs>84</Paragraphs>
  <ScaleCrop>false</ScaleCrop>
  <Company/>
  <LinksUpToDate>false</LinksUpToDate>
  <CharactersWithSpaces>42339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IHG Financial Analysis</dc:title>
  <dc:subject/>
  <dc:creator>Jeromme Lagmay</dc:creator>
  <cp:keywords>DAHP9GWS1wE,BAFhGRiZ0Fw</cp:keywords>
  <cp:lastModifiedBy>Jeromme Lagmay</cp:lastModifiedBy>
  <cp:revision>2</cp:revision>
  <dcterms:created xsi:type="dcterms:W3CDTF">2026-07-22T13:32:00Z</dcterms:created>
  <dcterms:modified xsi:type="dcterms:W3CDTF">2026-07-22T13:32:00Z</dcterms:modified>
</cp:coreProperties>
</file>