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D32BFF" w14:textId="31B31107" w:rsidR="008055EC" w:rsidRPr="008055EC" w:rsidRDefault="00EB7907" w:rsidP="008055EC">
      <w:pPr>
        <w:rPr>
          <w:rFonts w:ascii="Times New Roman" w:eastAsia="Times New Roman" w:hAnsi="Times New Roman" w:cs="Times New Roman"/>
          <w:kern w:val="0"/>
          <w:lang w:eastAsia="en-GB"/>
          <w14:ligatures w14:val="none"/>
        </w:rPr>
      </w:pPr>
      <w:r>
        <w:rPr>
          <w:noProof/>
        </w:rPr>
        <mc:AlternateContent>
          <mc:Choice Requires="wps">
            <w:drawing>
              <wp:anchor distT="0" distB="0" distL="114300" distR="114300" simplePos="0" relativeHeight="251661312" behindDoc="0" locked="0" layoutInCell="1" allowOverlap="1" wp14:anchorId="10414DA7" wp14:editId="294C9D8F">
                <wp:simplePos x="0" y="0"/>
                <wp:positionH relativeFrom="column">
                  <wp:posOffset>2028009</wp:posOffset>
                </wp:positionH>
                <wp:positionV relativeFrom="paragraph">
                  <wp:posOffset>389255</wp:posOffset>
                </wp:positionV>
                <wp:extent cx="4312285" cy="1569085"/>
                <wp:effectExtent l="0" t="0" r="18415" b="18415"/>
                <wp:wrapNone/>
                <wp:docPr id="733368469" name="Rounded Rectangle 2"/>
                <wp:cNvGraphicFramePr/>
                <a:graphic xmlns:a="http://schemas.openxmlformats.org/drawingml/2006/main">
                  <a:graphicData uri="http://schemas.microsoft.com/office/word/2010/wordprocessingShape">
                    <wps:wsp>
                      <wps:cNvSpPr/>
                      <wps:spPr>
                        <a:xfrm>
                          <a:off x="0" y="0"/>
                          <a:ext cx="4312285" cy="1569085"/>
                        </a:xfrm>
                        <a:prstGeom prst="roundRect">
                          <a:avLst/>
                        </a:prstGeom>
                      </wps:spPr>
                      <wps:style>
                        <a:lnRef idx="1">
                          <a:schemeClr val="accent5"/>
                        </a:lnRef>
                        <a:fillRef idx="2">
                          <a:schemeClr val="accent5"/>
                        </a:fillRef>
                        <a:effectRef idx="1">
                          <a:schemeClr val="accent5"/>
                        </a:effectRef>
                        <a:fontRef idx="minor">
                          <a:schemeClr val="dk1"/>
                        </a:fontRef>
                      </wps:style>
                      <wps:txbx>
                        <w:txbxContent>
                          <w:p w14:paraId="1DBC1DB7" w14:textId="6598C70A" w:rsidR="00027CB5" w:rsidRDefault="00027CB5" w:rsidP="00027CB5">
                            <w:pPr>
                              <w:jc w:val="center"/>
                            </w:pPr>
                            <w:r>
                              <w:t>BREIF HISTORY:</w:t>
                            </w:r>
                          </w:p>
                          <w:p w14:paraId="1A114021" w14:textId="196D8A78" w:rsidR="00027CB5" w:rsidRDefault="00027CB5" w:rsidP="00027CB5">
                            <w:pPr>
                              <w:jc w:val="center"/>
                            </w:pPr>
                            <w:r>
                              <w:t xml:space="preserve">The earliest pharmacy </w:t>
                            </w:r>
                            <w:r w:rsidR="002D001F">
                              <w:t>appeared</w:t>
                            </w:r>
                            <w:r>
                              <w:t xml:space="preserve"> around 2600 BCE </w:t>
                            </w:r>
                            <w:r w:rsidR="002D001F">
                              <w:t xml:space="preserve">which was in antient Mesopotamia </w:t>
                            </w:r>
                            <w:r>
                              <w:t xml:space="preserve">where </w:t>
                            </w:r>
                            <w:r w:rsidR="002D001F">
                              <w:t>herbal</w:t>
                            </w:r>
                            <w:r>
                              <w:t xml:space="preserve"> medicines were prepared ( Brodie,2018). Over time laws were introduced in the 19</w:t>
                            </w:r>
                            <w:r w:rsidRPr="00027CB5">
                              <w:rPr>
                                <w:vertAlign w:val="superscript"/>
                              </w:rPr>
                              <w:t>th</w:t>
                            </w:r>
                            <w:r>
                              <w:t xml:space="preserve"> </w:t>
                            </w:r>
                            <w:r w:rsidR="002D001F">
                              <w:t>centaury</w:t>
                            </w:r>
                            <w:r>
                              <w:t xml:space="preserve"> ensuring medicines were safe and properly dispensed (Williams, 2015).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0414DA7" id="Rounded Rectangle 2" o:spid="_x0000_s1026" style="position:absolute;margin-left:159.7pt;margin-top:30.65pt;width:339.55pt;height:123.5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" fillcolor="#d35dc6 [2168]" strokecolor="#a02b93 [3208]" strokeweight="1pt">
                <v:fill color2="#ca3bba [2616]" rotate="t" colors="0 #d09fc8;.5 #c692be;1 #c17eb6" focus="100%" type="gradient">
                  <o:fill v:ext="view" type="gradientUnscaled"/>
                </v:fill>
                <v:stroke joinstyle="miter"/>
                <v:textbox>
                  <w:txbxContent>
                    <w:p w14:paraId="1DBC1DB7" w14:textId="6598C70A" w:rsidR="00027CB5" w:rsidRDefault="00027CB5" w:rsidP="00027CB5">
                      <w:pPr>
                        <w:jc w:val="center"/>
                      </w:pPr>
                      <w:r>
                        <w:t>BREIF HISTORY:</w:t>
                      </w:r>
                    </w:p>
                    <w:p w14:paraId="1A114021" w14:textId="196D8A78" w:rsidR="00027CB5" w:rsidRDefault="00027CB5" w:rsidP="00027CB5">
                      <w:pPr>
                        <w:jc w:val="center"/>
                      </w:pPr>
                      <w:r>
                        <w:t xml:space="preserve">The earliest pharmacy </w:t>
                      </w:r>
                      <w:r w:rsidR="002D001F">
                        <w:t>appeared</w:t>
                      </w:r>
                      <w:r>
                        <w:t xml:space="preserve"> around 2600 BCE </w:t>
                      </w:r>
                      <w:r w:rsidR="002D001F">
                        <w:t xml:space="preserve">which was in antient Mesopotamia </w:t>
                      </w:r>
                      <w:r>
                        <w:t xml:space="preserve">where </w:t>
                      </w:r>
                      <w:r w:rsidR="002D001F">
                        <w:t>herbal</w:t>
                      </w:r>
                      <w:r>
                        <w:t xml:space="preserve"> medicines were prepared </w:t>
                      </w:r>
                      <w:proofErr w:type="gramStart"/>
                      <w:r>
                        <w:t>( Brodie</w:t>
                      </w:r>
                      <w:proofErr w:type="gramEnd"/>
                      <w:r>
                        <w:t>,2018). Over time laws were introduced in the 19</w:t>
                      </w:r>
                      <w:r w:rsidRPr="00027CB5">
                        <w:rPr>
                          <w:vertAlign w:val="superscript"/>
                        </w:rPr>
                        <w:t>th</w:t>
                      </w:r>
                      <w:r>
                        <w:t xml:space="preserve"> </w:t>
                      </w:r>
                      <w:r w:rsidR="002D001F">
                        <w:t>centaury</w:t>
                      </w:r>
                      <w:r>
                        <w:t xml:space="preserve"> ensuring medicines were safe and properly dispensed (Williams, 2015). </w:t>
                      </w:r>
                    </w:p>
                  </w:txbxContent>
                </v:textbox>
              </v:roundrect>
            </w:pict>
          </mc:Fallback>
        </mc:AlternateContent>
      </w:r>
      <w:r>
        <w:rPr>
          <w:noProof/>
        </w:rPr>
        <mc:AlternateContent>
          <mc:Choice Requires="wps">
            <w:drawing>
              <wp:anchor distT="0" distB="0" distL="114300" distR="114300" simplePos="0" relativeHeight="251660288" behindDoc="0" locked="0" layoutInCell="1" allowOverlap="1" wp14:anchorId="0CB0191D" wp14:editId="3345191F">
                <wp:simplePos x="0" y="0"/>
                <wp:positionH relativeFrom="column">
                  <wp:posOffset>-800100</wp:posOffset>
                </wp:positionH>
                <wp:positionV relativeFrom="paragraph">
                  <wp:posOffset>-179614</wp:posOffset>
                </wp:positionV>
                <wp:extent cx="2702257" cy="2579914"/>
                <wp:effectExtent l="0" t="0" r="15875" b="11430"/>
                <wp:wrapNone/>
                <wp:docPr id="578014536" name="Rounded Rectangle 1"/>
                <wp:cNvGraphicFramePr/>
                <a:graphic xmlns:a="http://schemas.openxmlformats.org/drawingml/2006/main">
                  <a:graphicData uri="http://schemas.microsoft.com/office/word/2010/wordprocessingShape">
                    <wps:wsp>
                      <wps:cNvSpPr/>
                      <wps:spPr>
                        <a:xfrm>
                          <a:off x="0" y="0"/>
                          <a:ext cx="2702257" cy="2579914"/>
                        </a:xfrm>
                        <a:prstGeom prst="roundRect">
                          <a:avLst/>
                        </a:prstGeom>
                      </wps:spPr>
                      <wps:style>
                        <a:lnRef idx="1">
                          <a:schemeClr val="accent2"/>
                        </a:lnRef>
                        <a:fillRef idx="2">
                          <a:schemeClr val="accent2"/>
                        </a:fillRef>
                        <a:effectRef idx="1">
                          <a:schemeClr val="accent2"/>
                        </a:effectRef>
                        <a:fontRef idx="minor">
                          <a:schemeClr val="dk1"/>
                        </a:fontRef>
                      </wps:style>
                      <wps:txbx>
                        <w:txbxContent>
                          <w:p w14:paraId="63B26C72" w14:textId="3B88B158" w:rsidR="00027CB5" w:rsidRDefault="00027CB5" w:rsidP="00027CB5">
                            <w:pPr>
                              <w:jc w:val="center"/>
                            </w:pPr>
                            <w:r>
                              <w:t>WHAT ARE PHARMACY SERVICES?</w:t>
                            </w:r>
                          </w:p>
                          <w:p w14:paraId="0847BCC3" w14:textId="2F7118BB" w:rsidR="00027CB5" w:rsidRDefault="00027CB5" w:rsidP="00027CB5">
                            <w:pPr>
                              <w:jc w:val="center"/>
                            </w:pPr>
                            <w:r>
                              <w:t>Ensure you get medicine and provide health advice you need. Pharmacists dispense prescriptions and offer over the counter remedies.</w:t>
                            </w:r>
                          </w:p>
                          <w:p w14:paraId="0DCD1451" w14:textId="5D513059" w:rsidR="00027CB5" w:rsidRDefault="00027CB5" w:rsidP="00027CB5">
                            <w:pPr>
                              <w:jc w:val="center"/>
                            </w:pPr>
                            <w:r>
                              <w:t xml:space="preserve">They are often first point of contact for health concerns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CB0191D" id="Rounded Rectangle 1" o:spid="_x0000_s1027" style="position:absolute;margin-left:-63pt;margin-top:-14.15pt;width:212.8pt;height:203.1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" fillcolor="#f09f76 [2165]" strokecolor="#e97132 [3205]" strokeweight="1pt">
                <v:fill color2="#ed8b59 [2613]" rotate="t" colors="0 #f5b8a4;.5 #f2ab96;1 #f59e81" focus="100%" type="gradient">
                  <o:fill v:ext="view" type="gradientUnscaled"/>
                </v:fill>
                <v:stroke joinstyle="miter"/>
                <v:textbox>
                  <w:txbxContent>
                    <w:p w14:paraId="63B26C72" w14:textId="3B88B158" w:rsidR="00027CB5" w:rsidRDefault="00027CB5" w:rsidP="00027CB5">
                      <w:pPr>
                        <w:jc w:val="center"/>
                      </w:pPr>
                      <w:r>
                        <w:t>WHAT ARE PHARMACY SERVICES?</w:t>
                      </w:r>
                    </w:p>
                    <w:p w14:paraId="0847BCC3" w14:textId="2F7118BB" w:rsidR="00027CB5" w:rsidRDefault="00027CB5" w:rsidP="00027CB5">
                      <w:pPr>
                        <w:jc w:val="center"/>
                      </w:pPr>
                      <w:r>
                        <w:t>Ensure you get medicine and provide health advice you need. Pharmacists dispense prescriptions and offer over the counter remedies.</w:t>
                      </w:r>
                    </w:p>
                    <w:p w14:paraId="0DCD1451" w14:textId="5D513059" w:rsidR="00027CB5" w:rsidRDefault="00027CB5" w:rsidP="00027CB5">
                      <w:pPr>
                        <w:jc w:val="center"/>
                      </w:pPr>
                      <w:r>
                        <w:t xml:space="preserve">They are often first point of contact for health concerns </w:t>
                      </w:r>
                    </w:p>
                  </w:txbxContent>
                </v:textbox>
              </v:roundrect>
            </w:pict>
          </mc:Fallback>
        </mc:AlternateContent>
      </w:r>
      <w:r>
        <w:rPr>
          <w:noProof/>
        </w:rPr>
        <mc:AlternateContent>
          <mc:Choice Requires="wps">
            <w:drawing>
              <wp:anchor distT="0" distB="0" distL="114300" distR="114300" simplePos="0" relativeHeight="251659264" behindDoc="0" locked="0" layoutInCell="1" allowOverlap="1" wp14:anchorId="7895E762" wp14:editId="0E51143A">
                <wp:simplePos x="0" y="0"/>
                <wp:positionH relativeFrom="column">
                  <wp:posOffset>2028000</wp:posOffset>
                </wp:positionH>
                <wp:positionV relativeFrom="paragraph">
                  <wp:posOffset>-455854</wp:posOffset>
                </wp:positionV>
                <wp:extent cx="1828800" cy="1828800"/>
                <wp:effectExtent l="0" t="0" r="0" b="0"/>
                <wp:wrapNone/>
                <wp:docPr id="689240090"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D5B9A0D" w14:textId="55FAA683" w:rsidR="00027CB5" w:rsidRPr="00027CB5" w:rsidRDefault="00027CB5" w:rsidP="00027CB5">
                            <w:pPr>
                              <w:jc w:val="center"/>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PHARMACY SERVICES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7895E762" id="_x0000_t202" coordsize="21600,21600" o:spt="202" path="m,l,21600r21600,l21600,xe">
                <v:stroke joinstyle="miter"/>
                <v:path gradientshapeok="t" o:connecttype="rect"/>
              </v:shapetype>
              <v:shape id="Text Box 1" o:spid="_x0000_s1028" type="#_x0000_t202" style="position:absolute;margin-left:159.7pt;margin-top:-35.9pt;width:2in;height:2in;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" filled="f" stroked="f">
                <v:fill o:detectmouseclick="t"/>
                <v:textbox style="mso-fit-shape-to-text:t">
                  <w:txbxContent>
                    <w:p w14:paraId="5D5B9A0D" w14:textId="55FAA683" w:rsidR="00027CB5" w:rsidRPr="00027CB5" w:rsidRDefault="00027CB5" w:rsidP="00027CB5">
                      <w:pPr>
                        <w:jc w:val="center"/>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PHARMACY SERVICES</w:t>
                      </w:r>
                    </w:p>
                  </w:txbxContent>
                </v:textbox>
              </v:shape>
            </w:pict>
          </mc:Fallback>
        </mc:AlternateContent>
      </w:r>
      <w:r w:rsidR="008055EC">
        <w:t xml:space="preserve"> </w:t>
      </w:r>
      <w:r w:rsidR="008055EC" w:rsidRPr="008055EC">
        <w:rPr>
          <w:rFonts w:ascii="Times New Roman" w:eastAsia="Times New Roman" w:hAnsi="Times New Roman" w:cs="Times New Roman"/>
          <w:kern w:val="0"/>
          <w:lang w:eastAsia="en-GB"/>
          <w14:ligatures w14:val="none"/>
        </w:rPr>
        <w:fldChar w:fldCharType="begin"/>
      </w:r>
      <w:r w:rsidR="008055EC" w:rsidRPr="008055EC">
        <w:rPr>
          <w:rFonts w:ascii="Times New Roman" w:eastAsia="Times New Roman" w:hAnsi="Times New Roman" w:cs="Times New Roman"/>
          <w:kern w:val="0"/>
          <w:lang w:eastAsia="en-GB"/>
          <w14:ligatures w14:val="none"/>
        </w:rPr>
        <w:instrText xml:space="preserve"> INCLUDEPICTURE "https://www.researchgate.net/figure/publication/355516357/figure/fig1/AS:1085553986543617@1635827647414/Flow-chart-of-the-telephonic-medication-management-clinic-MMC-consultation-process.ppm" \* MERGEFORMATINET </w:instrText>
      </w:r>
      <w:r w:rsidR="008055EC" w:rsidRPr="008055EC">
        <w:rPr>
          <w:rFonts w:ascii="Times New Roman" w:eastAsia="Times New Roman" w:hAnsi="Times New Roman" w:cs="Times New Roman"/>
          <w:kern w:val="0"/>
          <w:lang w:eastAsia="en-GB"/>
          <w14:ligatures w14:val="none"/>
        </w:rPr>
        <w:fldChar w:fldCharType="separate"/>
      </w:r>
      <w:r w:rsidR="008055EC" w:rsidRPr="008055EC">
        <w:rPr>
          <w:rFonts w:ascii="Times New Roman" w:eastAsia="Times New Roman" w:hAnsi="Times New Roman" w:cs="Times New Roman"/>
          <w:noProof/>
          <w:kern w:val="0"/>
          <w:lang w:eastAsia="en-GB"/>
          <w14:ligatures w14:val="none"/>
        </w:rPr>
        <mc:AlternateContent>
          <mc:Choice Requires="wps">
            <w:drawing>
              <wp:inline distT="0" distB="0" distL="0" distR="0" wp14:anchorId="0E74BF14" wp14:editId="0D3CD2AB">
                <wp:extent cx="301625" cy="301625"/>
                <wp:effectExtent l="0" t="0" r="0" b="0"/>
                <wp:docPr id="1055912044" name="Rectangle 7" descr="Flow chart of the telephonic medication management clinic (MMC) consultation proces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1625" cy="3016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90FA995" id="Rectangle 7" o:spid="_x0000_s1026" alt="Flow chart of the telephonic medication management clinic (MMC) consultation process." style="width:23.75pt;height:23.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" filled="f" stroked="f">
                <o:lock v:ext="edit" aspectratio="t"/>
                <w10:anchorlock/>
              </v:rect>
            </w:pict>
          </mc:Fallback>
        </mc:AlternateContent>
      </w:r>
      <w:r w:rsidR="008055EC" w:rsidRPr="008055EC">
        <w:rPr>
          <w:rFonts w:ascii="Times New Roman" w:eastAsia="Times New Roman" w:hAnsi="Times New Roman" w:cs="Times New Roman"/>
          <w:kern w:val="0"/>
          <w:lang w:eastAsia="en-GB"/>
          <w14:ligatures w14:val="none"/>
        </w:rPr>
        <w:fldChar w:fldCharType="end"/>
      </w:r>
    </w:p>
    <w:p w14:paraId="534BA549" w14:textId="2D5DA147" w:rsidR="008055EC" w:rsidRPr="008055EC" w:rsidRDefault="008055EC" w:rsidP="008055EC">
      <w:pPr>
        <w:spacing w:after="0" w:line="240" w:lineRule="auto"/>
        <w:rPr>
          <w:rFonts w:ascii="Times New Roman" w:eastAsia="Times New Roman" w:hAnsi="Times New Roman" w:cs="Times New Roman"/>
          <w:kern w:val="0"/>
          <w:lang w:eastAsia="en-GB"/>
          <w14:ligatures w14:val="none"/>
        </w:rPr>
      </w:pPr>
    </w:p>
    <w:p w14:paraId="31C2A6E2" w14:textId="025BCBC6" w:rsidR="008055EC" w:rsidRPr="008055EC" w:rsidRDefault="008055EC" w:rsidP="008055EC">
      <w:pPr>
        <w:spacing w:after="0" w:line="240" w:lineRule="auto"/>
        <w:rPr>
          <w:rFonts w:ascii="Times New Roman" w:eastAsia="Times New Roman" w:hAnsi="Times New Roman" w:cs="Times New Roman"/>
          <w:kern w:val="0"/>
          <w:lang w:eastAsia="en-GB"/>
          <w14:ligatures w14:val="none"/>
        </w:rPr>
      </w:pPr>
      <w:r w:rsidRPr="008055EC">
        <w:rPr>
          <w:rFonts w:ascii="Times New Roman" w:eastAsia="Times New Roman" w:hAnsi="Times New Roman" w:cs="Times New Roman"/>
          <w:kern w:val="0"/>
          <w:lang w:eastAsia="en-GB"/>
          <w14:ligatures w14:val="none"/>
        </w:rPr>
        <w:fldChar w:fldCharType="begin"/>
      </w:r>
      <w:r w:rsidRPr="008055EC">
        <w:rPr>
          <w:rFonts w:ascii="Times New Roman" w:eastAsia="Times New Roman" w:hAnsi="Times New Roman" w:cs="Times New Roman"/>
          <w:kern w:val="0"/>
          <w:lang w:eastAsia="en-GB"/>
          <w14:ligatures w14:val="none"/>
        </w:rPr>
        <w:instrText xml:space="preserve"> INCLUDEPICTURE "https://www.researchgate.net/figure/publication/355516357/figure/fig1/AS:1085553986543617@1635827647414/Flow-chart-of-the-telephonic-medication-management-clinic-MMC-consultation-process.ppm" \* MERGEFORMATINET </w:instrText>
      </w:r>
      <w:r w:rsidRPr="008055EC">
        <w:rPr>
          <w:rFonts w:ascii="Times New Roman" w:eastAsia="Times New Roman" w:hAnsi="Times New Roman" w:cs="Times New Roman"/>
          <w:kern w:val="0"/>
          <w:lang w:eastAsia="en-GB"/>
          <w14:ligatures w14:val="none"/>
        </w:rPr>
        <w:fldChar w:fldCharType="separate"/>
      </w:r>
      <w:r w:rsidRPr="008055EC">
        <w:rPr>
          <w:rFonts w:ascii="Times New Roman" w:eastAsia="Times New Roman" w:hAnsi="Times New Roman" w:cs="Times New Roman"/>
          <w:noProof/>
          <w:kern w:val="0"/>
          <w:lang w:eastAsia="en-GB"/>
          <w14:ligatures w14:val="none"/>
        </w:rPr>
        <mc:AlternateContent>
          <mc:Choice Requires="wps">
            <w:drawing>
              <wp:inline distT="0" distB="0" distL="0" distR="0" wp14:anchorId="67BF523C" wp14:editId="4F7AF29E">
                <wp:extent cx="309245" cy="309245"/>
                <wp:effectExtent l="0" t="0" r="0" b="0"/>
                <wp:docPr id="568056410" name="Rectangle 8" descr="Flow chart of the telephonic medication management clinic (MMC) consultation proces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9245" cy="309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C7AB80A" id="Rectangle 8" o:spid="_x0000_s1026" alt="Flow chart of the telephonic medication management clinic (MMC) consultation process." style="width:24.35pt;height:24.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" filled="f" stroked="f">
                <o:lock v:ext="edit" aspectratio="t"/>
                <w10:anchorlock/>
              </v:rect>
            </w:pict>
          </mc:Fallback>
        </mc:AlternateContent>
      </w:r>
      <w:r w:rsidRPr="008055EC">
        <w:rPr>
          <w:rFonts w:ascii="Times New Roman" w:eastAsia="Times New Roman" w:hAnsi="Times New Roman" w:cs="Times New Roman"/>
          <w:kern w:val="0"/>
          <w:lang w:eastAsia="en-GB"/>
          <w14:ligatures w14:val="none"/>
        </w:rPr>
        <w:fldChar w:fldCharType="end"/>
      </w:r>
    </w:p>
    <w:p w14:paraId="1388F2D6" w14:textId="39F35D0B" w:rsidR="008055EC" w:rsidRPr="008055EC" w:rsidRDefault="008055EC" w:rsidP="008055EC">
      <w:pPr>
        <w:spacing w:after="0" w:line="240" w:lineRule="auto"/>
        <w:rPr>
          <w:rFonts w:ascii="Times New Roman" w:eastAsia="Times New Roman" w:hAnsi="Times New Roman" w:cs="Times New Roman"/>
          <w:kern w:val="0"/>
          <w:lang w:eastAsia="en-GB"/>
          <w14:ligatures w14:val="none"/>
        </w:rPr>
      </w:pPr>
    </w:p>
    <w:p w14:paraId="3B972E27" w14:textId="19A71EE8" w:rsidR="008055EC" w:rsidRPr="008055EC" w:rsidRDefault="008055EC" w:rsidP="008055EC">
      <w:pPr>
        <w:spacing w:after="0" w:line="240" w:lineRule="auto"/>
        <w:rPr>
          <w:rFonts w:ascii="Times New Roman" w:eastAsia="Times New Roman" w:hAnsi="Times New Roman" w:cs="Times New Roman"/>
          <w:kern w:val="0"/>
          <w:lang w:eastAsia="en-GB"/>
          <w14:ligatures w14:val="none"/>
        </w:rPr>
      </w:pPr>
      <w:r w:rsidRPr="008055EC">
        <w:rPr>
          <w:rFonts w:ascii="Times New Roman" w:eastAsia="Times New Roman" w:hAnsi="Times New Roman" w:cs="Times New Roman"/>
          <w:kern w:val="0"/>
          <w:lang w:eastAsia="en-GB"/>
          <w14:ligatures w14:val="none"/>
        </w:rPr>
        <w:fldChar w:fldCharType="begin"/>
      </w:r>
      <w:r w:rsidRPr="008055EC">
        <w:rPr>
          <w:rFonts w:ascii="Times New Roman" w:eastAsia="Times New Roman" w:hAnsi="Times New Roman" w:cs="Times New Roman"/>
          <w:kern w:val="0"/>
          <w:lang w:eastAsia="en-GB"/>
          <w14:ligatures w14:val="none"/>
        </w:rPr>
        <w:instrText xml:space="preserve"> INCLUDEPICTURE "https://www.researchgate.net/figure/publication/355516357/figure/fig1/AS:1085553986543617@1635827647414/Flow-chart-of-the-telephonic-medication-management-clinic-MMC-consultation-process.ppm" \* MERGEFORMATINET </w:instrText>
      </w:r>
      <w:r w:rsidRPr="008055EC">
        <w:rPr>
          <w:rFonts w:ascii="Times New Roman" w:eastAsia="Times New Roman" w:hAnsi="Times New Roman" w:cs="Times New Roman"/>
          <w:kern w:val="0"/>
          <w:lang w:eastAsia="en-GB"/>
          <w14:ligatures w14:val="none"/>
        </w:rPr>
        <w:fldChar w:fldCharType="separate"/>
      </w:r>
      <w:r w:rsidRPr="008055EC">
        <w:rPr>
          <w:rFonts w:ascii="Times New Roman" w:eastAsia="Times New Roman" w:hAnsi="Times New Roman" w:cs="Times New Roman"/>
          <w:noProof/>
          <w:kern w:val="0"/>
          <w:lang w:eastAsia="en-GB"/>
          <w14:ligatures w14:val="none"/>
        </w:rPr>
        <mc:AlternateContent>
          <mc:Choice Requires="wps">
            <w:drawing>
              <wp:inline distT="0" distB="0" distL="0" distR="0" wp14:anchorId="4A9119CA" wp14:editId="18023CE9">
                <wp:extent cx="309245" cy="309245"/>
                <wp:effectExtent l="0" t="0" r="0" b="0"/>
                <wp:docPr id="1669944466" name="Rectangle 9" descr="Flow chart of the telephonic medication management clinic (MMC) consultation proces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9245" cy="309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04BE690" id="Rectangle 9" o:spid="_x0000_s1026" alt="Flow chart of the telephonic medication management clinic (MMC) consultation process." style="width:24.35pt;height:24.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" filled="f" stroked="f">
                <o:lock v:ext="edit" aspectratio="t"/>
                <w10:anchorlock/>
              </v:rect>
            </w:pict>
          </mc:Fallback>
        </mc:AlternateContent>
      </w:r>
      <w:r w:rsidRPr="008055EC">
        <w:rPr>
          <w:rFonts w:ascii="Times New Roman" w:eastAsia="Times New Roman" w:hAnsi="Times New Roman" w:cs="Times New Roman"/>
          <w:kern w:val="0"/>
          <w:lang w:eastAsia="en-GB"/>
          <w14:ligatures w14:val="none"/>
        </w:rPr>
        <w:fldChar w:fldCharType="end"/>
      </w:r>
    </w:p>
    <w:p w14:paraId="31D26ADB" w14:textId="592FB104" w:rsidR="008055EC" w:rsidRPr="008055EC" w:rsidRDefault="008055EC" w:rsidP="008055EC">
      <w:pPr>
        <w:spacing w:after="0" w:line="240" w:lineRule="auto"/>
        <w:rPr>
          <w:rFonts w:ascii="Times New Roman" w:eastAsia="Times New Roman" w:hAnsi="Times New Roman" w:cs="Times New Roman"/>
          <w:kern w:val="0"/>
          <w:lang w:eastAsia="en-GB"/>
          <w14:ligatures w14:val="none"/>
        </w:rPr>
      </w:pPr>
    </w:p>
    <w:p w14:paraId="0EF6B41F" w14:textId="711A07AA" w:rsidR="008055EC" w:rsidRPr="008055EC" w:rsidRDefault="00BC0656" w:rsidP="008055EC">
      <w:pPr>
        <w:spacing w:after="0" w:line="240" w:lineRule="auto"/>
        <w:rPr>
          <w:rFonts w:ascii="Times New Roman" w:eastAsia="Times New Roman" w:hAnsi="Times New Roman" w:cs="Times New Roman"/>
          <w:kern w:val="0"/>
          <w:lang w:eastAsia="en-GB"/>
          <w14:ligatures w14:val="none"/>
        </w:rPr>
      </w:pPr>
      <w:r>
        <w:rPr>
          <w:noProof/>
        </w:rPr>
        <w:drawing>
          <wp:anchor distT="0" distB="0" distL="114300" distR="114300" simplePos="0" relativeHeight="251665408" behindDoc="0" locked="0" layoutInCell="1" allowOverlap="1" wp14:anchorId="3C711179" wp14:editId="68ED8371">
            <wp:simplePos x="0" y="0"/>
            <wp:positionH relativeFrom="margin">
              <wp:posOffset>2063115</wp:posOffset>
            </wp:positionH>
            <wp:positionV relativeFrom="margin">
              <wp:posOffset>1883410</wp:posOffset>
            </wp:positionV>
            <wp:extent cx="2459355" cy="1628140"/>
            <wp:effectExtent l="0" t="0" r="4445" b="0"/>
            <wp:wrapSquare wrapText="bothSides"/>
            <wp:docPr id="1728904640" name="Picture 6" descr="pharmacist advic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OD84atWiLLyqhbIPh6PguAc_14" descr="pharmacist advice ..."/>
                    <pic:cNvPicPr>
                      <a:picLocks noChangeAspect="1" noChangeArrowheads="1"/>
                    </pic:cNvPicPr>
                  </pic:nvPicPr>
                  <pic:blipFill>
                    <a:blip r:embed="rId6">
                      <a:alphaModFix/>
                      <a:extLst>
                        <a:ext uri="{28A0092B-C50C-407E-A947-70E740481C1C}">
                          <a14:useLocalDpi xmlns:a14="http://schemas.microsoft.com/office/drawing/2010/main" val="0"/>
                        </a:ext>
                      </a:extLst>
                    </a:blip>
                    <a:srcRect/>
                    <a:stretch>
                      <a:fillRect/>
                    </a:stretch>
                  </pic:blipFill>
                  <pic:spPr bwMode="auto">
                    <a:xfrm>
                      <a:off x="0" y="0"/>
                      <a:ext cx="2459355" cy="162814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8055EC" w:rsidRPr="008055EC">
        <w:rPr>
          <w:rFonts w:ascii="Times New Roman" w:eastAsia="Times New Roman" w:hAnsi="Times New Roman" w:cs="Times New Roman"/>
          <w:kern w:val="0"/>
          <w:lang w:eastAsia="en-GB"/>
          <w14:ligatures w14:val="none"/>
        </w:rPr>
        <w:fldChar w:fldCharType="begin"/>
      </w:r>
      <w:r w:rsidR="008055EC" w:rsidRPr="008055EC">
        <w:rPr>
          <w:rFonts w:ascii="Times New Roman" w:eastAsia="Times New Roman" w:hAnsi="Times New Roman" w:cs="Times New Roman"/>
          <w:kern w:val="0"/>
          <w:lang w:eastAsia="en-GB"/>
          <w14:ligatures w14:val="none"/>
        </w:rPr>
        <w:instrText xml:space="preserve"> INCLUDEPICTURE "https://www.researchgate.net/figure/publication/355516357/figure/fig1/AS:1085553986543617@1635827647414/Flow-chart-of-the-telephonic-medication-management-clinic-MMC-consultation-process.ppm" \* MERGEFORMATINET </w:instrText>
      </w:r>
      <w:r w:rsidR="008055EC" w:rsidRPr="008055EC">
        <w:rPr>
          <w:rFonts w:ascii="Times New Roman" w:eastAsia="Times New Roman" w:hAnsi="Times New Roman" w:cs="Times New Roman"/>
          <w:kern w:val="0"/>
          <w:lang w:eastAsia="en-GB"/>
          <w14:ligatures w14:val="none"/>
        </w:rPr>
        <w:fldChar w:fldCharType="separate"/>
      </w:r>
      <w:r w:rsidR="008055EC" w:rsidRPr="008055EC">
        <w:rPr>
          <w:rFonts w:ascii="Times New Roman" w:eastAsia="Times New Roman" w:hAnsi="Times New Roman" w:cs="Times New Roman"/>
          <w:noProof/>
          <w:kern w:val="0"/>
          <w:lang w:eastAsia="en-GB"/>
          <w14:ligatures w14:val="none"/>
        </w:rPr>
        <mc:AlternateContent>
          <mc:Choice Requires="wps">
            <w:drawing>
              <wp:inline distT="0" distB="0" distL="0" distR="0" wp14:anchorId="30ECBE0B" wp14:editId="05436DDD">
                <wp:extent cx="304800" cy="304800"/>
                <wp:effectExtent l="0" t="0" r="0" b="0"/>
                <wp:docPr id="1933957462" name="AutoShape 6" descr="Flow chart of the telephonic medication management clinic (MMC) consultation proces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8377AEA" id="AutoShape 6" o:spid="_x0000_s1026" alt="Flow chart of the telephonic medication management clinic (MMC) consultation proces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rsidR="008055EC" w:rsidRPr="008055EC">
        <w:rPr>
          <w:rFonts w:ascii="Times New Roman" w:eastAsia="Times New Roman" w:hAnsi="Times New Roman" w:cs="Times New Roman"/>
          <w:kern w:val="0"/>
          <w:lang w:eastAsia="en-GB"/>
          <w14:ligatures w14:val="none"/>
        </w:rPr>
        <w:fldChar w:fldCharType="end"/>
      </w:r>
    </w:p>
    <w:p w14:paraId="2968B4CC" w14:textId="60672C44" w:rsidR="008055EC" w:rsidRPr="008055EC" w:rsidRDefault="008055EC" w:rsidP="008055EC">
      <w:pPr>
        <w:spacing w:after="0" w:line="240" w:lineRule="auto"/>
        <w:rPr>
          <w:rFonts w:ascii="Times New Roman" w:eastAsia="Times New Roman" w:hAnsi="Times New Roman" w:cs="Times New Roman"/>
          <w:kern w:val="0"/>
          <w:lang w:eastAsia="en-GB"/>
          <w14:ligatures w14:val="none"/>
        </w:rPr>
      </w:pPr>
    </w:p>
    <w:p w14:paraId="43EDBFF1" w14:textId="62E66457" w:rsidR="00466A06" w:rsidRDefault="00EB7907">
      <w:r>
        <w:rPr>
          <w:noProof/>
        </w:rPr>
        <mc:AlternateContent>
          <mc:Choice Requires="wps">
            <w:drawing>
              <wp:anchor distT="0" distB="0" distL="114300" distR="114300" simplePos="0" relativeHeight="251662336" behindDoc="0" locked="0" layoutInCell="1" allowOverlap="1" wp14:anchorId="6BF940BD" wp14:editId="5079E674">
                <wp:simplePos x="0" y="0"/>
                <wp:positionH relativeFrom="column">
                  <wp:posOffset>4628062</wp:posOffset>
                </wp:positionH>
                <wp:positionV relativeFrom="paragraph">
                  <wp:posOffset>93436</wp:posOffset>
                </wp:positionV>
                <wp:extent cx="1817370" cy="7179310"/>
                <wp:effectExtent l="0" t="0" r="11430" b="8890"/>
                <wp:wrapNone/>
                <wp:docPr id="301706381" name="Rounded Rectangle 3"/>
                <wp:cNvGraphicFramePr/>
                <a:graphic xmlns:a="http://schemas.openxmlformats.org/drawingml/2006/main">
                  <a:graphicData uri="http://schemas.microsoft.com/office/word/2010/wordprocessingShape">
                    <wps:wsp>
                      <wps:cNvSpPr/>
                      <wps:spPr>
                        <a:xfrm>
                          <a:off x="0" y="0"/>
                          <a:ext cx="1817370" cy="7179310"/>
                        </a:xfrm>
                        <a:prstGeom prst="roundRect">
                          <a:avLst/>
                        </a:prstGeom>
                      </wps:spPr>
                      <wps:style>
                        <a:lnRef idx="1">
                          <a:schemeClr val="accent1"/>
                        </a:lnRef>
                        <a:fillRef idx="2">
                          <a:schemeClr val="accent1"/>
                        </a:fillRef>
                        <a:effectRef idx="1">
                          <a:schemeClr val="accent1"/>
                        </a:effectRef>
                        <a:fontRef idx="minor">
                          <a:schemeClr val="dk1"/>
                        </a:fontRef>
                      </wps:style>
                      <wps:txbx>
                        <w:txbxContent>
                          <w:p w14:paraId="67FD6A07" w14:textId="61BA4DDF" w:rsidR="002D001F" w:rsidRDefault="002D001F" w:rsidP="002D001F">
                            <w:pPr>
                              <w:jc w:val="center"/>
                            </w:pPr>
                            <w:r>
                              <w:t>HOW DO PHARMACIES WORK TODAY?</w:t>
                            </w:r>
                          </w:p>
                          <w:p w14:paraId="12C35F67" w14:textId="7C06A286" w:rsidR="002D001F" w:rsidRDefault="002D001F" w:rsidP="002D001F">
                            <w:pPr>
                              <w:jc w:val="center"/>
                            </w:pPr>
                            <w:r>
                              <w:t>Pharmacies aren’t just a place to pick up medication now they are “health hubs”</w:t>
                            </w:r>
                          </w:p>
                          <w:p w14:paraId="57C8D992" w14:textId="439A041C" w:rsidR="002D001F" w:rsidRDefault="002D001F" w:rsidP="002D001F">
                            <w:pPr>
                              <w:jc w:val="center"/>
                            </w:pPr>
                            <w:r>
                              <w:t>Dispense prescriptions accurate and safely</w:t>
                            </w:r>
                          </w:p>
                          <w:p w14:paraId="1B38AE41" w14:textId="77777777" w:rsidR="002D001F" w:rsidRDefault="002D001F" w:rsidP="002D001F">
                            <w:pPr>
                              <w:jc w:val="center"/>
                            </w:pPr>
                            <w:r>
                              <w:t xml:space="preserve">Offer health advice on medication use, side effects and general wellness </w:t>
                            </w:r>
                          </w:p>
                          <w:p w14:paraId="61161C96" w14:textId="77777777" w:rsidR="002D001F" w:rsidRDefault="002D001F" w:rsidP="002D001F">
                            <w:pPr>
                              <w:jc w:val="center"/>
                            </w:pPr>
                            <w:r>
                              <w:t>Administer vaccines such as the flu and COVID-19 shots</w:t>
                            </w:r>
                          </w:p>
                          <w:p w14:paraId="729C23E0" w14:textId="650E8925" w:rsidR="002D001F" w:rsidRDefault="002D001F" w:rsidP="002D001F">
                            <w:pPr>
                              <w:jc w:val="center"/>
                            </w:pPr>
                            <w:r>
                              <w:t>Provide health screenings such as blood pressure and blood sugar checks</w:t>
                            </w:r>
                          </w:p>
                          <w:p w14:paraId="3D46A07F" w14:textId="15AC50F2" w:rsidR="002D001F" w:rsidRDefault="002D001F" w:rsidP="002D001F">
                            <w:pPr>
                              <w:jc w:val="center"/>
                            </w:pPr>
                            <w:r>
                              <w:t xml:space="preserve">Pharmacists work closely with GPs and hospitals to make sure patients get the right treatment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BF940BD" id="Rounded Rectangle 3" o:spid="_x0000_s1029" style="position:absolute;margin-left:364.4pt;margin-top:7.35pt;width:143.1pt;height:565.3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" fillcolor="#30a7dd [2164]" strokecolor="#156082 [3204]" strokeweight="1pt">
                <v:fill color2="#1e8bbd [2612]" rotate="t" colors="0 #9cafbf;.5 #8fa3b4;1 #7a95ab" focus="100%" type="gradient">
                  <o:fill v:ext="view" type="gradientUnscaled"/>
                </v:fill>
                <v:stroke joinstyle="miter"/>
                <v:textbox>
                  <w:txbxContent>
                    <w:p w14:paraId="67FD6A07" w14:textId="61BA4DDF" w:rsidR="002D001F" w:rsidRDefault="002D001F" w:rsidP="002D001F">
                      <w:pPr>
                        <w:jc w:val="center"/>
                      </w:pPr>
                      <w:r>
                        <w:t>HOW DO PHARMACIES WORK TODAY?</w:t>
                      </w:r>
                    </w:p>
                    <w:p w14:paraId="12C35F67" w14:textId="7C06A286" w:rsidR="002D001F" w:rsidRDefault="002D001F" w:rsidP="002D001F">
                      <w:pPr>
                        <w:jc w:val="center"/>
                      </w:pPr>
                      <w:r>
                        <w:t>Pharmacies aren’t just a place to pick up medication now they are “health hubs”</w:t>
                      </w:r>
                    </w:p>
                    <w:p w14:paraId="57C8D992" w14:textId="439A041C" w:rsidR="002D001F" w:rsidRDefault="002D001F" w:rsidP="002D001F">
                      <w:pPr>
                        <w:jc w:val="center"/>
                      </w:pPr>
                      <w:r>
                        <w:t>Dispense prescriptions accurate and safely</w:t>
                      </w:r>
                    </w:p>
                    <w:p w14:paraId="1B38AE41" w14:textId="77777777" w:rsidR="002D001F" w:rsidRDefault="002D001F" w:rsidP="002D001F">
                      <w:pPr>
                        <w:jc w:val="center"/>
                      </w:pPr>
                      <w:r>
                        <w:t xml:space="preserve">Offer health advice on medication use, side effects and general wellness </w:t>
                      </w:r>
                    </w:p>
                    <w:p w14:paraId="61161C96" w14:textId="77777777" w:rsidR="002D001F" w:rsidRDefault="002D001F" w:rsidP="002D001F">
                      <w:pPr>
                        <w:jc w:val="center"/>
                      </w:pPr>
                      <w:r>
                        <w:t>Administer vaccines such as the flu and COVID-19 shots</w:t>
                      </w:r>
                    </w:p>
                    <w:p w14:paraId="729C23E0" w14:textId="650E8925" w:rsidR="002D001F" w:rsidRDefault="002D001F" w:rsidP="002D001F">
                      <w:pPr>
                        <w:jc w:val="center"/>
                      </w:pPr>
                      <w:r>
                        <w:t>Provide health screenings such as blood pressure and blood sugar checks</w:t>
                      </w:r>
                    </w:p>
                    <w:p w14:paraId="3D46A07F" w14:textId="15AC50F2" w:rsidR="002D001F" w:rsidRDefault="002D001F" w:rsidP="002D001F">
                      <w:pPr>
                        <w:jc w:val="center"/>
                      </w:pPr>
                      <w:r>
                        <w:t xml:space="preserve">Pharmacists work closely with GPs and hospitals to make sure patients get the right treatment </w:t>
                      </w:r>
                    </w:p>
                  </w:txbxContent>
                </v:textbox>
              </v:roundrect>
            </w:pict>
          </mc:Fallback>
        </mc:AlternateContent>
      </w:r>
      <w:r w:rsidR="008055EC">
        <w:fldChar w:fldCharType="begin"/>
      </w:r>
      <w:r w:rsidR="008055EC">
        <w:instrText xml:space="preserve"> INCLUDEPICTURE "/Users/mohammedismaaeeliqbal/Library/Group Containers/UBF8T346G9.ms/WebArchiveCopyPasteTempFiles/com.microsoft.Word/9k=" \* MERGEFORMATINET </w:instrText>
      </w:r>
      <w:r w:rsidR="008055EC">
        <w:fldChar w:fldCharType="separate"/>
      </w:r>
      <w:r w:rsidR="008055EC">
        <w:fldChar w:fldCharType="end"/>
      </w:r>
    </w:p>
    <w:p w14:paraId="5114ED16" w14:textId="11D26841" w:rsidR="00326FBF" w:rsidRPr="00326FBF" w:rsidRDefault="00EB7907" w:rsidP="00326FBF">
      <w:r>
        <w:rPr>
          <w:noProof/>
        </w:rPr>
        <mc:AlternateContent>
          <mc:Choice Requires="wps">
            <w:drawing>
              <wp:anchor distT="0" distB="0" distL="114300" distR="114300" simplePos="0" relativeHeight="251663360" behindDoc="0" locked="0" layoutInCell="1" allowOverlap="1" wp14:anchorId="7417424E" wp14:editId="3F4AA1F3">
                <wp:simplePos x="0" y="0"/>
                <wp:positionH relativeFrom="column">
                  <wp:posOffset>-855255</wp:posOffset>
                </wp:positionH>
                <wp:positionV relativeFrom="paragraph">
                  <wp:posOffset>1358537</wp:posOffset>
                </wp:positionV>
                <wp:extent cx="5366498" cy="2667000"/>
                <wp:effectExtent l="0" t="0" r="18415" b="12700"/>
                <wp:wrapNone/>
                <wp:docPr id="744016471" name="Rounded Rectangle 4"/>
                <wp:cNvGraphicFramePr/>
                <a:graphic xmlns:a="http://schemas.openxmlformats.org/drawingml/2006/main">
                  <a:graphicData uri="http://schemas.microsoft.com/office/word/2010/wordprocessingShape">
                    <wps:wsp>
                      <wps:cNvSpPr/>
                      <wps:spPr>
                        <a:xfrm>
                          <a:off x="0" y="0"/>
                          <a:ext cx="5366498" cy="2667000"/>
                        </a:xfrm>
                        <a:prstGeom prst="roundRect">
                          <a:avLst/>
                        </a:prstGeom>
                      </wps:spPr>
                      <wps:style>
                        <a:lnRef idx="1">
                          <a:schemeClr val="accent4"/>
                        </a:lnRef>
                        <a:fillRef idx="2">
                          <a:schemeClr val="accent4"/>
                        </a:fillRef>
                        <a:effectRef idx="1">
                          <a:schemeClr val="accent4"/>
                        </a:effectRef>
                        <a:fontRef idx="minor">
                          <a:schemeClr val="dk1"/>
                        </a:fontRef>
                      </wps:style>
                      <wps:txbx>
                        <w:txbxContent>
                          <w:p w14:paraId="449B8045" w14:textId="71CAAE01" w:rsidR="00032610" w:rsidRDefault="00032610" w:rsidP="00032610">
                            <w:pPr>
                              <w:jc w:val="center"/>
                            </w:pPr>
                            <w:r>
                              <w:t>CHALLENGES FACED BY PHARMACY SERVICES:</w:t>
                            </w:r>
                          </w:p>
                          <w:p w14:paraId="2D6B4C57" w14:textId="58E47F51" w:rsidR="00032610" w:rsidRDefault="00032610" w:rsidP="00032610">
                            <w:pPr>
                              <w:jc w:val="center"/>
                            </w:pPr>
                            <w:r>
                              <w:t xml:space="preserve">Not everyone has equal access to pharmacy services. Rural areas or low income communities might have fewer pharmacies meaning some people struggle to ger medication or health advice. This can lead to worse health outcomes (smith &amp; Patel, 2020). </w:t>
                            </w:r>
                          </w:p>
                          <w:p w14:paraId="160C09EF" w14:textId="3748B483" w:rsidR="00032610" w:rsidRDefault="00032610" w:rsidP="00032610">
                            <w:pPr>
                              <w:jc w:val="center"/>
                            </w:pPr>
                            <w:r>
                              <w:t xml:space="preserve">Medication safety is also another challenge because errors can happen wrong medicines, incorrect doses, or miscommunication. Ensuring safety requires ongoing staff training, clear communication with patients. Mistakes can be so dangerous so constant vigilance is needed ( NHS digital, 2021)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417424E" id="Rounded Rectangle 4" o:spid="_x0000_s1030" style="position:absolute;margin-left:-67.35pt;margin-top:106.95pt;width:422.55pt;height:210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" fillcolor="#4fc5f2 [2167]" strokecolor="#0f9ed5 [3207]" strokeweight="1pt">
                <v:fill color2="#2ab8f0 [2615]" rotate="t" colors="0 #9ccff5;.5 #8fc4eb;1 #79beed" focus="100%" type="gradient">
                  <o:fill v:ext="view" type="gradientUnscaled"/>
                </v:fill>
                <v:stroke joinstyle="miter"/>
                <v:textbox>
                  <w:txbxContent>
                    <w:p w14:paraId="449B8045" w14:textId="71CAAE01" w:rsidR="00032610" w:rsidRDefault="00032610" w:rsidP="00032610">
                      <w:pPr>
                        <w:jc w:val="center"/>
                      </w:pPr>
                      <w:r>
                        <w:t>CHALLENGES FACED BY PHARMACY SERVICES:</w:t>
                      </w:r>
                    </w:p>
                    <w:p w14:paraId="2D6B4C57" w14:textId="58E47F51" w:rsidR="00032610" w:rsidRDefault="00032610" w:rsidP="00032610">
                      <w:pPr>
                        <w:jc w:val="center"/>
                      </w:pPr>
                      <w:r>
                        <w:t xml:space="preserve">Not everyone has equal access to pharmacy services. Rural areas or </w:t>
                      </w:r>
                      <w:proofErr w:type="gramStart"/>
                      <w:r>
                        <w:t>low income</w:t>
                      </w:r>
                      <w:proofErr w:type="gramEnd"/>
                      <w:r>
                        <w:t xml:space="preserve"> communities might have fewer pharmacies meaning some people struggle to ger medication or health advice. This can lead to worse health outcomes (smith &amp; Patel, 2020). </w:t>
                      </w:r>
                    </w:p>
                    <w:p w14:paraId="160C09EF" w14:textId="3748B483" w:rsidR="00032610" w:rsidRDefault="00032610" w:rsidP="00032610">
                      <w:pPr>
                        <w:jc w:val="center"/>
                      </w:pPr>
                      <w:r>
                        <w:t xml:space="preserve">Medication safety is also another challenge because errors can happen wrong medicines, incorrect doses, or miscommunication. Ensuring safety requires ongoing staff training, clear communication with patients. Mistakes can be so </w:t>
                      </w:r>
                      <w:proofErr w:type="gramStart"/>
                      <w:r>
                        <w:t>dangerous</w:t>
                      </w:r>
                      <w:proofErr w:type="gramEnd"/>
                      <w:r>
                        <w:t xml:space="preserve"> so constant vigilance is needed </w:t>
                      </w:r>
                      <w:proofErr w:type="gramStart"/>
                      <w:r>
                        <w:t>( NHS</w:t>
                      </w:r>
                      <w:proofErr w:type="gramEnd"/>
                      <w:r>
                        <w:t xml:space="preserve"> digital, 2021) </w:t>
                      </w:r>
                    </w:p>
                  </w:txbxContent>
                </v:textbox>
              </v:roundrect>
            </w:pict>
          </mc:Fallback>
        </mc:AlternateContent>
      </w:r>
      <w:r>
        <w:fldChar w:fldCharType="begin"/>
      </w:r>
      <w:r>
        <w:instrText xml:space="preserve"> INCLUDEPICTURE "/Users/mohammedismaaeeliqbal/Library/Group Containers/UBF8T346G9.ms/WebArchiveCopyPasteTempFiles/com.microsoft.Word/pharmacy-building-illustration-on-white-background-vector.jpg" \* MERGEFORMATINET </w:instrText>
      </w:r>
      <w:r>
        <w:fldChar w:fldCharType="separate"/>
      </w:r>
      <w:r>
        <w:rPr>
          <w:noProof/>
        </w:rPr>
        <w:drawing>
          <wp:inline distT="0" distB="0" distL="0" distR="0" wp14:anchorId="4A5FCD07" wp14:editId="0C13B12C">
            <wp:extent cx="1758462" cy="1406770"/>
            <wp:effectExtent l="0" t="0" r="0" b="28575"/>
            <wp:docPr id="194036296" name="Picture 27" descr="Pharmacy building illustration on white background 31614281 Vector Art at  Vecteez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descr="Pharmacy building illustration on white background 31614281 Vector Art at  Vecteez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flipH="1">
                      <a:off x="0" y="0"/>
                      <a:ext cx="1759128" cy="1407303"/>
                    </a:xfrm>
                    <a:prstGeom prst="rect">
                      <a:avLst/>
                    </a:prstGeom>
                    <a:noFill/>
                    <a:ln>
                      <a:noFill/>
                    </a:ln>
                    <a:effectLst>
                      <a:reflection stA="0" endPos="65000" dist="50800" dir="5400000" sy="-100000" algn="bl" rotWithShape="0"/>
                    </a:effectLst>
                  </pic:spPr>
                </pic:pic>
              </a:graphicData>
            </a:graphic>
          </wp:inline>
        </w:drawing>
      </w:r>
      <w:r>
        <w:fldChar w:fldCharType="end"/>
      </w:r>
    </w:p>
    <w:p w14:paraId="44E3C391" w14:textId="34AC7021" w:rsidR="00326FBF" w:rsidRPr="00326FBF" w:rsidRDefault="00326FBF" w:rsidP="00326FBF"/>
    <w:p w14:paraId="55DA9CF3" w14:textId="034C21A2" w:rsidR="00326FBF" w:rsidRPr="00326FBF" w:rsidRDefault="00326FBF" w:rsidP="00326FBF"/>
    <w:p w14:paraId="7DDF8091" w14:textId="30CF0A7F" w:rsidR="00326FBF" w:rsidRPr="00326FBF" w:rsidRDefault="00326FBF" w:rsidP="00326FBF"/>
    <w:p w14:paraId="74525C42" w14:textId="32085FDA" w:rsidR="00326FBF" w:rsidRPr="00326FBF" w:rsidRDefault="00326FBF" w:rsidP="00326FBF"/>
    <w:p w14:paraId="1DC1C999" w14:textId="4BCA2AB5" w:rsidR="00326FBF" w:rsidRPr="00326FBF" w:rsidRDefault="00326FBF" w:rsidP="00326FBF"/>
    <w:p w14:paraId="2AE78BC8" w14:textId="77777777" w:rsidR="00326FBF" w:rsidRPr="00326FBF" w:rsidRDefault="00326FBF" w:rsidP="00326FBF"/>
    <w:p w14:paraId="277C9265" w14:textId="3AA2B669" w:rsidR="00326FBF" w:rsidRPr="00326FBF" w:rsidRDefault="00326FBF" w:rsidP="00326FBF"/>
    <w:p w14:paraId="7DA376BF" w14:textId="6E76136E" w:rsidR="00326FBF" w:rsidRPr="00326FBF" w:rsidRDefault="00BC0656" w:rsidP="00326FBF">
      <w:r>
        <w:rPr>
          <w:noProof/>
        </w:rPr>
        <mc:AlternateContent>
          <mc:Choice Requires="wps">
            <w:drawing>
              <wp:anchor distT="0" distB="0" distL="114300" distR="114300" simplePos="0" relativeHeight="251664384" behindDoc="0" locked="0" layoutInCell="1" allowOverlap="1" wp14:anchorId="4522C90E" wp14:editId="0CC68938">
                <wp:simplePos x="0" y="0"/>
                <wp:positionH relativeFrom="column">
                  <wp:posOffset>-716915</wp:posOffset>
                </wp:positionH>
                <wp:positionV relativeFrom="paragraph">
                  <wp:posOffset>332691</wp:posOffset>
                </wp:positionV>
                <wp:extent cx="4984969" cy="1311603"/>
                <wp:effectExtent l="0" t="0" r="19050" b="9525"/>
                <wp:wrapNone/>
                <wp:docPr id="985788134" name="Rounded Rectangle 5"/>
                <wp:cNvGraphicFramePr/>
                <a:graphic xmlns:a="http://schemas.openxmlformats.org/drawingml/2006/main">
                  <a:graphicData uri="http://schemas.microsoft.com/office/word/2010/wordprocessingShape">
                    <wps:wsp>
                      <wps:cNvSpPr/>
                      <wps:spPr>
                        <a:xfrm>
                          <a:off x="0" y="0"/>
                          <a:ext cx="4984969" cy="1311603"/>
                        </a:xfrm>
                        <a:prstGeom prst="roundRect">
                          <a:avLst/>
                        </a:prstGeom>
                      </wps:spPr>
                      <wps:style>
                        <a:lnRef idx="1">
                          <a:schemeClr val="accent6"/>
                        </a:lnRef>
                        <a:fillRef idx="2">
                          <a:schemeClr val="accent6"/>
                        </a:fillRef>
                        <a:effectRef idx="1">
                          <a:schemeClr val="accent6"/>
                        </a:effectRef>
                        <a:fontRef idx="minor">
                          <a:schemeClr val="dk1"/>
                        </a:fontRef>
                      </wps:style>
                      <wps:txbx>
                        <w:txbxContent>
                          <w:p w14:paraId="40D2C3A9" w14:textId="2EE63591" w:rsidR="00032610" w:rsidRDefault="00032610" w:rsidP="00032610">
                            <w:pPr>
                              <w:jc w:val="center"/>
                            </w:pPr>
                            <w:r>
                              <w:t xml:space="preserve">Pharmacy services are essential to the UK healthcare making sure medicines and health advice are within everyone’s reach. As they evolve, addressing access gaps and maintaining medication safely will be key to keeping communities healthy.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522C90E" id="Rounded Rectangle 5" o:spid="_x0000_s1031" style="position:absolute;margin-left:-56.45pt;margin-top:26.2pt;width:392.5pt;height:103.3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" fillcolor="#81d463 [2169]" strokecolor="#4ea72e [3209]" strokeweight="1pt">
                <v:fill color2="#66cb42 [2617]" rotate="t" colors="0 #a8d5a0;.5 #9bca93;1 #8ac67e" focus="100%" type="gradient">
                  <o:fill v:ext="view" type="gradientUnscaled"/>
                </v:fill>
                <v:stroke joinstyle="miter"/>
                <v:textbox>
                  <w:txbxContent>
                    <w:p w14:paraId="40D2C3A9" w14:textId="2EE63591" w:rsidR="00032610" w:rsidRDefault="00032610" w:rsidP="00032610">
                      <w:pPr>
                        <w:jc w:val="center"/>
                      </w:pPr>
                      <w:r>
                        <w:t xml:space="preserve">Pharmacy services are essential to the UK healthcare making sure medicines and health advice are within everyone’s reach. As they evolve, addressing access gaps and maintaining medication safely will be key to keeping communities healthy. </w:t>
                      </w:r>
                    </w:p>
                  </w:txbxContent>
                </v:textbox>
              </v:roundrect>
            </w:pict>
          </mc:Fallback>
        </mc:AlternateContent>
      </w:r>
    </w:p>
    <w:p w14:paraId="01D9780F" w14:textId="790FCE9B" w:rsidR="00326FBF" w:rsidRPr="00326FBF" w:rsidRDefault="00326FBF" w:rsidP="00326FBF"/>
    <w:p w14:paraId="2FBF3BD5" w14:textId="3C1413E9" w:rsidR="00326FBF" w:rsidRPr="00326FBF" w:rsidRDefault="00326FBF" w:rsidP="00326FBF"/>
    <w:p w14:paraId="4CDC3993" w14:textId="08238680" w:rsidR="00326FBF" w:rsidRPr="00326FBF" w:rsidRDefault="00326FBF" w:rsidP="00326FBF"/>
    <w:p w14:paraId="1C53411C" w14:textId="6CEA1E5C" w:rsidR="00326FBF" w:rsidRPr="00326FBF" w:rsidRDefault="00326FBF" w:rsidP="00326FBF"/>
    <w:p w14:paraId="267C6226" w14:textId="33C351E3" w:rsidR="00326FBF" w:rsidRPr="00326FBF" w:rsidRDefault="00BC0656" w:rsidP="00326FBF">
      <w:r>
        <w:rPr>
          <w:noProof/>
        </w:rPr>
        <mc:AlternateContent>
          <mc:Choice Requires="wps">
            <w:drawing>
              <wp:anchor distT="0" distB="0" distL="114300" distR="114300" simplePos="0" relativeHeight="251667456" behindDoc="0" locked="0" layoutInCell="1" allowOverlap="1" wp14:anchorId="0A0B0D72" wp14:editId="21A1124E">
                <wp:simplePos x="0" y="0"/>
                <wp:positionH relativeFrom="column">
                  <wp:posOffset>-721360</wp:posOffset>
                </wp:positionH>
                <wp:positionV relativeFrom="paragraph">
                  <wp:posOffset>168910</wp:posOffset>
                </wp:positionV>
                <wp:extent cx="4765040" cy="1739900"/>
                <wp:effectExtent l="0" t="0" r="10160" b="12700"/>
                <wp:wrapNone/>
                <wp:docPr id="2008847951" name="Text Box 1"/>
                <wp:cNvGraphicFramePr/>
                <a:graphic xmlns:a="http://schemas.openxmlformats.org/drawingml/2006/main">
                  <a:graphicData uri="http://schemas.microsoft.com/office/word/2010/wordprocessingShape">
                    <wps:wsp>
                      <wps:cNvSpPr txBox="1"/>
                      <wps:spPr>
                        <a:xfrm>
                          <a:off x="0" y="0"/>
                          <a:ext cx="4765040" cy="1739900"/>
                        </a:xfrm>
                        <a:prstGeom prst="rect">
                          <a:avLst/>
                        </a:prstGeom>
                        <a:noFill/>
                        <a:ln w="6350">
                          <a:solidFill>
                            <a:prstClr val="black"/>
                          </a:solidFill>
                        </a:ln>
                      </wps:spPr>
                      <wps:txbx>
                        <w:txbxContent>
                          <w:p w14:paraId="023AF5CF" w14:textId="120C14E6" w:rsidR="00EB7907" w:rsidRDefault="00EB7907">
                            <w:r>
                              <w:fldChar w:fldCharType="begin"/>
                            </w:r>
                            <w:r>
                              <w:instrText xml:space="preserve"> INCLUDEPICTURE "/Users/mohammedismaaeeliqbal/Library/Group Containers/UBF8T346G9.ms/WebArchiveCopyPasteTempFiles/com.microsoft.Word/pharmacy_management_system_data_flow_diagram_slide01.jpg" \* MERGEFORMATINET </w:instrText>
                            </w:r>
                            <w:r>
                              <w:fldChar w:fldCharType="separate"/>
                            </w:r>
                            <w:r>
                              <w:rPr>
                                <w:noProof/>
                              </w:rPr>
                              <w:drawing>
                                <wp:inline distT="0" distB="0" distL="0" distR="0" wp14:anchorId="2C6CFBD8" wp14:editId="429FD779">
                                  <wp:extent cx="3047838" cy="1534746"/>
                                  <wp:effectExtent l="12700" t="12700" r="13335" b="40640"/>
                                  <wp:docPr id="809529703" name="Picture 23" descr="Top 10 Pharmacy management system data flow diagram PowerPoint Presentation  Templates in 20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Top 10 Pharmacy management system data flow diagram PowerPoint Presentation  Templates in 2026"/>
                                          <pic:cNvPicPr>
                                            <a:picLocks noChangeAspect="1" noChangeArrowheads="1"/>
                                          </pic:cNvPicPr>
                                        </pic:nvPicPr>
                                        <pic:blipFill>
                                          <a:blip r:embed="rId8" cstate="print">
                                            <a:extLst>
                                              <a:ext uri="{BEBA8EAE-BF5A-486C-A8C5-ECC9F3942E4B}">
                                                <a14:imgProps xmlns:a14="http://schemas.microsoft.com/office/drawing/2010/main">
                                                  <a14:imgLayer r:embed="rId9">
                                                    <a14:imgEffect>
                                                      <a14:sharpenSoften amount="100000"/>
                                                    </a14:imgEffect>
                                                  </a14:imgLayer>
                                                </a14:imgProps>
                                              </a:ext>
                                              <a:ext uri="{28A0092B-C50C-407E-A947-70E740481C1C}">
                                                <a14:useLocalDpi xmlns:a14="http://schemas.microsoft.com/office/drawing/2010/main" val="0"/>
                                              </a:ext>
                                            </a:extLst>
                                          </a:blip>
                                          <a:srcRect/>
                                          <a:stretch>
                                            <a:fillRect/>
                                          </a:stretch>
                                        </pic:blipFill>
                                        <pic:spPr bwMode="auto">
                                          <a:xfrm>
                                            <a:off x="0" y="0"/>
                                            <a:ext cx="3468954" cy="1746800"/>
                                          </a:xfrm>
                                          <a:prstGeom prst="rect">
                                            <a:avLst/>
                                          </a:prstGeom>
                                          <a:solidFill>
                                            <a:sysClr val="windowText" lastClr="000000"/>
                                          </a:solidFill>
                                          <a:ln>
                                            <a:solidFill>
                                              <a:schemeClr val="accent6"/>
                                            </a:solidFill>
                                          </a:ln>
                                          <a:effectLst>
                                            <a:reflection stA="0" endPos="65000" dist="50800" dir="5400000" sy="-100000" algn="bl" rotWithShape="0"/>
                                          </a:effectLst>
                                        </pic:spPr>
                                      </pic:pic>
                                    </a:graphicData>
                                  </a:graphic>
                                </wp:inline>
                              </w:drawing>
                            </w:r>
                            <w:r>
                              <w:fldChar w:fldCharType="end"/>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A0B0D72" id="_x0000_t202" coordsize="21600,21600" o:spt="202" path="m,l,21600r21600,l21600,xe">
                <v:stroke joinstyle="miter"/>
                <v:path gradientshapeok="t" o:connecttype="rect"/>
              </v:shapetype>
              <v:shape id="_x0000_s1032" type="#_x0000_t202" style="position:absolute;margin-left:-56.8pt;margin-top:13.3pt;width:375.2pt;height:137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" filled="f" strokeweight=".5pt">
                <v:textbox>
                  <w:txbxContent>
                    <w:p w14:paraId="023AF5CF" w14:textId="120C14E6" w:rsidR="00EB7907" w:rsidRDefault="00EB7907">
                      <w:r>
                        <w:fldChar w:fldCharType="begin"/>
                      </w:r>
                      <w:r>
                        <w:instrText xml:space="preserve"> INCLUDEPICTURE "/Users/mohammedismaaeeliqbal/Library/Group Containers/UBF8T346G9.ms/WebArchiveCopyPasteTempFiles/com.microsoft.Word/pharmacy_management_system_data_flow_diagram_slide01.jpg" \* MERGEFORMATINET </w:instrText>
                      </w:r>
                      <w:r>
                        <w:fldChar w:fldCharType="separate"/>
                      </w:r>
                      <w:r>
                        <w:rPr>
                          <w:noProof/>
                        </w:rPr>
                        <w:drawing>
                          <wp:inline distT="0" distB="0" distL="0" distR="0" wp14:anchorId="2C6CFBD8" wp14:editId="429FD779">
                            <wp:extent cx="3047838" cy="1534746"/>
                            <wp:effectExtent l="12700" t="12700" r="13335" b="40640"/>
                            <wp:docPr id="809529703" name="Picture 23" descr="Top 10 Pharmacy management system data flow diagram PowerPoint Presentation  Templates in 20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Top 10 Pharmacy management system data flow diagram PowerPoint Presentation  Templates in 2026"/>
                                    <pic:cNvPicPr>
                                      <a:picLocks noChangeAspect="1" noChangeArrowheads="1"/>
                                    </pic:cNvPicPr>
                                  </pic:nvPicPr>
                                  <pic:blipFill>
                                    <a:blip r:embed="rId8" cstate="print">
                                      <a:extLst>
                                        <a:ext uri="{BEBA8EAE-BF5A-486C-A8C5-ECC9F3942E4B}">
                                          <a14:imgProps xmlns:a14="http://schemas.microsoft.com/office/drawing/2010/main">
                                            <a14:imgLayer r:embed="rId9">
                                              <a14:imgEffect>
                                                <a14:sharpenSoften amount="100000"/>
                                              </a14:imgEffect>
                                            </a14:imgLayer>
                                          </a14:imgProps>
                                        </a:ext>
                                        <a:ext uri="{28A0092B-C50C-407E-A947-70E740481C1C}">
                                          <a14:useLocalDpi xmlns:a14="http://schemas.microsoft.com/office/drawing/2010/main" val="0"/>
                                        </a:ext>
                                      </a:extLst>
                                    </a:blip>
                                    <a:srcRect/>
                                    <a:stretch>
                                      <a:fillRect/>
                                    </a:stretch>
                                  </pic:blipFill>
                                  <pic:spPr bwMode="auto">
                                    <a:xfrm>
                                      <a:off x="0" y="0"/>
                                      <a:ext cx="3468954" cy="1746800"/>
                                    </a:xfrm>
                                    <a:prstGeom prst="rect">
                                      <a:avLst/>
                                    </a:prstGeom>
                                    <a:solidFill>
                                      <a:sysClr val="windowText" lastClr="000000"/>
                                    </a:solidFill>
                                    <a:ln>
                                      <a:solidFill>
                                        <a:schemeClr val="accent6"/>
                                      </a:solidFill>
                                    </a:ln>
                                    <a:effectLst>
                                      <a:reflection stA="0" endPos="65000" dist="50800" dir="5400000" sy="-100000" algn="bl" rotWithShape="0"/>
                                    </a:effectLst>
                                  </pic:spPr>
                                </pic:pic>
                              </a:graphicData>
                            </a:graphic>
                          </wp:inline>
                        </w:drawing>
                      </w:r>
                      <w:r>
                        <w:fldChar w:fldCharType="end"/>
                      </w:r>
                    </w:p>
                  </w:txbxContent>
                </v:textbox>
              </v:shape>
            </w:pict>
          </mc:Fallback>
        </mc:AlternateContent>
      </w:r>
    </w:p>
    <w:p w14:paraId="5A844840" w14:textId="7383A47D" w:rsidR="00326FBF" w:rsidRDefault="00326FBF" w:rsidP="00326FBF"/>
    <w:p w14:paraId="732C3114" w14:textId="6B944FB9" w:rsidR="00326FBF" w:rsidRPr="00326FBF" w:rsidRDefault="00326FBF" w:rsidP="00326FBF">
      <w:pPr>
        <w:rPr>
          <w:rFonts w:ascii="Times New Roman" w:eastAsia="Times New Roman" w:hAnsi="Times New Roman" w:cs="Times New Roman"/>
          <w:kern w:val="0"/>
          <w:lang w:eastAsia="en-GB"/>
          <w14:ligatures w14:val="none"/>
        </w:rPr>
      </w:pPr>
      <w:r>
        <w:tab/>
      </w:r>
      <w:r w:rsidRPr="00326FBF">
        <w:rPr>
          <w:rFonts w:ascii="Times New Roman" w:eastAsia="Times New Roman" w:hAnsi="Times New Roman" w:cs="Times New Roman"/>
          <w:kern w:val="0"/>
          <w:lang w:eastAsia="en-GB"/>
          <w14:ligatures w14:val="none"/>
        </w:rPr>
        <w:fldChar w:fldCharType="begin"/>
      </w:r>
      <w:r w:rsidRPr="00326FBF">
        <w:rPr>
          <w:rFonts w:ascii="Times New Roman" w:eastAsia="Times New Roman" w:hAnsi="Times New Roman" w:cs="Times New Roman"/>
          <w:kern w:val="0"/>
          <w:lang w:eastAsia="en-GB"/>
          <w14:ligatures w14:val="none"/>
        </w:rPr>
        <w:instrText xml:space="preserve"> INCLUDEPICTURE "https://www.researchgate.net/figure/publication/355516357/figure/fig1/AS:1085553986543617@1635827647414/Flow-chart-of-the-telephonic-medication-management-clinic-MMC-consultation-process.ppm" \* MERGEFORMATINET </w:instrText>
      </w:r>
      <w:r w:rsidRPr="00326FBF">
        <w:rPr>
          <w:rFonts w:ascii="Times New Roman" w:eastAsia="Times New Roman" w:hAnsi="Times New Roman" w:cs="Times New Roman"/>
          <w:kern w:val="0"/>
          <w:lang w:eastAsia="en-GB"/>
          <w14:ligatures w14:val="none"/>
        </w:rPr>
        <w:fldChar w:fldCharType="separate"/>
      </w:r>
      <w:r w:rsidRPr="00326FBF">
        <w:rPr>
          <w:rFonts w:ascii="Times New Roman" w:eastAsia="Times New Roman" w:hAnsi="Times New Roman" w:cs="Times New Roman"/>
          <w:noProof/>
          <w:kern w:val="0"/>
          <w:lang w:eastAsia="en-GB"/>
          <w14:ligatures w14:val="none"/>
        </w:rPr>
        <mc:AlternateContent>
          <mc:Choice Requires="wps">
            <w:drawing>
              <wp:inline distT="0" distB="0" distL="0" distR="0" wp14:anchorId="2E491E61" wp14:editId="2260EFA0">
                <wp:extent cx="300355" cy="300355"/>
                <wp:effectExtent l="0" t="0" r="0" b="0"/>
                <wp:docPr id="714467174" name="Rectangle 12" descr="Flow chart of the telephonic medication management clinic (MMC) consultation proces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0355" cy="3003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507C2AD" id="Rectangle 12" o:spid="_x0000_s1026" alt="Flow chart of the telephonic medication management clinic (MMC) consultation process." style="width:23.65pt;height:23.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" filled="f" stroked="f">
                <o:lock v:ext="edit" aspectratio="t"/>
                <w10:anchorlock/>
              </v:rect>
            </w:pict>
          </mc:Fallback>
        </mc:AlternateContent>
      </w:r>
      <w:r w:rsidRPr="00326FBF">
        <w:rPr>
          <w:rFonts w:ascii="Times New Roman" w:eastAsia="Times New Roman" w:hAnsi="Times New Roman" w:cs="Times New Roman"/>
          <w:kern w:val="0"/>
          <w:lang w:eastAsia="en-GB"/>
          <w14:ligatures w14:val="none"/>
        </w:rPr>
        <w:fldChar w:fldCharType="end"/>
      </w:r>
      <w:r w:rsidRPr="00326FBF">
        <w:rPr>
          <w:rFonts w:ascii="Times New Roman" w:eastAsia="Times New Roman" w:hAnsi="Times New Roman" w:cs="Times New Roman"/>
          <w:kern w:val="0"/>
          <w:lang w:eastAsia="en-GB"/>
          <w14:ligatures w14:val="none"/>
        </w:rPr>
        <w:fldChar w:fldCharType="begin"/>
      </w:r>
      <w:r w:rsidRPr="00326FBF">
        <w:rPr>
          <w:rFonts w:ascii="Times New Roman" w:eastAsia="Times New Roman" w:hAnsi="Times New Roman" w:cs="Times New Roman"/>
          <w:kern w:val="0"/>
          <w:lang w:eastAsia="en-GB"/>
          <w14:ligatures w14:val="none"/>
        </w:rPr>
        <w:instrText xml:space="preserve"> INCLUDEPICTURE "https://www.researchgate.net/figure/publication/355516357/figure/fig1/AS:1085553986543617@1635827647414/Flow-chart-of-the-telephonic-medication-management-clinic-MMC-consultation-process.ppm" \* MERGEFORMATINET </w:instrText>
      </w:r>
      <w:r w:rsidRPr="00326FBF">
        <w:rPr>
          <w:rFonts w:ascii="Times New Roman" w:eastAsia="Times New Roman" w:hAnsi="Times New Roman" w:cs="Times New Roman"/>
          <w:kern w:val="0"/>
          <w:lang w:eastAsia="en-GB"/>
          <w14:ligatures w14:val="none"/>
        </w:rPr>
        <w:fldChar w:fldCharType="separate"/>
      </w:r>
      <w:r w:rsidRPr="00326FBF">
        <w:rPr>
          <w:rFonts w:ascii="Times New Roman" w:eastAsia="Times New Roman" w:hAnsi="Times New Roman" w:cs="Times New Roman"/>
          <w:noProof/>
          <w:kern w:val="0"/>
          <w:lang w:eastAsia="en-GB"/>
          <w14:ligatures w14:val="none"/>
        </w:rPr>
        <mc:AlternateContent>
          <mc:Choice Requires="wps">
            <w:drawing>
              <wp:inline distT="0" distB="0" distL="0" distR="0" wp14:anchorId="6E27426D" wp14:editId="19AA9A4F">
                <wp:extent cx="304800" cy="304800"/>
                <wp:effectExtent l="0" t="0" r="0" b="0"/>
                <wp:docPr id="2080221915" name="Rectangle 17" descr="Flow chart of the telephonic medication management clinic (MMC) consultation proces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06A0F28" id="Rectangle 17" o:spid="_x0000_s1026" alt="Flow chart of the telephonic medication management clinic (MMC) consultation proces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rsidRPr="00326FBF">
        <w:rPr>
          <w:rFonts w:ascii="Times New Roman" w:eastAsia="Times New Roman" w:hAnsi="Times New Roman" w:cs="Times New Roman"/>
          <w:kern w:val="0"/>
          <w:lang w:eastAsia="en-GB"/>
          <w14:ligatures w14:val="none"/>
        </w:rPr>
        <w:fldChar w:fldCharType="end"/>
      </w:r>
    </w:p>
    <w:p w14:paraId="0163B23F" w14:textId="4F4E7047" w:rsidR="00326FBF" w:rsidRPr="00326FBF" w:rsidRDefault="00326FBF" w:rsidP="00326FBF">
      <w:pPr>
        <w:spacing w:after="0" w:line="240" w:lineRule="auto"/>
        <w:rPr>
          <w:rFonts w:ascii="Times New Roman" w:eastAsia="Times New Roman" w:hAnsi="Times New Roman" w:cs="Times New Roman"/>
          <w:kern w:val="0"/>
          <w:lang w:eastAsia="en-GB"/>
          <w14:ligatures w14:val="none"/>
        </w:rPr>
      </w:pPr>
    </w:p>
    <w:p w14:paraId="0BEAC6A2" w14:textId="3D539910" w:rsidR="000907DD" w:rsidRDefault="000907DD">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Task 2: </w:t>
      </w:r>
      <w:r w:rsidR="00743727">
        <w:rPr>
          <w:rFonts w:ascii="Times New Roman" w:eastAsia="Times New Roman" w:hAnsi="Times New Roman" w:cs="Times New Roman"/>
          <w:kern w:val="0"/>
          <w:lang w:eastAsia="en-GB"/>
          <w14:ligatures w14:val="none"/>
        </w:rPr>
        <w:t xml:space="preserve">community mental health services: origins, functioning, and impact. </w:t>
      </w:r>
    </w:p>
    <w:p w14:paraId="36013A9A" w14:textId="229A35DB" w:rsidR="00743727" w:rsidRDefault="00743727">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Community mental health services have become a cornerstone of modern mental health care, shifting the focus from isolated institutional treatment to holistic, local support systems. Their development is rooted in a long history of changing attitudes towards mental illness, and today they play a vital role in improving the quality of life for individuals experiencing mental health issues. </w:t>
      </w:r>
    </w:p>
    <w:p w14:paraId="4CC08AF9" w14:textId="5BFAC8D1" w:rsidR="00743727" w:rsidRDefault="00743727">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Historically, the treatment of mental illness was largely confined to asylums and large </w:t>
      </w:r>
      <w:r w:rsidR="00A52E34">
        <w:rPr>
          <w:rFonts w:ascii="Times New Roman" w:eastAsia="Times New Roman" w:hAnsi="Times New Roman" w:cs="Times New Roman"/>
          <w:kern w:val="0"/>
          <w:lang w:eastAsia="en-GB"/>
          <w14:ligatures w14:val="none"/>
        </w:rPr>
        <w:t>psychiatric</w:t>
      </w:r>
      <w:r>
        <w:rPr>
          <w:rFonts w:ascii="Times New Roman" w:eastAsia="Times New Roman" w:hAnsi="Times New Roman" w:cs="Times New Roman"/>
          <w:kern w:val="0"/>
          <w:lang w:eastAsia="en-GB"/>
          <w14:ligatures w14:val="none"/>
        </w:rPr>
        <w:t xml:space="preserve"> hospitals these </w:t>
      </w:r>
      <w:r w:rsidR="00A52E34">
        <w:rPr>
          <w:rFonts w:ascii="Times New Roman" w:eastAsia="Times New Roman" w:hAnsi="Times New Roman" w:cs="Times New Roman"/>
          <w:kern w:val="0"/>
          <w:lang w:eastAsia="en-GB"/>
          <w14:ligatures w14:val="none"/>
        </w:rPr>
        <w:t>institutions</w:t>
      </w:r>
      <w:r>
        <w:rPr>
          <w:rFonts w:ascii="Times New Roman" w:eastAsia="Times New Roman" w:hAnsi="Times New Roman" w:cs="Times New Roman"/>
          <w:kern w:val="0"/>
          <w:lang w:eastAsia="en-GB"/>
          <w14:ligatures w14:val="none"/>
        </w:rPr>
        <w:t xml:space="preserve">, </w:t>
      </w:r>
      <w:r w:rsidR="00A52E34">
        <w:rPr>
          <w:rFonts w:ascii="Times New Roman" w:eastAsia="Times New Roman" w:hAnsi="Times New Roman" w:cs="Times New Roman"/>
          <w:kern w:val="0"/>
          <w:lang w:eastAsia="en-GB"/>
          <w14:ligatures w14:val="none"/>
        </w:rPr>
        <w:t>prevalent</w:t>
      </w:r>
      <w:r>
        <w:rPr>
          <w:rFonts w:ascii="Times New Roman" w:eastAsia="Times New Roman" w:hAnsi="Times New Roman" w:cs="Times New Roman"/>
          <w:kern w:val="0"/>
          <w:lang w:eastAsia="en-GB"/>
          <w14:ligatures w14:val="none"/>
        </w:rPr>
        <w:t xml:space="preserve"> in the 19</w:t>
      </w:r>
      <w:r w:rsidRPr="00743727">
        <w:rPr>
          <w:rFonts w:ascii="Times New Roman" w:eastAsia="Times New Roman" w:hAnsi="Times New Roman" w:cs="Times New Roman"/>
          <w:kern w:val="0"/>
          <w:vertAlign w:val="superscript"/>
          <w:lang w:eastAsia="en-GB"/>
          <w14:ligatures w14:val="none"/>
        </w:rPr>
        <w:t>th</w:t>
      </w:r>
      <w:r>
        <w:rPr>
          <w:rFonts w:ascii="Times New Roman" w:eastAsia="Times New Roman" w:hAnsi="Times New Roman" w:cs="Times New Roman"/>
          <w:kern w:val="0"/>
          <w:lang w:eastAsia="en-GB"/>
          <w14:ligatures w14:val="none"/>
        </w:rPr>
        <w:t xml:space="preserve"> and early 20</w:t>
      </w:r>
      <w:r w:rsidRPr="00743727">
        <w:rPr>
          <w:rFonts w:ascii="Times New Roman" w:eastAsia="Times New Roman" w:hAnsi="Times New Roman" w:cs="Times New Roman"/>
          <w:kern w:val="0"/>
          <w:vertAlign w:val="superscript"/>
          <w:lang w:eastAsia="en-GB"/>
          <w14:ligatures w14:val="none"/>
        </w:rPr>
        <w:t>th</w:t>
      </w:r>
      <w:r>
        <w:rPr>
          <w:rFonts w:ascii="Times New Roman" w:eastAsia="Times New Roman" w:hAnsi="Times New Roman" w:cs="Times New Roman"/>
          <w:kern w:val="0"/>
          <w:lang w:eastAsia="en-GB"/>
          <w14:ligatures w14:val="none"/>
        </w:rPr>
        <w:t xml:space="preserve"> centuries, often prioritised containment over care, which led to social isolation and in many cases neglect</w:t>
      </w:r>
      <w:r w:rsidR="001130D8">
        <w:rPr>
          <w:rFonts w:ascii="Times New Roman" w:eastAsia="Times New Roman" w:hAnsi="Times New Roman" w:cs="Times New Roman"/>
          <w:kern w:val="0"/>
          <w:lang w:eastAsia="en-GB"/>
          <w14:ligatures w14:val="none"/>
        </w:rPr>
        <w:t xml:space="preserve"> ( scull 2015). The deinstitutionalization movement gained momentum in the mid 20</w:t>
      </w:r>
      <w:r w:rsidR="001130D8" w:rsidRPr="001130D8">
        <w:rPr>
          <w:rFonts w:ascii="Times New Roman" w:eastAsia="Times New Roman" w:hAnsi="Times New Roman" w:cs="Times New Roman"/>
          <w:kern w:val="0"/>
          <w:vertAlign w:val="superscript"/>
          <w:lang w:eastAsia="en-GB"/>
          <w14:ligatures w14:val="none"/>
        </w:rPr>
        <w:t>th</w:t>
      </w:r>
      <w:r w:rsidR="001130D8">
        <w:rPr>
          <w:rFonts w:ascii="Times New Roman" w:eastAsia="Times New Roman" w:hAnsi="Times New Roman" w:cs="Times New Roman"/>
          <w:kern w:val="0"/>
          <w:lang w:eastAsia="en-GB"/>
          <w14:ligatures w14:val="none"/>
        </w:rPr>
        <w:t xml:space="preserve"> century, driven by a combination of medical advances, human rights concerns, and economic factors. The introduction of antipsychotic medications in the 1950s meant that patients could manage their conditions outside hospital settings (Goffman, 1961). Furthermore, societal </w:t>
      </w:r>
      <w:r w:rsidR="00A52E34">
        <w:rPr>
          <w:rFonts w:ascii="Times New Roman" w:eastAsia="Times New Roman" w:hAnsi="Times New Roman" w:cs="Times New Roman"/>
          <w:kern w:val="0"/>
          <w:lang w:eastAsia="en-GB"/>
          <w14:ligatures w14:val="none"/>
        </w:rPr>
        <w:t>awareness</w:t>
      </w:r>
      <w:r w:rsidR="001130D8">
        <w:rPr>
          <w:rFonts w:ascii="Times New Roman" w:eastAsia="Times New Roman" w:hAnsi="Times New Roman" w:cs="Times New Roman"/>
          <w:kern w:val="0"/>
          <w:lang w:eastAsia="en-GB"/>
          <w14:ligatures w14:val="none"/>
        </w:rPr>
        <w:t xml:space="preserve"> about the rights of individuals with mental health issues increased, advocating for community based </w:t>
      </w:r>
      <w:r w:rsidR="00A52E34">
        <w:rPr>
          <w:rFonts w:ascii="Times New Roman" w:eastAsia="Times New Roman" w:hAnsi="Times New Roman" w:cs="Times New Roman"/>
          <w:kern w:val="0"/>
          <w:lang w:eastAsia="en-GB"/>
          <w14:ligatures w14:val="none"/>
        </w:rPr>
        <w:t>alternatives</w:t>
      </w:r>
      <w:r w:rsidR="001130D8">
        <w:rPr>
          <w:rFonts w:ascii="Times New Roman" w:eastAsia="Times New Roman" w:hAnsi="Times New Roman" w:cs="Times New Roman"/>
          <w:kern w:val="0"/>
          <w:lang w:eastAsia="en-GB"/>
          <w14:ligatures w14:val="none"/>
        </w:rPr>
        <w:t xml:space="preserve">. </w:t>
      </w:r>
    </w:p>
    <w:p w14:paraId="6E89BE1B" w14:textId="301798E3" w:rsidR="001130D8" w:rsidRDefault="001130D8">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A key milestone was the mental health act of 1956 in the uk, which aimed to promote community care and reduce reliance on large psychiatric hospitals ( department of health 2001). Building on this the community mental health act of 1963 in the united states further formalised the transition, </w:t>
      </w:r>
      <w:r w:rsidR="00A52E34">
        <w:rPr>
          <w:rFonts w:ascii="Times New Roman" w:eastAsia="Times New Roman" w:hAnsi="Times New Roman" w:cs="Times New Roman"/>
          <w:kern w:val="0"/>
          <w:lang w:eastAsia="en-GB"/>
          <w14:ligatures w14:val="none"/>
        </w:rPr>
        <w:t>emphasising</w:t>
      </w:r>
      <w:r>
        <w:rPr>
          <w:rFonts w:ascii="Times New Roman" w:eastAsia="Times New Roman" w:hAnsi="Times New Roman" w:cs="Times New Roman"/>
          <w:kern w:val="0"/>
          <w:lang w:eastAsia="en-GB"/>
          <w14:ligatures w14:val="none"/>
        </w:rPr>
        <w:t xml:space="preserve"> on outpatient care, early intervention and social integration ( lamb &amp; Weinberger, 2005). These policies laid the groundwork for establishing multi</w:t>
      </w:r>
      <w:r w:rsidR="00A52E34">
        <w:rPr>
          <w:rFonts w:ascii="Times New Roman" w:eastAsia="Times New Roman" w:hAnsi="Times New Roman" w:cs="Times New Roman"/>
          <w:kern w:val="0"/>
          <w:lang w:eastAsia="en-GB"/>
          <w14:ligatures w14:val="none"/>
        </w:rPr>
        <w:t xml:space="preserve"> </w:t>
      </w:r>
      <w:proofErr w:type="spellStart"/>
      <w:r>
        <w:rPr>
          <w:rFonts w:ascii="Times New Roman" w:eastAsia="Times New Roman" w:hAnsi="Times New Roman" w:cs="Times New Roman"/>
          <w:kern w:val="0"/>
          <w:lang w:eastAsia="en-GB"/>
          <w14:ligatures w14:val="none"/>
        </w:rPr>
        <w:t>displinary</w:t>
      </w:r>
      <w:proofErr w:type="spellEnd"/>
      <w:r>
        <w:rPr>
          <w:rFonts w:ascii="Times New Roman" w:eastAsia="Times New Roman" w:hAnsi="Times New Roman" w:cs="Times New Roman"/>
          <w:kern w:val="0"/>
          <w:lang w:eastAsia="en-GB"/>
          <w14:ligatures w14:val="none"/>
        </w:rPr>
        <w:t xml:space="preserve"> teams working within local communities, including psychiatrists, psychologists, social workers and nurses to provide accessible support tailored to individual needs. </w:t>
      </w:r>
    </w:p>
    <w:p w14:paraId="0285769F" w14:textId="016B4629" w:rsidR="001130D8" w:rsidRDefault="001130D8">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Today, community mental health services are integral to the </w:t>
      </w:r>
      <w:proofErr w:type="spellStart"/>
      <w:r>
        <w:rPr>
          <w:rFonts w:ascii="Times New Roman" w:eastAsia="Times New Roman" w:hAnsi="Times New Roman" w:cs="Times New Roman"/>
          <w:kern w:val="0"/>
          <w:lang w:eastAsia="en-GB"/>
          <w14:ligatures w14:val="none"/>
        </w:rPr>
        <w:t>uks</w:t>
      </w:r>
      <w:proofErr w:type="spellEnd"/>
      <w:r>
        <w:rPr>
          <w:rFonts w:ascii="Times New Roman" w:eastAsia="Times New Roman" w:hAnsi="Times New Roman" w:cs="Times New Roman"/>
          <w:kern w:val="0"/>
          <w:lang w:eastAsia="en-GB"/>
          <w14:ligatures w14:val="none"/>
        </w:rPr>
        <w:t xml:space="preserve"> national health service </w:t>
      </w:r>
      <w:r w:rsidR="00A52E34">
        <w:rPr>
          <w:rFonts w:ascii="Times New Roman" w:eastAsia="Times New Roman" w:hAnsi="Times New Roman" w:cs="Times New Roman"/>
          <w:kern w:val="0"/>
          <w:lang w:eastAsia="en-GB"/>
          <w14:ligatures w14:val="none"/>
        </w:rPr>
        <w:t xml:space="preserve">(NHS) framework. They encompass a broad spectrum of support, from initial assessment and diagnosis to ongoing therapy, medication management, crisis intervention and social support ( NHS England, 2020). The services are designed to be person centred, promoting recovery by empowering individuals to regain independence and participate actively in their communities. Modern community mental health teams often collaborate with housing agencies, employment services and voluntary organisations to address social determinants that influence mental health outcomes ( </w:t>
      </w:r>
      <w:proofErr w:type="spellStart"/>
      <w:r w:rsidR="00A52E34">
        <w:rPr>
          <w:rFonts w:ascii="Times New Roman" w:eastAsia="Times New Roman" w:hAnsi="Times New Roman" w:cs="Times New Roman"/>
          <w:kern w:val="0"/>
          <w:lang w:eastAsia="en-GB"/>
          <w14:ligatures w14:val="none"/>
        </w:rPr>
        <w:t>Thornicroft</w:t>
      </w:r>
      <w:proofErr w:type="spellEnd"/>
      <w:r w:rsidR="00A52E34">
        <w:rPr>
          <w:rFonts w:ascii="Times New Roman" w:eastAsia="Times New Roman" w:hAnsi="Times New Roman" w:cs="Times New Roman"/>
          <w:kern w:val="0"/>
          <w:lang w:eastAsia="en-GB"/>
          <w14:ligatures w14:val="none"/>
        </w:rPr>
        <w:t xml:space="preserve"> &amp; </w:t>
      </w:r>
      <w:proofErr w:type="spellStart"/>
      <w:r w:rsidR="00A52E34">
        <w:rPr>
          <w:rFonts w:ascii="Times New Roman" w:eastAsia="Times New Roman" w:hAnsi="Times New Roman" w:cs="Times New Roman"/>
          <w:kern w:val="0"/>
          <w:lang w:eastAsia="en-GB"/>
          <w14:ligatures w14:val="none"/>
        </w:rPr>
        <w:t>tansella</w:t>
      </w:r>
      <w:proofErr w:type="spellEnd"/>
      <w:r w:rsidR="00A52E34">
        <w:rPr>
          <w:rFonts w:ascii="Times New Roman" w:eastAsia="Times New Roman" w:hAnsi="Times New Roman" w:cs="Times New Roman"/>
          <w:kern w:val="0"/>
          <w:lang w:eastAsia="en-GB"/>
          <w14:ligatures w14:val="none"/>
        </w:rPr>
        <w:t xml:space="preserve">, 2013). </w:t>
      </w:r>
    </w:p>
    <w:p w14:paraId="0BAF6232" w14:textId="4910837C" w:rsidR="00A52E34" w:rsidRDefault="00A52E34">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These services operate with the aim of preventing crises, reducing hospital admissions and supporting long term recovery. They often include crisis resolution and home treatment teams that provide immediate support outside hospital settings. Helping individuals avoid unnecessary inpatient stays ( Johnson et al., 2014). The use of digital technology such as online therapy and self-management apps has also expanded ( firth et al., 2020)</w:t>
      </w:r>
    </w:p>
    <w:p w14:paraId="1E75858B" w14:textId="271A42E7" w:rsidR="00F341B1" w:rsidRDefault="00F341B1">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The significance of community mental health services extends beyond clinical support. They fundamentally enhance the quality of life for service users by providing holistic, accessible care, these services foster social inclusion and help reduce stigma associated with mental </w:t>
      </w:r>
      <w:r>
        <w:rPr>
          <w:rFonts w:ascii="Times New Roman" w:eastAsia="Times New Roman" w:hAnsi="Times New Roman" w:cs="Times New Roman"/>
          <w:kern w:val="0"/>
          <w:lang w:eastAsia="en-GB"/>
          <w14:ligatures w14:val="none"/>
        </w:rPr>
        <w:lastRenderedPageBreak/>
        <w:t>illness ( Cohen et al., 2017). They promote independence and self-management, allowing individuals to lead fulfilling lives within their communities. Early intervention and crisis support help prevent deterioration and reducing the need of more restrictive hospital care.</w:t>
      </w:r>
      <w:r w:rsidR="00CA37F3">
        <w:rPr>
          <w:rFonts w:ascii="Times New Roman" w:eastAsia="Times New Roman" w:hAnsi="Times New Roman" w:cs="Times New Roman"/>
          <w:kern w:val="0"/>
          <w:lang w:eastAsia="en-GB"/>
          <w14:ligatures w14:val="none"/>
        </w:rPr>
        <w:t xml:space="preserve"> Most importantly they acknowledge that recovery is possible and support individuals in achieving their personal goals. </w:t>
      </w:r>
    </w:p>
    <w:p w14:paraId="1356F83D" w14:textId="4AA18D3A" w:rsidR="000907DD" w:rsidRDefault="00CA37F3">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In conclusion, community mental health services have evolved from outdated institutions into vital, person centred support systems that improve lives. Their origins are rooted in broader social and political shifts advocating for humane treatment and social inclusion. Today they serve as a crucial component of mental health care, emphasising early intervention, social integration and holistic support, ultimately fostering resilience and wellbeing within communities. </w:t>
      </w:r>
    </w:p>
    <w:p w14:paraId="1B877B97" w14:textId="77777777" w:rsidR="000907DD" w:rsidRDefault="000907DD">
      <w:pPr>
        <w:rPr>
          <w:rFonts w:ascii="Times New Roman" w:eastAsia="Times New Roman" w:hAnsi="Times New Roman" w:cs="Times New Roman"/>
          <w:kern w:val="0"/>
          <w:lang w:eastAsia="en-GB"/>
          <w14:ligatures w14:val="none"/>
        </w:rPr>
      </w:pPr>
    </w:p>
    <w:p w14:paraId="1DD7C294" w14:textId="77777777" w:rsidR="000907DD" w:rsidRDefault="000907DD">
      <w:pPr>
        <w:rPr>
          <w:rFonts w:ascii="Times New Roman" w:eastAsia="Times New Roman" w:hAnsi="Times New Roman" w:cs="Times New Roman"/>
          <w:kern w:val="0"/>
          <w:lang w:eastAsia="en-GB"/>
          <w14:ligatures w14:val="none"/>
        </w:rPr>
      </w:pPr>
    </w:p>
    <w:p w14:paraId="596CD99C" w14:textId="0D90ED42" w:rsidR="00326FBF" w:rsidRDefault="00326FBF" w:rsidP="00326FBF">
      <w:pPr>
        <w:spacing w:after="0" w:line="240" w:lineRule="auto"/>
        <w:rPr>
          <w:rFonts w:ascii="Times New Roman" w:eastAsia="Times New Roman" w:hAnsi="Times New Roman" w:cs="Times New Roman"/>
          <w:kern w:val="0"/>
          <w:lang w:eastAsia="en-GB"/>
          <w14:ligatures w14:val="none"/>
        </w:rPr>
      </w:pPr>
      <w:r w:rsidRPr="00326FBF">
        <w:rPr>
          <w:rFonts w:ascii="Times New Roman" w:eastAsia="Times New Roman" w:hAnsi="Times New Roman" w:cs="Times New Roman"/>
          <w:kern w:val="0"/>
          <w:lang w:eastAsia="en-GB"/>
          <w14:ligatures w14:val="none"/>
        </w:rPr>
        <w:fldChar w:fldCharType="begin"/>
      </w:r>
      <w:r w:rsidRPr="00326FBF">
        <w:rPr>
          <w:rFonts w:ascii="Times New Roman" w:eastAsia="Times New Roman" w:hAnsi="Times New Roman" w:cs="Times New Roman"/>
          <w:kern w:val="0"/>
          <w:lang w:eastAsia="en-GB"/>
          <w14:ligatures w14:val="none"/>
        </w:rPr>
        <w:instrText xml:space="preserve"> INCLUDEPICTURE "https://www.researchgate.net/figure/publication/355516357/figure/fig1/AS:1085553986543617@1635827647414/Flow-chart-of-the-telephonic-medication-management-clinic-MMC-consultation-process.ppm" \* MERGEFORMATINET </w:instrText>
      </w:r>
      <w:r w:rsidRPr="00326FBF">
        <w:rPr>
          <w:rFonts w:ascii="Times New Roman" w:eastAsia="Times New Roman" w:hAnsi="Times New Roman" w:cs="Times New Roman"/>
          <w:kern w:val="0"/>
          <w:lang w:eastAsia="en-GB"/>
          <w14:ligatures w14:val="none"/>
        </w:rPr>
        <w:fldChar w:fldCharType="separate"/>
      </w:r>
      <w:r w:rsidRPr="00326FBF">
        <w:rPr>
          <w:rFonts w:ascii="Times New Roman" w:eastAsia="Times New Roman" w:hAnsi="Times New Roman" w:cs="Times New Roman"/>
          <w:kern w:val="0"/>
          <w:lang w:eastAsia="en-GB"/>
          <w14:ligatures w14:val="none"/>
        </w:rPr>
        <w:fldChar w:fldCharType="end"/>
      </w:r>
      <w:r w:rsidR="000907DD">
        <w:rPr>
          <w:rFonts w:ascii="Times New Roman" w:eastAsia="Times New Roman" w:hAnsi="Times New Roman" w:cs="Times New Roman"/>
          <w:kern w:val="0"/>
          <w:lang w:eastAsia="en-GB"/>
          <w14:ligatures w14:val="none"/>
        </w:rPr>
        <w:t>references:</w:t>
      </w:r>
    </w:p>
    <w:p w14:paraId="5A1DE62E" w14:textId="59CE47C8" w:rsidR="000907DD" w:rsidRDefault="000907DD" w:rsidP="00326FBF">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brodie, m. (2018) a history of pharmacy. London: </w:t>
      </w:r>
      <w:proofErr w:type="spellStart"/>
      <w:r>
        <w:rPr>
          <w:rFonts w:ascii="Times New Roman" w:eastAsia="Times New Roman" w:hAnsi="Times New Roman" w:cs="Times New Roman"/>
          <w:kern w:val="0"/>
          <w:lang w:eastAsia="en-GB"/>
          <w14:ligatures w14:val="none"/>
        </w:rPr>
        <w:t>routledge</w:t>
      </w:r>
      <w:proofErr w:type="spellEnd"/>
      <w:r>
        <w:rPr>
          <w:rFonts w:ascii="Times New Roman" w:eastAsia="Times New Roman" w:hAnsi="Times New Roman" w:cs="Times New Roman"/>
          <w:kern w:val="0"/>
          <w:lang w:eastAsia="en-GB"/>
          <w14:ligatures w14:val="none"/>
        </w:rPr>
        <w:t xml:space="preserve">. </w:t>
      </w:r>
    </w:p>
    <w:p w14:paraId="6DB63D1D" w14:textId="77777777" w:rsidR="000907DD" w:rsidRDefault="000907DD" w:rsidP="00326FBF">
      <w:pPr>
        <w:spacing w:after="0" w:line="240" w:lineRule="auto"/>
        <w:rPr>
          <w:rFonts w:ascii="Times New Roman" w:eastAsia="Times New Roman" w:hAnsi="Times New Roman" w:cs="Times New Roman"/>
          <w:kern w:val="0"/>
          <w:lang w:eastAsia="en-GB"/>
          <w14:ligatures w14:val="none"/>
        </w:rPr>
      </w:pPr>
    </w:p>
    <w:p w14:paraId="1A4F2D6A" w14:textId="64764AC4" w:rsidR="000907DD" w:rsidRDefault="000907DD" w:rsidP="00326FBF">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NHS digital (2021) medicines safety updates. Available at: </w:t>
      </w:r>
      <w:hyperlink r:id="rId10" w:history="1">
        <w:r w:rsidRPr="003C0FC4">
          <w:rPr>
            <w:rStyle w:val="Hyperlink"/>
            <w:rFonts w:ascii="Times New Roman" w:eastAsia="Times New Roman" w:hAnsi="Times New Roman" w:cs="Times New Roman"/>
            <w:kern w:val="0"/>
            <w:lang w:eastAsia="en-GB"/>
            <w14:ligatures w14:val="none"/>
          </w:rPr>
          <w:t>https://digital.nhs.uk</w:t>
        </w:r>
      </w:hyperlink>
      <w:r>
        <w:rPr>
          <w:rFonts w:ascii="Times New Roman" w:eastAsia="Times New Roman" w:hAnsi="Times New Roman" w:cs="Times New Roman"/>
          <w:kern w:val="0"/>
          <w:lang w:eastAsia="en-GB"/>
          <w14:ligatures w14:val="none"/>
        </w:rPr>
        <w:t xml:space="preserve"> ( accessed: 18 </w:t>
      </w:r>
      <w:proofErr w:type="spellStart"/>
      <w:r>
        <w:rPr>
          <w:rFonts w:ascii="Times New Roman" w:eastAsia="Times New Roman" w:hAnsi="Times New Roman" w:cs="Times New Roman"/>
          <w:kern w:val="0"/>
          <w:lang w:eastAsia="en-GB"/>
          <w14:ligatures w14:val="none"/>
        </w:rPr>
        <w:t>june</w:t>
      </w:r>
      <w:proofErr w:type="spellEnd"/>
      <w:r>
        <w:rPr>
          <w:rFonts w:ascii="Times New Roman" w:eastAsia="Times New Roman" w:hAnsi="Times New Roman" w:cs="Times New Roman"/>
          <w:kern w:val="0"/>
          <w:lang w:eastAsia="en-GB"/>
          <w14:ligatures w14:val="none"/>
        </w:rPr>
        <w:t xml:space="preserve"> 2026) </w:t>
      </w:r>
    </w:p>
    <w:p w14:paraId="32A13405" w14:textId="3C47415A" w:rsidR="000907DD" w:rsidRDefault="000907DD" w:rsidP="00326FBF">
      <w:pPr>
        <w:spacing w:after="0" w:line="240" w:lineRule="auto"/>
        <w:rPr>
          <w:rFonts w:ascii="Times New Roman" w:eastAsia="Times New Roman" w:hAnsi="Times New Roman" w:cs="Times New Roman"/>
          <w:kern w:val="0"/>
          <w:lang w:eastAsia="en-GB"/>
          <w14:ligatures w14:val="none"/>
        </w:rPr>
      </w:pPr>
    </w:p>
    <w:p w14:paraId="472C498C" w14:textId="5EB1E322" w:rsidR="000907DD" w:rsidRDefault="000907DD" w:rsidP="00326FBF">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Smith, j. and </w:t>
      </w:r>
      <w:proofErr w:type="spellStart"/>
      <w:r>
        <w:rPr>
          <w:rFonts w:ascii="Times New Roman" w:eastAsia="Times New Roman" w:hAnsi="Times New Roman" w:cs="Times New Roman"/>
          <w:kern w:val="0"/>
          <w:lang w:eastAsia="en-GB"/>
          <w14:ligatures w14:val="none"/>
        </w:rPr>
        <w:t>patel</w:t>
      </w:r>
      <w:proofErr w:type="spellEnd"/>
      <w:r>
        <w:rPr>
          <w:rFonts w:ascii="Times New Roman" w:eastAsia="Times New Roman" w:hAnsi="Times New Roman" w:cs="Times New Roman"/>
          <w:kern w:val="0"/>
          <w:lang w:eastAsia="en-GB"/>
          <w14:ligatures w14:val="none"/>
        </w:rPr>
        <w:t xml:space="preserve"> r. (2020) ‘ healthcare access disparities in rural uk communities’, British journal of general practice, 70(690), pp.123-124 </w:t>
      </w:r>
    </w:p>
    <w:p w14:paraId="41DDB3A9" w14:textId="3404225C" w:rsidR="000907DD" w:rsidRDefault="000907DD" w:rsidP="00326FBF">
      <w:pPr>
        <w:spacing w:after="0" w:line="240" w:lineRule="auto"/>
        <w:rPr>
          <w:rFonts w:ascii="Times New Roman" w:eastAsia="Times New Roman" w:hAnsi="Times New Roman" w:cs="Times New Roman"/>
          <w:kern w:val="0"/>
          <w:lang w:eastAsia="en-GB"/>
          <w14:ligatures w14:val="none"/>
        </w:rPr>
      </w:pPr>
    </w:p>
    <w:p w14:paraId="26DF2C96" w14:textId="69A79A9A" w:rsidR="000907DD" w:rsidRDefault="000907DD" w:rsidP="00326FBF">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Williams, s. (2015) the evolution of pharmacy practice. Oxford: oxford university press. (accessed: 18 </w:t>
      </w:r>
      <w:proofErr w:type="spellStart"/>
      <w:r>
        <w:rPr>
          <w:rFonts w:ascii="Times New Roman" w:eastAsia="Times New Roman" w:hAnsi="Times New Roman" w:cs="Times New Roman"/>
          <w:kern w:val="0"/>
          <w:lang w:eastAsia="en-GB"/>
          <w14:ligatures w14:val="none"/>
        </w:rPr>
        <w:t>june</w:t>
      </w:r>
      <w:proofErr w:type="spellEnd"/>
      <w:r>
        <w:rPr>
          <w:rFonts w:ascii="Times New Roman" w:eastAsia="Times New Roman" w:hAnsi="Times New Roman" w:cs="Times New Roman"/>
          <w:kern w:val="0"/>
          <w:lang w:eastAsia="en-GB"/>
          <w14:ligatures w14:val="none"/>
        </w:rPr>
        <w:t xml:space="preserve"> 2026)</w:t>
      </w:r>
    </w:p>
    <w:p w14:paraId="009CEAFE" w14:textId="77777777" w:rsidR="000907DD" w:rsidRDefault="000907DD" w:rsidP="00326FBF">
      <w:pPr>
        <w:spacing w:after="0" w:line="240" w:lineRule="auto"/>
        <w:rPr>
          <w:rFonts w:ascii="Times New Roman" w:eastAsia="Times New Roman" w:hAnsi="Times New Roman" w:cs="Times New Roman"/>
          <w:kern w:val="0"/>
          <w:lang w:eastAsia="en-GB"/>
          <w14:ligatures w14:val="none"/>
        </w:rPr>
      </w:pPr>
    </w:p>
    <w:p w14:paraId="59E8C27A" w14:textId="0D3C0A79" w:rsidR="00CA37F3" w:rsidRDefault="00CA37F3" w:rsidP="00326FBF">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Cohen, A., et al (2017). ‘reducing stigma through community mental health services’, journal of mental health, 26(2), pp. 174-181. </w:t>
      </w:r>
    </w:p>
    <w:p w14:paraId="72F6689E" w14:textId="77777777" w:rsidR="00CA37F3" w:rsidRDefault="00CA37F3" w:rsidP="00326FBF">
      <w:pPr>
        <w:spacing w:after="0" w:line="240" w:lineRule="auto"/>
        <w:rPr>
          <w:rFonts w:ascii="Times New Roman" w:eastAsia="Times New Roman" w:hAnsi="Times New Roman" w:cs="Times New Roman"/>
          <w:kern w:val="0"/>
          <w:lang w:eastAsia="en-GB"/>
          <w14:ligatures w14:val="none"/>
        </w:rPr>
      </w:pPr>
    </w:p>
    <w:p w14:paraId="3906F162" w14:textId="546A61DF" w:rsidR="00CA37F3" w:rsidRDefault="00CA37F3" w:rsidP="00326FBF">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Department of health ( 2001). Mental health act 1983 ( amendment) regulations 200. London: HMSO</w:t>
      </w:r>
    </w:p>
    <w:p w14:paraId="206B71EC" w14:textId="77777777" w:rsidR="00CA37F3" w:rsidRDefault="00CA37F3" w:rsidP="00326FBF">
      <w:pPr>
        <w:spacing w:after="0" w:line="240" w:lineRule="auto"/>
        <w:rPr>
          <w:rFonts w:ascii="Times New Roman" w:eastAsia="Times New Roman" w:hAnsi="Times New Roman" w:cs="Times New Roman"/>
          <w:kern w:val="0"/>
          <w:lang w:eastAsia="en-GB"/>
          <w14:ligatures w14:val="none"/>
        </w:rPr>
      </w:pPr>
    </w:p>
    <w:p w14:paraId="7E84BB5A" w14:textId="5F04FB9E" w:rsidR="00CA37F3" w:rsidRDefault="00CA37F3" w:rsidP="00326FBF">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Firth, j., et al. ( 2020). ‘digital mental health and COVID-19: Opportunities and challenges’</w:t>
      </w:r>
      <w:r w:rsidR="00BF0996">
        <w:rPr>
          <w:rFonts w:ascii="Times New Roman" w:eastAsia="Times New Roman" w:hAnsi="Times New Roman" w:cs="Times New Roman"/>
          <w:kern w:val="0"/>
          <w:lang w:eastAsia="en-GB"/>
          <w14:ligatures w14:val="none"/>
        </w:rPr>
        <w:t>, the lancet psychiatry, 7(8), pp. 657-658</w:t>
      </w:r>
    </w:p>
    <w:p w14:paraId="7323D6BB" w14:textId="77777777" w:rsidR="00BF0996" w:rsidRDefault="00BF0996" w:rsidP="00326FBF">
      <w:pPr>
        <w:spacing w:after="0" w:line="240" w:lineRule="auto"/>
        <w:rPr>
          <w:rFonts w:ascii="Times New Roman" w:eastAsia="Times New Roman" w:hAnsi="Times New Roman" w:cs="Times New Roman"/>
          <w:kern w:val="0"/>
          <w:lang w:eastAsia="en-GB"/>
          <w14:ligatures w14:val="none"/>
        </w:rPr>
      </w:pPr>
    </w:p>
    <w:p w14:paraId="14F2F06B" w14:textId="196E840E" w:rsidR="00BF0996" w:rsidRDefault="00BF0996" w:rsidP="00326FBF">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Goffman, e, (1961). Asylums: essays on the social situation of mental patients and other inmates. Garden city, NY: anchor books </w:t>
      </w:r>
    </w:p>
    <w:p w14:paraId="143C0B87" w14:textId="77777777" w:rsidR="00BF0996" w:rsidRDefault="00BF0996" w:rsidP="00326FBF">
      <w:pPr>
        <w:spacing w:after="0" w:line="240" w:lineRule="auto"/>
        <w:rPr>
          <w:rFonts w:ascii="Times New Roman" w:eastAsia="Times New Roman" w:hAnsi="Times New Roman" w:cs="Times New Roman"/>
          <w:kern w:val="0"/>
          <w:lang w:eastAsia="en-GB"/>
          <w14:ligatures w14:val="none"/>
        </w:rPr>
      </w:pPr>
    </w:p>
    <w:p w14:paraId="49A86B35" w14:textId="267C454C" w:rsidR="00BF0996" w:rsidRDefault="00BF0996" w:rsidP="00326FBF">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Johnson, s., et al. (2014). ‘ crisis resolution and home treatment teams in the uk: the evidence base’, British journal of psychiatry, 204(3), pp. 344-350 </w:t>
      </w:r>
    </w:p>
    <w:p w14:paraId="659AA5ED" w14:textId="3C0FBB4E" w:rsidR="00BF0996" w:rsidRDefault="00BF0996" w:rsidP="00326FBF">
      <w:pPr>
        <w:spacing w:after="0" w:line="240" w:lineRule="auto"/>
        <w:rPr>
          <w:rFonts w:ascii="Times New Roman" w:eastAsia="Times New Roman" w:hAnsi="Times New Roman" w:cs="Times New Roman"/>
          <w:kern w:val="0"/>
          <w:lang w:eastAsia="en-GB"/>
          <w14:ligatures w14:val="none"/>
        </w:rPr>
      </w:pPr>
    </w:p>
    <w:p w14:paraId="61D145CB" w14:textId="44C7FF91" w:rsidR="00BF0996" w:rsidRDefault="00BF0996" w:rsidP="00326FBF">
      <w:pPr>
        <w:spacing w:after="0" w:line="240" w:lineRule="auto"/>
        <w:rPr>
          <w:rFonts w:ascii="Times New Roman" w:eastAsia="Times New Roman" w:hAnsi="Times New Roman" w:cs="Times New Roman"/>
          <w:kern w:val="0"/>
          <w:lang w:eastAsia="en-GB"/>
          <w14:ligatures w14:val="none"/>
        </w:rPr>
      </w:pPr>
      <w:proofErr w:type="spellStart"/>
      <w:r>
        <w:rPr>
          <w:rFonts w:ascii="Times New Roman" w:eastAsia="Times New Roman" w:hAnsi="Times New Roman" w:cs="Times New Roman"/>
          <w:kern w:val="0"/>
          <w:lang w:eastAsia="en-GB"/>
          <w14:ligatures w14:val="none"/>
        </w:rPr>
        <w:t>Nhs</w:t>
      </w:r>
      <w:proofErr w:type="spellEnd"/>
      <w:r>
        <w:rPr>
          <w:rFonts w:ascii="Times New Roman" w:eastAsia="Times New Roman" w:hAnsi="Times New Roman" w:cs="Times New Roman"/>
          <w:kern w:val="0"/>
          <w:lang w:eastAsia="en-GB"/>
          <w14:ligatures w14:val="none"/>
        </w:rPr>
        <w:t xml:space="preserve"> England (2020). Community mental health services. Available at: </w:t>
      </w:r>
      <w:hyperlink r:id="rId11" w:history="1">
        <w:r w:rsidRPr="003C0FC4">
          <w:rPr>
            <w:rStyle w:val="Hyperlink"/>
            <w:rFonts w:ascii="Times New Roman" w:eastAsia="Times New Roman" w:hAnsi="Times New Roman" w:cs="Times New Roman"/>
            <w:kern w:val="0"/>
            <w:lang w:eastAsia="en-GB"/>
            <w14:ligatures w14:val="none"/>
          </w:rPr>
          <w:t>https://www.england.nhs.uk/mental-health/primary-care/community-services/</w:t>
        </w:r>
      </w:hyperlink>
      <w:r>
        <w:rPr>
          <w:rFonts w:ascii="Times New Roman" w:eastAsia="Times New Roman" w:hAnsi="Times New Roman" w:cs="Times New Roman"/>
          <w:kern w:val="0"/>
          <w:lang w:eastAsia="en-GB"/>
          <w14:ligatures w14:val="none"/>
        </w:rPr>
        <w:t xml:space="preserve"> (accessed: 18 </w:t>
      </w:r>
      <w:proofErr w:type="spellStart"/>
      <w:r>
        <w:rPr>
          <w:rFonts w:ascii="Times New Roman" w:eastAsia="Times New Roman" w:hAnsi="Times New Roman" w:cs="Times New Roman"/>
          <w:kern w:val="0"/>
          <w:lang w:eastAsia="en-GB"/>
          <w14:ligatures w14:val="none"/>
        </w:rPr>
        <w:t>june</w:t>
      </w:r>
      <w:proofErr w:type="spellEnd"/>
      <w:r>
        <w:rPr>
          <w:rFonts w:ascii="Times New Roman" w:eastAsia="Times New Roman" w:hAnsi="Times New Roman" w:cs="Times New Roman"/>
          <w:kern w:val="0"/>
          <w:lang w:eastAsia="en-GB"/>
          <w14:ligatures w14:val="none"/>
        </w:rPr>
        <w:t xml:space="preserve"> 2026) </w:t>
      </w:r>
    </w:p>
    <w:p w14:paraId="005D46DD" w14:textId="77777777" w:rsidR="00BF0996" w:rsidRDefault="00BF0996" w:rsidP="00326FBF">
      <w:pPr>
        <w:spacing w:after="0" w:line="240" w:lineRule="auto"/>
        <w:rPr>
          <w:rFonts w:ascii="Times New Roman" w:eastAsia="Times New Roman" w:hAnsi="Times New Roman" w:cs="Times New Roman"/>
          <w:kern w:val="0"/>
          <w:lang w:eastAsia="en-GB"/>
          <w14:ligatures w14:val="none"/>
        </w:rPr>
      </w:pPr>
    </w:p>
    <w:p w14:paraId="4E39A92F" w14:textId="1849E61A" w:rsidR="00BF0996" w:rsidRDefault="00BF0996" w:rsidP="00326FBF">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Scull, a. (2015). Hysteria: the history of a disease. Yale university press. </w:t>
      </w:r>
    </w:p>
    <w:p w14:paraId="21338210" w14:textId="77777777" w:rsidR="00BF0996" w:rsidRDefault="00BF0996" w:rsidP="00326FBF">
      <w:pPr>
        <w:spacing w:after="0" w:line="240" w:lineRule="auto"/>
        <w:rPr>
          <w:rFonts w:ascii="Times New Roman" w:eastAsia="Times New Roman" w:hAnsi="Times New Roman" w:cs="Times New Roman"/>
          <w:kern w:val="0"/>
          <w:lang w:eastAsia="en-GB"/>
          <w14:ligatures w14:val="none"/>
        </w:rPr>
      </w:pPr>
    </w:p>
    <w:p w14:paraId="48A016E9" w14:textId="6BD94563" w:rsidR="00BF0996" w:rsidRPr="00326FBF" w:rsidRDefault="00BF0996" w:rsidP="00326FBF">
      <w:pPr>
        <w:spacing w:after="0" w:line="240" w:lineRule="auto"/>
        <w:rPr>
          <w:rFonts w:ascii="Times New Roman" w:eastAsia="Times New Roman" w:hAnsi="Times New Roman" w:cs="Times New Roman"/>
          <w:kern w:val="0"/>
          <w:lang w:eastAsia="en-GB"/>
          <w14:ligatures w14:val="none"/>
        </w:rPr>
      </w:pPr>
      <w:proofErr w:type="spellStart"/>
      <w:r>
        <w:rPr>
          <w:rFonts w:ascii="Times New Roman" w:eastAsia="Times New Roman" w:hAnsi="Times New Roman" w:cs="Times New Roman"/>
          <w:kern w:val="0"/>
          <w:lang w:eastAsia="en-GB"/>
          <w14:ligatures w14:val="none"/>
        </w:rPr>
        <w:lastRenderedPageBreak/>
        <w:t>Thronicroft</w:t>
      </w:r>
      <w:proofErr w:type="spellEnd"/>
      <w:r>
        <w:rPr>
          <w:rFonts w:ascii="Times New Roman" w:eastAsia="Times New Roman" w:hAnsi="Times New Roman" w:cs="Times New Roman"/>
          <w:kern w:val="0"/>
          <w:lang w:eastAsia="en-GB"/>
          <w14:ligatures w14:val="none"/>
        </w:rPr>
        <w:t xml:space="preserve">, g, &amp; </w:t>
      </w:r>
      <w:proofErr w:type="spellStart"/>
      <w:r>
        <w:rPr>
          <w:rFonts w:ascii="Times New Roman" w:eastAsia="Times New Roman" w:hAnsi="Times New Roman" w:cs="Times New Roman"/>
          <w:kern w:val="0"/>
          <w:lang w:eastAsia="en-GB"/>
          <w14:ligatures w14:val="none"/>
        </w:rPr>
        <w:t>tansella</w:t>
      </w:r>
      <w:proofErr w:type="spellEnd"/>
      <w:r>
        <w:rPr>
          <w:rFonts w:ascii="Times New Roman" w:eastAsia="Times New Roman" w:hAnsi="Times New Roman" w:cs="Times New Roman"/>
          <w:kern w:val="0"/>
          <w:lang w:eastAsia="en-GB"/>
          <w14:ligatures w14:val="none"/>
        </w:rPr>
        <w:t xml:space="preserve">, m. (2013). ‘ the balances care model for global mental health’, psychiatric services, 64(7), pp. 655-657. </w:t>
      </w:r>
    </w:p>
    <w:p w14:paraId="3FE51727" w14:textId="16A591EE" w:rsidR="00326FBF" w:rsidRPr="00326FBF" w:rsidRDefault="00326FBF" w:rsidP="00326FBF">
      <w:pPr>
        <w:spacing w:after="0" w:line="240" w:lineRule="auto"/>
        <w:rPr>
          <w:rFonts w:ascii="Times New Roman" w:eastAsia="Times New Roman" w:hAnsi="Times New Roman" w:cs="Times New Roman"/>
          <w:kern w:val="0"/>
          <w:lang w:eastAsia="en-GB"/>
          <w14:ligatures w14:val="none"/>
        </w:rPr>
      </w:pPr>
    </w:p>
    <w:p w14:paraId="36AB53D0" w14:textId="160130A7" w:rsidR="00326FBF" w:rsidRPr="00326FBF" w:rsidRDefault="00326FBF" w:rsidP="00326FBF">
      <w:pPr>
        <w:rPr>
          <w:rFonts w:ascii="Times New Roman" w:eastAsia="Times New Roman" w:hAnsi="Times New Roman" w:cs="Times New Roman"/>
          <w:kern w:val="0"/>
          <w:lang w:eastAsia="en-GB"/>
          <w14:ligatures w14:val="none"/>
        </w:rPr>
      </w:pPr>
    </w:p>
    <w:p w14:paraId="1F94D4C9" w14:textId="442399D6" w:rsidR="00326FBF" w:rsidRPr="00326FBF" w:rsidRDefault="00326FBF" w:rsidP="00326FBF">
      <w:pPr>
        <w:spacing w:after="0" w:line="240" w:lineRule="auto"/>
        <w:rPr>
          <w:rFonts w:ascii="Times New Roman" w:eastAsia="Times New Roman" w:hAnsi="Times New Roman" w:cs="Times New Roman"/>
          <w:kern w:val="0"/>
          <w:lang w:eastAsia="en-GB"/>
          <w14:ligatures w14:val="none"/>
        </w:rPr>
      </w:pPr>
      <w:r w:rsidRPr="00326FBF">
        <w:rPr>
          <w:rFonts w:ascii="Times New Roman" w:eastAsia="Times New Roman" w:hAnsi="Times New Roman" w:cs="Times New Roman"/>
          <w:kern w:val="0"/>
          <w:lang w:eastAsia="en-GB"/>
          <w14:ligatures w14:val="none"/>
        </w:rPr>
        <w:fldChar w:fldCharType="begin"/>
      </w:r>
      <w:r w:rsidRPr="00326FBF">
        <w:rPr>
          <w:rFonts w:ascii="Times New Roman" w:eastAsia="Times New Roman" w:hAnsi="Times New Roman" w:cs="Times New Roman"/>
          <w:kern w:val="0"/>
          <w:lang w:eastAsia="en-GB"/>
          <w14:ligatures w14:val="none"/>
        </w:rPr>
        <w:instrText xml:space="preserve"> INCLUDEPICTURE "https://www.researchgate.net/figure/publication/355516357/figure/fig1/AS:1085553986543617@1635827647414/Flow-chart-of-the-telephonic-medication-management-clinic-MMC-consultation-process.ppm" \* MERGEFORMATINET </w:instrText>
      </w:r>
      <w:r w:rsidRPr="00326FBF">
        <w:rPr>
          <w:rFonts w:ascii="Times New Roman" w:eastAsia="Times New Roman" w:hAnsi="Times New Roman" w:cs="Times New Roman"/>
          <w:kern w:val="0"/>
          <w:lang w:eastAsia="en-GB"/>
          <w14:ligatures w14:val="none"/>
        </w:rPr>
        <w:fldChar w:fldCharType="separate"/>
      </w:r>
      <w:r w:rsidRPr="00326FBF">
        <w:rPr>
          <w:rFonts w:ascii="Times New Roman" w:eastAsia="Times New Roman" w:hAnsi="Times New Roman" w:cs="Times New Roman"/>
          <w:noProof/>
          <w:kern w:val="0"/>
          <w:lang w:eastAsia="en-GB"/>
          <w14:ligatures w14:val="none"/>
        </w:rPr>
        <mc:AlternateContent>
          <mc:Choice Requires="wps">
            <w:drawing>
              <wp:inline distT="0" distB="0" distL="0" distR="0" wp14:anchorId="3AAD25ED" wp14:editId="69EE2CF1">
                <wp:extent cx="300355" cy="300355"/>
                <wp:effectExtent l="0" t="0" r="0" b="0"/>
                <wp:docPr id="963868255" name="Rectangle 13" descr="Flow chart of the telephonic medication management clinic (MMC) consultation proces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0355" cy="3003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BD24B3D" id="Rectangle 13" o:spid="_x0000_s1026" alt="Flow chart of the telephonic medication management clinic (MMC) consultation process." style="width:23.65pt;height:23.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" filled="f" stroked="f">
                <o:lock v:ext="edit" aspectratio="t"/>
                <w10:anchorlock/>
              </v:rect>
            </w:pict>
          </mc:Fallback>
        </mc:AlternateContent>
      </w:r>
      <w:r w:rsidRPr="00326FBF">
        <w:rPr>
          <w:rFonts w:ascii="Times New Roman" w:eastAsia="Times New Roman" w:hAnsi="Times New Roman" w:cs="Times New Roman"/>
          <w:kern w:val="0"/>
          <w:lang w:eastAsia="en-GB"/>
          <w14:ligatures w14:val="none"/>
        </w:rPr>
        <w:fldChar w:fldCharType="end"/>
      </w:r>
    </w:p>
    <w:p w14:paraId="2BB3D4C6" w14:textId="77777777" w:rsidR="00326FBF" w:rsidRPr="00326FBF" w:rsidRDefault="00326FBF" w:rsidP="00326FBF">
      <w:pPr>
        <w:spacing w:after="0" w:line="240" w:lineRule="auto"/>
        <w:rPr>
          <w:rFonts w:ascii="Times New Roman" w:eastAsia="Times New Roman" w:hAnsi="Times New Roman" w:cs="Times New Roman"/>
          <w:kern w:val="0"/>
          <w:lang w:eastAsia="en-GB"/>
          <w14:ligatures w14:val="none"/>
        </w:rPr>
      </w:pPr>
    </w:p>
    <w:p w14:paraId="70869B3D" w14:textId="58110B44" w:rsidR="00326FBF" w:rsidRPr="00326FBF" w:rsidRDefault="00326FBF" w:rsidP="00326FBF">
      <w:pPr>
        <w:rPr>
          <w:rFonts w:ascii="Times New Roman" w:eastAsia="Times New Roman" w:hAnsi="Times New Roman" w:cs="Times New Roman"/>
          <w:kern w:val="0"/>
          <w:lang w:eastAsia="en-GB"/>
          <w14:ligatures w14:val="none"/>
        </w:rPr>
      </w:pPr>
      <w:r w:rsidRPr="00326FBF">
        <w:fldChar w:fldCharType="begin"/>
      </w:r>
      <w:r w:rsidRPr="00326FBF">
        <w:instrText xml:space="preserve"> INCLUDEPICTURE "https://www.researchgate.net/figure/publication/355516357/figure/fig1/AS:1085553986543617@1635827647414/Flow-chart-of-the-telephonic-medication-management-clinic-MMC-consultation-process.ppm" \* MERGEFORMATINET </w:instrText>
      </w:r>
      <w:r w:rsidRPr="00326FBF">
        <w:fldChar w:fldCharType="separate"/>
      </w:r>
      <w:r w:rsidRPr="00326FBF">
        <w:rPr>
          <w:noProof/>
        </w:rPr>
        <mc:AlternateContent>
          <mc:Choice Requires="wps">
            <w:drawing>
              <wp:inline distT="0" distB="0" distL="0" distR="0" wp14:anchorId="1525973D" wp14:editId="49E2085D">
                <wp:extent cx="304800" cy="304800"/>
                <wp:effectExtent l="0" t="0" r="0" b="0"/>
                <wp:docPr id="1895141133" name="Rectangle 16" descr="Flow chart of the telephonic medication management clinic (MMC) consultation proces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322D0D0" id="Rectangle 16" o:spid="_x0000_s1026" alt="Flow chart of the telephonic medication management clinic (MMC) consultation proces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rsidRPr="00326FBF">
        <w:fldChar w:fldCharType="end"/>
      </w:r>
      <w:r>
        <w:fldChar w:fldCharType="begin"/>
      </w:r>
      <w:r>
        <w:instrText xml:space="preserve"> INCLUDEPICTURE "https://www.researchgate.net/figure/publication/355516357/figure/fig1/AS:1085553986543617@1635827647414/Flow-chart-of-the-telephonic-medication-management-clinic-MMC-consultation-process.ppm" \* MERGEFORMATINET </w:instrText>
      </w:r>
      <w:r>
        <w:fldChar w:fldCharType="separate"/>
      </w:r>
      <w:r>
        <w:rPr>
          <w:noProof/>
        </w:rPr>
        <mc:AlternateContent>
          <mc:Choice Requires="wps">
            <w:drawing>
              <wp:inline distT="0" distB="0" distL="0" distR="0" wp14:anchorId="11C71C3A" wp14:editId="4432A3FF">
                <wp:extent cx="297815" cy="297815"/>
                <wp:effectExtent l="0" t="0" r="0" b="0"/>
                <wp:docPr id="1139674572" name="Rectangle 19" descr="Flow chart of the telephonic medication management clinic (MMC) consultation proces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97815" cy="2978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FED2F02" id="Rectangle 19" o:spid="_x0000_s1026" alt="Flow chart of the telephonic medication management clinic (MMC) consultation process." style="width:23.45pt;height:23.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" filled="f" stroked="f">
                <o:lock v:ext="edit" aspectratio="t"/>
                <w10:anchorlock/>
              </v:rect>
            </w:pict>
          </mc:Fallback>
        </mc:AlternateContent>
      </w:r>
      <w:r>
        <w:fldChar w:fldCharType="end"/>
      </w:r>
      <w:r>
        <w:fldChar w:fldCharType="begin"/>
      </w:r>
      <w:r>
        <w:instrText xml:space="preserve"> INCLUDEPICTURE "https://www.researchgate.net/figure/publication/355516357/figure/fig1/AS:1085553986543617@1635827647414/Flow-chart-of-the-telephonic-medication-management-clinic-MMC-consultation-process.ppm" \* MERGEFORMATINET </w:instrText>
      </w:r>
      <w:r>
        <w:fldChar w:fldCharType="separate"/>
      </w:r>
      <w:r>
        <w:rPr>
          <w:noProof/>
        </w:rPr>
        <mc:AlternateContent>
          <mc:Choice Requires="wps">
            <w:drawing>
              <wp:inline distT="0" distB="0" distL="0" distR="0" wp14:anchorId="405EACB5" wp14:editId="185AF330">
                <wp:extent cx="297815" cy="297815"/>
                <wp:effectExtent l="0" t="0" r="0" b="0"/>
                <wp:docPr id="1498646178" name="Rectangle 20" descr="Flow chart of the telephonic medication management clinic (MMC) consultation proces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97815" cy="2978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0C43C13" id="Rectangle 20" o:spid="_x0000_s1026" alt="Flow chart of the telephonic medication management clinic (MMC) consultation process." style="width:23.45pt;height:23.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" filled="f" stroked="f">
                <o:lock v:ext="edit" aspectratio="t"/>
                <w10:anchorlock/>
              </v:rect>
            </w:pict>
          </mc:Fallback>
        </mc:AlternateContent>
      </w:r>
      <w:r>
        <w:fldChar w:fldCharType="end"/>
      </w:r>
      <w:r w:rsidRPr="00326FBF">
        <w:rPr>
          <w:rFonts w:ascii="Times New Roman" w:eastAsia="Times New Roman" w:hAnsi="Times New Roman" w:cs="Times New Roman"/>
          <w:kern w:val="0"/>
          <w:lang w:eastAsia="en-GB"/>
          <w14:ligatures w14:val="none"/>
        </w:rPr>
        <w:fldChar w:fldCharType="begin"/>
      </w:r>
      <w:r w:rsidRPr="00326FBF">
        <w:rPr>
          <w:rFonts w:ascii="Times New Roman" w:eastAsia="Times New Roman" w:hAnsi="Times New Roman" w:cs="Times New Roman"/>
          <w:kern w:val="0"/>
          <w:lang w:eastAsia="en-GB"/>
          <w14:ligatures w14:val="none"/>
        </w:rPr>
        <w:instrText xml:space="preserve"> INCLUDEPICTURE "https://www.researchgate.net/figure/publication/355516357/figure/fig1/AS:1085553986543617@1635827647414/Flow-chart-of-the-telephonic-medication-management-clinic-MMC-consultation-process.ppm" \* MERGEFORMATINET </w:instrText>
      </w:r>
      <w:r w:rsidRPr="00326FBF">
        <w:rPr>
          <w:rFonts w:ascii="Times New Roman" w:eastAsia="Times New Roman" w:hAnsi="Times New Roman" w:cs="Times New Roman"/>
          <w:kern w:val="0"/>
          <w:lang w:eastAsia="en-GB"/>
          <w14:ligatures w14:val="none"/>
        </w:rPr>
        <w:fldChar w:fldCharType="separate"/>
      </w:r>
      <w:r w:rsidRPr="00326FBF">
        <w:rPr>
          <w:rFonts w:ascii="Times New Roman" w:eastAsia="Times New Roman" w:hAnsi="Times New Roman" w:cs="Times New Roman"/>
          <w:noProof/>
          <w:kern w:val="0"/>
          <w:lang w:eastAsia="en-GB"/>
          <w14:ligatures w14:val="none"/>
        </w:rPr>
        <mc:AlternateContent>
          <mc:Choice Requires="wps">
            <w:drawing>
              <wp:inline distT="0" distB="0" distL="0" distR="0" wp14:anchorId="67C0F512" wp14:editId="3C263F8E">
                <wp:extent cx="297815" cy="297815"/>
                <wp:effectExtent l="0" t="0" r="0" b="0"/>
                <wp:docPr id="36308794" name="Rectangle 21" descr="Flow chart of the telephonic medication management clinic (MMC) consultation proces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97815" cy="2978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29A5592" id="Rectangle 21" o:spid="_x0000_s1026" alt="Flow chart of the telephonic medication management clinic (MMC) consultation process." style="width:23.45pt;height:23.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" filled="f" stroked="f">
                <o:lock v:ext="edit" aspectratio="t"/>
                <w10:anchorlock/>
              </v:rect>
            </w:pict>
          </mc:Fallback>
        </mc:AlternateContent>
      </w:r>
      <w:r w:rsidRPr="00326FBF">
        <w:rPr>
          <w:rFonts w:ascii="Times New Roman" w:eastAsia="Times New Roman" w:hAnsi="Times New Roman" w:cs="Times New Roman"/>
          <w:kern w:val="0"/>
          <w:lang w:eastAsia="en-GB"/>
          <w14:ligatures w14:val="none"/>
        </w:rPr>
        <w:fldChar w:fldCharType="end"/>
      </w:r>
    </w:p>
    <w:p w14:paraId="76FE5BFB" w14:textId="77777777" w:rsidR="00326FBF" w:rsidRPr="00326FBF" w:rsidRDefault="00326FBF" w:rsidP="00326FBF">
      <w:pPr>
        <w:spacing w:after="0" w:line="240" w:lineRule="auto"/>
        <w:rPr>
          <w:rFonts w:ascii="Times New Roman" w:eastAsia="Times New Roman" w:hAnsi="Times New Roman" w:cs="Times New Roman"/>
          <w:kern w:val="0"/>
          <w:lang w:eastAsia="en-GB"/>
          <w14:ligatures w14:val="none"/>
        </w:rPr>
      </w:pPr>
    </w:p>
    <w:p w14:paraId="60F15AE2" w14:textId="693013E0" w:rsidR="00326FBF" w:rsidRPr="00326FBF" w:rsidRDefault="00326FBF" w:rsidP="00326FBF">
      <w:pPr>
        <w:spacing w:after="0" w:line="240" w:lineRule="auto"/>
        <w:rPr>
          <w:rFonts w:ascii="Times New Roman" w:eastAsia="Times New Roman" w:hAnsi="Times New Roman" w:cs="Times New Roman"/>
          <w:kern w:val="0"/>
          <w:lang w:eastAsia="en-GB"/>
          <w14:ligatures w14:val="none"/>
        </w:rPr>
      </w:pPr>
      <w:r w:rsidRPr="00326FBF">
        <w:rPr>
          <w:rFonts w:ascii="Times New Roman" w:eastAsia="Times New Roman" w:hAnsi="Times New Roman" w:cs="Times New Roman"/>
          <w:kern w:val="0"/>
          <w:lang w:eastAsia="en-GB"/>
          <w14:ligatures w14:val="none"/>
        </w:rPr>
        <w:fldChar w:fldCharType="begin"/>
      </w:r>
      <w:r w:rsidRPr="00326FBF">
        <w:rPr>
          <w:rFonts w:ascii="Times New Roman" w:eastAsia="Times New Roman" w:hAnsi="Times New Roman" w:cs="Times New Roman"/>
          <w:kern w:val="0"/>
          <w:lang w:eastAsia="en-GB"/>
          <w14:ligatures w14:val="none"/>
        </w:rPr>
        <w:instrText xml:space="preserve"> INCLUDEPICTURE "https://www.researchgate.net/figure/profile/Athula-Wijewickrama/publication/221525477/figure/fig1/AS:340342462271496@1458155374719/Patient-Flow-Diagram.png" \* MERGEFORMATINET </w:instrText>
      </w:r>
      <w:r w:rsidRPr="00326FBF">
        <w:rPr>
          <w:rFonts w:ascii="Times New Roman" w:eastAsia="Times New Roman" w:hAnsi="Times New Roman" w:cs="Times New Roman"/>
          <w:kern w:val="0"/>
          <w:lang w:eastAsia="en-GB"/>
          <w14:ligatures w14:val="none"/>
        </w:rPr>
        <w:fldChar w:fldCharType="separate"/>
      </w:r>
      <w:r w:rsidRPr="00326FBF">
        <w:rPr>
          <w:rFonts w:ascii="Times New Roman" w:eastAsia="Times New Roman" w:hAnsi="Times New Roman" w:cs="Times New Roman"/>
          <w:noProof/>
          <w:kern w:val="0"/>
          <w:lang w:eastAsia="en-GB"/>
          <w14:ligatures w14:val="none"/>
        </w:rPr>
        <mc:AlternateContent>
          <mc:Choice Requires="wps">
            <w:drawing>
              <wp:inline distT="0" distB="0" distL="0" distR="0" wp14:anchorId="59710C4A" wp14:editId="4A7798DC">
                <wp:extent cx="304800" cy="304800"/>
                <wp:effectExtent l="0" t="0" r="0" b="0"/>
                <wp:docPr id="1349218150" name="Rectangle 22" descr="Patient Flow Diagram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C109F0D" id="Rectangle 22" o:spid="_x0000_s1026" alt="Patient Flow Diagram  "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rsidRPr="00326FBF">
        <w:rPr>
          <w:rFonts w:ascii="Times New Roman" w:eastAsia="Times New Roman" w:hAnsi="Times New Roman" w:cs="Times New Roman"/>
          <w:kern w:val="0"/>
          <w:lang w:eastAsia="en-GB"/>
          <w14:ligatures w14:val="none"/>
        </w:rPr>
        <w:fldChar w:fldCharType="end"/>
      </w:r>
    </w:p>
    <w:p w14:paraId="26386E70" w14:textId="0BB7918F" w:rsidR="00326FBF" w:rsidRPr="00326FBF" w:rsidRDefault="00326FBF" w:rsidP="00326FBF">
      <w:pPr>
        <w:spacing w:after="0" w:line="240" w:lineRule="auto"/>
        <w:rPr>
          <w:rFonts w:ascii="Times New Roman" w:eastAsia="Times New Roman" w:hAnsi="Times New Roman" w:cs="Times New Roman"/>
          <w:kern w:val="0"/>
          <w:lang w:eastAsia="en-GB"/>
          <w14:ligatures w14:val="none"/>
        </w:rPr>
      </w:pPr>
    </w:p>
    <w:p w14:paraId="3DC7AD93" w14:textId="5707CF6B" w:rsidR="00326FBF" w:rsidRPr="00326FBF" w:rsidRDefault="00326FBF" w:rsidP="00326FBF">
      <w:pPr>
        <w:tabs>
          <w:tab w:val="left" w:pos="2160"/>
        </w:tabs>
      </w:pPr>
    </w:p>
    <w:sectPr w:rsidR="00326FBF" w:rsidRPr="00326FBF">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DB1B9F" w14:textId="77777777" w:rsidR="00CF40A7" w:rsidRDefault="00CF40A7" w:rsidP="00027CB5">
      <w:pPr>
        <w:spacing w:after="0" w:line="240" w:lineRule="auto"/>
      </w:pPr>
      <w:r>
        <w:separator/>
      </w:r>
    </w:p>
  </w:endnote>
  <w:endnote w:type="continuationSeparator" w:id="0">
    <w:p w14:paraId="1C08550E" w14:textId="77777777" w:rsidR="00CF40A7" w:rsidRDefault="00CF40A7" w:rsidP="00027C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574419" w14:textId="77777777" w:rsidR="00CF40A7" w:rsidRDefault="00CF40A7" w:rsidP="00027CB5">
      <w:pPr>
        <w:spacing w:after="0" w:line="240" w:lineRule="auto"/>
      </w:pPr>
      <w:r>
        <w:separator/>
      </w:r>
    </w:p>
  </w:footnote>
  <w:footnote w:type="continuationSeparator" w:id="0">
    <w:p w14:paraId="05D0CA52" w14:textId="77777777" w:rsidR="00CF40A7" w:rsidRDefault="00CF40A7" w:rsidP="00027C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A58F2D" w14:textId="727BEB7E" w:rsidR="00027CB5" w:rsidRDefault="00027CB5">
    <w:pPr>
      <w:pStyle w:val="Header"/>
    </w:pPr>
    <w:r>
      <w:t xml:space="preserve">LCHS403 </w:t>
    </w:r>
    <w:proofErr w:type="spellStart"/>
    <w:r>
      <w:t>khadeeja</w:t>
    </w:r>
    <w:proofErr w:type="spellEnd"/>
    <w:r>
      <w:t xml:space="preserve"> </w:t>
    </w:r>
    <w:proofErr w:type="spellStart"/>
    <w:r>
      <w:t>bibi</w:t>
    </w:r>
    <w:proofErr w:type="spellEnd"/>
    <w:r>
      <w:t xml:space="preserve"> 2419547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7CB5"/>
    <w:rsid w:val="00027CB5"/>
    <w:rsid w:val="00032610"/>
    <w:rsid w:val="000907DD"/>
    <w:rsid w:val="001130D8"/>
    <w:rsid w:val="002D001F"/>
    <w:rsid w:val="00326FBF"/>
    <w:rsid w:val="00466A06"/>
    <w:rsid w:val="004A4858"/>
    <w:rsid w:val="004E7B11"/>
    <w:rsid w:val="00743727"/>
    <w:rsid w:val="008055EC"/>
    <w:rsid w:val="00A52E34"/>
    <w:rsid w:val="00BC0656"/>
    <w:rsid w:val="00BF0996"/>
    <w:rsid w:val="00CA37F3"/>
    <w:rsid w:val="00CE7AB3"/>
    <w:rsid w:val="00CF40A7"/>
    <w:rsid w:val="00EB7907"/>
    <w:rsid w:val="00F341B1"/>
    <w:rsid w:val="00FE77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6E840E"/>
  <w15:chartTrackingRefBased/>
  <w15:docId w15:val="{228CB33F-6BC5-BD4B-A16C-970EF92C29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7C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7C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7C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7C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7C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7C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7C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7C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7C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7C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7C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7C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7C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7C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7C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7C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7C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7CB5"/>
    <w:rPr>
      <w:rFonts w:eastAsiaTheme="majorEastAsia" w:cstheme="majorBidi"/>
      <w:color w:val="272727" w:themeColor="text1" w:themeTint="D8"/>
    </w:rPr>
  </w:style>
  <w:style w:type="paragraph" w:styleId="Title">
    <w:name w:val="Title"/>
    <w:basedOn w:val="Normal"/>
    <w:next w:val="Normal"/>
    <w:link w:val="TitleChar"/>
    <w:uiPriority w:val="10"/>
    <w:qFormat/>
    <w:rsid w:val="00027C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7C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7C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7C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7CB5"/>
    <w:pPr>
      <w:spacing w:before="160"/>
      <w:jc w:val="center"/>
    </w:pPr>
    <w:rPr>
      <w:i/>
      <w:iCs/>
      <w:color w:val="404040" w:themeColor="text1" w:themeTint="BF"/>
    </w:rPr>
  </w:style>
  <w:style w:type="character" w:customStyle="1" w:styleId="QuoteChar">
    <w:name w:val="Quote Char"/>
    <w:basedOn w:val="DefaultParagraphFont"/>
    <w:link w:val="Quote"/>
    <w:uiPriority w:val="29"/>
    <w:rsid w:val="00027CB5"/>
    <w:rPr>
      <w:i/>
      <w:iCs/>
      <w:color w:val="404040" w:themeColor="text1" w:themeTint="BF"/>
    </w:rPr>
  </w:style>
  <w:style w:type="paragraph" w:styleId="ListParagraph">
    <w:name w:val="List Paragraph"/>
    <w:basedOn w:val="Normal"/>
    <w:uiPriority w:val="34"/>
    <w:qFormat/>
    <w:rsid w:val="00027CB5"/>
    <w:pPr>
      <w:ind w:left="720"/>
      <w:contextualSpacing/>
    </w:pPr>
  </w:style>
  <w:style w:type="character" w:styleId="IntenseEmphasis">
    <w:name w:val="Intense Emphasis"/>
    <w:basedOn w:val="DefaultParagraphFont"/>
    <w:uiPriority w:val="21"/>
    <w:qFormat/>
    <w:rsid w:val="00027CB5"/>
    <w:rPr>
      <w:i/>
      <w:iCs/>
      <w:color w:val="0F4761" w:themeColor="accent1" w:themeShade="BF"/>
    </w:rPr>
  </w:style>
  <w:style w:type="paragraph" w:styleId="IntenseQuote">
    <w:name w:val="Intense Quote"/>
    <w:basedOn w:val="Normal"/>
    <w:next w:val="Normal"/>
    <w:link w:val="IntenseQuoteChar"/>
    <w:uiPriority w:val="30"/>
    <w:qFormat/>
    <w:rsid w:val="00027C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7CB5"/>
    <w:rPr>
      <w:i/>
      <w:iCs/>
      <w:color w:val="0F4761" w:themeColor="accent1" w:themeShade="BF"/>
    </w:rPr>
  </w:style>
  <w:style w:type="character" w:styleId="IntenseReference">
    <w:name w:val="Intense Reference"/>
    <w:basedOn w:val="DefaultParagraphFont"/>
    <w:uiPriority w:val="32"/>
    <w:qFormat/>
    <w:rsid w:val="00027CB5"/>
    <w:rPr>
      <w:b/>
      <w:bCs/>
      <w:smallCaps/>
      <w:color w:val="0F4761" w:themeColor="accent1" w:themeShade="BF"/>
      <w:spacing w:val="5"/>
    </w:rPr>
  </w:style>
  <w:style w:type="paragraph" w:styleId="Header">
    <w:name w:val="header"/>
    <w:basedOn w:val="Normal"/>
    <w:link w:val="HeaderChar"/>
    <w:uiPriority w:val="99"/>
    <w:unhideWhenUsed/>
    <w:rsid w:val="00027C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7CB5"/>
  </w:style>
  <w:style w:type="paragraph" w:styleId="Footer">
    <w:name w:val="footer"/>
    <w:basedOn w:val="Normal"/>
    <w:link w:val="FooterChar"/>
    <w:uiPriority w:val="99"/>
    <w:unhideWhenUsed/>
    <w:rsid w:val="00027C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7CB5"/>
  </w:style>
  <w:style w:type="character" w:styleId="Hyperlink">
    <w:name w:val="Hyperlink"/>
    <w:basedOn w:val="DefaultParagraphFont"/>
    <w:uiPriority w:val="99"/>
    <w:unhideWhenUsed/>
    <w:rsid w:val="000907DD"/>
    <w:rPr>
      <w:color w:val="467886" w:themeColor="hyperlink"/>
      <w:u w:val="single"/>
    </w:rPr>
  </w:style>
  <w:style w:type="character" w:styleId="UnresolvedMention">
    <w:name w:val="Unresolved Mention"/>
    <w:basedOn w:val="DefaultParagraphFont"/>
    <w:uiPriority w:val="99"/>
    <w:semiHidden/>
    <w:unhideWhenUsed/>
    <w:rsid w:val="000907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england.nhs.uk/mental-health/primary-care/community-services/" TargetMode="External"/><Relationship Id="rId5" Type="http://schemas.openxmlformats.org/officeDocument/2006/relationships/endnotes" Target="endnotes.xml"/><Relationship Id="rId10" Type="http://schemas.openxmlformats.org/officeDocument/2006/relationships/hyperlink" Target="https://digital.nhs.uk" TargetMode="External"/><Relationship Id="rId4" Type="http://schemas.openxmlformats.org/officeDocument/2006/relationships/footnotes" Target="footnotes.xml"/><Relationship Id="rId9" Type="http://schemas.microsoft.com/office/2007/relationships/hdphoto" Target="media/hdphoto1.wdp"/><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1363</Words>
  <Characters>7772</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Iqbal</dc:creator>
  <cp:keywords/>
  <dc:description/>
  <cp:lastModifiedBy>Khadeeja Bibi (2419547)</cp:lastModifiedBy>
  <cp:revision>2</cp:revision>
  <dcterms:created xsi:type="dcterms:W3CDTF">2026-06-21T22:03:00Z</dcterms:created>
  <dcterms:modified xsi:type="dcterms:W3CDTF">2026-06-21T22:03:00Z</dcterms:modified>
</cp:coreProperties>
</file>