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057321230"/>
        <w:docPartObj>
          <w:docPartGallery w:val="Cover Pages"/>
          <w:docPartUnique/>
        </w:docPartObj>
      </w:sdtPr>
      <w:sdtContent>
        <w:p w14:paraId="7A0C039C" w14:textId="2629A091" w:rsidR="00C01024" w:rsidRDefault="00C0102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12F6C35A" wp14:editId="1F5B86B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46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40FC402" w14:textId="77777777" w:rsidR="00C01024" w:rsidRDefault="00C01024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12F6C35A" id="Rectangle 466" o:spid="_x0000_s1026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" fillcolor="#d9e2f3 [660]" stroked="f" strokeweight="1pt">
                    <v:fill color2="#8eaadb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240FC402" w14:textId="77777777" w:rsidR="00C01024" w:rsidRDefault="00C01024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73E9FB4" wp14:editId="6881ACB5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46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0F60A3DB" w14:textId="170794A9" w:rsidR="00C01024" w:rsidRDefault="00C01024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showingPlcHdr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FFFFFF" w:themeColor="background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673E9FB4" id="Rectangle 467" o:spid="_x0000_s1027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" fillcolor="#44546a [3215]" stroked="f" strokeweight="1pt">
                    <v:textbox inset="14.4pt,14.4pt,14.4pt,28.8pt">
                      <w:txbxContent>
                        <w:p w14:paraId="0F60A3DB" w14:textId="170794A9" w:rsidR="00C01024" w:rsidRDefault="00C01024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showingPlcHdr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FFFFFF" w:themeColor="background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1CB804F" wp14:editId="7F42F751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4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1FBEFC9B" id="Rectangle 468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" fillcolor="white [3212]" strokecolor="#747070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12223F96" wp14:editId="46EE1490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302922EC" id="Rectangle 469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" fillcolor="#4472c4 [3204]" stroked="f" strokeweight="1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697C58F" wp14:editId="7782D257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4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455B6DA1" w14:textId="439CA8B5" w:rsidR="00C01024" w:rsidRDefault="00C01024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72C4" w:themeColor="accent1"/>
                                        <w:sz w:val="72"/>
                                        <w:szCs w:val="144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 xml:space="preserve">Legal Process Assignment 2 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546A" w:themeColor="text2"/>
                                    <w:sz w:val="32"/>
                                    <w:szCs w:val="32"/>
                                  </w:rPr>
                                  <w:alias w:val="Subtitle"/>
                                  <w:id w:val="15524255"/>
                                  <w:showingPlcHdr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Content>
                                  <w:p w14:paraId="5F899D11" w14:textId="2ECFC6E5" w:rsidR="00C01024" w:rsidRDefault="00C01024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32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type w14:anchorId="3697C58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70" o:spid="_x0000_s1028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&#13;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72"/>
                              <w:szCs w:val="72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455B6DA1" w14:textId="439CA8B5" w:rsidR="00C01024" w:rsidRDefault="00C01024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72C4" w:themeColor="accent1"/>
                                  <w:sz w:val="72"/>
                                  <w:szCs w:val="1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72C4" w:themeColor="accent1"/>
                                  <w:sz w:val="72"/>
                                  <w:szCs w:val="72"/>
                                </w:rPr>
                                <w:t xml:space="preserve">Legal Process Assignment 2 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44546A" w:themeColor="text2"/>
                              <w:sz w:val="32"/>
                              <w:szCs w:val="32"/>
                            </w:rPr>
                            <w:alias w:val="Subtitle"/>
                            <w:id w:val="15524255"/>
                            <w:showingPlcHdr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5F899D11" w14:textId="2ECFC6E5" w:rsidR="00C01024" w:rsidRDefault="00C01024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40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32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53744F8" w14:textId="100118A9" w:rsidR="00C01024" w:rsidRDefault="00C0102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39F3769A" wp14:editId="7D68A719">
                    <wp:simplePos x="0" y="0"/>
                    <wp:positionH relativeFrom="page">
                      <wp:posOffset>3435927</wp:posOffset>
                    </wp:positionH>
                    <wp:positionV relativeFrom="page">
                      <wp:posOffset>6751782</wp:posOffset>
                    </wp:positionV>
                    <wp:extent cx="2797810" cy="573405"/>
                    <wp:effectExtent l="0" t="0" r="0" b="0"/>
                    <wp:wrapSquare wrapText="bothSides"/>
                    <wp:docPr id="465" name="Text Box 4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5734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3BC4CDB8" w14:textId="314593B3" w:rsidR="00C01024" w:rsidRDefault="00C01024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44546A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noProof/>
                                        <w:color w:val="44546A" w:themeColor="text2"/>
                                      </w:rPr>
                                      <w:t>Dan Hurford (2103530)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9F3769A" id="Text Box 465" o:spid="_x0000_s1029" type="#_x0000_t202" style="position:absolute;margin-left:270.55pt;margin-top:531.65pt;width:220.3pt;height:45.15pt;z-index:251664384;visibility:visible;mso-wrap-style:square;mso-width-percent:36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36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" filled="f" stroked="f" strokeweight=".5pt">
                    <v:textbox>
                      <w:txbxContent>
                        <w:p w14:paraId="3BC4CDB8" w14:textId="314593B3" w:rsidR="00C01024" w:rsidRDefault="00C01024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44546A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noProof/>
                                  <w:color w:val="44546A" w:themeColor="text2"/>
                                </w:rPr>
                                <w:t>Dan Hurford (2103530)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35EE4500" w14:textId="77777777" w:rsidR="006B45D6" w:rsidRDefault="006B45D6">
      <w:pPr>
        <w:rPr>
          <w:u w:val="single"/>
        </w:rPr>
      </w:pPr>
    </w:p>
    <w:p w14:paraId="1DEDC0DC" w14:textId="6530E2B3" w:rsidR="00AE468E" w:rsidRDefault="006A40B7">
      <w:r>
        <w:t>In this essa</w:t>
      </w:r>
      <w:r w:rsidR="005F1655">
        <w:t xml:space="preserve">y, I will be arguing whether the </w:t>
      </w:r>
      <w:r w:rsidR="00C028A9">
        <w:t>principle</w:t>
      </w:r>
      <w:r w:rsidR="005F1655">
        <w:t xml:space="preserve"> of statutory interpretation diminishes the status of legislation </w:t>
      </w:r>
      <w:r w:rsidR="00EC7644">
        <w:t>in</w:t>
      </w:r>
      <w:r w:rsidR="005F1655">
        <w:t xml:space="preserve"> the UK. </w:t>
      </w:r>
      <w:r w:rsidR="00F90F26">
        <w:t xml:space="preserve">Legislation is a law or set of laws that </w:t>
      </w:r>
      <w:r w:rsidR="004D1E27">
        <w:t>are</w:t>
      </w:r>
      <w:r w:rsidR="00930BC9">
        <w:t xml:space="preserve"> </w:t>
      </w:r>
      <w:r w:rsidR="00F90F26">
        <w:t>implement</w:t>
      </w:r>
      <w:r w:rsidR="004D1E27">
        <w:t xml:space="preserve">ed </w:t>
      </w:r>
      <w:r w:rsidR="00F90F26">
        <w:t>by</w:t>
      </w:r>
      <w:r w:rsidR="009B68F8">
        <w:t xml:space="preserve"> parliament for the function of having </w:t>
      </w:r>
      <w:r w:rsidR="00AD7471">
        <w:t>rules</w:t>
      </w:r>
      <w:r w:rsidR="00D51FEA">
        <w:t xml:space="preserve"> (Parliament, 2022)</w:t>
      </w:r>
      <w:r w:rsidR="00AD7471">
        <w:t xml:space="preserve">. </w:t>
      </w:r>
      <w:r w:rsidR="00E72FF9">
        <w:t xml:space="preserve">The law </w:t>
      </w:r>
      <w:r w:rsidR="003D0BB1">
        <w:t>is</w:t>
      </w:r>
      <w:r w:rsidR="00E72FF9">
        <w:t xml:space="preserve"> implemented for society to follow and obey rules and regulations </w:t>
      </w:r>
      <w:r w:rsidR="003D0BB1">
        <w:t>for</w:t>
      </w:r>
      <w:r w:rsidR="00E72FF9">
        <w:t xml:space="preserve"> </w:t>
      </w:r>
      <w:r w:rsidR="00C54435">
        <w:t>people</w:t>
      </w:r>
      <w:r w:rsidR="00E72FF9">
        <w:t xml:space="preserve"> to conform to authorities</w:t>
      </w:r>
      <w:r w:rsidR="007334FD">
        <w:t xml:space="preserve">. </w:t>
      </w:r>
      <w:r w:rsidR="007B3B38" w:rsidRPr="007B3B38">
        <w:t>Legislation</w:t>
      </w:r>
      <w:r w:rsidR="00292BD1">
        <w:t>s</w:t>
      </w:r>
      <w:r w:rsidR="007B3B38" w:rsidRPr="007B3B38">
        <w:t xml:space="preserve"> </w:t>
      </w:r>
      <w:r w:rsidR="00292BD1">
        <w:t xml:space="preserve">are </w:t>
      </w:r>
      <w:r w:rsidR="009F5D95">
        <w:t xml:space="preserve">made </w:t>
      </w:r>
      <w:r w:rsidR="00507E7E">
        <w:t>through the process of</w:t>
      </w:r>
      <w:r w:rsidR="009F5D95">
        <w:t xml:space="preserve"> taking </w:t>
      </w:r>
      <w:r w:rsidR="00380B50">
        <w:t xml:space="preserve">a </w:t>
      </w:r>
      <w:r w:rsidR="009F5D95">
        <w:t>bill through parliament</w:t>
      </w:r>
      <w:r w:rsidR="00380B50">
        <w:t>,</w:t>
      </w:r>
      <w:r w:rsidR="009F5D95">
        <w:t xml:space="preserve"> where a bill is debated and </w:t>
      </w:r>
      <w:r w:rsidR="00075640">
        <w:t xml:space="preserve">approved or disapproved by each House of </w:t>
      </w:r>
      <w:r w:rsidR="00B75E54">
        <w:t>Parliaments</w:t>
      </w:r>
      <w:r w:rsidR="00385D95">
        <w:t xml:space="preserve"> and has received </w:t>
      </w:r>
      <w:r w:rsidR="00434BB6">
        <w:t xml:space="preserve">the </w:t>
      </w:r>
      <w:r w:rsidR="00385D95">
        <w:t xml:space="preserve">royal assent. The House of </w:t>
      </w:r>
      <w:r w:rsidR="00615338">
        <w:t>Parliament</w:t>
      </w:r>
      <w:r w:rsidR="00385D95">
        <w:t xml:space="preserve"> </w:t>
      </w:r>
      <w:r w:rsidR="00615338">
        <w:t xml:space="preserve">bill process </w:t>
      </w:r>
      <w:r w:rsidR="00452307">
        <w:t xml:space="preserve">consists of the decision </w:t>
      </w:r>
      <w:r w:rsidR="008D3FD8">
        <w:t>to</w:t>
      </w:r>
      <w:r w:rsidR="00452307">
        <w:t xml:space="preserve"> legislate, the preparation of the bill, the </w:t>
      </w:r>
      <w:r w:rsidR="00DB0E4C">
        <w:t>untoward</w:t>
      </w:r>
      <w:r w:rsidR="00452307">
        <w:t xml:space="preserve"> introduction, parliamentary stages and the final stage being royal assent</w:t>
      </w:r>
      <w:r w:rsidR="007B5FCB">
        <w:t xml:space="preserve"> (GOV.UK, 2013).</w:t>
      </w:r>
      <w:r w:rsidR="00601789">
        <w:t xml:space="preserve"> </w:t>
      </w:r>
      <w:r w:rsidR="001A5D2E">
        <w:t xml:space="preserve">In the decision of </w:t>
      </w:r>
      <w:r w:rsidR="008D3FD8">
        <w:t>legislation</w:t>
      </w:r>
      <w:r w:rsidR="001A5D2E">
        <w:t xml:space="preserve">, Parliament will consider the legislation over </w:t>
      </w:r>
      <w:r w:rsidR="00300686">
        <w:t xml:space="preserve">divided sessions that </w:t>
      </w:r>
      <w:r w:rsidR="009B4144">
        <w:t>last roughly one year each session</w:t>
      </w:r>
      <w:r w:rsidR="00BB4AEF">
        <w:t>. There is also the implementation of emergency bills</w:t>
      </w:r>
      <w:r w:rsidR="005B7286">
        <w:t>,</w:t>
      </w:r>
      <w:r w:rsidR="00BB4AEF">
        <w:t xml:space="preserve"> which disregards the need to divide the sessions </w:t>
      </w:r>
      <w:r w:rsidR="005B7286">
        <w:t xml:space="preserve">since the bill needs to be implemented as soon as possible. An emergency bill that was implemented in the United Kingdom was the </w:t>
      </w:r>
      <w:r w:rsidR="00AE11F1">
        <w:t xml:space="preserve">Coronavirus Act 2020 which </w:t>
      </w:r>
      <w:r w:rsidR="00331C2A">
        <w:t>the session lasted from 2019-</w:t>
      </w:r>
      <w:r w:rsidR="008D3FD8">
        <w:t xml:space="preserve">to </w:t>
      </w:r>
      <w:r w:rsidR="00331C2A">
        <w:t>2021</w:t>
      </w:r>
      <w:r w:rsidR="002B0CED">
        <w:t xml:space="preserve"> (UK Parliament, 2021)</w:t>
      </w:r>
      <w:r w:rsidR="00331C2A">
        <w:t xml:space="preserve">. </w:t>
      </w:r>
    </w:p>
    <w:p w14:paraId="76AD4B7B" w14:textId="77777777" w:rsidR="008B03FC" w:rsidRDefault="008B03FC">
      <w:pPr>
        <w:rPr>
          <w:u w:val="single"/>
        </w:rPr>
      </w:pPr>
    </w:p>
    <w:p w14:paraId="3DD4F95C" w14:textId="7633AA35" w:rsidR="00547FB0" w:rsidRPr="00171697" w:rsidRDefault="00171697">
      <w:r w:rsidRPr="00171697">
        <w:t xml:space="preserve">Precedent </w:t>
      </w:r>
      <w:r w:rsidR="00FD7533">
        <w:t xml:space="preserve">is when a court decision is made and is considered </w:t>
      </w:r>
      <w:r w:rsidR="00DD06CF">
        <w:t xml:space="preserve">the </w:t>
      </w:r>
      <w:r w:rsidR="00FA2AA9">
        <w:t xml:space="preserve">authority for subsequent cases involving similar facts or similar legal issues (CorellLawSchool, </w:t>
      </w:r>
      <w:r w:rsidR="00F843D5">
        <w:t xml:space="preserve">2020). </w:t>
      </w:r>
      <w:r w:rsidR="00803929">
        <w:t>Precedent</w:t>
      </w:r>
      <w:r w:rsidR="00796257">
        <w:t xml:space="preserve"> rules were laid down in </w:t>
      </w:r>
      <w:r w:rsidR="008D3FD8">
        <w:t xml:space="preserve">the </w:t>
      </w:r>
      <w:r w:rsidR="00796257">
        <w:t>1940s in</w:t>
      </w:r>
      <w:r w:rsidR="009D6B87">
        <w:t xml:space="preserve"> </w:t>
      </w:r>
      <w:proofErr w:type="gramStart"/>
      <w:r w:rsidR="009D6B87">
        <w:t>Young</w:t>
      </w:r>
      <w:proofErr w:type="gramEnd"/>
      <w:r w:rsidR="009D6B87">
        <w:t xml:space="preserve"> v. Bristol Aeroplane Co</w:t>
      </w:r>
      <w:r w:rsidR="00B92A9A">
        <w:t xml:space="preserve">. </w:t>
      </w:r>
      <w:r w:rsidR="004D428E">
        <w:t>(1944). Precedent</w:t>
      </w:r>
      <w:r w:rsidR="00803929">
        <w:t xml:space="preserve"> is </w:t>
      </w:r>
      <w:r w:rsidR="00BC12C7">
        <w:t xml:space="preserve">incorporated in </w:t>
      </w:r>
      <w:r w:rsidR="008D3FD8">
        <w:t xml:space="preserve">the </w:t>
      </w:r>
      <w:r w:rsidR="0088382F">
        <w:t xml:space="preserve">doctrine of stare </w:t>
      </w:r>
      <w:r w:rsidR="00063C1D">
        <w:t>decisis,</w:t>
      </w:r>
      <w:r w:rsidR="0088382F">
        <w:t xml:space="preserve"> but it also </w:t>
      </w:r>
      <w:r w:rsidR="00063C1D">
        <w:t>needs courts to use the law by applying cases with facts</w:t>
      </w:r>
      <w:r w:rsidR="001D3925">
        <w:t>. The doctrine of precedent compromised rules</w:t>
      </w:r>
      <w:r w:rsidR="00F51FEB">
        <w:t xml:space="preserve">, these can be the courts </w:t>
      </w:r>
      <w:r w:rsidR="003105B4">
        <w:t>ar</w:t>
      </w:r>
      <w:r w:rsidR="008A4FD3">
        <w:t>e</w:t>
      </w:r>
      <w:r w:rsidR="003105B4">
        <w:t xml:space="preserve"> bound by </w:t>
      </w:r>
      <w:r w:rsidR="008A4FD3">
        <w:t xml:space="preserve">previous </w:t>
      </w:r>
      <w:r w:rsidR="003105B4">
        <w:t xml:space="preserve">decisions </w:t>
      </w:r>
      <w:r w:rsidR="008A4FD3">
        <w:t>o</w:t>
      </w:r>
      <w:r w:rsidR="00071CA8">
        <w:t xml:space="preserve">f courts of </w:t>
      </w:r>
      <w:r w:rsidR="000662C1">
        <w:t xml:space="preserve">the </w:t>
      </w:r>
      <w:r w:rsidR="00071CA8">
        <w:t xml:space="preserve">same levels </w:t>
      </w:r>
      <w:r w:rsidR="003105B4">
        <w:t>(LexLaw,2020).</w:t>
      </w:r>
      <w:r w:rsidR="00071CA8">
        <w:t xml:space="preserve"> This means </w:t>
      </w:r>
      <w:r w:rsidR="00B510E8">
        <w:t xml:space="preserve">the Court of Appeal decisions </w:t>
      </w:r>
      <w:r w:rsidR="00D27EE5">
        <w:t xml:space="preserve">are </w:t>
      </w:r>
      <w:r w:rsidR="000047A1">
        <w:t xml:space="preserve">binding on High Court &amp; county courts. </w:t>
      </w:r>
      <w:r w:rsidR="00063C1D">
        <w:t xml:space="preserve">The precedent process </w:t>
      </w:r>
      <w:r w:rsidR="00DC2AD5">
        <w:t>consists of three different precedents, these are judicial precedent, binding precedent and persuasive precedent</w:t>
      </w:r>
      <w:r w:rsidR="00B860EA">
        <w:t xml:space="preserve"> (MyTutor,</w:t>
      </w:r>
      <w:r w:rsidR="00502A90">
        <w:t>2022)</w:t>
      </w:r>
      <w:r w:rsidR="00DC2AD5">
        <w:t xml:space="preserve">. </w:t>
      </w:r>
      <w:r w:rsidR="0096120D">
        <w:t xml:space="preserve">Judicial precedent </w:t>
      </w:r>
      <w:r w:rsidR="0047572B">
        <w:t>is the process of decision making</w:t>
      </w:r>
      <w:r w:rsidR="006C7674">
        <w:t xml:space="preserve"> on a point of law </w:t>
      </w:r>
      <w:r w:rsidR="00DA4DDE">
        <w:t xml:space="preserve">in previous cases known </w:t>
      </w:r>
      <w:r w:rsidR="006C7674">
        <w:t>as stare decisis.</w:t>
      </w:r>
      <w:r w:rsidR="00FB3B84">
        <w:t xml:space="preserve"> The stare decisis is the court and judges stand with their decision </w:t>
      </w:r>
      <w:r w:rsidR="000662C1">
        <w:t>on</w:t>
      </w:r>
      <w:r w:rsidR="00FB3B84">
        <w:t xml:space="preserve"> a bill.</w:t>
      </w:r>
      <w:r w:rsidR="006C7674">
        <w:t xml:space="preserve"> </w:t>
      </w:r>
      <w:r w:rsidR="00755988">
        <w:t xml:space="preserve">Binding precedent is when </w:t>
      </w:r>
      <w:r w:rsidR="00876941">
        <w:t xml:space="preserve">decisions must be followed </w:t>
      </w:r>
      <w:r w:rsidR="00547FB0">
        <w:t>by</w:t>
      </w:r>
      <w:r w:rsidR="00876941">
        <w:t xml:space="preserve"> a </w:t>
      </w:r>
      <w:r w:rsidR="00756605">
        <w:t xml:space="preserve">future </w:t>
      </w:r>
      <w:r w:rsidR="00876941">
        <w:t>judge</w:t>
      </w:r>
      <w:r w:rsidR="00756605">
        <w:t xml:space="preserve"> in the lower courts</w:t>
      </w:r>
      <w:r w:rsidR="00547FB0">
        <w:t xml:space="preserve"> through a previous judge in a higher court</w:t>
      </w:r>
      <w:r w:rsidR="00CE7A4F">
        <w:t xml:space="preserve">. This process only applies if facts are </w:t>
      </w:r>
      <w:r w:rsidR="0041160D">
        <w:t>similar,</w:t>
      </w:r>
      <w:r w:rsidR="00CE7A4F">
        <w:t xml:space="preserve"> so the same process </w:t>
      </w:r>
      <w:r w:rsidR="00256DB8">
        <w:t>must</w:t>
      </w:r>
      <w:r w:rsidR="00CE7A4F">
        <w:t xml:space="preserve"> be taken. </w:t>
      </w:r>
      <w:r w:rsidR="0041160D">
        <w:t xml:space="preserve">Persuasive </w:t>
      </w:r>
      <w:r w:rsidR="00922943">
        <w:t>precedents are not binding bu</w:t>
      </w:r>
      <w:r w:rsidR="000D080C">
        <w:t xml:space="preserve">t </w:t>
      </w:r>
      <w:r w:rsidR="000662C1">
        <w:t>precedents</w:t>
      </w:r>
      <w:r w:rsidR="000D080C">
        <w:t xml:space="preserve"> that a court may not </w:t>
      </w:r>
      <w:r w:rsidR="00F65C94">
        <w:t xml:space="preserve">be required to </w:t>
      </w:r>
      <w:r w:rsidR="00816360">
        <w:t xml:space="preserve">rely </w:t>
      </w:r>
      <w:r w:rsidR="00F65C94">
        <w:t xml:space="preserve">on when deciding a case. </w:t>
      </w:r>
      <w:r w:rsidR="004018B5">
        <w:t>An</w:t>
      </w:r>
      <w:r w:rsidR="002D0C4B">
        <w:t xml:space="preserve"> example of precedent could be </w:t>
      </w:r>
      <w:r w:rsidR="004018B5">
        <w:t>when a single decision is debated</w:t>
      </w:r>
      <w:r w:rsidR="00B510E8">
        <w:t>, such as a single statutory interpretation undertaken by the country's highest courts, which</w:t>
      </w:r>
      <w:r w:rsidR="0027293F">
        <w:t xml:space="preserve"> is considered originally part of </w:t>
      </w:r>
      <w:r w:rsidR="000662C1">
        <w:t xml:space="preserve">the </w:t>
      </w:r>
      <w:r w:rsidR="0027293F">
        <w:t xml:space="preserve">country. </w:t>
      </w:r>
      <w:r w:rsidR="004018B5">
        <w:t xml:space="preserve"> </w:t>
      </w:r>
    </w:p>
    <w:p w14:paraId="5F72E7CE" w14:textId="77777777" w:rsidR="00901DC8" w:rsidRDefault="00901DC8">
      <w:pPr>
        <w:rPr>
          <w:u w:val="single"/>
        </w:rPr>
      </w:pPr>
    </w:p>
    <w:p w14:paraId="166531D6" w14:textId="77777777" w:rsidR="007D6134" w:rsidRDefault="007D6134">
      <w:pPr>
        <w:rPr>
          <w:u w:val="single"/>
        </w:rPr>
      </w:pPr>
    </w:p>
    <w:p w14:paraId="79CF9928" w14:textId="77777777" w:rsidR="007D6134" w:rsidRDefault="007D6134">
      <w:pPr>
        <w:rPr>
          <w:u w:val="single"/>
        </w:rPr>
      </w:pPr>
    </w:p>
    <w:p w14:paraId="53697197" w14:textId="77777777" w:rsidR="007D6134" w:rsidRDefault="007D6134">
      <w:pPr>
        <w:rPr>
          <w:u w:val="single"/>
        </w:rPr>
      </w:pPr>
    </w:p>
    <w:p w14:paraId="611E20AB" w14:textId="77777777" w:rsidR="007D6134" w:rsidRDefault="007D6134">
      <w:pPr>
        <w:rPr>
          <w:u w:val="single"/>
        </w:rPr>
      </w:pPr>
    </w:p>
    <w:p w14:paraId="183CA7F5" w14:textId="77777777" w:rsidR="00AE468E" w:rsidRDefault="00AE468E">
      <w:pPr>
        <w:rPr>
          <w:u w:val="single"/>
        </w:rPr>
      </w:pPr>
    </w:p>
    <w:p w14:paraId="3DDD91A2" w14:textId="77777777" w:rsidR="00AE468E" w:rsidRDefault="00AE468E">
      <w:pPr>
        <w:rPr>
          <w:u w:val="single"/>
        </w:rPr>
      </w:pPr>
    </w:p>
    <w:p w14:paraId="526A59D3" w14:textId="77777777" w:rsidR="00AE468E" w:rsidRDefault="00AE468E">
      <w:pPr>
        <w:rPr>
          <w:u w:val="single"/>
        </w:rPr>
      </w:pPr>
    </w:p>
    <w:p w14:paraId="32ED7C39" w14:textId="77777777" w:rsidR="00AE468E" w:rsidRDefault="00AE468E">
      <w:pPr>
        <w:rPr>
          <w:u w:val="single"/>
        </w:rPr>
      </w:pPr>
    </w:p>
    <w:p w14:paraId="0C9765C7" w14:textId="77777777" w:rsidR="00E62AAE" w:rsidRDefault="00E62AAE">
      <w:pPr>
        <w:rPr>
          <w:u w:val="single"/>
        </w:rPr>
      </w:pPr>
    </w:p>
    <w:p w14:paraId="4DCCA999" w14:textId="77777777" w:rsidR="00E62AAE" w:rsidRDefault="00E62AAE">
      <w:pPr>
        <w:rPr>
          <w:u w:val="single"/>
        </w:rPr>
      </w:pPr>
    </w:p>
    <w:p w14:paraId="0DF367B3" w14:textId="77777777" w:rsidR="00E62AAE" w:rsidRDefault="00E62AAE">
      <w:pPr>
        <w:rPr>
          <w:u w:val="single"/>
        </w:rPr>
      </w:pPr>
    </w:p>
    <w:p w14:paraId="63FEE53D" w14:textId="62D6C693" w:rsidR="0029394F" w:rsidRDefault="0029394F">
      <w:pPr>
        <w:rPr>
          <w:u w:val="single"/>
        </w:rPr>
      </w:pPr>
      <w:r>
        <w:rPr>
          <w:u w:val="single"/>
        </w:rPr>
        <w:t xml:space="preserve"> </w:t>
      </w:r>
    </w:p>
    <w:p w14:paraId="7DA17A8E" w14:textId="688155CD" w:rsidR="00F4633D" w:rsidRPr="00141DF7" w:rsidRDefault="00141DF7">
      <w:r>
        <w:lastRenderedPageBreak/>
        <w:t xml:space="preserve">Statutory interpretation is </w:t>
      </w:r>
      <w:r w:rsidR="00461D33">
        <w:t>the process of when uncertainty or confusion occurs and when a law is applied in a situation</w:t>
      </w:r>
      <w:r w:rsidR="009B0ED4">
        <w:t xml:space="preserve"> (Inbrief, </w:t>
      </w:r>
      <w:r w:rsidR="00D94F9B">
        <w:t>2022)</w:t>
      </w:r>
      <w:r w:rsidR="00461D33">
        <w:t xml:space="preserve">. Statutory interpretation </w:t>
      </w:r>
      <w:r w:rsidR="00F54608">
        <w:t>is important to have</w:t>
      </w:r>
      <w:r w:rsidR="001A37AA">
        <w:t>,</w:t>
      </w:r>
      <w:r w:rsidR="00F54608">
        <w:t xml:space="preserve"> as it allows </w:t>
      </w:r>
      <w:r w:rsidR="008200A2">
        <w:t xml:space="preserve">judges to interpret statutes </w:t>
      </w:r>
      <w:r w:rsidR="000472B8">
        <w:t>under the Interpretation Act 1978 as it pr</w:t>
      </w:r>
      <w:r w:rsidR="009A4C04">
        <w:t xml:space="preserve">ovides the limit of freedom within the court. This means </w:t>
      </w:r>
      <w:r w:rsidR="000A719B">
        <w:t xml:space="preserve">the rules and procedures undertaken are intended to </w:t>
      </w:r>
      <w:r w:rsidR="00190652">
        <w:t xml:space="preserve">decipher </w:t>
      </w:r>
      <w:r w:rsidR="00683817">
        <w:t xml:space="preserve">ambiguous legislation. </w:t>
      </w:r>
      <w:r w:rsidR="00F4633D">
        <w:t xml:space="preserve">The House of Lords </w:t>
      </w:r>
      <w:r w:rsidR="00431772">
        <w:t xml:space="preserve">had to take careful consideration of the impacts of </w:t>
      </w:r>
      <w:r w:rsidR="00D068A4">
        <w:t xml:space="preserve">section 3 of the Humans Rights Act 1998 </w:t>
      </w:r>
      <w:r w:rsidR="00431772">
        <w:t xml:space="preserve">as it suggests </w:t>
      </w:r>
      <w:r w:rsidR="00EC017D">
        <w:t xml:space="preserve">the </w:t>
      </w:r>
      <w:r w:rsidR="00715065">
        <w:t xml:space="preserve">primary and subordinate </w:t>
      </w:r>
      <w:r w:rsidR="00EC017D">
        <w:t xml:space="preserve">legislation must be examined to identify </w:t>
      </w:r>
      <w:r w:rsidR="0016432B">
        <w:t>the effects in a way compatible with convention rights (</w:t>
      </w:r>
      <w:r w:rsidR="00BE5CB3">
        <w:t xml:space="preserve">PeasonHigherEd, </w:t>
      </w:r>
      <w:r w:rsidR="00500B06">
        <w:t xml:space="preserve">p.g. </w:t>
      </w:r>
      <w:r w:rsidR="00552497">
        <w:t xml:space="preserve">43, </w:t>
      </w:r>
      <w:r w:rsidR="00E87AA6">
        <w:t>no date</w:t>
      </w:r>
      <w:r w:rsidR="009C7A28">
        <w:t xml:space="preserve">). </w:t>
      </w:r>
    </w:p>
    <w:p w14:paraId="6E6110F7" w14:textId="1CD4B2F8" w:rsidR="009D2071" w:rsidRDefault="009D2071"/>
    <w:p w14:paraId="704F6842" w14:textId="77777777" w:rsidR="00AE468E" w:rsidRDefault="00AE468E"/>
    <w:p w14:paraId="7AA59501" w14:textId="411C9813" w:rsidR="00A20097" w:rsidRDefault="00A4369E">
      <w:r>
        <w:t xml:space="preserve">The rules of statutory interpretation are </w:t>
      </w:r>
      <w:r w:rsidR="006B4384">
        <w:t xml:space="preserve">to provide </w:t>
      </w:r>
      <w:r w:rsidR="007A53A3">
        <w:t>support</w:t>
      </w:r>
      <w:r w:rsidR="006B4384">
        <w:t xml:space="preserve"> in setting out various words such as words importing masculine gender will include females (</w:t>
      </w:r>
      <w:r w:rsidR="007A53A3">
        <w:t xml:space="preserve">Inbrief, 2022). </w:t>
      </w:r>
      <w:r w:rsidR="0017125B">
        <w:t>The</w:t>
      </w:r>
      <w:r w:rsidR="008E117B">
        <w:t>re are three</w:t>
      </w:r>
      <w:r w:rsidR="0017125B">
        <w:t xml:space="preserve"> reason</w:t>
      </w:r>
      <w:r w:rsidR="008E117B">
        <w:t>s</w:t>
      </w:r>
      <w:r w:rsidR="0017125B">
        <w:t xml:space="preserve"> why statutes require interpretation</w:t>
      </w:r>
      <w:r w:rsidR="008E117B">
        <w:t>, these are drafting errors, changed circumstances and incomplete rules</w:t>
      </w:r>
      <w:r w:rsidR="00326D79">
        <w:t xml:space="preserve"> </w:t>
      </w:r>
      <w:r w:rsidR="00393748">
        <w:t>(</w:t>
      </w:r>
      <w:r w:rsidR="00326D79">
        <w:t>Slaw.2017)</w:t>
      </w:r>
      <w:r w:rsidR="008E117B">
        <w:t xml:space="preserve">. From </w:t>
      </w:r>
      <w:r w:rsidR="000662C1">
        <w:t>there</w:t>
      </w:r>
      <w:r w:rsidR="008E117B">
        <w:t xml:space="preserve"> </w:t>
      </w:r>
      <w:r w:rsidR="00FB32B1">
        <w:t xml:space="preserve">it allows statutes to make changes before implementations are applied. The drafting error </w:t>
      </w:r>
      <w:r w:rsidR="00EC094A">
        <w:t xml:space="preserve">is applied in the process of </w:t>
      </w:r>
      <w:r w:rsidR="00A8330E">
        <w:t xml:space="preserve">amending </w:t>
      </w:r>
      <w:r w:rsidR="006055A0">
        <w:t xml:space="preserve">typos, </w:t>
      </w:r>
      <w:r w:rsidR="005167A9">
        <w:t xml:space="preserve">and </w:t>
      </w:r>
      <w:r w:rsidR="006055A0">
        <w:t>grammatical and textual inference errors</w:t>
      </w:r>
      <w:r w:rsidR="00A8330E">
        <w:t xml:space="preserve"> </w:t>
      </w:r>
      <w:r w:rsidR="005167A9">
        <w:t xml:space="preserve">are </w:t>
      </w:r>
      <w:r w:rsidR="00A8330E">
        <w:t xml:space="preserve">seen in the case of Kirkbi </w:t>
      </w:r>
      <w:r w:rsidR="00EE37C1">
        <w:t>v</w:t>
      </w:r>
      <w:r w:rsidR="00A8330E">
        <w:t xml:space="preserve"> Ritvik Holdings </w:t>
      </w:r>
      <w:r w:rsidR="00EE37C1">
        <w:t>Inc (2005)</w:t>
      </w:r>
      <w:r w:rsidR="00CA74C3">
        <w:t xml:space="preserve"> where </w:t>
      </w:r>
      <w:r w:rsidR="007E4DD4">
        <w:t xml:space="preserve">a company tried extending their </w:t>
      </w:r>
      <w:r w:rsidR="00FF3B84">
        <w:t xml:space="preserve">expired patent through </w:t>
      </w:r>
      <w:r w:rsidR="00B53373">
        <w:t>an</w:t>
      </w:r>
      <w:r w:rsidR="00FF3B84">
        <w:t xml:space="preserve"> </w:t>
      </w:r>
      <w:r w:rsidR="00E040F7">
        <w:t>unregistered trademark</w:t>
      </w:r>
      <w:r w:rsidR="00115A81">
        <w:t xml:space="preserve">. </w:t>
      </w:r>
      <w:r w:rsidR="00B53373">
        <w:t xml:space="preserve">The change in circumstances is needed </w:t>
      </w:r>
      <w:r w:rsidR="00BD7728">
        <w:t xml:space="preserve">but doesn’t occur often, its implementation is used </w:t>
      </w:r>
      <w:r w:rsidR="00190186">
        <w:t xml:space="preserve">to update </w:t>
      </w:r>
      <w:r w:rsidR="005167A9">
        <w:t>changes</w:t>
      </w:r>
      <w:r w:rsidR="00190186">
        <w:t xml:space="preserve"> in the interpretation of a statutory provision. </w:t>
      </w:r>
      <w:r w:rsidR="00A1480D">
        <w:t xml:space="preserve">Although it is argued that </w:t>
      </w:r>
      <w:r w:rsidR="00111EB3">
        <w:t>a change of circumstances</w:t>
      </w:r>
      <w:r w:rsidR="00B85C13">
        <w:t xml:space="preserve"> could</w:t>
      </w:r>
      <w:r w:rsidR="00111EB3">
        <w:t xml:space="preserve"> create</w:t>
      </w:r>
      <w:r w:rsidR="00B85C13">
        <w:t xml:space="preserve"> fraudulent </w:t>
      </w:r>
      <w:r w:rsidR="00111EB3">
        <w:t>misrepresentation</w:t>
      </w:r>
      <w:r w:rsidR="00B85C13">
        <w:t>,</w:t>
      </w:r>
      <w:r w:rsidR="00111EB3">
        <w:t xml:space="preserve"> as </w:t>
      </w:r>
      <w:r w:rsidR="000B4CF8">
        <w:t>other parties may not be aware of changes mad</w:t>
      </w:r>
      <w:r w:rsidR="00B85C13">
        <w:t>e</w:t>
      </w:r>
      <w:r w:rsidR="00420EAA">
        <w:t xml:space="preserve"> (dfala</w:t>
      </w:r>
      <w:r w:rsidR="00F338F3">
        <w:t>w</w:t>
      </w:r>
      <w:r w:rsidR="00420EAA">
        <w:t>, 2011).</w:t>
      </w:r>
      <w:r w:rsidR="00496B21">
        <w:t xml:space="preserve"> It is also necessary as the</w:t>
      </w:r>
      <w:r w:rsidR="008342E0">
        <w:t>re are</w:t>
      </w:r>
      <w:r w:rsidR="00496B21">
        <w:t xml:space="preserve"> </w:t>
      </w:r>
      <w:r w:rsidR="005167A9">
        <w:t>changes</w:t>
      </w:r>
      <w:r w:rsidR="00496B21">
        <w:t xml:space="preserve"> in the use of languages</w:t>
      </w:r>
      <w:r w:rsidR="008342E0">
        <w:t xml:space="preserve">, this is needed to allow people reading </w:t>
      </w:r>
      <w:r w:rsidR="005F407E">
        <w:t>can</w:t>
      </w:r>
      <w:r w:rsidR="008342E0">
        <w:t xml:space="preserve"> understand </w:t>
      </w:r>
      <w:r w:rsidR="00F87927">
        <w:t xml:space="preserve">statutes </w:t>
      </w:r>
      <w:r w:rsidR="00D173EB">
        <w:t>that date back to the 18</w:t>
      </w:r>
      <w:r w:rsidR="00D173EB" w:rsidRPr="00D173EB">
        <w:rPr>
          <w:vertAlign w:val="superscript"/>
        </w:rPr>
        <w:t>th</w:t>
      </w:r>
      <w:r w:rsidR="00D173EB">
        <w:t xml:space="preserve"> century so </w:t>
      </w:r>
      <w:r w:rsidR="005167A9">
        <w:t>interpreting</w:t>
      </w:r>
      <w:r w:rsidR="00D173EB">
        <w:t xml:space="preserve"> terms in </w:t>
      </w:r>
      <w:r w:rsidR="005167A9">
        <w:t xml:space="preserve">the </w:t>
      </w:r>
      <w:r w:rsidR="00D173EB">
        <w:t>present law is needed.</w:t>
      </w:r>
      <w:r w:rsidR="00574317">
        <w:t xml:space="preserve"> </w:t>
      </w:r>
      <w:r w:rsidR="00D86B5E">
        <w:t xml:space="preserve">The language </w:t>
      </w:r>
      <w:r w:rsidR="00AF65E8">
        <w:t xml:space="preserve">change in language could also link in with the broad terms used in statutory interpretation as some words are designed to cover multiple possibilities </w:t>
      </w:r>
      <w:r w:rsidR="00AB35F7">
        <w:t xml:space="preserve">which </w:t>
      </w:r>
      <w:r w:rsidR="005167A9">
        <w:t>leave</w:t>
      </w:r>
      <w:r w:rsidR="00AB35F7">
        <w:t xml:space="preserve"> the person to judge using what evidence they have</w:t>
      </w:r>
      <w:r w:rsidR="004410DA">
        <w:t xml:space="preserve"> (Alison,</w:t>
      </w:r>
      <w:r w:rsidR="00BA1FE2">
        <w:t xml:space="preserve"> </w:t>
      </w:r>
      <w:r w:rsidR="00EA4DE9">
        <w:t>no date</w:t>
      </w:r>
      <w:r w:rsidR="00BA1FE2">
        <w:t>)</w:t>
      </w:r>
      <w:r w:rsidR="004410DA">
        <w:t xml:space="preserve"> </w:t>
      </w:r>
      <w:r w:rsidR="00672B15">
        <w:t xml:space="preserve"> </w:t>
      </w:r>
      <w:r w:rsidR="005F407E">
        <w:t xml:space="preserve">In section 139 </w:t>
      </w:r>
      <w:r w:rsidR="005167A9">
        <w:t xml:space="preserve">of the </w:t>
      </w:r>
      <w:r w:rsidR="005F407E">
        <w:t xml:space="preserve">Criminal Justice Act (1988), it </w:t>
      </w:r>
      <w:r w:rsidR="00307164">
        <w:t xml:space="preserve">suggests </w:t>
      </w:r>
      <w:r w:rsidR="00E93D37">
        <w:t xml:space="preserve">a folding </w:t>
      </w:r>
      <w:r w:rsidR="00D173EB">
        <w:t>pocketknife</w:t>
      </w:r>
      <w:r w:rsidR="00E93D37">
        <w:t xml:space="preserve"> exceeding the blade length of 3 inches </w:t>
      </w:r>
      <w:r w:rsidR="006F4C05">
        <w:t xml:space="preserve">isn’t </w:t>
      </w:r>
      <w:r w:rsidR="003B1B6B">
        <w:t xml:space="preserve">reasonable but shall be a defence if a person has </w:t>
      </w:r>
      <w:r w:rsidR="007A6148">
        <w:t xml:space="preserve">been charged with </w:t>
      </w:r>
      <w:r w:rsidR="00D76F14">
        <w:t>an</w:t>
      </w:r>
      <w:r w:rsidR="007A6148">
        <w:t xml:space="preserve"> offence and must have </w:t>
      </w:r>
      <w:r w:rsidR="00D76F14">
        <w:t xml:space="preserve">a </w:t>
      </w:r>
      <w:r w:rsidR="003B1B6B">
        <w:t>reasonab</w:t>
      </w:r>
      <w:r w:rsidR="007A6148">
        <w:t>le excuse</w:t>
      </w:r>
      <w:r w:rsidR="003B1B6B">
        <w:t xml:space="preserve"> </w:t>
      </w:r>
      <w:r w:rsidR="007A6148">
        <w:t>to his/hers defence</w:t>
      </w:r>
      <w:r w:rsidR="00B61999">
        <w:t xml:space="preserve"> (Legislation.gov, 2020)</w:t>
      </w:r>
      <w:r w:rsidR="007A6148">
        <w:t xml:space="preserve">. </w:t>
      </w:r>
      <w:r w:rsidR="003C39DC">
        <w:t xml:space="preserve">This is a good example of the </w:t>
      </w:r>
      <w:r w:rsidR="00C446BE">
        <w:t>statute’s</w:t>
      </w:r>
      <w:r w:rsidR="00FC2B93">
        <w:t xml:space="preserve"> interpretation</w:t>
      </w:r>
      <w:r w:rsidR="00531FAC">
        <w:t>, as</w:t>
      </w:r>
      <w:r w:rsidR="00FC2B93">
        <w:t xml:space="preserve"> changed circumstances and incomplete rules </w:t>
      </w:r>
      <w:r w:rsidR="00531FAC">
        <w:t>were used later when</w:t>
      </w:r>
      <w:r w:rsidR="00FC2B93">
        <w:t xml:space="preserve"> specif</w:t>
      </w:r>
      <w:r w:rsidR="00531FAC">
        <w:t>ying,</w:t>
      </w:r>
      <w:r w:rsidR="00FC2B93">
        <w:t xml:space="preserve"> sharpened blade</w:t>
      </w:r>
      <w:r w:rsidR="009176C8">
        <w:t xml:space="preserve"> and weapon sizing to minimise impacts.</w:t>
      </w:r>
      <w:r w:rsidR="00D155B9">
        <w:t xml:space="preserve"> There are also </w:t>
      </w:r>
      <w:r w:rsidR="00AF50D2">
        <w:t>rules</w:t>
      </w:r>
      <w:r w:rsidR="00D155B9">
        <w:t xml:space="preserve"> set out for statutory interpretation known as the golden rule, literal rule and mischief rule. </w:t>
      </w:r>
    </w:p>
    <w:p w14:paraId="67A306C6" w14:textId="77777777" w:rsidR="00621B33" w:rsidRDefault="00621B33">
      <w:pPr>
        <w:rPr>
          <w:u w:val="single"/>
        </w:rPr>
      </w:pPr>
    </w:p>
    <w:p w14:paraId="42CD3B4C" w14:textId="77777777" w:rsidR="00AE468E" w:rsidRDefault="00AE468E">
      <w:pPr>
        <w:rPr>
          <w:u w:val="single"/>
        </w:rPr>
      </w:pPr>
    </w:p>
    <w:p w14:paraId="2D1F3965" w14:textId="77777777" w:rsidR="00AE468E" w:rsidRDefault="00AE468E">
      <w:pPr>
        <w:rPr>
          <w:u w:val="single"/>
        </w:rPr>
      </w:pPr>
    </w:p>
    <w:p w14:paraId="11E80E04" w14:textId="78BBED7F" w:rsidR="002B4535" w:rsidRDefault="007C0F9A">
      <w:r>
        <w:t xml:space="preserve">The golden rule of statutory interpretation is </w:t>
      </w:r>
      <w:r w:rsidR="00761388">
        <w:t>known as a modification of the literal rule wh</w:t>
      </w:r>
      <w:r w:rsidR="00663241">
        <w:t xml:space="preserve">en </w:t>
      </w:r>
      <w:r w:rsidR="00CC00AA">
        <w:t>an</w:t>
      </w:r>
      <w:r w:rsidR="00663241">
        <w:t xml:space="preserve"> application of the literal rule </w:t>
      </w:r>
      <w:r w:rsidR="008E3E65">
        <w:t>is avoided to prevent absurd results.</w:t>
      </w:r>
      <w:r w:rsidR="001D0375">
        <w:t xml:space="preserve"> </w:t>
      </w:r>
      <w:r w:rsidR="00AF71E6">
        <w:t>Its</w:t>
      </w:r>
      <w:r w:rsidR="00F65795">
        <w:t xml:space="preserve"> purpose is</w:t>
      </w:r>
      <w:r w:rsidR="00043BF0">
        <w:t xml:space="preserve"> to depart normal </w:t>
      </w:r>
      <w:r w:rsidR="00AC1738">
        <w:t xml:space="preserve">meaning </w:t>
      </w:r>
      <w:r w:rsidR="00043BF0">
        <w:t xml:space="preserve">or literal meanings of a word </w:t>
      </w:r>
      <w:r w:rsidR="009D36F3">
        <w:t xml:space="preserve">to </w:t>
      </w:r>
      <w:r w:rsidR="00D76F14">
        <w:t>emphasise</w:t>
      </w:r>
      <w:r w:rsidR="009D36F3">
        <w:t xml:space="preserve"> </w:t>
      </w:r>
      <w:r w:rsidR="00D76F14">
        <w:t>its</w:t>
      </w:r>
      <w:r w:rsidR="009D36F3">
        <w:t xml:space="preserve"> true meaning in </w:t>
      </w:r>
      <w:r w:rsidR="00D76F14">
        <w:t xml:space="preserve">a </w:t>
      </w:r>
      <w:r w:rsidR="009D36F3">
        <w:t xml:space="preserve">legal context which could potentially lead to </w:t>
      </w:r>
      <w:r w:rsidR="00803E5C">
        <w:t>absurdity and ambiguity</w:t>
      </w:r>
      <w:r w:rsidR="002D6582">
        <w:t xml:space="preserve"> (e-lawresources</w:t>
      </w:r>
      <w:r w:rsidR="003D60AE">
        <w:t>, 2020)</w:t>
      </w:r>
      <w:r w:rsidR="00803E5C">
        <w:t xml:space="preserve">. </w:t>
      </w:r>
      <w:r w:rsidR="001D0375">
        <w:t xml:space="preserve">The golden rule of statutory interpretation can be seen </w:t>
      </w:r>
      <w:r w:rsidR="00F56EF5">
        <w:t>in the case of R v Allen (1872), where a drafting error occurred and was amended immediately</w:t>
      </w:r>
      <w:r w:rsidR="00300828">
        <w:t xml:space="preserve"> by the court</w:t>
      </w:r>
      <w:r w:rsidR="005B667C">
        <w:t xml:space="preserve">. </w:t>
      </w:r>
      <w:r w:rsidR="00512788">
        <w:t xml:space="preserve">The golden rule was </w:t>
      </w:r>
      <w:r w:rsidR="007F4A49">
        <w:t>applied in the case and deciding that the word ‘marry’ should be interpreted a</w:t>
      </w:r>
      <w:r w:rsidR="00D81B21">
        <w:t>s</w:t>
      </w:r>
      <w:r w:rsidR="007F4A49">
        <w:t xml:space="preserve"> </w:t>
      </w:r>
      <w:r w:rsidR="004E063E">
        <w:t>‘</w:t>
      </w:r>
      <w:r w:rsidR="007F4A49">
        <w:t xml:space="preserve">marriage </w:t>
      </w:r>
      <w:r w:rsidR="00D76F14">
        <w:t>ceremony’</w:t>
      </w:r>
      <w:r w:rsidR="00281B19">
        <w:t xml:space="preserve"> after the defendant was charged with </w:t>
      </w:r>
      <w:r w:rsidR="00524A29">
        <w:t>bigamy, under</w:t>
      </w:r>
      <w:r w:rsidR="00281B19">
        <w:t xml:space="preserve"> section 57 of Offence Against the Person Act (1861).</w:t>
      </w:r>
      <w:r w:rsidR="0037211F">
        <w:t xml:space="preserve"> In the ca</w:t>
      </w:r>
      <w:r w:rsidR="00C349A5">
        <w:t>s</w:t>
      </w:r>
      <w:r w:rsidR="0037211F">
        <w:t xml:space="preserve">e of </w:t>
      </w:r>
      <w:r w:rsidR="00637707">
        <w:t xml:space="preserve">Adler v George (1964), the court appealed the golden rule to extend the literal </w:t>
      </w:r>
      <w:r w:rsidR="00C349A5">
        <w:t xml:space="preserve">wording of the statute to defend his actions. </w:t>
      </w:r>
      <w:r w:rsidR="00D86430">
        <w:t xml:space="preserve">As the result, the court </w:t>
      </w:r>
      <w:r w:rsidR="00984820">
        <w:t xml:space="preserve">upheld his conviction after </w:t>
      </w:r>
      <w:r w:rsidR="006E613D">
        <w:t>absurdity</w:t>
      </w:r>
      <w:r w:rsidR="00F42DC9">
        <w:t xml:space="preserve">, </w:t>
      </w:r>
      <w:r w:rsidR="006E613D">
        <w:t xml:space="preserve">when the person </w:t>
      </w:r>
      <w:r w:rsidR="006E613D">
        <w:lastRenderedPageBreak/>
        <w:t xml:space="preserve">wasn’t </w:t>
      </w:r>
      <w:r w:rsidR="004E5206">
        <w:t>in or near a prohibited place</w:t>
      </w:r>
      <w:r w:rsidR="00A24716">
        <w:t xml:space="preserve"> under </w:t>
      </w:r>
      <w:r w:rsidR="00D76F14">
        <w:t xml:space="preserve">the </w:t>
      </w:r>
      <w:r w:rsidR="00A863ED">
        <w:t xml:space="preserve">Official Secret Act (1920). </w:t>
      </w:r>
      <w:r w:rsidR="002378B5">
        <w:t xml:space="preserve">This is </w:t>
      </w:r>
      <w:r w:rsidR="00E576FC">
        <w:t>an</w:t>
      </w:r>
      <w:r w:rsidR="002378B5">
        <w:t xml:space="preserve"> advantage to the defendant as </w:t>
      </w:r>
      <w:r w:rsidR="00E576FC">
        <w:t xml:space="preserve">he’s provided defence from </w:t>
      </w:r>
      <w:r w:rsidR="001D1F38">
        <w:t>an</w:t>
      </w:r>
      <w:r w:rsidR="00E576FC">
        <w:t xml:space="preserve"> error produced by </w:t>
      </w:r>
      <w:r w:rsidR="001D1F38">
        <w:t xml:space="preserve">statutes. A </w:t>
      </w:r>
      <w:r w:rsidR="0098715A">
        <w:t xml:space="preserve">disadvantage </w:t>
      </w:r>
      <w:r w:rsidR="00D76F14">
        <w:t>of</w:t>
      </w:r>
      <w:r w:rsidR="001D1F38">
        <w:t xml:space="preserve"> the golden rule is the judges </w:t>
      </w:r>
      <w:r w:rsidR="0042392C">
        <w:t xml:space="preserve">can make changes to the meaning of statutes, making it difficult for others as it could be seen as infringing the separation of powers. </w:t>
      </w:r>
      <w:r w:rsidR="0098715A">
        <w:t xml:space="preserve">A case study </w:t>
      </w:r>
      <w:r w:rsidR="008F15D6">
        <w:t>that shows</w:t>
      </w:r>
      <w:r w:rsidR="0098715A">
        <w:t xml:space="preserve"> the disadvantage of the golden rule</w:t>
      </w:r>
      <w:r w:rsidR="006B2C0E">
        <w:t>,</w:t>
      </w:r>
      <w:r w:rsidR="0098715A">
        <w:t xml:space="preserve"> is London and </w:t>
      </w:r>
      <w:r w:rsidR="003D1CF8">
        <w:t>North Eastern</w:t>
      </w:r>
      <w:r w:rsidR="0098715A">
        <w:t xml:space="preserve"> Railway v Berriman (1946)</w:t>
      </w:r>
      <w:r w:rsidR="006B2C0E">
        <w:t xml:space="preserve"> </w:t>
      </w:r>
      <w:r w:rsidR="0098715A">
        <w:t xml:space="preserve">where </w:t>
      </w:r>
      <w:r w:rsidR="002B4535">
        <w:t>the court ruled</w:t>
      </w:r>
      <w:r w:rsidR="00534A1C">
        <w:t xml:space="preserve">, </w:t>
      </w:r>
      <w:r w:rsidR="002B4535">
        <w:t xml:space="preserve">that </w:t>
      </w:r>
      <w:r w:rsidR="003D1CF8">
        <w:t>workers'</w:t>
      </w:r>
      <w:r w:rsidR="008F15D6">
        <w:t xml:space="preserve"> </w:t>
      </w:r>
      <w:r w:rsidR="002B4535">
        <w:t xml:space="preserve">compensation </w:t>
      </w:r>
      <w:r w:rsidR="006B2C0E">
        <w:t xml:space="preserve">couldn’t be applied </w:t>
      </w:r>
      <w:r w:rsidR="008F15D6">
        <w:t>in</w:t>
      </w:r>
      <w:r w:rsidR="00152EFF">
        <w:t xml:space="preserve"> the literal rule</w:t>
      </w:r>
      <w:r w:rsidR="00A05CE0">
        <w:t xml:space="preserve"> due to there being no category for the accident. </w:t>
      </w:r>
      <w:r w:rsidR="00534A1C">
        <w:t xml:space="preserve">From this fatality, </w:t>
      </w:r>
      <w:r w:rsidR="00AA32C8">
        <w:t xml:space="preserve">the literal rule wasn’t applied resulting in the widow not receiving any entitlement. </w:t>
      </w:r>
    </w:p>
    <w:p w14:paraId="606C4304" w14:textId="77777777" w:rsidR="00D82353" w:rsidRDefault="00D82353"/>
    <w:p w14:paraId="6C19A404" w14:textId="77777777" w:rsidR="00AE468E" w:rsidRDefault="00AE468E"/>
    <w:p w14:paraId="313F98AB" w14:textId="6436A696" w:rsidR="005B1BFB" w:rsidRDefault="00317E20">
      <w:r>
        <w:t xml:space="preserve">Another rule </w:t>
      </w:r>
      <w:r w:rsidR="00CE2486">
        <w:t xml:space="preserve">is the literal rule. The literal rule of statutory interpretation is </w:t>
      </w:r>
      <w:r w:rsidR="009E18DE">
        <w:t xml:space="preserve">known </w:t>
      </w:r>
      <w:r w:rsidR="003D1CF8">
        <w:t>as</w:t>
      </w:r>
      <w:r w:rsidR="009E18DE">
        <w:t xml:space="preserve"> the first rule that is applied to a case</w:t>
      </w:r>
      <w:r w:rsidR="00A4066A">
        <w:t>,</w:t>
      </w:r>
      <w:r w:rsidR="009E18DE">
        <w:t xml:space="preserve"> </w:t>
      </w:r>
      <w:r w:rsidR="0007185C">
        <w:t xml:space="preserve">as judges define the meaning of </w:t>
      </w:r>
      <w:r w:rsidR="009E5B57">
        <w:t xml:space="preserve">the </w:t>
      </w:r>
      <w:r w:rsidR="0007185C">
        <w:t>words naturally without law terms</w:t>
      </w:r>
      <w:r w:rsidR="00761EE6">
        <w:t xml:space="preserve"> (e-lawresources, </w:t>
      </w:r>
      <w:r w:rsidR="002147FA">
        <w:t>2020)</w:t>
      </w:r>
      <w:r w:rsidR="0007185C">
        <w:t xml:space="preserve">. </w:t>
      </w:r>
      <w:r w:rsidR="00953D97">
        <w:t>It allows the judge to present a case using nothing but simple words to express the simplistic meaning of the word without</w:t>
      </w:r>
      <w:r w:rsidR="00217AC1">
        <w:t xml:space="preserve"> coating it to make it sound fancier. </w:t>
      </w:r>
      <w:r w:rsidR="00DC3061">
        <w:t xml:space="preserve">The </w:t>
      </w:r>
      <w:r w:rsidR="006C07ED">
        <w:t xml:space="preserve">advantages </w:t>
      </w:r>
      <w:r w:rsidR="00DC3061">
        <w:t>of the literal rule</w:t>
      </w:r>
      <w:r w:rsidR="006C07ED">
        <w:t xml:space="preserve"> </w:t>
      </w:r>
      <w:r w:rsidR="001B3974">
        <w:t xml:space="preserve">are, </w:t>
      </w:r>
      <w:r w:rsidR="003D1CF8">
        <w:t xml:space="preserve">that </w:t>
      </w:r>
      <w:r w:rsidR="00DC3061">
        <w:t xml:space="preserve">it applies restrictions on the judge </w:t>
      </w:r>
      <w:r w:rsidR="006C07ED">
        <w:t>which upholds their power</w:t>
      </w:r>
      <w:r w:rsidR="00AF477C">
        <w:t xml:space="preserve">s </w:t>
      </w:r>
      <w:r w:rsidR="006C07ED">
        <w:t xml:space="preserve">and </w:t>
      </w:r>
      <w:r w:rsidR="003D1CF8">
        <w:t>is</w:t>
      </w:r>
      <w:r w:rsidR="003856BE">
        <w:t xml:space="preserve"> </w:t>
      </w:r>
      <w:r w:rsidR="006346A9">
        <w:t>biased to hearing all opinions</w:t>
      </w:r>
      <w:r w:rsidR="003D1CF8">
        <w:t>,</w:t>
      </w:r>
      <w:r w:rsidR="006346A9">
        <w:t xml:space="preserve"> not just a single </w:t>
      </w:r>
      <w:r w:rsidR="001B3974">
        <w:t>judge’s</w:t>
      </w:r>
      <w:r w:rsidR="006346A9">
        <w:t xml:space="preserve"> </w:t>
      </w:r>
      <w:r w:rsidR="001B3974">
        <w:t xml:space="preserve">opinion. </w:t>
      </w:r>
      <w:r w:rsidR="005347ED">
        <w:t xml:space="preserve">The disadvantage of the </w:t>
      </w:r>
      <w:r w:rsidR="00444F50">
        <w:t xml:space="preserve">literal rule </w:t>
      </w:r>
      <w:r w:rsidR="003D1CF8">
        <w:t>is</w:t>
      </w:r>
      <w:r w:rsidR="00444F50">
        <w:t xml:space="preserve"> the disagreements in terms of </w:t>
      </w:r>
      <w:r w:rsidR="008E4701">
        <w:t>what’s considered ordinary or the basic meaning of a word. Th</w:t>
      </w:r>
      <w:r w:rsidR="00881503">
        <w:t>e disadvantages</w:t>
      </w:r>
      <w:r w:rsidR="008E4701">
        <w:t xml:space="preserve"> can be seen in the case R v Maginnis (1987)</w:t>
      </w:r>
      <w:r w:rsidR="009B7F2B">
        <w:t xml:space="preserve">, where </w:t>
      </w:r>
      <w:r w:rsidR="00BD0A95">
        <w:t xml:space="preserve">a judge convicted a defendant </w:t>
      </w:r>
      <w:r w:rsidR="00921636">
        <w:t>with</w:t>
      </w:r>
      <w:r w:rsidR="00BD0A95">
        <w:t xml:space="preserve"> intent to supply </w:t>
      </w:r>
      <w:r w:rsidR="00EB47D2">
        <w:t xml:space="preserve">a package of </w:t>
      </w:r>
      <w:r w:rsidR="00BD0A95">
        <w:t>controlled drugs</w:t>
      </w:r>
      <w:r w:rsidR="002F17B9">
        <w:t xml:space="preserve"> under section 5 of the Misuse of Drugs Act (1971)</w:t>
      </w:r>
      <w:r w:rsidR="00921636">
        <w:t xml:space="preserve">. </w:t>
      </w:r>
      <w:r w:rsidR="005B610F">
        <w:t>Later</w:t>
      </w:r>
      <w:r w:rsidR="00EB47D2">
        <w:t xml:space="preserve">, the defendant </w:t>
      </w:r>
      <w:r w:rsidR="00CF6E70">
        <w:t xml:space="preserve">pleaded guilty and appealed the case </w:t>
      </w:r>
      <w:r w:rsidR="00E03E5B">
        <w:t>to</w:t>
      </w:r>
      <w:r w:rsidR="00CF6E70">
        <w:t xml:space="preserve"> the Court of Appeal quashing the case. </w:t>
      </w:r>
      <w:r w:rsidR="00DB711F">
        <w:t>Furthermore,</w:t>
      </w:r>
      <w:r w:rsidR="005B610F">
        <w:t xml:space="preserve"> </w:t>
      </w:r>
      <w:r w:rsidR="00DE14EE">
        <w:t xml:space="preserve">the judge </w:t>
      </w:r>
      <w:r w:rsidR="0003396C">
        <w:t xml:space="preserve">applied the </w:t>
      </w:r>
      <w:r w:rsidR="00F9636D">
        <w:t xml:space="preserve">literal rule to the case after examining the word ‘supply’ which he </w:t>
      </w:r>
      <w:r w:rsidR="009E5A09">
        <w:t xml:space="preserve">couldn’t conceive </w:t>
      </w:r>
      <w:r w:rsidR="003D1CF8">
        <w:t xml:space="preserve">of </w:t>
      </w:r>
      <w:r w:rsidR="009E5A09">
        <w:t>using</w:t>
      </w:r>
      <w:r w:rsidR="00B6749C">
        <w:t xml:space="preserve">, due to </w:t>
      </w:r>
      <w:r w:rsidR="00741421">
        <w:t xml:space="preserve">the nature of the case being a supplier wouldn’t give a customer </w:t>
      </w:r>
      <w:r w:rsidR="003D1CF8">
        <w:t>baggage</w:t>
      </w:r>
      <w:r w:rsidR="00106674">
        <w:t xml:space="preserve"> of supply.</w:t>
      </w:r>
    </w:p>
    <w:p w14:paraId="346B1303" w14:textId="249CDFBA" w:rsidR="00712A30" w:rsidRDefault="00741421">
      <w:r>
        <w:t xml:space="preserve"> </w:t>
      </w:r>
    </w:p>
    <w:p w14:paraId="70BB9DBE" w14:textId="1D00244B" w:rsidR="00343B43" w:rsidRPr="007C0F9A" w:rsidRDefault="00084870">
      <w:r>
        <w:t xml:space="preserve">Another rule is the mischief rule. The mischief rule </w:t>
      </w:r>
      <w:r w:rsidR="00131642">
        <w:t xml:space="preserve">of statutory interpretation is applied where </w:t>
      </w:r>
      <w:r w:rsidR="00E03E5B">
        <w:t>a statute is ambiguous</w:t>
      </w:r>
      <w:r w:rsidR="005E63EE">
        <w:t xml:space="preserve"> and </w:t>
      </w:r>
      <w:r w:rsidR="00DE514F">
        <w:t>its</w:t>
      </w:r>
      <w:r w:rsidR="005E63EE">
        <w:t xml:space="preserve"> </w:t>
      </w:r>
      <w:r w:rsidR="00FF7844">
        <w:t>purpose is to</w:t>
      </w:r>
      <w:r w:rsidR="000F61E9">
        <w:t xml:space="preserve"> quash the mischief</w:t>
      </w:r>
      <w:r w:rsidR="00DE514F">
        <w:t xml:space="preserve"> when </w:t>
      </w:r>
      <w:r w:rsidR="00197FF9">
        <w:t>an</w:t>
      </w:r>
      <w:r w:rsidR="00DE514F">
        <w:t xml:space="preserve"> act is aimed at</w:t>
      </w:r>
      <w:r w:rsidR="00BB4E35">
        <w:t xml:space="preserve"> (e-lawresources, 2020)</w:t>
      </w:r>
      <w:r w:rsidR="00DE514F">
        <w:t xml:space="preserve">. </w:t>
      </w:r>
      <w:r w:rsidR="006653F1">
        <w:t>An</w:t>
      </w:r>
      <w:r w:rsidR="00DE514F">
        <w:t xml:space="preserve"> advantage of the mischief rule is </w:t>
      </w:r>
      <w:r w:rsidR="00675188">
        <w:t xml:space="preserve">it closes loopholes which </w:t>
      </w:r>
      <w:r w:rsidR="00D81F8E">
        <w:t>give</w:t>
      </w:r>
      <w:r w:rsidR="00675188">
        <w:t xml:space="preserve"> definite, quick responses to a case</w:t>
      </w:r>
      <w:r w:rsidR="00AD2516">
        <w:t xml:space="preserve"> and development changes are applied to </w:t>
      </w:r>
      <w:r w:rsidR="00CB58F4">
        <w:t xml:space="preserve">laws that need it. A disadvantage could be judges are </w:t>
      </w:r>
      <w:r w:rsidR="0041514E">
        <w:t>opinionated</w:t>
      </w:r>
      <w:r w:rsidR="00CB58F4">
        <w:t xml:space="preserve"> </w:t>
      </w:r>
      <w:r w:rsidR="00D81F8E">
        <w:t>about</w:t>
      </w:r>
      <w:r w:rsidR="0041514E">
        <w:t xml:space="preserve"> a case which can be seen as unbiased. This was present in the case </w:t>
      </w:r>
      <w:r w:rsidR="006653F1">
        <w:t>of Smith</w:t>
      </w:r>
      <w:r w:rsidR="0041514E">
        <w:t xml:space="preserve"> v Hughes</w:t>
      </w:r>
      <w:r w:rsidR="00AA227B">
        <w:t xml:space="preserve"> (1960) where </w:t>
      </w:r>
      <w:r w:rsidR="00AA775B">
        <w:t xml:space="preserve">the court applied the mischief rule </w:t>
      </w:r>
      <w:r w:rsidR="00C33D25">
        <w:t xml:space="preserve">but failed to examine </w:t>
      </w:r>
      <w:r w:rsidR="00D81F8E">
        <w:t xml:space="preserve">whether </w:t>
      </w:r>
      <w:r w:rsidR="00C33D25">
        <w:t xml:space="preserve">the defendants were on a private property place under the literal interpretation. </w:t>
      </w:r>
      <w:r w:rsidR="00A1279A">
        <w:t xml:space="preserve">The </w:t>
      </w:r>
      <w:r w:rsidR="007F3C55">
        <w:t xml:space="preserve">judge applied the mischief rule </w:t>
      </w:r>
      <w:r w:rsidR="003F1344">
        <w:t xml:space="preserve">providing the </w:t>
      </w:r>
      <w:r w:rsidR="005037BC">
        <w:t xml:space="preserve">activities undertaken by the </w:t>
      </w:r>
      <w:r w:rsidR="00493FA3">
        <w:t>defendants</w:t>
      </w:r>
      <w:r w:rsidR="005037BC">
        <w:t xml:space="preserve"> were present and </w:t>
      </w:r>
      <w:r w:rsidR="00D651C8">
        <w:t>known</w:t>
      </w:r>
      <w:r w:rsidR="005037BC">
        <w:t xml:space="preserve"> </w:t>
      </w:r>
      <w:r w:rsidR="00493FA3">
        <w:t xml:space="preserve">when the act was looked at. </w:t>
      </w:r>
      <w:r w:rsidR="00BE0DB8">
        <w:t xml:space="preserve">This could be seen as a lack of conduct as the judge didn’t compromise the decision to check what rules this case would fall under. </w:t>
      </w:r>
    </w:p>
    <w:p w14:paraId="19596D60" w14:textId="77777777" w:rsidR="00AE468E" w:rsidRDefault="00AE468E" w:rsidP="00E0617F">
      <w:pPr>
        <w:tabs>
          <w:tab w:val="left" w:pos="5658"/>
        </w:tabs>
      </w:pPr>
    </w:p>
    <w:p w14:paraId="2120C619" w14:textId="7571A179" w:rsidR="009F1C16" w:rsidRDefault="00E238FE" w:rsidP="00ED256D">
      <w:pPr>
        <w:tabs>
          <w:tab w:val="left" w:pos="6749"/>
        </w:tabs>
      </w:pPr>
      <w:r>
        <w:t xml:space="preserve">Does statutory interpretation </w:t>
      </w:r>
      <w:r w:rsidR="004C066F">
        <w:t>make for great law</w:t>
      </w:r>
      <w:r w:rsidR="009F1C16">
        <w:t>?</w:t>
      </w:r>
      <w:r w:rsidR="00463CD1">
        <w:t xml:space="preserve"> </w:t>
      </w:r>
      <w:r w:rsidR="00D81F8E">
        <w:t>The</w:t>
      </w:r>
      <w:r w:rsidR="00463CD1">
        <w:t xml:space="preserve"> </w:t>
      </w:r>
      <w:r w:rsidR="00FF241C">
        <w:t>article ‘</w:t>
      </w:r>
      <w:r w:rsidR="00131B6E">
        <w:t>Interpretation Acts- Are They, and How Do They Make for, Great Law</w:t>
      </w:r>
      <w:r w:rsidR="007E35BA">
        <w:t>’</w:t>
      </w:r>
      <w:r w:rsidR="00131B6E">
        <w:t xml:space="preserve"> </w:t>
      </w:r>
      <w:r w:rsidR="00090C32">
        <w:t>(2021)</w:t>
      </w:r>
      <w:r w:rsidR="00FF241C">
        <w:t>,</w:t>
      </w:r>
      <w:r w:rsidR="009A26FF">
        <w:t xml:space="preserve"> </w:t>
      </w:r>
      <w:r w:rsidR="000719D2">
        <w:t>suggests</w:t>
      </w:r>
      <w:r w:rsidR="007E35BA">
        <w:t xml:space="preserve"> </w:t>
      </w:r>
      <w:r w:rsidR="004B42B8">
        <w:t>how</w:t>
      </w:r>
      <w:r w:rsidR="007E35BA">
        <w:t xml:space="preserve"> interpretation can stop being or </w:t>
      </w:r>
      <w:r w:rsidR="00D81F8E">
        <w:t>failing</w:t>
      </w:r>
      <w:r w:rsidR="007E35BA">
        <w:t xml:space="preserve"> to be great law by ensuring gaps are filled</w:t>
      </w:r>
      <w:r w:rsidR="00705CF0">
        <w:t xml:space="preserve"> (Carter, 2021)</w:t>
      </w:r>
      <w:r w:rsidR="007E35BA">
        <w:t xml:space="preserve">. </w:t>
      </w:r>
      <w:r w:rsidR="000719D2">
        <w:t xml:space="preserve">An example of a failing great law for statutory interpretation can be </w:t>
      </w:r>
      <w:r w:rsidR="00D81F8E">
        <w:t>omitted</w:t>
      </w:r>
      <w:r w:rsidR="000719D2">
        <w:t xml:space="preserve"> to provide basic default interpretive directions </w:t>
      </w:r>
      <w:r w:rsidR="0065180B">
        <w:t xml:space="preserve">which </w:t>
      </w:r>
      <w:r w:rsidR="00D81F8E">
        <w:t>were</w:t>
      </w:r>
      <w:r w:rsidR="0065180B">
        <w:t xml:space="preserve"> seen in </w:t>
      </w:r>
      <w:r w:rsidR="00D71160">
        <w:t>the</w:t>
      </w:r>
      <w:r w:rsidR="00845E8E">
        <w:t xml:space="preserve"> </w:t>
      </w:r>
      <w:r w:rsidR="00BF6E65">
        <w:t xml:space="preserve">Act </w:t>
      </w:r>
      <w:r w:rsidR="00D71160">
        <w:t xml:space="preserve">Interpretation Legislation, enacted and Proposed </w:t>
      </w:r>
      <w:r w:rsidR="00D81F8E">
        <w:t>by</w:t>
      </w:r>
      <w:r w:rsidR="00D71160">
        <w:t xml:space="preserve"> Northern Ireland, Wales and Scotland (1978)</w:t>
      </w:r>
      <w:r w:rsidR="00CE4C4D">
        <w:t>.</w:t>
      </w:r>
    </w:p>
    <w:p w14:paraId="404895E0" w14:textId="77777777" w:rsidR="009F1C16" w:rsidRDefault="009F1C16" w:rsidP="00ED256D">
      <w:pPr>
        <w:tabs>
          <w:tab w:val="left" w:pos="6749"/>
        </w:tabs>
      </w:pPr>
    </w:p>
    <w:p w14:paraId="3818812F" w14:textId="77777777" w:rsidR="00326347" w:rsidRDefault="00326347" w:rsidP="00ED256D">
      <w:pPr>
        <w:tabs>
          <w:tab w:val="left" w:pos="6749"/>
        </w:tabs>
      </w:pPr>
    </w:p>
    <w:p w14:paraId="0993DCFD" w14:textId="60314828" w:rsidR="00CE3410" w:rsidRDefault="00BA381B" w:rsidP="00ED256D">
      <w:pPr>
        <w:tabs>
          <w:tab w:val="left" w:pos="6749"/>
        </w:tabs>
      </w:pPr>
      <w:r>
        <w:lastRenderedPageBreak/>
        <w:t xml:space="preserve">Another case that shows whether statutory interpretation makes great law is </w:t>
      </w:r>
      <w:r w:rsidR="00205DF9">
        <w:t xml:space="preserve">Interpretating </w:t>
      </w:r>
      <w:r w:rsidR="00E76D8A">
        <w:t>Parliamentary</w:t>
      </w:r>
      <w:r w:rsidR="00205DF9">
        <w:t xml:space="preserve"> </w:t>
      </w:r>
      <w:r w:rsidR="002F69D4">
        <w:t xml:space="preserve">(2020) that </w:t>
      </w:r>
      <w:r w:rsidR="003F5AE8">
        <w:t xml:space="preserve">the problems are </w:t>
      </w:r>
      <w:r w:rsidR="00E76D8A">
        <w:t xml:space="preserve">arguments of legislation </w:t>
      </w:r>
      <w:r w:rsidR="00DF3954">
        <w:t xml:space="preserve">inaction </w:t>
      </w:r>
      <w:r w:rsidR="003F5AE8">
        <w:t xml:space="preserve">which </w:t>
      </w:r>
      <w:r w:rsidR="00DF3954">
        <w:t xml:space="preserve">lead to parliament refraining from revising </w:t>
      </w:r>
      <w:r w:rsidR="007A35B4">
        <w:t>long term judicial interpretation</w:t>
      </w:r>
      <w:r w:rsidR="003F5AE8">
        <w:t xml:space="preserve"> (</w:t>
      </w:r>
      <w:r w:rsidR="000C41E7">
        <w:t xml:space="preserve">Diggery B, 2020). </w:t>
      </w:r>
    </w:p>
    <w:p w14:paraId="57CC8E4F" w14:textId="7D2C48DD" w:rsidR="00ED256D" w:rsidRDefault="00C07422" w:rsidP="00ED256D">
      <w:pPr>
        <w:tabs>
          <w:tab w:val="left" w:pos="6749"/>
        </w:tabs>
        <w:rPr>
          <w:u w:val="single"/>
        </w:rPr>
      </w:pPr>
      <w:r w:rsidRPr="00345D34">
        <w:t xml:space="preserve">The purposive approach </w:t>
      </w:r>
      <w:r w:rsidR="00E00CB8">
        <w:t>also known</w:t>
      </w:r>
      <w:r w:rsidRPr="00345D34">
        <w:t xml:space="preserve"> as the </w:t>
      </w:r>
      <w:r w:rsidR="00187FA8" w:rsidRPr="00345D34">
        <w:t xml:space="preserve">purposive </w:t>
      </w:r>
      <w:r w:rsidR="000D0CD2" w:rsidRPr="00345D34">
        <w:t>construction</w:t>
      </w:r>
      <w:r w:rsidR="00187FA8" w:rsidRPr="00345D34">
        <w:t xml:space="preserve"> is </w:t>
      </w:r>
      <w:r w:rsidR="00345D34" w:rsidRPr="00345D34">
        <w:t>an</w:t>
      </w:r>
      <w:r w:rsidR="00187FA8" w:rsidRPr="00345D34">
        <w:t xml:space="preserve"> approach in statutory interpretation</w:t>
      </w:r>
      <w:r w:rsidR="000D0CD2" w:rsidRPr="00345D34">
        <w:t xml:space="preserve"> &amp; constitutional interpretation is </w:t>
      </w:r>
      <w:r w:rsidR="00187FA8" w:rsidRPr="00345D34">
        <w:t xml:space="preserve">used to </w:t>
      </w:r>
      <w:r w:rsidR="00345D34" w:rsidRPr="00345D34">
        <w:t xml:space="preserve">interpret enactments to identify </w:t>
      </w:r>
      <w:r w:rsidR="00D81F8E">
        <w:t>their</w:t>
      </w:r>
      <w:r w:rsidR="00345D34" w:rsidRPr="00345D34">
        <w:t xml:space="preserve"> purpose of enactment</w:t>
      </w:r>
      <w:r w:rsidR="001F578D">
        <w:t xml:space="preserve"> </w:t>
      </w:r>
      <w:r w:rsidR="00850CF9">
        <w:t xml:space="preserve">(LegalAdviceIndia, </w:t>
      </w:r>
      <w:r w:rsidR="00110A50">
        <w:t>2021)</w:t>
      </w:r>
      <w:r w:rsidR="00345D34" w:rsidRPr="00345D34">
        <w:t xml:space="preserve">. </w:t>
      </w:r>
      <w:r w:rsidR="00510B25" w:rsidRPr="00345D34">
        <w:t>Its</w:t>
      </w:r>
      <w:r w:rsidR="00345D34" w:rsidRPr="00345D34">
        <w:t xml:space="preserve"> </w:t>
      </w:r>
      <w:r w:rsidR="00345D34">
        <w:t xml:space="preserve">tactic is to reflect on the approach to </w:t>
      </w:r>
      <w:r w:rsidR="009E761C">
        <w:t>using Heydon’s case (1584)</w:t>
      </w:r>
      <w:r w:rsidR="00DA2590">
        <w:t>,</w:t>
      </w:r>
      <w:r w:rsidR="009E761C">
        <w:t xml:space="preserve"> where </w:t>
      </w:r>
      <w:r w:rsidR="008B7376">
        <w:t>the rules display</w:t>
      </w:r>
      <w:r w:rsidR="00DA2590">
        <w:t xml:space="preserve"> the</w:t>
      </w:r>
      <w:r w:rsidR="008B7376">
        <w:t xml:space="preserve"> process </w:t>
      </w:r>
      <w:r w:rsidR="00D81F8E">
        <w:t>of</w:t>
      </w:r>
      <w:r w:rsidR="008B7376">
        <w:t xml:space="preserve"> determining the validity of a leas</w:t>
      </w:r>
      <w:r w:rsidR="00DA2590">
        <w:t>e</w:t>
      </w:r>
      <w:r w:rsidR="008B7376">
        <w:t xml:space="preserve"> in courts using the approach of the mischief rule. </w:t>
      </w:r>
      <w:r w:rsidR="006A2353">
        <w:t xml:space="preserve">This case was the first and arguably the most effective rule used in the court system due to </w:t>
      </w:r>
      <w:r w:rsidR="00F70EFD">
        <w:t>its</w:t>
      </w:r>
      <w:r w:rsidR="006A2353">
        <w:t xml:space="preserve"> </w:t>
      </w:r>
      <w:r w:rsidR="00F70EFD">
        <w:t>flexibility</w:t>
      </w:r>
      <w:r w:rsidR="006A2353">
        <w:t xml:space="preserve"> </w:t>
      </w:r>
      <w:r w:rsidR="00F70EFD">
        <w:t xml:space="preserve">as it requires judges to examine errors and gaps within the law. </w:t>
      </w:r>
      <w:r w:rsidR="0053142C">
        <w:t>The disadvantage of the purposive approach is judges infringe on the separation of the powers Act</w:t>
      </w:r>
      <w:r w:rsidR="004E083A">
        <w:t xml:space="preserve"> along with </w:t>
      </w:r>
      <w:r w:rsidR="00BC0913">
        <w:t xml:space="preserve">no scope for judges </w:t>
      </w:r>
      <w:r w:rsidR="00D81F8E">
        <w:t>to be</w:t>
      </w:r>
      <w:r w:rsidR="00C377F7">
        <w:t xml:space="preserve"> </w:t>
      </w:r>
      <w:r w:rsidR="00BC0913">
        <w:t>bias</w:t>
      </w:r>
      <w:r w:rsidR="00C377F7">
        <w:t>ed</w:t>
      </w:r>
      <w:r w:rsidR="00524BB6">
        <w:t xml:space="preserve"> (GetRevising, 2015)</w:t>
      </w:r>
      <w:r w:rsidR="00BC0913">
        <w:t xml:space="preserve"> </w:t>
      </w:r>
    </w:p>
    <w:p w14:paraId="1F700C99" w14:textId="30755A82" w:rsidR="00FD45DD" w:rsidRDefault="00905874" w:rsidP="00ED256D">
      <w:pPr>
        <w:tabs>
          <w:tab w:val="left" w:pos="6749"/>
        </w:tabs>
      </w:pPr>
      <w:r>
        <w:t xml:space="preserve"> </w:t>
      </w:r>
    </w:p>
    <w:p w14:paraId="5FF04282" w14:textId="77777777" w:rsidR="00E0617F" w:rsidRDefault="00E0617F"/>
    <w:p w14:paraId="7B47741B" w14:textId="77777777" w:rsidR="00500107" w:rsidRDefault="00500107"/>
    <w:p w14:paraId="3AF408EB" w14:textId="4CBC77D9" w:rsidR="0071508E" w:rsidRDefault="00392CA1">
      <w:r>
        <w:t xml:space="preserve">Should the </w:t>
      </w:r>
      <w:r w:rsidR="00B1201F">
        <w:t>lawmakers</w:t>
      </w:r>
      <w:r>
        <w:t xml:space="preserve"> be clearer in expressing their intentions via statute?</w:t>
      </w:r>
      <w:r w:rsidR="00E56106">
        <w:t xml:space="preserve"> </w:t>
      </w:r>
      <w:r w:rsidR="00B1201F">
        <w:t>Lawmakers</w:t>
      </w:r>
      <w:r w:rsidR="00432A48">
        <w:t xml:space="preserve"> are the embodiment of forming the law as they challenge and debate </w:t>
      </w:r>
      <w:r w:rsidR="001B3A98">
        <w:t xml:space="preserve">statutes when used in the real world. </w:t>
      </w:r>
      <w:r w:rsidR="00B1201F">
        <w:t>Lawmakers</w:t>
      </w:r>
      <w:r w:rsidR="007902E1">
        <w:t xml:space="preserve"> must go through the first reading, second reading, committee stage, report stage, third reading, consideration of amendments and final stage royal assent</w:t>
      </w:r>
      <w:r w:rsidR="004E7B8C">
        <w:t xml:space="preserve"> which is a long process </w:t>
      </w:r>
      <w:r w:rsidR="00AA0BC4">
        <w:t>that makes changes throughout each stage (UK Parliament, 2020)</w:t>
      </w:r>
      <w:r w:rsidR="007902E1">
        <w:t>. In these stages</w:t>
      </w:r>
      <w:r w:rsidR="00B1201F">
        <w:t>,</w:t>
      </w:r>
      <w:r w:rsidR="00DC7C67">
        <w:t xml:space="preserve"> the </w:t>
      </w:r>
      <w:r w:rsidR="00B1201F">
        <w:t>lawmakers</w:t>
      </w:r>
      <w:r w:rsidR="0062350A">
        <w:t xml:space="preserve"> must be clear in expressing their intentions as the statute will attract cases which cannot be applied to. Reflecting on </w:t>
      </w:r>
      <w:r w:rsidR="00695ABF">
        <w:t xml:space="preserve">the </w:t>
      </w:r>
      <w:r w:rsidR="0062350A">
        <w:t xml:space="preserve">literal rule, mischief rules and </w:t>
      </w:r>
      <w:r w:rsidR="00B1201F">
        <w:t xml:space="preserve">the </w:t>
      </w:r>
      <w:r w:rsidR="0062350A">
        <w:t xml:space="preserve">golden rule, it suggests </w:t>
      </w:r>
      <w:r w:rsidR="00B1201F">
        <w:t>lawmakers</w:t>
      </w:r>
      <w:r w:rsidR="0062350A">
        <w:t xml:space="preserve"> make it difficult in making the statute fit under all categories of incidents. </w:t>
      </w:r>
      <w:r w:rsidR="00B1201F">
        <w:t>Lawmakers'</w:t>
      </w:r>
      <w:r w:rsidR="00BF21DF">
        <w:t xml:space="preserve"> </w:t>
      </w:r>
      <w:r w:rsidR="00B1201F">
        <w:t>option</w:t>
      </w:r>
      <w:r w:rsidR="00160BE0">
        <w:t xml:space="preserve"> </w:t>
      </w:r>
      <w:r w:rsidR="00B1201F">
        <w:t>for</w:t>
      </w:r>
      <w:r w:rsidR="00160BE0">
        <w:t xml:space="preserve"> amending bills is to change what is stated under the bills. </w:t>
      </w:r>
      <w:r w:rsidR="00D93F02">
        <w:t>This is where a publishing group comes together to give thoughts and suggestions about a changed bill</w:t>
      </w:r>
      <w:r w:rsidR="00084B4D">
        <w:t>.</w:t>
      </w:r>
      <w:r w:rsidR="000A0374">
        <w:t xml:space="preserve"> This process </w:t>
      </w:r>
      <w:r w:rsidR="00B1201F">
        <w:t>suggests</w:t>
      </w:r>
      <w:r w:rsidR="00136641">
        <w:t xml:space="preserve"> </w:t>
      </w:r>
      <w:r w:rsidR="00B1201F">
        <w:t>that</w:t>
      </w:r>
      <w:r w:rsidR="000A0374">
        <w:t xml:space="preserve"> </w:t>
      </w:r>
      <w:r w:rsidR="00B1201F">
        <w:t>lawmakers</w:t>
      </w:r>
      <w:r w:rsidR="000A0374">
        <w:t xml:space="preserve"> </w:t>
      </w:r>
      <w:r w:rsidR="00D12776">
        <w:t>are clear</w:t>
      </w:r>
      <w:r w:rsidR="00136641">
        <w:t xml:space="preserve"> in expressing their intentions via statute as they have multiple opinions regarding a pending changed bill.</w:t>
      </w:r>
      <w:r w:rsidR="00E00CB8">
        <w:t xml:space="preserve"> These</w:t>
      </w:r>
      <w:r w:rsidR="002728A3">
        <w:t xml:space="preserve"> opinions, </w:t>
      </w:r>
      <w:r w:rsidR="001319A5">
        <w:t>allow</w:t>
      </w:r>
      <w:r w:rsidR="002728A3">
        <w:t xml:space="preserve"> </w:t>
      </w:r>
      <w:r w:rsidR="00753218">
        <w:t>nonbiased</w:t>
      </w:r>
      <w:r w:rsidR="002728A3">
        <w:t xml:space="preserve"> parties to make decisions based on a population vote rather than opinionated votes. </w:t>
      </w:r>
      <w:r w:rsidR="004F2E7C">
        <w:t>Also,</w:t>
      </w:r>
      <w:r w:rsidR="00084B4D">
        <w:t xml:space="preserve"> </w:t>
      </w:r>
      <w:r w:rsidR="004F2E7C">
        <w:t>statutory interpretation i</w:t>
      </w:r>
      <w:r w:rsidR="009E1F30">
        <w:t>nterprets the law simply by expressing them in ordinary</w:t>
      </w:r>
      <w:r w:rsidR="004F2E7C">
        <w:t xml:space="preserve"> words</w:t>
      </w:r>
      <w:r w:rsidR="009E1F30">
        <w:t xml:space="preserve"> and </w:t>
      </w:r>
      <w:r w:rsidR="001319A5">
        <w:t xml:space="preserve">in </w:t>
      </w:r>
      <w:r w:rsidR="009E1F30">
        <w:t>simplistic way</w:t>
      </w:r>
      <w:r w:rsidR="004F2E7C">
        <w:t>s</w:t>
      </w:r>
      <w:r w:rsidR="009E1F30">
        <w:t xml:space="preserve"> possible through the rules</w:t>
      </w:r>
      <w:r w:rsidR="005603FC">
        <w:t xml:space="preserve">. </w:t>
      </w:r>
    </w:p>
    <w:p w14:paraId="7BF25758" w14:textId="4461D1BB" w:rsidR="00B13343" w:rsidRDefault="00B13343"/>
    <w:p w14:paraId="0F602121" w14:textId="2BD87E01" w:rsidR="00DB5A43" w:rsidRDefault="00DB5A43"/>
    <w:p w14:paraId="618985C3" w14:textId="77777777" w:rsidR="005E1121" w:rsidRDefault="005E1121"/>
    <w:p w14:paraId="49275616" w14:textId="19E5E6DE" w:rsidR="00683817" w:rsidRDefault="00683817" w:rsidP="00AE468E">
      <w:pPr>
        <w:tabs>
          <w:tab w:val="left" w:pos="1149"/>
        </w:tabs>
      </w:pPr>
    </w:p>
    <w:p w14:paraId="634D73B9" w14:textId="77777777" w:rsidR="009316CA" w:rsidRDefault="009316CA" w:rsidP="00683817"/>
    <w:p w14:paraId="55062A26" w14:textId="77777777" w:rsidR="00E96D59" w:rsidRDefault="00E96D59" w:rsidP="00683817"/>
    <w:p w14:paraId="48CDD838" w14:textId="77777777" w:rsidR="009316CA" w:rsidRDefault="009316CA" w:rsidP="00683817"/>
    <w:p w14:paraId="28D9A11B" w14:textId="77777777" w:rsidR="00DD2C23" w:rsidRDefault="00DD2C23" w:rsidP="00683817"/>
    <w:p w14:paraId="4D31CC70" w14:textId="77777777" w:rsidR="00DD2C23" w:rsidRDefault="00DD2C23" w:rsidP="00683817"/>
    <w:p w14:paraId="6E5E35F2" w14:textId="77777777" w:rsidR="00DD2C23" w:rsidRDefault="00DD2C23" w:rsidP="00683817"/>
    <w:p w14:paraId="0A47972C" w14:textId="77777777" w:rsidR="00DD2C23" w:rsidRDefault="00DD2C23" w:rsidP="00683817"/>
    <w:p w14:paraId="0509DCEA" w14:textId="77777777" w:rsidR="00DD2C23" w:rsidRDefault="00DD2C23" w:rsidP="00683817"/>
    <w:p w14:paraId="1734DA6E" w14:textId="77777777" w:rsidR="0037699C" w:rsidRDefault="0037699C" w:rsidP="00683817"/>
    <w:p w14:paraId="2D5974E7" w14:textId="77777777" w:rsidR="0037699C" w:rsidRDefault="0037699C" w:rsidP="00683817"/>
    <w:p w14:paraId="38A496A4" w14:textId="77777777" w:rsidR="0037699C" w:rsidRDefault="0037699C" w:rsidP="00683817"/>
    <w:p w14:paraId="2A79D9E8" w14:textId="77777777" w:rsidR="00DD2C23" w:rsidRDefault="00DD2C23" w:rsidP="00683817"/>
    <w:p w14:paraId="15B61A46" w14:textId="77777777" w:rsidR="00683817" w:rsidRDefault="00683817" w:rsidP="00683817">
      <w:pPr>
        <w:tabs>
          <w:tab w:val="left" w:pos="1149"/>
        </w:tabs>
      </w:pPr>
    </w:p>
    <w:sdt>
      <w:sdtPr>
        <w:id w:val="149776539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4"/>
          <w:lang w:val="en-GB" w:bidi="ar-SA"/>
        </w:rPr>
      </w:sdtEndPr>
      <w:sdtContent>
        <w:p w14:paraId="1380A247" w14:textId="7A04C76E" w:rsidR="00C01024" w:rsidRDefault="00C01024">
          <w:pPr>
            <w:pStyle w:val="Heading1"/>
          </w:pPr>
          <w:r>
            <w:t>Reference List</w:t>
          </w:r>
        </w:p>
        <w:p w14:paraId="360B5855" w14:textId="77777777" w:rsidR="00B510E8" w:rsidRDefault="00C01024" w:rsidP="00B510E8">
          <w:pPr>
            <w:pStyle w:val="Bibliography"/>
            <w:rPr>
              <w:noProof/>
              <w:lang w:val="en-US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 w:rsidR="00B510E8">
            <w:rPr>
              <w:i/>
              <w:iCs/>
              <w:noProof/>
              <w:lang w:val="en-US"/>
            </w:rPr>
            <w:t xml:space="preserve">Adler v George 2 QB 7 </w:t>
          </w:r>
          <w:r w:rsidR="00B510E8">
            <w:rPr>
              <w:noProof/>
              <w:lang w:val="en-US"/>
            </w:rPr>
            <w:t xml:space="preserve">(1964). </w:t>
          </w:r>
        </w:p>
        <w:p w14:paraId="6C488713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Agarwal, R., 2021. </w:t>
          </w:r>
          <w:r>
            <w:rPr>
              <w:i/>
              <w:iCs/>
              <w:noProof/>
              <w:lang w:val="en-US"/>
            </w:rPr>
            <w:t xml:space="preserve">Legal Service India.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http://www.legalservicesindia.com/article/1223/Interpretation-of-Statutes---The-Purposive-Approach.html</w:t>
          </w:r>
          <w:r>
            <w:rPr>
              <w:noProof/>
              <w:lang w:val="en-US"/>
            </w:rPr>
            <w:br/>
            <w:t>[Accessed 30th April 2022].</w:t>
          </w:r>
        </w:p>
        <w:p w14:paraId="3572C7B5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Alison.com, no date. </w:t>
          </w:r>
          <w:r>
            <w:rPr>
              <w:i/>
              <w:iCs/>
              <w:noProof/>
              <w:lang w:val="en-US"/>
            </w:rPr>
            <w:t xml:space="preserve">Alison.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https://alison.com/course/1244/resource/file/resource_39-14896844291768952309.pdf</w:t>
          </w:r>
          <w:r>
            <w:rPr>
              <w:noProof/>
              <w:lang w:val="en-US"/>
            </w:rPr>
            <w:br/>
            <w:t>[Accessed 30th April 2022].</w:t>
          </w:r>
        </w:p>
        <w:p w14:paraId="0F644280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Bailey, D., 2020. Interpreting Parliamentary Inaction. </w:t>
          </w:r>
          <w:r>
            <w:rPr>
              <w:i/>
              <w:iCs/>
              <w:noProof/>
              <w:lang w:val="en-US"/>
            </w:rPr>
            <w:t xml:space="preserve">The Cambridge Law Journal, </w:t>
          </w:r>
          <w:r>
            <w:rPr>
              <w:noProof/>
              <w:lang w:val="en-US"/>
            </w:rPr>
            <w:t>79(2), p. 246.</w:t>
          </w:r>
        </w:p>
        <w:p w14:paraId="1457D084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Carter, R., 2021. Interpretation Acts- Are They, and (How) Do They Make for, Great Law. </w:t>
          </w:r>
          <w:r>
            <w:rPr>
              <w:i/>
              <w:iCs/>
              <w:noProof/>
              <w:lang w:val="en-US"/>
            </w:rPr>
            <w:t xml:space="preserve">Statute Law Review, </w:t>
          </w:r>
          <w:r>
            <w:rPr>
              <w:noProof/>
              <w:lang w:val="en-US"/>
            </w:rPr>
            <w:t>43(1), p. 122.</w:t>
          </w:r>
        </w:p>
        <w:p w14:paraId="07E70B48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Dosanjh, J., 2020. </w:t>
          </w:r>
          <w:r>
            <w:rPr>
              <w:i/>
              <w:iCs/>
              <w:noProof/>
              <w:lang w:val="en-US"/>
            </w:rPr>
            <w:t xml:space="preserve">LexLaw.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https://lexlaw.co.uk/solicitors-london/the-doctrine-of-legal-precedent-when-is-a-court-decision-binding/</w:t>
          </w:r>
          <w:r>
            <w:rPr>
              <w:noProof/>
              <w:lang w:val="en-US"/>
            </w:rPr>
            <w:br/>
            <w:t>[Accessed 30th April 2022].</w:t>
          </w:r>
        </w:p>
        <w:p w14:paraId="45A88CE4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e-lawresources, 2020. </w:t>
          </w:r>
          <w:r>
            <w:rPr>
              <w:i/>
              <w:iCs/>
              <w:noProof/>
              <w:lang w:val="en-US"/>
            </w:rPr>
            <w:t xml:space="preserve">e-lawresources.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http://www.e-lawresources.co.uk/Golden-rule.php</w:t>
          </w:r>
          <w:r>
            <w:rPr>
              <w:noProof/>
              <w:lang w:val="en-US"/>
            </w:rPr>
            <w:br/>
            <w:t>[Accessed 30th April 2022].</w:t>
          </w:r>
        </w:p>
        <w:p w14:paraId="6E31E875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e-lawresources, 2020. </w:t>
          </w:r>
          <w:r>
            <w:rPr>
              <w:i/>
              <w:iCs/>
              <w:noProof/>
              <w:lang w:val="en-US"/>
            </w:rPr>
            <w:t xml:space="preserve">e-lawresources.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http://www.e-lawresources.co.uk/Mischief-rule.php</w:t>
          </w:r>
          <w:r>
            <w:rPr>
              <w:noProof/>
              <w:lang w:val="en-US"/>
            </w:rPr>
            <w:br/>
            <w:t>[Accessed 30th April 2022].</w:t>
          </w:r>
        </w:p>
        <w:p w14:paraId="0BAFC459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e-lawresources, 2020. </w:t>
          </w:r>
          <w:r>
            <w:rPr>
              <w:i/>
              <w:iCs/>
              <w:noProof/>
              <w:lang w:val="en-US"/>
            </w:rPr>
            <w:t xml:space="preserve">e-lawresources.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http://www.e-lawresources.co.uk/Literal-rule.php</w:t>
          </w:r>
          <w:r>
            <w:rPr>
              <w:noProof/>
              <w:lang w:val="en-US"/>
            </w:rPr>
            <w:br/>
            <w:t>[Accessed 30th April 2022].</w:t>
          </w:r>
        </w:p>
        <w:p w14:paraId="710C36E9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i/>
              <w:iCs/>
              <w:noProof/>
              <w:lang w:val="en-US"/>
            </w:rPr>
            <w:t xml:space="preserve">Heydon's Case EWHC Exch J36 </w:t>
          </w:r>
          <w:r>
            <w:rPr>
              <w:noProof/>
              <w:lang w:val="en-US"/>
            </w:rPr>
            <w:t xml:space="preserve">(1584). </w:t>
          </w:r>
        </w:p>
        <w:p w14:paraId="7CA38BC4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Hutchison, C., 2017. </w:t>
          </w:r>
          <w:r>
            <w:rPr>
              <w:i/>
              <w:iCs/>
              <w:noProof/>
              <w:lang w:val="en-US"/>
            </w:rPr>
            <w:t xml:space="preserve">Slaw.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http://www.slaw.ca/2017/07/11/the-three-reasons-why-statutes-require-interpretation-using-ip-examples/</w:t>
          </w:r>
          <w:r>
            <w:rPr>
              <w:noProof/>
              <w:lang w:val="en-US"/>
            </w:rPr>
            <w:br/>
            <w:t>[Accessed 30th April 2022].</w:t>
          </w:r>
        </w:p>
        <w:p w14:paraId="2935D99D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J., P., 2022. </w:t>
          </w:r>
          <w:r>
            <w:rPr>
              <w:i/>
              <w:iCs/>
              <w:noProof/>
              <w:lang w:val="en-US"/>
            </w:rPr>
            <w:t xml:space="preserve">MyTutor.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https://www.mytutor.co.uk/answers/45935/A-Level/Law/Explain-the-different-types-of-judicial-precedent/</w:t>
          </w:r>
          <w:r>
            <w:rPr>
              <w:noProof/>
              <w:lang w:val="en-US"/>
            </w:rPr>
            <w:br/>
            <w:t>[Accessed 30th April 2022].</w:t>
          </w:r>
        </w:p>
        <w:p w14:paraId="11EA15CF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i/>
              <w:iCs/>
              <w:noProof/>
              <w:lang w:val="en-US"/>
            </w:rPr>
            <w:t xml:space="preserve">Kirkbi AG v. Ritvik holdings Inc. </w:t>
          </w:r>
          <w:r>
            <w:rPr>
              <w:noProof/>
              <w:lang w:val="en-US"/>
            </w:rPr>
            <w:t xml:space="preserve">(2005). </w:t>
          </w:r>
        </w:p>
        <w:p w14:paraId="5C535B66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Laver, N., no date. </w:t>
          </w:r>
          <w:r>
            <w:rPr>
              <w:i/>
              <w:iCs/>
              <w:noProof/>
              <w:lang w:val="en-US"/>
            </w:rPr>
            <w:t xml:space="preserve">Inbrief.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https://www.inbrief.co.uk/legal-system/statutory-interpretation/</w:t>
          </w:r>
          <w:r>
            <w:rPr>
              <w:noProof/>
              <w:lang w:val="en-US"/>
            </w:rPr>
            <w:br/>
            <w:t>[Accessed 30th April 2022].</w:t>
          </w:r>
        </w:p>
        <w:p w14:paraId="04E6308D" w14:textId="77777777" w:rsidR="00B510E8" w:rsidRDefault="00B510E8" w:rsidP="00B510E8">
          <w:pPr>
            <w:pStyle w:val="Bibliography"/>
            <w:rPr>
              <w:noProof/>
            </w:rPr>
          </w:pPr>
          <w:r>
            <w:rPr>
              <w:noProof/>
            </w:rPr>
            <w:t xml:space="preserve">Legislation.gov, 2020. </w:t>
          </w:r>
          <w:r>
            <w:rPr>
              <w:i/>
              <w:iCs/>
              <w:noProof/>
            </w:rPr>
            <w:t xml:space="preserve">Legislation.gov.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https://www.legislation.gov.uk/ukpga/1988/33/section/139</w:t>
          </w:r>
          <w:r>
            <w:rPr>
              <w:noProof/>
            </w:rPr>
            <w:br/>
            <w:t>[Accessed 30th April 2022].</w:t>
          </w:r>
        </w:p>
        <w:p w14:paraId="0DE13232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i/>
              <w:iCs/>
              <w:noProof/>
              <w:lang w:val="en-US"/>
            </w:rPr>
            <w:t xml:space="preserve">London and North Eastern Railway v Berriman </w:t>
          </w:r>
          <w:r>
            <w:rPr>
              <w:noProof/>
              <w:lang w:val="en-US"/>
            </w:rPr>
            <w:t xml:space="preserve">(1946). </w:t>
          </w:r>
        </w:p>
        <w:p w14:paraId="134F58A5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lastRenderedPageBreak/>
            <w:t xml:space="preserve">Louise, C., 2015. </w:t>
          </w:r>
          <w:r>
            <w:rPr>
              <w:i/>
              <w:iCs/>
              <w:noProof/>
              <w:lang w:val="en-US"/>
            </w:rPr>
            <w:t xml:space="preserve">Get Revising.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https://getrevising.co.uk/grids/statutory-interpretation</w:t>
          </w:r>
          <w:r>
            <w:rPr>
              <w:noProof/>
              <w:lang w:val="en-US"/>
            </w:rPr>
            <w:br/>
            <w:t>[Accessed 30th April 2022].</w:t>
          </w:r>
        </w:p>
        <w:p w14:paraId="6608796C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Nadin, M., 2011. </w:t>
          </w:r>
          <w:r>
            <w:rPr>
              <w:i/>
              <w:iCs/>
              <w:noProof/>
              <w:lang w:val="en-US"/>
            </w:rPr>
            <w:t xml:space="preserve">dfalaw.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https://www.dfalaw.co.uk/change-of-circumstances-creates-misrepresentation/</w:t>
          </w:r>
          <w:r>
            <w:rPr>
              <w:noProof/>
              <w:lang w:val="en-US"/>
            </w:rPr>
            <w:br/>
            <w:t>[Accessed 30th April 2022].</w:t>
          </w:r>
        </w:p>
        <w:p w14:paraId="6E270903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Office, C., 2013. </w:t>
          </w:r>
          <w:r>
            <w:rPr>
              <w:i/>
              <w:iCs/>
              <w:noProof/>
              <w:lang w:val="en-US"/>
            </w:rPr>
            <w:t xml:space="preserve">GOV.UK.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https://www.gov.uk/guidance/legislative-process-taking-a-bill-through-parliament</w:t>
          </w:r>
          <w:r>
            <w:rPr>
              <w:noProof/>
              <w:lang w:val="en-US"/>
            </w:rPr>
            <w:br/>
            <w:t>[Accessed 30th April 2022].</w:t>
          </w:r>
        </w:p>
        <w:p w14:paraId="6A919DB1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Parliament, U., 2020. </w:t>
          </w:r>
          <w:r>
            <w:rPr>
              <w:i/>
              <w:iCs/>
              <w:noProof/>
              <w:lang w:val="en-US"/>
            </w:rPr>
            <w:t xml:space="preserve">UK Parliament.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https://www.parliament.uk/business/lords/work-of-the-house-of-lords/making-laws/</w:t>
          </w:r>
          <w:r>
            <w:rPr>
              <w:noProof/>
              <w:lang w:val="en-US"/>
            </w:rPr>
            <w:br/>
            <w:t>[Accessed 30th April 2022].</w:t>
          </w:r>
        </w:p>
        <w:p w14:paraId="6F5B74D3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Parliament, U., 2021. </w:t>
          </w:r>
          <w:r>
            <w:rPr>
              <w:i/>
              <w:iCs/>
              <w:noProof/>
              <w:lang w:val="en-US"/>
            </w:rPr>
            <w:t xml:space="preserve">UK Parliament- Parliamentary Bills.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https://bills.parliament.uk/bills/2731</w:t>
          </w:r>
          <w:r>
            <w:rPr>
              <w:noProof/>
              <w:lang w:val="en-US"/>
            </w:rPr>
            <w:br/>
            <w:t>[Accessed 30th April 2022].</w:t>
          </w:r>
        </w:p>
        <w:p w14:paraId="229DC794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Parliament, U., 2022. </w:t>
          </w:r>
          <w:r>
            <w:rPr>
              <w:i/>
              <w:iCs/>
              <w:noProof/>
              <w:lang w:val="en-US"/>
            </w:rPr>
            <w:t xml:space="preserve">UK Parliament.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https://www.parliament.uk/site-information/glossary/legislation/</w:t>
          </w:r>
          <w:r>
            <w:rPr>
              <w:noProof/>
              <w:lang w:val="en-US"/>
            </w:rPr>
            <w:br/>
            <w:t>[Accessed 30th April 2022].</w:t>
          </w:r>
        </w:p>
        <w:p w14:paraId="19FE353C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PearsonHigherEd, no date. </w:t>
          </w:r>
          <w:r>
            <w:rPr>
              <w:i/>
              <w:iCs/>
              <w:noProof/>
              <w:lang w:val="en-US"/>
            </w:rPr>
            <w:t xml:space="preserve">PearsonHigherEd.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https://www.pearsonhighered.com/assets/samplechapter/e/l/s/c/ELS_C%20and%20M_Chap%203.pdf</w:t>
          </w:r>
          <w:r>
            <w:rPr>
              <w:noProof/>
              <w:lang w:val="en-US"/>
            </w:rPr>
            <w:br/>
            <w:t>[Accessed 30th April 2022].</w:t>
          </w:r>
        </w:p>
        <w:p w14:paraId="484D08AD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i/>
              <w:iCs/>
              <w:noProof/>
              <w:lang w:val="en-US"/>
            </w:rPr>
            <w:t xml:space="preserve">R v Allen LR 1 CCR 367 </w:t>
          </w:r>
          <w:r>
            <w:rPr>
              <w:noProof/>
              <w:lang w:val="en-US"/>
            </w:rPr>
            <w:t xml:space="preserve">(1872). </w:t>
          </w:r>
        </w:p>
        <w:p w14:paraId="4E52B26F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i/>
              <w:iCs/>
              <w:noProof/>
              <w:lang w:val="en-US"/>
            </w:rPr>
            <w:t xml:space="preserve">R v Maginnis AC 303 </w:t>
          </w:r>
          <w:r>
            <w:rPr>
              <w:noProof/>
              <w:lang w:val="en-US"/>
            </w:rPr>
            <w:t xml:space="preserve">(1987). </w:t>
          </w:r>
        </w:p>
        <w:p w14:paraId="55942124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School, C. L., 2020. </w:t>
          </w:r>
          <w:r>
            <w:rPr>
              <w:i/>
              <w:iCs/>
              <w:noProof/>
              <w:lang w:val="en-US"/>
            </w:rPr>
            <w:t xml:space="preserve">Cornell Law School.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https://www.law.cornell.edu/wex/precedent</w:t>
          </w:r>
          <w:r>
            <w:rPr>
              <w:noProof/>
              <w:lang w:val="en-US"/>
            </w:rPr>
            <w:br/>
            <w:t>[Accessed 30th April 2022].</w:t>
          </w:r>
        </w:p>
        <w:p w14:paraId="2EC85399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i/>
              <w:iCs/>
              <w:noProof/>
              <w:lang w:val="en-US"/>
            </w:rPr>
            <w:t xml:space="preserve">Smith v Hughes 1 WLR 830 </w:t>
          </w:r>
          <w:r>
            <w:rPr>
              <w:noProof/>
              <w:lang w:val="en-US"/>
            </w:rPr>
            <w:t xml:space="preserve">(1960). </w:t>
          </w:r>
        </w:p>
        <w:p w14:paraId="563BCF2D" w14:textId="77777777" w:rsidR="00B510E8" w:rsidRDefault="00B510E8" w:rsidP="00B510E8">
          <w:pPr>
            <w:pStyle w:val="Bibliography"/>
            <w:rPr>
              <w:noProof/>
              <w:lang w:val="en-US"/>
            </w:rPr>
          </w:pPr>
          <w:r>
            <w:rPr>
              <w:i/>
              <w:iCs/>
              <w:noProof/>
              <w:lang w:val="en-US"/>
            </w:rPr>
            <w:t xml:space="preserve">Young v. Bristol Aeroplane Co. </w:t>
          </w:r>
          <w:r>
            <w:rPr>
              <w:noProof/>
              <w:lang w:val="en-US"/>
            </w:rPr>
            <w:t xml:space="preserve">(1944). </w:t>
          </w:r>
        </w:p>
        <w:p w14:paraId="48DE3A7C" w14:textId="63E812E4" w:rsidR="00C01024" w:rsidRDefault="00C01024" w:rsidP="00B510E8">
          <w:r>
            <w:rPr>
              <w:b/>
              <w:bCs/>
            </w:rPr>
            <w:fldChar w:fldCharType="end"/>
          </w:r>
        </w:p>
      </w:sdtContent>
    </w:sdt>
    <w:p w14:paraId="6EBB5E7D" w14:textId="77777777" w:rsidR="00C65A29" w:rsidRPr="00683817" w:rsidRDefault="00C65A29" w:rsidP="00683817">
      <w:pPr>
        <w:tabs>
          <w:tab w:val="left" w:pos="1149"/>
        </w:tabs>
      </w:pPr>
    </w:p>
    <w:sectPr w:rsidR="00C65A29" w:rsidRPr="00683817" w:rsidSect="00C0102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EE2683"/>
    <w:multiLevelType w:val="hybridMultilevel"/>
    <w:tmpl w:val="E35003B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215650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394F"/>
    <w:rsid w:val="00002F69"/>
    <w:rsid w:val="000047A1"/>
    <w:rsid w:val="00004B08"/>
    <w:rsid w:val="00011FD6"/>
    <w:rsid w:val="0003396C"/>
    <w:rsid w:val="00043BF0"/>
    <w:rsid w:val="000472B8"/>
    <w:rsid w:val="0005663E"/>
    <w:rsid w:val="00056DAF"/>
    <w:rsid w:val="00063C1D"/>
    <w:rsid w:val="000662C1"/>
    <w:rsid w:val="0007185C"/>
    <w:rsid w:val="000719D2"/>
    <w:rsid w:val="00071CA8"/>
    <w:rsid w:val="000730F4"/>
    <w:rsid w:val="00075640"/>
    <w:rsid w:val="00084870"/>
    <w:rsid w:val="00084B4D"/>
    <w:rsid w:val="00090C32"/>
    <w:rsid w:val="000A0374"/>
    <w:rsid w:val="000A69E2"/>
    <w:rsid w:val="000A719B"/>
    <w:rsid w:val="000B4CF8"/>
    <w:rsid w:val="000B5F65"/>
    <w:rsid w:val="000C3F1A"/>
    <w:rsid w:val="000C41E7"/>
    <w:rsid w:val="000D080C"/>
    <w:rsid w:val="000D0CD2"/>
    <w:rsid w:val="000D2D7A"/>
    <w:rsid w:val="000D4B78"/>
    <w:rsid w:val="000E4B15"/>
    <w:rsid w:val="000F2604"/>
    <w:rsid w:val="000F61E9"/>
    <w:rsid w:val="00102E16"/>
    <w:rsid w:val="00106674"/>
    <w:rsid w:val="00110A50"/>
    <w:rsid w:val="00111EB3"/>
    <w:rsid w:val="00115A81"/>
    <w:rsid w:val="00116E31"/>
    <w:rsid w:val="00124B35"/>
    <w:rsid w:val="00131642"/>
    <w:rsid w:val="001319A5"/>
    <w:rsid w:val="00131B6E"/>
    <w:rsid w:val="00131D50"/>
    <w:rsid w:val="0013201E"/>
    <w:rsid w:val="00136641"/>
    <w:rsid w:val="00141DF7"/>
    <w:rsid w:val="00152EFF"/>
    <w:rsid w:val="00160BE0"/>
    <w:rsid w:val="0016432B"/>
    <w:rsid w:val="0017125B"/>
    <w:rsid w:val="00171697"/>
    <w:rsid w:val="00187FA8"/>
    <w:rsid w:val="00190186"/>
    <w:rsid w:val="00190652"/>
    <w:rsid w:val="00197FF9"/>
    <w:rsid w:val="001A26CA"/>
    <w:rsid w:val="001A37AA"/>
    <w:rsid w:val="001A5D2E"/>
    <w:rsid w:val="001B3974"/>
    <w:rsid w:val="001B3A98"/>
    <w:rsid w:val="001B6884"/>
    <w:rsid w:val="001C2FC0"/>
    <w:rsid w:val="001D0375"/>
    <w:rsid w:val="001D1F38"/>
    <w:rsid w:val="001D3925"/>
    <w:rsid w:val="001D70F1"/>
    <w:rsid w:val="001F578D"/>
    <w:rsid w:val="00205DF9"/>
    <w:rsid w:val="002147FA"/>
    <w:rsid w:val="00217AC1"/>
    <w:rsid w:val="002256CA"/>
    <w:rsid w:val="00225F06"/>
    <w:rsid w:val="002364BB"/>
    <w:rsid w:val="002378B5"/>
    <w:rsid w:val="00244D1D"/>
    <w:rsid w:val="00256DB8"/>
    <w:rsid w:val="002625F6"/>
    <w:rsid w:val="002651A9"/>
    <w:rsid w:val="00265CE0"/>
    <w:rsid w:val="002728A3"/>
    <w:rsid w:val="0027293F"/>
    <w:rsid w:val="00281B19"/>
    <w:rsid w:val="0028635B"/>
    <w:rsid w:val="00292BD1"/>
    <w:rsid w:val="0029394F"/>
    <w:rsid w:val="002B0CED"/>
    <w:rsid w:val="002B3A3C"/>
    <w:rsid w:val="002B4535"/>
    <w:rsid w:val="002C1D9B"/>
    <w:rsid w:val="002D0C4B"/>
    <w:rsid w:val="002D2F0F"/>
    <w:rsid w:val="002D6582"/>
    <w:rsid w:val="002D730F"/>
    <w:rsid w:val="002E06D9"/>
    <w:rsid w:val="002E24B0"/>
    <w:rsid w:val="002E26BF"/>
    <w:rsid w:val="002F17B9"/>
    <w:rsid w:val="002F5625"/>
    <w:rsid w:val="002F69D4"/>
    <w:rsid w:val="00300686"/>
    <w:rsid w:val="00300828"/>
    <w:rsid w:val="00301B5D"/>
    <w:rsid w:val="00307164"/>
    <w:rsid w:val="003105B4"/>
    <w:rsid w:val="00311247"/>
    <w:rsid w:val="0031204B"/>
    <w:rsid w:val="00317E20"/>
    <w:rsid w:val="00323EE1"/>
    <w:rsid w:val="00326347"/>
    <w:rsid w:val="00326D79"/>
    <w:rsid w:val="0033139B"/>
    <w:rsid w:val="00331C2A"/>
    <w:rsid w:val="00334377"/>
    <w:rsid w:val="00342905"/>
    <w:rsid w:val="00343B43"/>
    <w:rsid w:val="00345D34"/>
    <w:rsid w:val="00350899"/>
    <w:rsid w:val="003508F3"/>
    <w:rsid w:val="0035438E"/>
    <w:rsid w:val="00356EFA"/>
    <w:rsid w:val="0037211F"/>
    <w:rsid w:val="0037699C"/>
    <w:rsid w:val="00380B50"/>
    <w:rsid w:val="00383BD5"/>
    <w:rsid w:val="003856BE"/>
    <w:rsid w:val="00385D95"/>
    <w:rsid w:val="0039272B"/>
    <w:rsid w:val="00392CA1"/>
    <w:rsid w:val="00393748"/>
    <w:rsid w:val="003A146E"/>
    <w:rsid w:val="003B1B6B"/>
    <w:rsid w:val="003B2C3D"/>
    <w:rsid w:val="003C09D0"/>
    <w:rsid w:val="003C2523"/>
    <w:rsid w:val="003C39DC"/>
    <w:rsid w:val="003D0BB1"/>
    <w:rsid w:val="003D1CF8"/>
    <w:rsid w:val="003D60AE"/>
    <w:rsid w:val="003F0230"/>
    <w:rsid w:val="003F0C93"/>
    <w:rsid w:val="003F1344"/>
    <w:rsid w:val="003F5AE8"/>
    <w:rsid w:val="004018B5"/>
    <w:rsid w:val="0041160D"/>
    <w:rsid w:val="0041514E"/>
    <w:rsid w:val="00420EAA"/>
    <w:rsid w:val="0042392C"/>
    <w:rsid w:val="00431772"/>
    <w:rsid w:val="00432A48"/>
    <w:rsid w:val="004342B9"/>
    <w:rsid w:val="00434BB6"/>
    <w:rsid w:val="00436C7C"/>
    <w:rsid w:val="00436DCF"/>
    <w:rsid w:val="00437843"/>
    <w:rsid w:val="004410DA"/>
    <w:rsid w:val="00444F50"/>
    <w:rsid w:val="00452307"/>
    <w:rsid w:val="00461D33"/>
    <w:rsid w:val="00462944"/>
    <w:rsid w:val="00463CD1"/>
    <w:rsid w:val="0047572B"/>
    <w:rsid w:val="00476CCA"/>
    <w:rsid w:val="00481F56"/>
    <w:rsid w:val="00493556"/>
    <w:rsid w:val="00493FA3"/>
    <w:rsid w:val="00496B21"/>
    <w:rsid w:val="004A1AB1"/>
    <w:rsid w:val="004B1D2E"/>
    <w:rsid w:val="004B42B8"/>
    <w:rsid w:val="004C066F"/>
    <w:rsid w:val="004C40C8"/>
    <w:rsid w:val="004D1E27"/>
    <w:rsid w:val="004D428E"/>
    <w:rsid w:val="004D7BCC"/>
    <w:rsid w:val="004E063E"/>
    <w:rsid w:val="004E083A"/>
    <w:rsid w:val="004E5206"/>
    <w:rsid w:val="004E7B8C"/>
    <w:rsid w:val="004F1E62"/>
    <w:rsid w:val="004F2E7C"/>
    <w:rsid w:val="004F332E"/>
    <w:rsid w:val="004F3CDB"/>
    <w:rsid w:val="00500107"/>
    <w:rsid w:val="005005BA"/>
    <w:rsid w:val="00500B06"/>
    <w:rsid w:val="00502A90"/>
    <w:rsid w:val="005037BC"/>
    <w:rsid w:val="00507E7E"/>
    <w:rsid w:val="00510B25"/>
    <w:rsid w:val="00512788"/>
    <w:rsid w:val="005167A9"/>
    <w:rsid w:val="00524A29"/>
    <w:rsid w:val="00524BB6"/>
    <w:rsid w:val="0053142C"/>
    <w:rsid w:val="00531FAC"/>
    <w:rsid w:val="005347ED"/>
    <w:rsid w:val="00534839"/>
    <w:rsid w:val="00534A1C"/>
    <w:rsid w:val="00547FB0"/>
    <w:rsid w:val="005516FB"/>
    <w:rsid w:val="00552497"/>
    <w:rsid w:val="00556040"/>
    <w:rsid w:val="005578C0"/>
    <w:rsid w:val="005603FC"/>
    <w:rsid w:val="00574317"/>
    <w:rsid w:val="005B1BFB"/>
    <w:rsid w:val="005B263B"/>
    <w:rsid w:val="005B473F"/>
    <w:rsid w:val="005B610F"/>
    <w:rsid w:val="005B667C"/>
    <w:rsid w:val="005B7286"/>
    <w:rsid w:val="005C4BCA"/>
    <w:rsid w:val="005D42C3"/>
    <w:rsid w:val="005D759C"/>
    <w:rsid w:val="005E1121"/>
    <w:rsid w:val="005E63EE"/>
    <w:rsid w:val="005E7E8F"/>
    <w:rsid w:val="005F1655"/>
    <w:rsid w:val="005F407E"/>
    <w:rsid w:val="005F5E25"/>
    <w:rsid w:val="005F61E4"/>
    <w:rsid w:val="005F68DD"/>
    <w:rsid w:val="00601789"/>
    <w:rsid w:val="00601FC3"/>
    <w:rsid w:val="00602556"/>
    <w:rsid w:val="006055A0"/>
    <w:rsid w:val="00612E95"/>
    <w:rsid w:val="00615338"/>
    <w:rsid w:val="00621B33"/>
    <w:rsid w:val="0062350A"/>
    <w:rsid w:val="006346A9"/>
    <w:rsid w:val="00637707"/>
    <w:rsid w:val="00637DD8"/>
    <w:rsid w:val="0064162D"/>
    <w:rsid w:val="0065180B"/>
    <w:rsid w:val="00663241"/>
    <w:rsid w:val="006653F1"/>
    <w:rsid w:val="006725DA"/>
    <w:rsid w:val="006729EB"/>
    <w:rsid w:val="00672B15"/>
    <w:rsid w:val="00675188"/>
    <w:rsid w:val="00680B4F"/>
    <w:rsid w:val="00682ADD"/>
    <w:rsid w:val="00683817"/>
    <w:rsid w:val="0069036D"/>
    <w:rsid w:val="00695ABF"/>
    <w:rsid w:val="006A2353"/>
    <w:rsid w:val="006A40B7"/>
    <w:rsid w:val="006B0CFE"/>
    <w:rsid w:val="006B26CB"/>
    <w:rsid w:val="006B2C0E"/>
    <w:rsid w:val="006B4384"/>
    <w:rsid w:val="006B45D6"/>
    <w:rsid w:val="006C047A"/>
    <w:rsid w:val="006C07ED"/>
    <w:rsid w:val="006C3E5A"/>
    <w:rsid w:val="006C7674"/>
    <w:rsid w:val="006D3EB5"/>
    <w:rsid w:val="006D4D9A"/>
    <w:rsid w:val="006E613D"/>
    <w:rsid w:val="006F4C05"/>
    <w:rsid w:val="006F74A3"/>
    <w:rsid w:val="00705CF0"/>
    <w:rsid w:val="00712A30"/>
    <w:rsid w:val="00715065"/>
    <w:rsid w:val="0071508E"/>
    <w:rsid w:val="00720248"/>
    <w:rsid w:val="0073110A"/>
    <w:rsid w:val="007334FD"/>
    <w:rsid w:val="00741421"/>
    <w:rsid w:val="00752528"/>
    <w:rsid w:val="00753218"/>
    <w:rsid w:val="00755988"/>
    <w:rsid w:val="00756605"/>
    <w:rsid w:val="00761388"/>
    <w:rsid w:val="00761EE6"/>
    <w:rsid w:val="007638D9"/>
    <w:rsid w:val="0077244B"/>
    <w:rsid w:val="00780608"/>
    <w:rsid w:val="00787D08"/>
    <w:rsid w:val="007902E1"/>
    <w:rsid w:val="0079169E"/>
    <w:rsid w:val="00796257"/>
    <w:rsid w:val="007A35B4"/>
    <w:rsid w:val="007A53A3"/>
    <w:rsid w:val="007A6148"/>
    <w:rsid w:val="007B3B38"/>
    <w:rsid w:val="007B5FCB"/>
    <w:rsid w:val="007C0F9A"/>
    <w:rsid w:val="007D1DFC"/>
    <w:rsid w:val="007D600D"/>
    <w:rsid w:val="007D6134"/>
    <w:rsid w:val="007D7CE5"/>
    <w:rsid w:val="007E35BA"/>
    <w:rsid w:val="007E4DD4"/>
    <w:rsid w:val="007F1342"/>
    <w:rsid w:val="007F35EE"/>
    <w:rsid w:val="007F3C55"/>
    <w:rsid w:val="007F4A49"/>
    <w:rsid w:val="00803929"/>
    <w:rsid w:val="00803E5C"/>
    <w:rsid w:val="008156AB"/>
    <w:rsid w:val="00816360"/>
    <w:rsid w:val="008200A2"/>
    <w:rsid w:val="00820514"/>
    <w:rsid w:val="008342E0"/>
    <w:rsid w:val="0084238A"/>
    <w:rsid w:val="00845E8E"/>
    <w:rsid w:val="00850CF9"/>
    <w:rsid w:val="0086465C"/>
    <w:rsid w:val="00876941"/>
    <w:rsid w:val="00876ED5"/>
    <w:rsid w:val="00881503"/>
    <w:rsid w:val="0088382F"/>
    <w:rsid w:val="008A4FD3"/>
    <w:rsid w:val="008B03FC"/>
    <w:rsid w:val="008B7376"/>
    <w:rsid w:val="008D3FD8"/>
    <w:rsid w:val="008D6358"/>
    <w:rsid w:val="008E117B"/>
    <w:rsid w:val="008E3E65"/>
    <w:rsid w:val="008E4474"/>
    <w:rsid w:val="008E4701"/>
    <w:rsid w:val="008F15D6"/>
    <w:rsid w:val="00901DC8"/>
    <w:rsid w:val="00905874"/>
    <w:rsid w:val="00910AE6"/>
    <w:rsid w:val="00915337"/>
    <w:rsid w:val="009176C8"/>
    <w:rsid w:val="00921636"/>
    <w:rsid w:val="00922943"/>
    <w:rsid w:val="00922DE9"/>
    <w:rsid w:val="00930BC9"/>
    <w:rsid w:val="009316CA"/>
    <w:rsid w:val="00943892"/>
    <w:rsid w:val="00944337"/>
    <w:rsid w:val="0094772D"/>
    <w:rsid w:val="00953D97"/>
    <w:rsid w:val="0096120D"/>
    <w:rsid w:val="00971432"/>
    <w:rsid w:val="00984820"/>
    <w:rsid w:val="0098715A"/>
    <w:rsid w:val="0099003B"/>
    <w:rsid w:val="009942F6"/>
    <w:rsid w:val="009A26FF"/>
    <w:rsid w:val="009A4C04"/>
    <w:rsid w:val="009A4D91"/>
    <w:rsid w:val="009B0ED4"/>
    <w:rsid w:val="009B4144"/>
    <w:rsid w:val="009B68F8"/>
    <w:rsid w:val="009B7F2B"/>
    <w:rsid w:val="009C7A28"/>
    <w:rsid w:val="009D2071"/>
    <w:rsid w:val="009D36F3"/>
    <w:rsid w:val="009D6B87"/>
    <w:rsid w:val="009E18DE"/>
    <w:rsid w:val="009E1F30"/>
    <w:rsid w:val="009E5A09"/>
    <w:rsid w:val="009E5B57"/>
    <w:rsid w:val="009E761C"/>
    <w:rsid w:val="009F1C16"/>
    <w:rsid w:val="009F5D95"/>
    <w:rsid w:val="00A00AFE"/>
    <w:rsid w:val="00A05CE0"/>
    <w:rsid w:val="00A1279A"/>
    <w:rsid w:val="00A1480D"/>
    <w:rsid w:val="00A20097"/>
    <w:rsid w:val="00A2096D"/>
    <w:rsid w:val="00A24716"/>
    <w:rsid w:val="00A31CD7"/>
    <w:rsid w:val="00A4066A"/>
    <w:rsid w:val="00A4369E"/>
    <w:rsid w:val="00A72F9E"/>
    <w:rsid w:val="00A76945"/>
    <w:rsid w:val="00A8330E"/>
    <w:rsid w:val="00A863ED"/>
    <w:rsid w:val="00AA0BC4"/>
    <w:rsid w:val="00AA160E"/>
    <w:rsid w:val="00AA227B"/>
    <w:rsid w:val="00AA32C8"/>
    <w:rsid w:val="00AA45E7"/>
    <w:rsid w:val="00AA775B"/>
    <w:rsid w:val="00AB2A91"/>
    <w:rsid w:val="00AB3118"/>
    <w:rsid w:val="00AB35F7"/>
    <w:rsid w:val="00AC1738"/>
    <w:rsid w:val="00AC2378"/>
    <w:rsid w:val="00AC3A89"/>
    <w:rsid w:val="00AC60AE"/>
    <w:rsid w:val="00AD1210"/>
    <w:rsid w:val="00AD2516"/>
    <w:rsid w:val="00AD716F"/>
    <w:rsid w:val="00AD7471"/>
    <w:rsid w:val="00AE11F1"/>
    <w:rsid w:val="00AE468E"/>
    <w:rsid w:val="00AE6D52"/>
    <w:rsid w:val="00AF477C"/>
    <w:rsid w:val="00AF50D2"/>
    <w:rsid w:val="00AF65E8"/>
    <w:rsid w:val="00AF71E6"/>
    <w:rsid w:val="00B06005"/>
    <w:rsid w:val="00B1201F"/>
    <w:rsid w:val="00B13343"/>
    <w:rsid w:val="00B23AED"/>
    <w:rsid w:val="00B255F2"/>
    <w:rsid w:val="00B4646F"/>
    <w:rsid w:val="00B510E8"/>
    <w:rsid w:val="00B53373"/>
    <w:rsid w:val="00B61999"/>
    <w:rsid w:val="00B6749C"/>
    <w:rsid w:val="00B75E54"/>
    <w:rsid w:val="00B80B56"/>
    <w:rsid w:val="00B85C13"/>
    <w:rsid w:val="00B860EA"/>
    <w:rsid w:val="00B92A9A"/>
    <w:rsid w:val="00BA1FE2"/>
    <w:rsid w:val="00BA381B"/>
    <w:rsid w:val="00BA7237"/>
    <w:rsid w:val="00BB4AEF"/>
    <w:rsid w:val="00BB4E35"/>
    <w:rsid w:val="00BC0913"/>
    <w:rsid w:val="00BC12C7"/>
    <w:rsid w:val="00BD0A95"/>
    <w:rsid w:val="00BD3425"/>
    <w:rsid w:val="00BD4AA2"/>
    <w:rsid w:val="00BD7728"/>
    <w:rsid w:val="00BE0DB8"/>
    <w:rsid w:val="00BE5CB3"/>
    <w:rsid w:val="00BE5DF5"/>
    <w:rsid w:val="00BF1105"/>
    <w:rsid w:val="00BF21DF"/>
    <w:rsid w:val="00BF6E65"/>
    <w:rsid w:val="00BF7A6E"/>
    <w:rsid w:val="00C01024"/>
    <w:rsid w:val="00C028A9"/>
    <w:rsid w:val="00C07422"/>
    <w:rsid w:val="00C127BA"/>
    <w:rsid w:val="00C16A64"/>
    <w:rsid w:val="00C32C70"/>
    <w:rsid w:val="00C33D25"/>
    <w:rsid w:val="00C349A5"/>
    <w:rsid w:val="00C377F7"/>
    <w:rsid w:val="00C446BE"/>
    <w:rsid w:val="00C53B0B"/>
    <w:rsid w:val="00C54435"/>
    <w:rsid w:val="00C54E01"/>
    <w:rsid w:val="00C551D3"/>
    <w:rsid w:val="00C57D56"/>
    <w:rsid w:val="00C61594"/>
    <w:rsid w:val="00C65A29"/>
    <w:rsid w:val="00C774FA"/>
    <w:rsid w:val="00CA3708"/>
    <w:rsid w:val="00CA3DC7"/>
    <w:rsid w:val="00CA6B9F"/>
    <w:rsid w:val="00CA74C3"/>
    <w:rsid w:val="00CB58F4"/>
    <w:rsid w:val="00CB6A47"/>
    <w:rsid w:val="00CC00AA"/>
    <w:rsid w:val="00CD39E7"/>
    <w:rsid w:val="00CD6593"/>
    <w:rsid w:val="00CE150F"/>
    <w:rsid w:val="00CE2486"/>
    <w:rsid w:val="00CE3410"/>
    <w:rsid w:val="00CE4C4D"/>
    <w:rsid w:val="00CE7A4F"/>
    <w:rsid w:val="00CF6E70"/>
    <w:rsid w:val="00D068A4"/>
    <w:rsid w:val="00D12776"/>
    <w:rsid w:val="00D155B9"/>
    <w:rsid w:val="00D173EB"/>
    <w:rsid w:val="00D27EE5"/>
    <w:rsid w:val="00D30031"/>
    <w:rsid w:val="00D51FEA"/>
    <w:rsid w:val="00D52B19"/>
    <w:rsid w:val="00D55014"/>
    <w:rsid w:val="00D651C8"/>
    <w:rsid w:val="00D71160"/>
    <w:rsid w:val="00D76F14"/>
    <w:rsid w:val="00D814D2"/>
    <w:rsid w:val="00D81B21"/>
    <w:rsid w:val="00D81F8E"/>
    <w:rsid w:val="00D82353"/>
    <w:rsid w:val="00D86430"/>
    <w:rsid w:val="00D86B5E"/>
    <w:rsid w:val="00D93F02"/>
    <w:rsid w:val="00D94F9B"/>
    <w:rsid w:val="00DA2590"/>
    <w:rsid w:val="00DA4DDE"/>
    <w:rsid w:val="00DB0E4C"/>
    <w:rsid w:val="00DB5A43"/>
    <w:rsid w:val="00DB711F"/>
    <w:rsid w:val="00DC2AD5"/>
    <w:rsid w:val="00DC3061"/>
    <w:rsid w:val="00DC7C67"/>
    <w:rsid w:val="00DD06CF"/>
    <w:rsid w:val="00DD2C23"/>
    <w:rsid w:val="00DE14EE"/>
    <w:rsid w:val="00DE514F"/>
    <w:rsid w:val="00DF3954"/>
    <w:rsid w:val="00DF69B2"/>
    <w:rsid w:val="00E00CB8"/>
    <w:rsid w:val="00E01D40"/>
    <w:rsid w:val="00E03E5B"/>
    <w:rsid w:val="00E040F7"/>
    <w:rsid w:val="00E0617F"/>
    <w:rsid w:val="00E17931"/>
    <w:rsid w:val="00E238FE"/>
    <w:rsid w:val="00E56106"/>
    <w:rsid w:val="00E576FC"/>
    <w:rsid w:val="00E607CF"/>
    <w:rsid w:val="00E62AAE"/>
    <w:rsid w:val="00E72FF9"/>
    <w:rsid w:val="00E76D8A"/>
    <w:rsid w:val="00E773CC"/>
    <w:rsid w:val="00E87AA6"/>
    <w:rsid w:val="00E93D37"/>
    <w:rsid w:val="00E96D59"/>
    <w:rsid w:val="00EA086A"/>
    <w:rsid w:val="00EA3E9A"/>
    <w:rsid w:val="00EA4DE9"/>
    <w:rsid w:val="00EB47D2"/>
    <w:rsid w:val="00EC017D"/>
    <w:rsid w:val="00EC094A"/>
    <w:rsid w:val="00EC7644"/>
    <w:rsid w:val="00ED256D"/>
    <w:rsid w:val="00EE37C1"/>
    <w:rsid w:val="00EF552C"/>
    <w:rsid w:val="00F338F3"/>
    <w:rsid w:val="00F42DC9"/>
    <w:rsid w:val="00F45BE6"/>
    <w:rsid w:val="00F4633D"/>
    <w:rsid w:val="00F51FEB"/>
    <w:rsid w:val="00F54608"/>
    <w:rsid w:val="00F56EF5"/>
    <w:rsid w:val="00F65795"/>
    <w:rsid w:val="00F65C94"/>
    <w:rsid w:val="00F70EFD"/>
    <w:rsid w:val="00F843D5"/>
    <w:rsid w:val="00F87927"/>
    <w:rsid w:val="00F90F26"/>
    <w:rsid w:val="00F942FD"/>
    <w:rsid w:val="00F95BF8"/>
    <w:rsid w:val="00F9636D"/>
    <w:rsid w:val="00FA2AA9"/>
    <w:rsid w:val="00FB1B72"/>
    <w:rsid w:val="00FB32B1"/>
    <w:rsid w:val="00FB3B84"/>
    <w:rsid w:val="00FC2555"/>
    <w:rsid w:val="00FC2B93"/>
    <w:rsid w:val="00FD3B7E"/>
    <w:rsid w:val="00FD43A7"/>
    <w:rsid w:val="00FD45DD"/>
    <w:rsid w:val="00FD7533"/>
    <w:rsid w:val="00FE515F"/>
    <w:rsid w:val="00FF241C"/>
    <w:rsid w:val="00FF3B84"/>
    <w:rsid w:val="00FF78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E07650"/>
  <w15:chartTrackingRefBased/>
  <w15:docId w15:val="{F2549A19-0A86-CD44-A8CD-CAA429A186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01024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9003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003B"/>
    <w:rPr>
      <w:color w:val="605E5C"/>
      <w:shd w:val="clear" w:color="auto" w:fill="E1DFDD"/>
    </w:rPr>
  </w:style>
  <w:style w:type="paragraph" w:customStyle="1" w:styleId="cpe2">
    <w:name w:val="cpe2"/>
    <w:basedOn w:val="Normal"/>
    <w:rsid w:val="007638D9"/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E17931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E607CF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C01024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C01024"/>
  </w:style>
  <w:style w:type="paragraph" w:styleId="NoSpacing">
    <w:name w:val="No Spacing"/>
    <w:link w:val="NoSpacingChar"/>
    <w:uiPriority w:val="1"/>
    <w:qFormat/>
    <w:rsid w:val="00C01024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C01024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164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6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87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9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59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5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05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46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321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557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99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079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588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419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97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38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018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32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260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099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137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554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21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863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372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47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454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533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502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526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95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524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648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741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17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4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87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99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80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628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407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99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06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62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59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836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90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115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21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725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63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990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92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15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91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544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201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385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426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737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866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808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74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656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883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85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431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75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67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97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115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057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425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90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362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785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422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58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42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027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46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Nicte</b:Tag>
    <b:SourceType>InternetSite</b:SourceType>
    <b:Guid>{B518AA52-D40E-A84A-AACB-E629311A101A}</b:Guid>
    <b:Author>
      <b:Author>
        <b:NameList>
          <b:Person>
            <b:Last>Laver</b:Last>
            <b:First>Nicola</b:First>
          </b:Person>
        </b:NameList>
      </b:Author>
    </b:Author>
    <b:Title>Inbrief </b:Title>
    <b:URL>https://www.inbrief.co.uk/legal-system/statutory-interpretation/</b:URL>
    <b:Year>no date</b:Year>
    <b:YearAccessed>2022</b:YearAccessed>
    <b:MonthAccessed>April</b:MonthAccessed>
    <b:DayAccessed>30th</b:DayAccessed>
    <b:RefOrder>1</b:RefOrder>
  </b:Source>
  <b:Source>
    <b:Tag>UKP22</b:Tag>
    <b:SourceType>InternetSite</b:SourceType>
    <b:Guid>{24283592-B437-F442-9698-925232126233}</b:Guid>
    <b:Author>
      <b:Author>
        <b:NameList>
          <b:Person>
            <b:Last>Parliament</b:Last>
            <b:First>UK</b:First>
          </b:Person>
        </b:NameList>
      </b:Author>
    </b:Author>
    <b:Title>UK Parliament</b:Title>
    <b:URL>https://www.parliament.uk/site-information/glossary/legislation/</b:URL>
    <b:Year>2022</b:Year>
    <b:YearAccessed>2022</b:YearAccessed>
    <b:MonthAccessed>April</b:MonthAccessed>
    <b:DayAccessed>30th</b:DayAccessed>
    <b:RefOrder>2</b:RefOrder>
  </b:Source>
  <b:Source>
    <b:Tag>Cab13</b:Tag>
    <b:SourceType>InternetSite</b:SourceType>
    <b:Guid>{0BBDB2E3-D69A-3948-9F2C-A99DB30F9BC5}</b:Guid>
    <b:Author>
      <b:Author>
        <b:NameList>
          <b:Person>
            <b:Last>Office</b:Last>
            <b:First>Cabinet</b:First>
          </b:Person>
        </b:NameList>
      </b:Author>
    </b:Author>
    <b:Title>GOV.UK</b:Title>
    <b:URL>https://www.gov.uk/guidance/legislative-process-taking-a-bill-through-parliament</b:URL>
    <b:Year>2013</b:Year>
    <b:YearAccessed>2022</b:YearAccessed>
    <b:MonthAccessed>April </b:MonthAccessed>
    <b:DayAccessed>30th</b:DayAccessed>
    <b:RefOrder>3</b:RefOrder>
  </b:Source>
  <b:Source>
    <b:Tag>Jar20</b:Tag>
    <b:SourceType>InternetSite</b:SourceType>
    <b:Guid>{F492D660-3C6A-A94E-BFA3-0FFD6ED36F22}</b:Guid>
    <b:Author>
      <b:Author>
        <b:NameList>
          <b:Person>
            <b:Last>Dosanjh</b:Last>
            <b:First>Jaron</b:First>
          </b:Person>
        </b:NameList>
      </b:Author>
    </b:Author>
    <b:Title>LexLaw</b:Title>
    <b:URL>https://lexlaw.co.uk/solicitors-london/the-doctrine-of-legal-precedent-when-is-a-court-decision-binding/</b:URL>
    <b:Year>2020</b:Year>
    <b:YearAccessed>2022</b:YearAccessed>
    <b:MonthAccessed>April </b:MonthAccessed>
    <b:DayAccessed>30th</b:DayAccessed>
    <b:RefOrder>4</b:RefOrder>
  </b:Source>
  <b:Source>
    <b:Tag>Peate</b:Tag>
    <b:SourceType>InternetSite</b:SourceType>
    <b:Guid>{2137169E-DB8C-CA41-99A3-3B6D924C62A6}</b:Guid>
    <b:Author>
      <b:Author>
        <b:NameList>
          <b:Person>
            <b:Last>PearsonHigherEd</b:Last>
          </b:Person>
        </b:NameList>
      </b:Author>
    </b:Author>
    <b:Title>PearsonHigherEd</b:Title>
    <b:URL>https://www.pearsonhighered.com/assets/samplechapter/e/l/s/c/ELS_C%20and%20M_Chap%203.pdf</b:URL>
    <b:Year>no date</b:Year>
    <b:YearAccessed>2022</b:YearAccessed>
    <b:MonthAccessed>April</b:MonthAccessed>
    <b:DayAccessed>30th</b:DayAccessed>
    <b:RefOrder>5</b:RefOrder>
  </b:Source>
  <b:Source>
    <b:Tag>Kir05</b:Tag>
    <b:SourceType>Case</b:SourceType>
    <b:Guid>{4BE691DF-E3B5-0D4A-8942-FA28D6A660F8}</b:Guid>
    <b:Title>Kirkbi AG v. Ritvik holdings Inc.</b:Title>
    <b:URL>https://scc-csc.lexum.com/scc-csc/scc-csc/en/item/2246/index.do</b:URL>
    <b:Year>2005</b:Year>
    <b:RefOrder>6</b:RefOrder>
  </b:Source>
  <b:Source>
    <b:Tag>Leg20</b:Tag>
    <b:SourceType>InternetSite</b:SourceType>
    <b:Guid>{ACE15C31-C224-6B45-8C2F-DD9C3F99EB0B}</b:Guid>
    <b:Title>Legislation.gov</b:Title>
    <b:Year>2020</b:Year>
    <b:URL>https://www.legislation.gov.uk/ukpga/1988/33/section/139</b:URL>
    <b:YearAccessed>2022</b:YearAccessed>
    <b:MonthAccessed>April</b:MonthAccessed>
    <b:DayAccessed>30th</b:DayAccessed>
    <b:LCID>en-GB</b:LCID>
    <b:Author>
      <b:Author>
        <b:NameList>
          <b:Person>
            <b:Last>Legislation.gov</b:Last>
          </b:Person>
        </b:NameList>
      </b:Author>
    </b:Author>
    <b:RefOrder>7</b:RefOrder>
  </b:Source>
  <b:Source>
    <b:Tag>Alite</b:Tag>
    <b:SourceType>InternetSite</b:SourceType>
    <b:Guid>{7FA2F5E4-C8AC-0F41-A46C-4FC59EA8B0FA}</b:Guid>
    <b:Author>
      <b:Author>
        <b:Corporate>Alison.com</b:Corporate>
      </b:Author>
    </b:Author>
    <b:Title>Alison</b:Title>
    <b:URL>https://alison.com/course/1244/resource/file/resource_39-14896844291768952309.pdf</b:URL>
    <b:Year>no date</b:Year>
    <b:YearAccessed>2022</b:YearAccessed>
    <b:MonthAccessed>April </b:MonthAccessed>
    <b:DayAccessed>30th</b:DayAccessed>
    <b:RefOrder>8</b:RefOrder>
  </b:Source>
  <b:Source>
    <b:Tag>UKP211</b:Tag>
    <b:SourceType>InternetSite</b:SourceType>
    <b:Guid>{AE65E257-3FC9-124C-9F7F-04C770406D47}</b:Guid>
    <b:Author>
      <b:Author>
        <b:NameList>
          <b:Person>
            <b:Last>Parliament</b:Last>
            <b:First>UK</b:First>
          </b:Person>
        </b:NameList>
      </b:Author>
    </b:Author>
    <b:Title>UK Parliament- Parliamentary Bills</b:Title>
    <b:URL>https://bills.parliament.uk/bills/2731</b:URL>
    <b:Year>2021</b:Year>
    <b:YearAccessed>2022</b:YearAccessed>
    <b:MonthAccessed>April</b:MonthAccessed>
    <b:DayAccessed>30th</b:DayAccessed>
    <b:RefOrder>9</b:RefOrder>
  </b:Source>
  <b:Source>
    <b:Tag>Pri22</b:Tag>
    <b:SourceType>InternetSite</b:SourceType>
    <b:Guid>{5E24A18B-3584-3240-ABCA-67C01CC516B0}</b:Guid>
    <b:Author>
      <b:Author>
        <b:NameList>
          <b:Person>
            <b:Last>J.</b:Last>
            <b:First>Priya</b:First>
          </b:Person>
        </b:NameList>
      </b:Author>
    </b:Author>
    <b:Title>MyTutor</b:Title>
    <b:URL>https://www.mytutor.co.uk/answers/45935/A-Level/Law/Explain-the-different-types-of-judicial-precedent/</b:URL>
    <b:Year>2022</b:Year>
    <b:YearAccessed>2022</b:YearAccessed>
    <b:MonthAccessed>April </b:MonthAccessed>
    <b:DayAccessed>30th</b:DayAccessed>
    <b:RefOrder>10</b:RefOrder>
  </b:Source>
  <b:Source>
    <b:Tag>You44</b:Tag>
    <b:SourceType>Case</b:SourceType>
    <b:Guid>{EA3E4074-FED0-2445-BAA3-32E0FCC1BE6F}</b:Guid>
    <b:Title>Young v. Bristol Aeroplane Co.</b:Title>
    <b:Year>1944</b:Year>
    <b:RefOrder>11</b:RefOrder>
  </b:Source>
  <b:Source>
    <b:Tag>Wex20</b:Tag>
    <b:SourceType>InternetSite</b:SourceType>
    <b:Guid>{E83E5A11-B7F2-3546-943E-5F145716C33E}</b:Guid>
    <b:Author>
      <b:Author>
        <b:NameList>
          <b:Person>
            <b:Last>School</b:Last>
            <b:First>Cornell</b:First>
            <b:Middle>Law</b:Middle>
          </b:Person>
        </b:NameList>
      </b:Author>
    </b:Author>
    <b:Title>Cornell Law School</b:Title>
    <b:URL>https://www.law.cornell.edu/wex/precedent</b:URL>
    <b:Year>2020</b:Year>
    <b:YearAccessed>2022</b:YearAccessed>
    <b:MonthAccessed>April</b:MonthAccessed>
    <b:DayAccessed>30th</b:DayAccessed>
    <b:RefOrder>12</b:RefOrder>
  </b:Source>
  <b:Source>
    <b:Tag>Cam17</b:Tag>
    <b:SourceType>InternetSite</b:SourceType>
    <b:Guid>{7F2BA02F-5F32-3A4C-921E-287E222377DB}</b:Guid>
    <b:Title>Slaw</b:Title>
    <b:Year>2017</b:Year>
    <b:Author>
      <b:Author>
        <b:NameList>
          <b:Person>
            <b:Last>Hutchison</b:Last>
            <b:First>Cameron</b:First>
          </b:Person>
        </b:NameList>
      </b:Author>
    </b:Author>
    <b:URL>http://www.slaw.ca/2017/07/11/the-three-reasons-why-statutes-require-interpretation-using-ip-examples/</b:URL>
    <b:YearAccessed>2022</b:YearAccessed>
    <b:MonthAccessed>April</b:MonthAccessed>
    <b:DayAccessed>30th</b:DayAccessed>
    <b:RefOrder>13</b:RefOrder>
  </b:Source>
  <b:Source>
    <b:Tag>Mic11</b:Tag>
    <b:SourceType>InternetSite</b:SourceType>
    <b:Guid>{83DA4EBF-CFF9-A642-9E2C-9F2140DAB1C4}</b:Guid>
    <b:Author>
      <b:Author>
        <b:NameList>
          <b:Person>
            <b:Last>Nadin</b:Last>
            <b:First>Michael</b:First>
          </b:Person>
        </b:NameList>
      </b:Author>
    </b:Author>
    <b:Title>dfalaw</b:Title>
    <b:URL>https://www.dfalaw.co.uk/change-of-circumstances-creates-misrepresentation/</b:URL>
    <b:Year>2011</b:Year>
    <b:YearAccessed>2022</b:YearAccessed>
    <b:MonthAccessed>April</b:MonthAccessed>
    <b:DayAccessed>30th</b:DayAccessed>
    <b:RefOrder>14</b:RefOrder>
  </b:Source>
  <b:Source>
    <b:Tag>RvA72</b:Tag>
    <b:SourceType>Case</b:SourceType>
    <b:Guid>{9739A3D0-86D3-9E4D-BD48-D1B2A4D81B7B}</b:Guid>
    <b:Title>R v Allen LR 1 CCR 367</b:Title>
    <b:Year>1872</b:Year>
    <b:RefOrder>15</b:RefOrder>
  </b:Source>
  <b:Source>
    <b:Tag>Adl64</b:Tag>
    <b:SourceType>Case</b:SourceType>
    <b:Guid>{13228231-AF13-7B44-898F-A9556DECF3BA}</b:Guid>
    <b:Title>Adler v George 2 QB 7 </b:Title>
    <b:Year>1964</b:Year>
    <b:RefOrder>16</b:RefOrder>
  </b:Source>
  <b:Source>
    <b:Tag>Lon46</b:Tag>
    <b:SourceType>Case</b:SourceType>
    <b:Guid>{29015F32-E7FE-504B-869C-402C82B4FAA4}</b:Guid>
    <b:Title>London and North Eastern Railway v Berriman </b:Title>
    <b:Year>1946</b:Year>
    <b:RefOrder>17</b:RefOrder>
  </b:Source>
  <b:Source>
    <b:Tag>elate</b:Tag>
    <b:SourceType>InternetSite</b:SourceType>
    <b:Guid>{3684BB7E-62C3-6E4A-8517-9F785A6B16C2}</b:Guid>
    <b:Title>e-lawresources</b:Title>
    <b:Year>2020</b:Year>
    <b:Author>
      <b:Author>
        <b:NameList>
          <b:Person>
            <b:Last>e-lawresources</b:Last>
          </b:Person>
        </b:NameList>
      </b:Author>
    </b:Author>
    <b:URL>http://www.e-lawresources.co.uk/Golden-rule.php</b:URL>
    <b:YearAccessed>2022</b:YearAccessed>
    <b:MonthAccessed>April</b:MonthAccessed>
    <b:DayAccessed>30th</b:DayAccessed>
    <b:RefOrder>18</b:RefOrder>
  </b:Source>
  <b:Source>
    <b:Tag>RvM87</b:Tag>
    <b:SourceType>Case</b:SourceType>
    <b:Guid>{681BD78B-1FBA-7A46-8E8A-5EB0B28D69D6}</b:Guid>
    <b:Title>R v Maginnis AC 303</b:Title>
    <b:Year>1987</b:Year>
    <b:RefOrder>19</b:RefOrder>
  </b:Source>
  <b:Source>
    <b:Tag>Smi60</b:Tag>
    <b:SourceType>Case</b:SourceType>
    <b:Guid>{135D69D6-CE26-1043-AB47-7EB91CB3A6B0}</b:Guid>
    <b:Title>Smith v Hughes 1 WLR 830</b:Title>
    <b:Year>1960</b:Year>
    <b:RefOrder>20</b:RefOrder>
  </b:Source>
  <b:Source>
    <b:Tag>ela20</b:Tag>
    <b:SourceType>InternetSite</b:SourceType>
    <b:Guid>{30B6201D-B031-0848-8509-9C075D16B54E}</b:Guid>
    <b:Title>e-lawresources</b:Title>
    <b:Year>2020</b:Year>
    <b:Author>
      <b:Author>
        <b:NameList>
          <b:Person>
            <b:Last>e-lawresources</b:Last>
          </b:Person>
        </b:NameList>
      </b:Author>
    </b:Author>
    <b:URL>http://www.e-lawresources.co.uk/Mischief-rule.php</b:URL>
    <b:YearAccessed>2022</b:YearAccessed>
    <b:MonthAccessed>April</b:MonthAccessed>
    <b:DayAccessed>30th</b:DayAccessed>
    <b:RefOrder>21</b:RefOrder>
  </b:Source>
  <b:Source>
    <b:Tag>ela201</b:Tag>
    <b:SourceType>InternetSite</b:SourceType>
    <b:Guid>{8BA0643E-7157-1C44-BCD8-9B6BB98F6F09}</b:Guid>
    <b:Author>
      <b:Author>
        <b:NameList>
          <b:Person>
            <b:Last>e-lawresources</b:Last>
          </b:Person>
        </b:NameList>
      </b:Author>
    </b:Author>
    <b:Title>e-lawresources</b:Title>
    <b:URL>http://www.e-lawresources.co.uk/Literal-rule.php</b:URL>
    <b:Year>2020</b:Year>
    <b:YearAccessed>2022</b:YearAccessed>
    <b:MonthAccessed>April</b:MonthAccessed>
    <b:DayAccessed>30th</b:DayAccessed>
    <b:RefOrder>22</b:RefOrder>
  </b:Source>
  <b:Source>
    <b:Tag>UKP20</b:Tag>
    <b:SourceType>InternetSite</b:SourceType>
    <b:Guid>{14B1E5DB-5454-7040-A584-BFF09072201B}</b:Guid>
    <b:Author>
      <b:Author>
        <b:NameList>
          <b:Person>
            <b:Last>Parliament</b:Last>
            <b:First>UK</b:First>
          </b:Person>
        </b:NameList>
      </b:Author>
    </b:Author>
    <b:Title>UK Parliament</b:Title>
    <b:URL>https://www.parliament.uk/business/lords/work-of-the-house-of-lords/making-laws/</b:URL>
    <b:Year>2020</b:Year>
    <b:YearAccessed>2022</b:YearAccessed>
    <b:MonthAccessed>April</b:MonthAccessed>
    <b:DayAccessed>30th</b:DayAccessed>
    <b:RefOrder>23</b:RefOrder>
  </b:Source>
  <b:Source>
    <b:Tag>Raj21</b:Tag>
    <b:SourceType>InternetSite</b:SourceType>
    <b:Guid>{C8D790D6-0EFA-0345-8642-D30A1D28DABC}</b:Guid>
    <b:Author>
      <b:Author>
        <b:NameList>
          <b:Person>
            <b:Last>Agarwal</b:Last>
            <b:First>Rajat</b:First>
          </b:Person>
        </b:NameList>
      </b:Author>
    </b:Author>
    <b:Title>Legal Service India</b:Title>
    <b:URL>http://www.legalservicesindia.com/article/1223/Interpretation-of-Statutes---The-Purposive-Approach.html</b:URL>
    <b:Year>2021</b:Year>
    <b:YearAccessed>2022</b:YearAccessed>
    <b:MonthAccessed>April</b:MonthAccessed>
    <b:DayAccessed>30th</b:DayAccessed>
    <b:RefOrder>24</b:RefOrder>
  </b:Source>
  <b:Source>
    <b:Tag>Hey84</b:Tag>
    <b:SourceType>Case</b:SourceType>
    <b:Guid>{B986411D-189B-E541-B7F2-0E8B08E28ABD}</b:Guid>
    <b:Title>Heydon's Case EWHC Exch J36</b:Title>
    <b:Year>1584</b:Year>
    <b:RefOrder>25</b:RefOrder>
  </b:Source>
  <b:Source>
    <b:Tag>Car21</b:Tag>
    <b:SourceType>JournalArticle</b:SourceType>
    <b:Guid>{BAD60FF6-C85D-C34D-998E-DAE6C7A899BF}</b:Guid>
    <b:Title>Interpretation Acts- Are They, and (How) Do They Make for, Great Law</b:Title>
    <b:Year>2021</b:Year>
    <b:BookTitle>Interpretation Acts- Are They, and (How) Do They Make for, Great Law</b:BookTitle>
    <b:Pages>122</b:Pages>
    <b:Author>
      <b:Author>
        <b:NameList>
          <b:Person>
            <b:Last>Carter</b:Last>
            <b:First>Ross</b:First>
          </b:Person>
        </b:NameList>
      </b:Author>
    </b:Author>
    <b:JournalName>Statute Law Review</b:JournalName>
    <b:Volume>43</b:Volume>
    <b:Issue>1</b:Issue>
    <b:RefOrder>26</b:RefOrder>
  </b:Source>
  <b:Source>
    <b:Tag>Dig20</b:Tag>
    <b:SourceType>JournalArticle</b:SourceType>
    <b:Guid>{78F7FB29-C92E-C246-8AE4-E92C9C8C05D1}</b:Guid>
    <b:Author>
      <b:Author>
        <b:NameList>
          <b:Person>
            <b:Last>Bailey</b:Last>
            <b:First>Diggory</b:First>
          </b:Person>
        </b:NameList>
      </b:Author>
    </b:Author>
    <b:Title>Interpreting Parliamentary Inaction</b:Title>
    <b:JournalName>The Cambridge Law Journal</b:JournalName>
    <b:Year>2020</b:Year>
    <b:Volume>79</b:Volume>
    <b:Issue>2</b:Issue>
    <b:Pages>246</b:Pages>
    <b:RefOrder>27</b:RefOrder>
  </b:Source>
  <b:Source>
    <b:Tag>Cer15</b:Tag>
    <b:SourceType>InternetSite</b:SourceType>
    <b:Guid>{5EEE0CE5-04B9-D549-8D5B-27920DF6D199}</b:Guid>
    <b:Title>Get Revising</b:Title>
    <b:Year>2015</b:Year>
    <b:Author>
      <b:Author>
        <b:NameList>
          <b:Person>
            <b:Last>Louise</b:Last>
            <b:First>Cerys</b:First>
          </b:Person>
        </b:NameList>
      </b:Author>
    </b:Author>
    <b:URL>https://getrevising.co.uk/grids/statutory-interpretation</b:URL>
    <b:YearAccessed>2022</b:YearAccessed>
    <b:MonthAccessed>April </b:MonthAccessed>
    <b:DayAccessed>30th</b:DayAccessed>
    <b:RefOrder>28</b:RefOrder>
  </b:Source>
</b:Sources>
</file>

<file path=customXml/itemProps1.xml><?xml version="1.0" encoding="utf-8"?>
<ds:datastoreItem xmlns:ds="http://schemas.openxmlformats.org/officeDocument/2006/customXml" ds:itemID="{EA0CFC0A-6875-CA42-BEA4-9F9386DA973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2341</Words>
  <Characters>13350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Legal Process Assignment 2</dc:title>
  <dc:subject/>
  <dc:creator>Dan Hurford (2103530)</dc:creator>
  <cp:keywords/>
  <dc:description/>
  <cp:lastModifiedBy>Dan Hurford (2103530)</cp:lastModifiedBy>
  <cp:revision>2</cp:revision>
  <dcterms:created xsi:type="dcterms:W3CDTF">2022-05-03T14:44:00Z</dcterms:created>
  <dcterms:modified xsi:type="dcterms:W3CDTF">2022-05-03T14:44:00Z</dcterms:modified>
</cp:coreProperties>
</file>