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C83D" w14:textId="77777777" w:rsidR="00356E86" w:rsidRDefault="00356E86" w:rsidP="00356E86">
      <w:pPr>
        <w:pStyle w:val="Title"/>
        <w:rPr>
          <w:bCs/>
          <w:sz w:val="20"/>
          <w:szCs w:val="20"/>
        </w:rPr>
      </w:pPr>
      <w:r>
        <w:rPr>
          <w:bCs/>
          <w:sz w:val="20"/>
          <w:szCs w:val="20"/>
        </w:rPr>
        <w:t xml:space="preserve">Anton Imbrea </w:t>
      </w:r>
      <w:r w:rsidR="006D59A6">
        <w:rPr>
          <w:bCs/>
          <w:sz w:val="20"/>
          <w:szCs w:val="20"/>
        </w:rPr>
        <w:t xml:space="preserve"> </w:t>
      </w:r>
      <w:r>
        <w:rPr>
          <w:bCs/>
          <w:sz w:val="20"/>
          <w:szCs w:val="20"/>
        </w:rPr>
        <w:t>2125640</w:t>
      </w:r>
    </w:p>
    <w:p w14:paraId="186A3CD5" w14:textId="5B160949" w:rsidR="004F4188" w:rsidRPr="006D59A6" w:rsidRDefault="00356E86" w:rsidP="00356E86">
      <w:pPr>
        <w:pStyle w:val="Title"/>
        <w:rPr>
          <w:bCs/>
          <w:sz w:val="20"/>
          <w:szCs w:val="20"/>
        </w:rPr>
      </w:pPr>
      <w:r>
        <w:rPr>
          <w:bCs/>
          <w:sz w:val="20"/>
          <w:szCs w:val="20"/>
        </w:rPr>
        <w:t>Criminal law (BMLW4005)</w:t>
      </w:r>
      <w:r w:rsidR="006D59A6">
        <w:rPr>
          <w:bCs/>
          <w:sz w:val="20"/>
          <w:szCs w:val="20"/>
        </w:rPr>
        <w:t xml:space="preserve">                                                                                                                            </w:t>
      </w:r>
    </w:p>
    <w:p w14:paraId="7AC7FFFB" w14:textId="77777777" w:rsidR="004F4188" w:rsidRDefault="004F4188" w:rsidP="004F4188">
      <w:pPr>
        <w:pStyle w:val="Title"/>
        <w:jc w:val="center"/>
        <w:rPr>
          <w:b/>
          <w:u w:val="single"/>
        </w:rPr>
      </w:pPr>
    </w:p>
    <w:p w14:paraId="1E9F64B3" w14:textId="776F0C82" w:rsidR="004F4188" w:rsidRDefault="004F4188" w:rsidP="00356E86">
      <w:pPr>
        <w:pStyle w:val="Title"/>
        <w:rPr>
          <w:b/>
          <w:u w:val="single"/>
        </w:rPr>
      </w:pPr>
    </w:p>
    <w:p w14:paraId="7A3FD301" w14:textId="7D8ED042" w:rsidR="00356E86" w:rsidRDefault="00356E86" w:rsidP="00356E86"/>
    <w:p w14:paraId="6AD880C4" w14:textId="77777777" w:rsidR="00356E86" w:rsidRPr="00356E86" w:rsidRDefault="00356E86" w:rsidP="00356E86"/>
    <w:p w14:paraId="3602E5EF" w14:textId="77777777" w:rsidR="004F4188" w:rsidRPr="006A6841" w:rsidRDefault="004F4188" w:rsidP="004F4188">
      <w:pPr>
        <w:pStyle w:val="Title"/>
        <w:jc w:val="center"/>
        <w:rPr>
          <w:b/>
          <w:u w:val="single"/>
        </w:rPr>
      </w:pPr>
      <w:r w:rsidRPr="006A6841">
        <w:rPr>
          <w:b/>
          <w:u w:val="single"/>
        </w:rPr>
        <w:t>INTERNAL MEMORANDUM</w:t>
      </w:r>
    </w:p>
    <w:p w14:paraId="0000000C" w14:textId="70CC24DE" w:rsidR="009C72D6" w:rsidRPr="006A095D" w:rsidRDefault="006A095D" w:rsidP="006A095D">
      <w:pPr>
        <w:jc w:val="center"/>
        <w:rPr>
          <w:b/>
          <w:color w:val="000000" w:themeColor="text1"/>
          <w:sz w:val="34"/>
          <w:szCs w:val="34"/>
        </w:rPr>
      </w:pPr>
      <w:r w:rsidRPr="006A095D">
        <w:rPr>
          <w:b/>
          <w:color w:val="000000" w:themeColor="text1"/>
          <w:sz w:val="34"/>
          <w:szCs w:val="34"/>
        </w:rPr>
        <w:t>Liability by Omission</w:t>
      </w:r>
      <w:r w:rsidRPr="006A095D">
        <w:rPr>
          <w:color w:val="000000" w:themeColor="text1"/>
        </w:rPr>
        <w:br w:type="page"/>
      </w:r>
    </w:p>
    <w:p w14:paraId="0000000D" w14:textId="77777777" w:rsidR="009C72D6" w:rsidRPr="006A095D" w:rsidRDefault="006A095D" w:rsidP="006A095D">
      <w:pPr>
        <w:jc w:val="center"/>
        <w:rPr>
          <w:b/>
          <w:color w:val="000000" w:themeColor="text1"/>
        </w:rPr>
      </w:pPr>
      <w:r w:rsidRPr="006A095D">
        <w:rPr>
          <w:b/>
          <w:color w:val="000000" w:themeColor="text1"/>
        </w:rPr>
        <w:lastRenderedPageBreak/>
        <w:t>Table of Contents</w:t>
      </w:r>
    </w:p>
    <w:sdt>
      <w:sdtPr>
        <w:rPr>
          <w:color w:val="000000" w:themeColor="text1"/>
        </w:rPr>
        <w:id w:val="-822280753"/>
        <w:docPartObj>
          <w:docPartGallery w:val="Table of Contents"/>
          <w:docPartUnique/>
        </w:docPartObj>
      </w:sdtPr>
      <w:sdtEndPr>
        <w:rPr>
          <w:b/>
        </w:rPr>
      </w:sdtEndPr>
      <w:sdtContent>
        <w:p w14:paraId="009C95F0" w14:textId="5469BEBE" w:rsidR="006A095D" w:rsidRDefault="006A095D">
          <w:pPr>
            <w:pStyle w:val="TOC1"/>
            <w:tabs>
              <w:tab w:val="right" w:pos="9350"/>
            </w:tabs>
            <w:rPr>
              <w:rFonts w:asciiTheme="minorHAnsi" w:eastAsiaTheme="minorEastAsia" w:hAnsiTheme="minorHAnsi" w:cstheme="minorBidi"/>
              <w:noProof/>
              <w:sz w:val="22"/>
              <w:szCs w:val="22"/>
            </w:rPr>
          </w:pPr>
          <w:r w:rsidRPr="006A095D">
            <w:rPr>
              <w:b/>
              <w:color w:val="000000" w:themeColor="text1"/>
            </w:rPr>
            <w:fldChar w:fldCharType="begin"/>
          </w:r>
          <w:r w:rsidRPr="006A095D">
            <w:rPr>
              <w:b/>
              <w:color w:val="000000" w:themeColor="text1"/>
            </w:rPr>
            <w:instrText xml:space="preserve"> TOC \h \u \z </w:instrText>
          </w:r>
          <w:r w:rsidRPr="006A095D">
            <w:rPr>
              <w:b/>
              <w:color w:val="000000" w:themeColor="text1"/>
            </w:rPr>
            <w:fldChar w:fldCharType="separate"/>
          </w:r>
          <w:hyperlink w:anchor="_Toc118148135" w:history="1">
            <w:r w:rsidRPr="001214F1">
              <w:rPr>
                <w:rStyle w:val="Hyperlink"/>
                <w:noProof/>
              </w:rPr>
              <w:t>Introduction</w:t>
            </w:r>
            <w:r>
              <w:rPr>
                <w:noProof/>
                <w:webHidden/>
              </w:rPr>
              <w:tab/>
            </w:r>
            <w:r>
              <w:rPr>
                <w:noProof/>
                <w:webHidden/>
              </w:rPr>
              <w:fldChar w:fldCharType="begin"/>
            </w:r>
            <w:r>
              <w:rPr>
                <w:noProof/>
                <w:webHidden/>
              </w:rPr>
              <w:instrText xml:space="preserve"> PAGEREF _Toc118148135 \h </w:instrText>
            </w:r>
            <w:r>
              <w:rPr>
                <w:noProof/>
                <w:webHidden/>
              </w:rPr>
            </w:r>
            <w:r>
              <w:rPr>
                <w:noProof/>
                <w:webHidden/>
              </w:rPr>
              <w:fldChar w:fldCharType="separate"/>
            </w:r>
            <w:r>
              <w:rPr>
                <w:noProof/>
                <w:webHidden/>
              </w:rPr>
              <w:t>3</w:t>
            </w:r>
            <w:r>
              <w:rPr>
                <w:noProof/>
                <w:webHidden/>
              </w:rPr>
              <w:fldChar w:fldCharType="end"/>
            </w:r>
          </w:hyperlink>
        </w:p>
        <w:p w14:paraId="1230C1B3" w14:textId="1AF2647F" w:rsidR="006A095D" w:rsidRDefault="00000000">
          <w:pPr>
            <w:pStyle w:val="TOC1"/>
            <w:tabs>
              <w:tab w:val="right" w:pos="9350"/>
            </w:tabs>
            <w:rPr>
              <w:rFonts w:asciiTheme="minorHAnsi" w:eastAsiaTheme="minorEastAsia" w:hAnsiTheme="minorHAnsi" w:cstheme="minorBidi"/>
              <w:noProof/>
              <w:sz w:val="22"/>
              <w:szCs w:val="22"/>
            </w:rPr>
          </w:pPr>
          <w:hyperlink w:anchor="_Toc118148136" w:history="1">
            <w:r w:rsidR="006A095D" w:rsidRPr="001214F1">
              <w:rPr>
                <w:rStyle w:val="Hyperlink"/>
                <w:noProof/>
              </w:rPr>
              <w:t>Discussion</w:t>
            </w:r>
            <w:r w:rsidR="006A095D">
              <w:rPr>
                <w:noProof/>
                <w:webHidden/>
              </w:rPr>
              <w:tab/>
            </w:r>
            <w:r w:rsidR="006A095D">
              <w:rPr>
                <w:noProof/>
                <w:webHidden/>
              </w:rPr>
              <w:fldChar w:fldCharType="begin"/>
            </w:r>
            <w:r w:rsidR="006A095D">
              <w:rPr>
                <w:noProof/>
                <w:webHidden/>
              </w:rPr>
              <w:instrText xml:space="preserve"> PAGEREF _Toc118148136 \h </w:instrText>
            </w:r>
            <w:r w:rsidR="006A095D">
              <w:rPr>
                <w:noProof/>
                <w:webHidden/>
              </w:rPr>
            </w:r>
            <w:r w:rsidR="006A095D">
              <w:rPr>
                <w:noProof/>
                <w:webHidden/>
              </w:rPr>
              <w:fldChar w:fldCharType="separate"/>
            </w:r>
            <w:r w:rsidR="006A095D">
              <w:rPr>
                <w:noProof/>
                <w:webHidden/>
              </w:rPr>
              <w:t>3</w:t>
            </w:r>
            <w:r w:rsidR="006A095D">
              <w:rPr>
                <w:noProof/>
                <w:webHidden/>
              </w:rPr>
              <w:fldChar w:fldCharType="end"/>
            </w:r>
          </w:hyperlink>
        </w:p>
        <w:p w14:paraId="7383BBA1" w14:textId="08B752C9" w:rsidR="006A095D" w:rsidRDefault="00000000">
          <w:pPr>
            <w:pStyle w:val="TOC1"/>
            <w:tabs>
              <w:tab w:val="right" w:pos="9350"/>
            </w:tabs>
            <w:rPr>
              <w:rFonts w:asciiTheme="minorHAnsi" w:eastAsiaTheme="minorEastAsia" w:hAnsiTheme="minorHAnsi" w:cstheme="minorBidi"/>
              <w:noProof/>
              <w:sz w:val="22"/>
              <w:szCs w:val="22"/>
            </w:rPr>
          </w:pPr>
          <w:hyperlink w:anchor="_Toc118148137" w:history="1">
            <w:r w:rsidR="006A095D" w:rsidRPr="001214F1">
              <w:rPr>
                <w:rStyle w:val="Hyperlink"/>
                <w:noProof/>
              </w:rPr>
              <w:t>Conclusion</w:t>
            </w:r>
            <w:r w:rsidR="006A095D">
              <w:rPr>
                <w:noProof/>
                <w:webHidden/>
              </w:rPr>
              <w:tab/>
            </w:r>
            <w:r w:rsidR="006A095D">
              <w:rPr>
                <w:noProof/>
                <w:webHidden/>
              </w:rPr>
              <w:fldChar w:fldCharType="begin"/>
            </w:r>
            <w:r w:rsidR="006A095D">
              <w:rPr>
                <w:noProof/>
                <w:webHidden/>
              </w:rPr>
              <w:instrText xml:space="preserve"> PAGEREF _Toc118148137 \h </w:instrText>
            </w:r>
            <w:r w:rsidR="006A095D">
              <w:rPr>
                <w:noProof/>
                <w:webHidden/>
              </w:rPr>
            </w:r>
            <w:r w:rsidR="006A095D">
              <w:rPr>
                <w:noProof/>
                <w:webHidden/>
              </w:rPr>
              <w:fldChar w:fldCharType="separate"/>
            </w:r>
            <w:r w:rsidR="006A095D">
              <w:rPr>
                <w:noProof/>
                <w:webHidden/>
              </w:rPr>
              <w:t>6</w:t>
            </w:r>
            <w:r w:rsidR="006A095D">
              <w:rPr>
                <w:noProof/>
                <w:webHidden/>
              </w:rPr>
              <w:fldChar w:fldCharType="end"/>
            </w:r>
          </w:hyperlink>
        </w:p>
        <w:p w14:paraId="1FC1FF65" w14:textId="0FF817A4" w:rsidR="006A095D" w:rsidRDefault="00000000">
          <w:pPr>
            <w:pStyle w:val="TOC1"/>
            <w:tabs>
              <w:tab w:val="right" w:pos="9350"/>
            </w:tabs>
            <w:rPr>
              <w:rFonts w:asciiTheme="minorHAnsi" w:eastAsiaTheme="minorEastAsia" w:hAnsiTheme="minorHAnsi" w:cstheme="minorBidi"/>
              <w:noProof/>
              <w:sz w:val="22"/>
              <w:szCs w:val="22"/>
            </w:rPr>
          </w:pPr>
          <w:hyperlink w:anchor="_Toc118148138" w:history="1">
            <w:r w:rsidR="006A095D" w:rsidRPr="001214F1">
              <w:rPr>
                <w:rStyle w:val="Hyperlink"/>
                <w:noProof/>
              </w:rPr>
              <w:t>Reference List</w:t>
            </w:r>
            <w:r w:rsidR="006A095D">
              <w:rPr>
                <w:noProof/>
                <w:webHidden/>
              </w:rPr>
              <w:tab/>
            </w:r>
            <w:r w:rsidR="006A095D">
              <w:rPr>
                <w:noProof/>
                <w:webHidden/>
              </w:rPr>
              <w:fldChar w:fldCharType="begin"/>
            </w:r>
            <w:r w:rsidR="006A095D">
              <w:rPr>
                <w:noProof/>
                <w:webHidden/>
              </w:rPr>
              <w:instrText xml:space="preserve"> PAGEREF _Toc118148138 \h </w:instrText>
            </w:r>
            <w:r w:rsidR="006A095D">
              <w:rPr>
                <w:noProof/>
                <w:webHidden/>
              </w:rPr>
            </w:r>
            <w:r w:rsidR="006A095D">
              <w:rPr>
                <w:noProof/>
                <w:webHidden/>
              </w:rPr>
              <w:fldChar w:fldCharType="separate"/>
            </w:r>
            <w:r w:rsidR="006A095D">
              <w:rPr>
                <w:noProof/>
                <w:webHidden/>
              </w:rPr>
              <w:t>7</w:t>
            </w:r>
            <w:r w:rsidR="006A095D">
              <w:rPr>
                <w:noProof/>
                <w:webHidden/>
              </w:rPr>
              <w:fldChar w:fldCharType="end"/>
            </w:r>
          </w:hyperlink>
        </w:p>
        <w:p w14:paraId="00000011" w14:textId="15192491" w:rsidR="009C72D6" w:rsidRPr="006A095D" w:rsidRDefault="006A095D" w:rsidP="006A095D">
          <w:pPr>
            <w:tabs>
              <w:tab w:val="right" w:pos="9360"/>
            </w:tabs>
            <w:spacing w:before="200" w:after="80" w:line="240" w:lineRule="auto"/>
            <w:rPr>
              <w:b/>
              <w:color w:val="000000" w:themeColor="text1"/>
            </w:rPr>
          </w:pPr>
          <w:r w:rsidRPr="006A095D">
            <w:rPr>
              <w:b/>
              <w:color w:val="000000" w:themeColor="text1"/>
            </w:rPr>
            <w:fldChar w:fldCharType="end"/>
          </w:r>
        </w:p>
      </w:sdtContent>
    </w:sdt>
    <w:p w14:paraId="00000012" w14:textId="77777777" w:rsidR="009C72D6" w:rsidRPr="006A095D" w:rsidRDefault="009C72D6" w:rsidP="006A095D">
      <w:pPr>
        <w:rPr>
          <w:b/>
          <w:color w:val="000000" w:themeColor="text1"/>
          <w:sz w:val="34"/>
          <w:szCs w:val="34"/>
        </w:rPr>
      </w:pPr>
    </w:p>
    <w:p w14:paraId="00000013" w14:textId="77777777" w:rsidR="009C72D6" w:rsidRPr="006A095D" w:rsidRDefault="006A095D" w:rsidP="006A095D">
      <w:pPr>
        <w:rPr>
          <w:b/>
          <w:color w:val="000000" w:themeColor="text1"/>
          <w:sz w:val="34"/>
          <w:szCs w:val="34"/>
        </w:rPr>
      </w:pPr>
      <w:r w:rsidRPr="006A095D">
        <w:rPr>
          <w:color w:val="000000" w:themeColor="text1"/>
        </w:rPr>
        <w:br w:type="page"/>
      </w:r>
    </w:p>
    <w:p w14:paraId="00000014" w14:textId="77777777" w:rsidR="009C72D6" w:rsidRPr="006A095D" w:rsidRDefault="006A095D" w:rsidP="006A095D">
      <w:pPr>
        <w:pStyle w:val="Heading1"/>
        <w:rPr>
          <w:color w:val="000000" w:themeColor="text1"/>
        </w:rPr>
      </w:pPr>
      <w:bookmarkStart w:id="0" w:name="_Toc118148135"/>
      <w:r w:rsidRPr="006A095D">
        <w:rPr>
          <w:color w:val="000000" w:themeColor="text1"/>
        </w:rPr>
        <w:lastRenderedPageBreak/>
        <w:t>Introduction</w:t>
      </w:r>
      <w:bookmarkEnd w:id="0"/>
    </w:p>
    <w:p w14:paraId="00000015" w14:textId="34F6AFFA" w:rsidR="009C72D6" w:rsidRPr="006A095D" w:rsidRDefault="006A095D" w:rsidP="006A095D">
      <w:pPr>
        <w:rPr>
          <w:color w:val="000000" w:themeColor="text1"/>
        </w:rPr>
      </w:pPr>
      <w:r w:rsidRPr="006A095D">
        <w:rPr>
          <w:color w:val="000000" w:themeColor="text1"/>
        </w:rPr>
        <w:t xml:space="preserve">Criminal law deals with various kinds of offences and the ways of preventing them in Future. Moreover, it also deals with the consequences of crimes that take place within society. In addition to that, criminal law is applied when the police investigate any sort of offence that has been committed by criminals. After the prosecuting authority charges, the criminal one needs to appear in court.  Furthermore, the judge decides the tenure of punishment as per the severity of the crime. In the present study, different types of crime will be discussed. In addition to that, a discussion of crime omission will also be </w:t>
      </w:r>
      <w:r w:rsidR="00356E86" w:rsidRPr="006A095D">
        <w:rPr>
          <w:color w:val="000000" w:themeColor="text1"/>
        </w:rPr>
        <w:t>analyzed</w:t>
      </w:r>
      <w:r w:rsidRPr="006A095D">
        <w:rPr>
          <w:color w:val="000000" w:themeColor="text1"/>
        </w:rPr>
        <w:t xml:space="preserve">. The concept of statutory duty will also be explained in the study. The concept of contractual duty and common law will also be thrown to light in the study. Lastly, the advantages and challenges of the general duty of the act will also be highlighted. </w:t>
      </w:r>
    </w:p>
    <w:p w14:paraId="00000016" w14:textId="77777777" w:rsidR="009C72D6" w:rsidRPr="006A095D" w:rsidRDefault="006A095D" w:rsidP="006A095D">
      <w:pPr>
        <w:pStyle w:val="Heading1"/>
        <w:rPr>
          <w:color w:val="000000" w:themeColor="text1"/>
        </w:rPr>
      </w:pPr>
      <w:bookmarkStart w:id="1" w:name="_Toc118148136"/>
      <w:r w:rsidRPr="006A095D">
        <w:rPr>
          <w:color w:val="000000" w:themeColor="text1"/>
        </w:rPr>
        <w:t>Discussion</w:t>
      </w:r>
      <w:bookmarkEnd w:id="1"/>
    </w:p>
    <w:p w14:paraId="12D2C7E3" w14:textId="77777777" w:rsidR="006A095D" w:rsidRDefault="006A095D" w:rsidP="006A095D">
      <w:pPr>
        <w:rPr>
          <w:color w:val="000000" w:themeColor="text1"/>
        </w:rPr>
      </w:pPr>
      <w:r w:rsidRPr="006A095D">
        <w:rPr>
          <w:color w:val="000000" w:themeColor="text1"/>
        </w:rPr>
        <w:t>Criminal law is different from civil law because</w:t>
      </w:r>
      <w:r>
        <w:rPr>
          <w:color w:val="000000" w:themeColor="text1"/>
        </w:rPr>
        <w:t xml:space="preserve"> of the nature of punishment. “</w:t>
      </w:r>
      <w:r w:rsidRPr="006A095D">
        <w:rPr>
          <w:color w:val="000000" w:themeColor="text1"/>
        </w:rPr>
        <w:t>The</w:t>
      </w:r>
      <w:r>
        <w:rPr>
          <w:color w:val="000000" w:themeColor="text1"/>
        </w:rPr>
        <w:t xml:space="preserve"> </w:t>
      </w:r>
      <w:r w:rsidRPr="006A095D">
        <w:rPr>
          <w:color w:val="000000" w:themeColor="text1"/>
        </w:rPr>
        <w:t>formal threshold at which the criminal law intervenes is when the conduct in question</w:t>
      </w:r>
      <w:r>
        <w:rPr>
          <w:color w:val="000000" w:themeColor="text1"/>
        </w:rPr>
        <w:t xml:space="preserve"> </w:t>
      </w:r>
      <w:r w:rsidRPr="006A095D">
        <w:rPr>
          <w:color w:val="000000" w:themeColor="text1"/>
        </w:rPr>
        <w:t xml:space="preserve">has a sufficiently serious social impact to justify the state, rather than the individual affected, taking on the case of the injured party”. On the contrary, as per the report of The Guardian, it has been noted that people have lost their faith in the police of England and Wales because of the series of scandals taking place in and around the cities. However, the rate of cases reported to the court has been reduced in 2021 as compared to 2015-16.  For instance, previously, in the year 2016-16 16% of the cases were reported to the court. However, now it has been reduced to 6% (theguardian.com, 2022).  Further, from the report presented by The Guardian, it has been pointed out that criminal offences such as rape, kidnapping and murder are also increasing. </w:t>
      </w:r>
    </w:p>
    <w:p w14:paraId="00000019" w14:textId="2B05A68A" w:rsidR="009C72D6" w:rsidRPr="006A095D" w:rsidRDefault="006A095D" w:rsidP="006A095D">
      <w:pPr>
        <w:rPr>
          <w:color w:val="000000" w:themeColor="text1"/>
        </w:rPr>
      </w:pPr>
      <w:r w:rsidRPr="006A095D">
        <w:rPr>
          <w:color w:val="000000" w:themeColor="text1"/>
        </w:rPr>
        <w:t xml:space="preserve">Thus, the efficiency of the police also needs to be increased. The omission of the acts also creates criminal liabilities. Omission defines failure of performing any kind of activity that is done purposely or non-intentionally (gov, 2022). On the other hand, it still gives rise to obligation </w:t>
      </w:r>
      <w:r w:rsidRPr="006A095D">
        <w:rPr>
          <w:color w:val="000000" w:themeColor="text1"/>
          <w:highlight w:val="white"/>
        </w:rPr>
        <w:t xml:space="preserve">when the law inflicts a duty to act and the defendant is in violation of that duty. In general law, the omission is considered a failure to act which further attracts different consequences in order to punish the individual who has failed to follow the act. In criminal law, an omission will constitute an actus reus and give rise to liability only when the law imposes a duty to act and the defendant is in breach of that duty. “Failure to Act”, is considered a crime because it causes neglect of duty. In addition to that, a defendant must have committed an "actus reus," or criminal act. </w:t>
      </w:r>
      <w:r w:rsidRPr="006A095D">
        <w:rPr>
          <w:b/>
          <w:color w:val="000000" w:themeColor="text1"/>
          <w:highlight w:val="white"/>
        </w:rPr>
        <w:t xml:space="preserve">Under some </w:t>
      </w:r>
      <w:r w:rsidRPr="006A095D">
        <w:rPr>
          <w:color w:val="000000" w:themeColor="text1"/>
          <w:highlight w:val="white"/>
        </w:rPr>
        <w:t xml:space="preserve">circumstances, a defendant can be convicted of committing a crime for failing to act as well. In </w:t>
      </w:r>
      <w:r w:rsidRPr="006A095D">
        <w:rPr>
          <w:color w:val="000000" w:themeColor="text1"/>
          <w:highlight w:val="white"/>
        </w:rPr>
        <w:lastRenderedPageBreak/>
        <w:t>the UK, criminal liabilities are brought against an individual who fails to act. In English law criminal law at times becomes good with a positive impact (Gov, 2022). However, it has been pointed out that in the UK, criminal liabilities can be imposed on a person who fails to protect the property or a person from whom the individual is responsible. The imposition of criminal liability for failing to act raises concerns about the society which the person deals with.</w:t>
      </w:r>
    </w:p>
    <w:p w14:paraId="0000001A" w14:textId="77777777" w:rsidR="009C72D6" w:rsidRPr="006A095D" w:rsidRDefault="006A095D" w:rsidP="006A095D">
      <w:pPr>
        <w:rPr>
          <w:color w:val="000000" w:themeColor="text1"/>
          <w:highlight w:val="white"/>
        </w:rPr>
      </w:pPr>
      <w:r w:rsidRPr="006A095D">
        <w:rPr>
          <w:color w:val="000000" w:themeColor="text1"/>
          <w:highlight w:val="white"/>
        </w:rPr>
        <w:t>In a similar case between</w:t>
      </w:r>
      <w:r w:rsidRPr="006A095D">
        <w:rPr>
          <w:b/>
          <w:color w:val="000000" w:themeColor="text1"/>
          <w:highlight w:val="white"/>
        </w:rPr>
        <w:t xml:space="preserve"> </w:t>
      </w:r>
      <w:r w:rsidRPr="006A095D">
        <w:rPr>
          <w:b/>
          <w:i/>
          <w:color w:val="000000" w:themeColor="text1"/>
          <w:highlight w:val="white"/>
        </w:rPr>
        <w:t xml:space="preserve">R v </w:t>
      </w:r>
      <w:proofErr w:type="spellStart"/>
      <w:r w:rsidRPr="006A095D">
        <w:rPr>
          <w:b/>
          <w:i/>
          <w:color w:val="000000" w:themeColor="text1"/>
          <w:highlight w:val="white"/>
        </w:rPr>
        <w:t>Pittwood</w:t>
      </w:r>
      <w:proofErr w:type="spellEnd"/>
      <w:r w:rsidRPr="006A095D">
        <w:rPr>
          <w:b/>
          <w:color w:val="000000" w:themeColor="text1"/>
          <w:highlight w:val="white"/>
        </w:rPr>
        <w:t xml:space="preserve"> [1902] TLR 37 </w:t>
      </w:r>
      <w:r w:rsidRPr="006A095D">
        <w:rPr>
          <w:color w:val="000000" w:themeColor="text1"/>
          <w:highlight w:val="white"/>
        </w:rPr>
        <w:t>it has been noted that the defendant has been employed by the railway company in order to man the gate at a level crossing. However, the defendant lifted up the gate in order to pass a cart followed by the individual who went to have lunch without putting down the gate (Iccsa.org.uk, 2022). Thus, a train passing by collided with the cart and the driver of the cart was found dead. Here, the gateman has failed to perform his individual duty. Thus, he was found to be responsible for the death of the train driver (e-lawresources.co.uk, 2022). The mentioned case also falls under contractual duty because a contract was made between the gate man and the rail company regarding manning the gate at the railway crossing.</w:t>
      </w:r>
    </w:p>
    <w:p w14:paraId="0000001B" w14:textId="7CB8BC8C" w:rsidR="009C72D6" w:rsidRPr="006A095D" w:rsidRDefault="006A095D" w:rsidP="006A095D">
      <w:pPr>
        <w:rPr>
          <w:color w:val="000000" w:themeColor="text1"/>
          <w:highlight w:val="white"/>
        </w:rPr>
      </w:pPr>
      <w:r w:rsidRPr="006A095D">
        <w:rPr>
          <w:color w:val="000000" w:themeColor="text1"/>
          <w:highlight w:val="white"/>
        </w:rPr>
        <w:t xml:space="preserve">Thus, contractual law rightly </w:t>
      </w:r>
      <w:r>
        <w:rPr>
          <w:color w:val="000000" w:themeColor="text1"/>
          <w:highlight w:val="white"/>
        </w:rPr>
        <w:t xml:space="preserve">states </w:t>
      </w:r>
      <w:r w:rsidRPr="006A095D">
        <w:rPr>
          <w:color w:val="000000" w:themeColor="text1"/>
          <w:highlight w:val="white"/>
        </w:rPr>
        <w:t>“If a person owes a contractual duty to act, then a failure to meet this contractual duty may result in criminal liability”</w:t>
      </w:r>
    </w:p>
    <w:p w14:paraId="0000001C" w14:textId="77777777" w:rsidR="009C72D6" w:rsidRPr="006A095D" w:rsidRDefault="006A095D" w:rsidP="006A095D">
      <w:pPr>
        <w:spacing w:before="240" w:after="240"/>
        <w:rPr>
          <w:b/>
          <w:color w:val="000000" w:themeColor="text1"/>
        </w:rPr>
      </w:pPr>
      <w:r w:rsidRPr="006A095D">
        <w:rPr>
          <w:color w:val="000000" w:themeColor="text1"/>
        </w:rPr>
        <w:t xml:space="preserve">In English law, there are some instances where failure to act is considered a “criminal liability” An example of one such an instance is the imposition of criminal liability when a defendant fails to observe the duties assumed or imposed to protect a person or a property (Hussain, 2017). Cases where failure to act is adequate to incur criminal liability as per the English law are, </w:t>
      </w:r>
      <w:r w:rsidRPr="006A095D">
        <w:rPr>
          <w:b/>
          <w:i/>
          <w:color w:val="000000" w:themeColor="text1"/>
        </w:rPr>
        <w:t xml:space="preserve">failure to observe assumed responsibility, breach of professional responsibility, creating harm due to negligence, and failure to restrain. </w:t>
      </w:r>
      <w:r w:rsidRPr="006A095D">
        <w:rPr>
          <w:color w:val="000000" w:themeColor="text1"/>
        </w:rPr>
        <w:t xml:space="preserve">A case example can be produced to exhibit how failure to act might lead to the imposition of criminal liability. In the case of </w:t>
      </w:r>
      <w:r w:rsidRPr="006A095D">
        <w:rPr>
          <w:b/>
          <w:color w:val="000000" w:themeColor="text1"/>
        </w:rPr>
        <w:t xml:space="preserve">R v Miller [1983], </w:t>
      </w:r>
      <w:r w:rsidRPr="006A095D">
        <w:rPr>
          <w:color w:val="000000" w:themeColor="text1"/>
        </w:rPr>
        <w:t xml:space="preserve">the defendant fell asleep on his mattress with a lit cigarette in his hand. The lit cigarette set a small fire in his room/ Despite noticing the fire, the defendant shifted to another room and went to sleep. The court held the act of the defendant as </w:t>
      </w:r>
      <w:r w:rsidRPr="006A095D">
        <w:rPr>
          <w:b/>
          <w:color w:val="000000" w:themeColor="text1"/>
        </w:rPr>
        <w:t xml:space="preserve">an omission which led to the building catching fire </w:t>
      </w:r>
      <w:r w:rsidRPr="006A095D">
        <w:rPr>
          <w:color w:val="000000" w:themeColor="text1"/>
        </w:rPr>
        <w:t>(E-law resources.co.uk, 2022)</w:t>
      </w:r>
      <w:r w:rsidRPr="006A095D">
        <w:rPr>
          <w:b/>
          <w:color w:val="000000" w:themeColor="text1"/>
        </w:rPr>
        <w:t xml:space="preserve">. </w:t>
      </w:r>
    </w:p>
    <w:p w14:paraId="0000001D" w14:textId="77777777" w:rsidR="009C72D6" w:rsidRPr="006A095D" w:rsidRDefault="006A095D" w:rsidP="006A095D">
      <w:pPr>
        <w:spacing w:before="240" w:after="240"/>
        <w:rPr>
          <w:b/>
          <w:color w:val="000000" w:themeColor="text1"/>
        </w:rPr>
      </w:pPr>
      <w:r w:rsidRPr="006A095D">
        <w:rPr>
          <w:color w:val="000000" w:themeColor="text1"/>
        </w:rPr>
        <w:t xml:space="preserve">It was concluded that the defendant’s right to autonomy and self-interest were diminished from the very moment he created danger and harm and that it was his legal duty to take action to prevent the fire from spreading. Therefore, it can be said that criminal law functions on a general rule that </w:t>
      </w:r>
      <w:r w:rsidRPr="006A095D">
        <w:rPr>
          <w:color w:val="000000" w:themeColor="text1"/>
        </w:rPr>
        <w:lastRenderedPageBreak/>
        <w:t xml:space="preserve">one must commit criminal activities with good reasons to be held liable. However, there are instances where </w:t>
      </w:r>
      <w:r w:rsidRPr="006A095D">
        <w:rPr>
          <w:b/>
          <w:color w:val="000000" w:themeColor="text1"/>
        </w:rPr>
        <w:t xml:space="preserve">criminal liability might be imposed after one fails to act in accordance with his duties to protect a person or property. </w:t>
      </w:r>
    </w:p>
    <w:p w14:paraId="0000001E" w14:textId="2C7092C5" w:rsidR="009C72D6" w:rsidRPr="006A095D" w:rsidRDefault="006A095D" w:rsidP="006A095D">
      <w:pPr>
        <w:rPr>
          <w:color w:val="000000" w:themeColor="text1"/>
        </w:rPr>
      </w:pPr>
      <w:r w:rsidRPr="006A095D">
        <w:rPr>
          <w:color w:val="000000" w:themeColor="text1"/>
        </w:rPr>
        <w:t xml:space="preserve">An omission is not an act or a real event, rather it is the negation of a specific act. In general, the criminal law of the UK does not incur criminal liability on individuals upon failing to act. However, there are exceptions. The first requirement for an omission to be held as a crime is a failure to observe duties imposed by law. For example, under </w:t>
      </w:r>
      <w:r w:rsidRPr="006A095D">
        <w:rPr>
          <w:b/>
          <w:color w:val="000000" w:themeColor="text1"/>
        </w:rPr>
        <w:t>Section 6</w:t>
      </w:r>
      <w:r w:rsidRPr="006A095D">
        <w:rPr>
          <w:color w:val="000000" w:themeColor="text1"/>
        </w:rPr>
        <w:t xml:space="preserve"> of the “</w:t>
      </w:r>
      <w:r w:rsidRPr="006A095D">
        <w:rPr>
          <w:b/>
          <w:i/>
          <w:color w:val="000000" w:themeColor="text1"/>
        </w:rPr>
        <w:t xml:space="preserve">Road Traffic Act 1988”, </w:t>
      </w:r>
      <w:r w:rsidRPr="006A095D">
        <w:rPr>
          <w:color w:val="000000" w:themeColor="text1"/>
        </w:rPr>
        <w:t xml:space="preserve">a person is considered to have committed a criminal offence if he fails to provide a specimen of breath when required (Legislation, 2022). In a similar vein, if the failure to observe professional duties leads to the </w:t>
      </w:r>
      <w:r w:rsidR="006D59A6" w:rsidRPr="006A095D">
        <w:rPr>
          <w:color w:val="000000" w:themeColor="text1"/>
        </w:rPr>
        <w:t>victimization</w:t>
      </w:r>
      <w:r w:rsidRPr="006A095D">
        <w:rPr>
          <w:color w:val="000000" w:themeColor="text1"/>
        </w:rPr>
        <w:t xml:space="preserve"> of one of the parties, criminal liabilities are incurred. For example, in </w:t>
      </w:r>
      <w:r w:rsidRPr="006A095D">
        <w:rPr>
          <w:b/>
          <w:i/>
          <w:color w:val="000000" w:themeColor="text1"/>
        </w:rPr>
        <w:t xml:space="preserve">R v Adomako [1995], </w:t>
      </w:r>
      <w:r w:rsidRPr="006A095D">
        <w:rPr>
          <w:color w:val="000000" w:themeColor="text1"/>
        </w:rPr>
        <w:t xml:space="preserve">the defendant was an </w:t>
      </w:r>
      <w:r w:rsidR="006D59A6" w:rsidRPr="006A095D">
        <w:rPr>
          <w:color w:val="000000" w:themeColor="text1"/>
        </w:rPr>
        <w:t>anesthetist</w:t>
      </w:r>
      <w:r w:rsidRPr="006A095D">
        <w:rPr>
          <w:color w:val="000000" w:themeColor="text1"/>
        </w:rPr>
        <w:t xml:space="preserve"> and was operating on a patient to cure a detached retina. The practitioner failed to notice a dislodged oxygen tube which led to the patient’s death. The defendant, here, failed to observe his professional duty, and therefore was subjected to a criminal conviction (E-law resource.co.uk, 2022). </w:t>
      </w:r>
    </w:p>
    <w:p w14:paraId="03642087" w14:textId="77777777" w:rsidR="006A095D" w:rsidRDefault="006A095D" w:rsidP="006A095D">
      <w:pPr>
        <w:rPr>
          <w:color w:val="000000" w:themeColor="text1"/>
        </w:rPr>
      </w:pPr>
      <w:r w:rsidRPr="006A095D">
        <w:rPr>
          <w:color w:val="000000" w:themeColor="text1"/>
        </w:rPr>
        <w:t xml:space="preserve">Other instances where omission leads to a criminal offence are </w:t>
      </w:r>
      <w:r w:rsidRPr="006A095D">
        <w:rPr>
          <w:b/>
          <w:color w:val="000000" w:themeColor="text1"/>
        </w:rPr>
        <w:t xml:space="preserve">the breach of voluntarily assumed duty, negligence in observing contractual duty, misconduct in public offices, and the failure to rectify the criminal actions. “Fagan v MPC [1969]” </w:t>
      </w:r>
      <w:r w:rsidRPr="006A095D">
        <w:rPr>
          <w:color w:val="000000" w:themeColor="text1"/>
        </w:rPr>
        <w:t xml:space="preserve">is an example of a continuing act where the defendant committed a wrongful act and denied to take actions to rectify the action. In the cited case, the defendant, Fagan, run onto a police officer’s foot with his car and refused to move the car. It can be seen as a failure to act and an extension of the original inappropriate act. Therefore, the failure to rectify the illegal action would give rise to criminal liability. </w:t>
      </w:r>
    </w:p>
    <w:p w14:paraId="00000020" w14:textId="56257DE1" w:rsidR="009C72D6" w:rsidRPr="006A095D" w:rsidRDefault="006A095D" w:rsidP="006A095D">
      <w:pPr>
        <w:rPr>
          <w:color w:val="000000" w:themeColor="text1"/>
        </w:rPr>
      </w:pPr>
      <w:r w:rsidRPr="006A095D">
        <w:rPr>
          <w:color w:val="000000" w:themeColor="text1"/>
        </w:rPr>
        <w:t xml:space="preserve">In addition, criminal liability is imposed when </w:t>
      </w:r>
      <w:r w:rsidRPr="006A095D">
        <w:rPr>
          <w:b/>
          <w:i/>
          <w:color w:val="000000" w:themeColor="text1"/>
        </w:rPr>
        <w:t>one creates a danger and fails to address duties (</w:t>
      </w:r>
      <w:proofErr w:type="spellStart"/>
      <w:r w:rsidRPr="006A095D">
        <w:rPr>
          <w:b/>
          <w:i/>
          <w:color w:val="000000" w:themeColor="text1"/>
        </w:rPr>
        <w:t>e.g</w:t>
      </w:r>
      <w:proofErr w:type="spellEnd"/>
      <w:r w:rsidRPr="006A095D">
        <w:rPr>
          <w:b/>
          <w:i/>
          <w:color w:val="000000" w:themeColor="text1"/>
        </w:rPr>
        <w:t xml:space="preserve"> care of children).</w:t>
      </w:r>
      <w:r>
        <w:rPr>
          <w:color w:val="000000" w:themeColor="text1"/>
        </w:rPr>
        <w:t xml:space="preserve"> </w:t>
      </w:r>
      <w:r w:rsidRPr="006A095D">
        <w:rPr>
          <w:color w:val="000000" w:themeColor="text1"/>
        </w:rPr>
        <w:t>In some situations, statutory duty to act is used so that details can be provided to parties. For instance, it is the statutory duty to provide details of the insurance if any sort of traffic accident occurs. At the same time, it is the duty to inform DVLA while selling a product. In addition to that, section 110 subsection (6) of the de-regulation act, 2015 deals with statutory duties (assets.publishing.service.gov.uk, 2022). Statutory act explains the responsibilities of the regulators so that an effective relationship can be maintained between them and the stakeholders. In addition to that, section 2 of the act has stated that the concerned act helps in the growth of the business environment. Lastly, this act also helps to regulate the activities of the business (assets.publishing.service.gov.uk, 2022).</w:t>
      </w:r>
    </w:p>
    <w:p w14:paraId="00000021" w14:textId="77777777" w:rsidR="009C72D6" w:rsidRPr="006A095D" w:rsidRDefault="006A095D" w:rsidP="006A095D">
      <w:pPr>
        <w:rPr>
          <w:color w:val="000000" w:themeColor="text1"/>
        </w:rPr>
      </w:pPr>
      <w:r w:rsidRPr="006A095D">
        <w:rPr>
          <w:color w:val="000000" w:themeColor="text1"/>
        </w:rPr>
        <w:lastRenderedPageBreak/>
        <w:t xml:space="preserve">In a similar case between The Queen and Yaqoob [2005], it has been mentioned that several individuals were injured along with MR. Scotten was killed because the </w:t>
      </w:r>
      <w:proofErr w:type="spellStart"/>
      <w:r w:rsidRPr="006A095D">
        <w:rPr>
          <w:color w:val="000000" w:themeColor="text1"/>
        </w:rPr>
        <w:t>tyre</w:t>
      </w:r>
      <w:proofErr w:type="spellEnd"/>
      <w:r w:rsidRPr="006A095D">
        <w:rPr>
          <w:color w:val="000000" w:themeColor="text1"/>
        </w:rPr>
        <w:t xml:space="preserve"> of two vehicles taken from Falcon Taxis burst and </w:t>
      </w:r>
      <w:proofErr w:type="spellStart"/>
      <w:r w:rsidRPr="006A095D">
        <w:rPr>
          <w:color w:val="000000" w:themeColor="text1"/>
        </w:rPr>
        <w:t>Aqbal</w:t>
      </w:r>
      <w:proofErr w:type="spellEnd"/>
      <w:r w:rsidRPr="006A095D">
        <w:rPr>
          <w:color w:val="000000" w:themeColor="text1"/>
        </w:rPr>
        <w:t xml:space="preserve"> lost control while driving (the individual was driving the first car). Hence, the car overturned. However, during the first trial, </w:t>
      </w:r>
      <w:proofErr w:type="spellStart"/>
      <w:r w:rsidRPr="006A095D">
        <w:rPr>
          <w:color w:val="000000" w:themeColor="text1"/>
        </w:rPr>
        <w:t>Aqbal</w:t>
      </w:r>
      <w:proofErr w:type="spellEnd"/>
      <w:r w:rsidRPr="006A095D">
        <w:rPr>
          <w:color w:val="000000" w:themeColor="text1"/>
        </w:rPr>
        <w:t xml:space="preserve"> was charged guilty of rash driving. However, after the final trial, the HH judge and the other jury stated that the Appellant will not be able to drive for 4 years and the individual was also imprisoned for four years due to negligence of statutory duties. Lastly, </w:t>
      </w:r>
      <w:proofErr w:type="spellStart"/>
      <w:r w:rsidRPr="006A095D">
        <w:rPr>
          <w:color w:val="000000" w:themeColor="text1"/>
        </w:rPr>
        <w:t>Aqbal</w:t>
      </w:r>
      <w:proofErr w:type="spellEnd"/>
      <w:r w:rsidRPr="006A095D">
        <w:rPr>
          <w:color w:val="000000" w:themeColor="text1"/>
        </w:rPr>
        <w:t xml:space="preserve"> was also not allowed to drive for three years and was imprisoned for 21 months (lccsa.org.uk, 2022).</w:t>
      </w:r>
    </w:p>
    <w:p w14:paraId="00000022" w14:textId="77777777" w:rsidR="009C72D6" w:rsidRPr="006A095D" w:rsidRDefault="006A095D" w:rsidP="006A095D">
      <w:pPr>
        <w:rPr>
          <w:color w:val="000000" w:themeColor="text1"/>
        </w:rPr>
      </w:pPr>
      <w:r w:rsidRPr="006A095D">
        <w:rPr>
          <w:color w:val="000000" w:themeColor="text1"/>
        </w:rPr>
        <w:t>Duty of Act arises in UK law so that individuals do not face any sort of unreasonable loss or harm. On the contrary, if the duty of care is breached by an individual then criminal liabilities are brought against that person (</w:t>
      </w:r>
      <w:proofErr w:type="spellStart"/>
      <w:r w:rsidRPr="006A095D">
        <w:rPr>
          <w:color w:val="000000" w:themeColor="text1"/>
        </w:rPr>
        <w:t>Trotfeasor</w:t>
      </w:r>
      <w:proofErr w:type="spellEnd"/>
      <w:r w:rsidRPr="006A095D">
        <w:rPr>
          <w:color w:val="000000" w:themeColor="text1"/>
        </w:rPr>
        <w:t xml:space="preserve">) in order to compensate the victim. </w:t>
      </w:r>
    </w:p>
    <w:p w14:paraId="00000023" w14:textId="77777777" w:rsidR="009C72D6" w:rsidRPr="006A095D" w:rsidRDefault="006A095D" w:rsidP="006A095D">
      <w:pPr>
        <w:pStyle w:val="Heading1"/>
        <w:rPr>
          <w:color w:val="000000" w:themeColor="text1"/>
        </w:rPr>
      </w:pPr>
      <w:bookmarkStart w:id="2" w:name="_Toc118148137"/>
      <w:r w:rsidRPr="006A095D">
        <w:rPr>
          <w:color w:val="000000" w:themeColor="text1"/>
        </w:rPr>
        <w:t>Conclusion</w:t>
      </w:r>
      <w:bookmarkEnd w:id="2"/>
    </w:p>
    <w:p w14:paraId="00000024" w14:textId="5C8CD7A9" w:rsidR="009C72D6" w:rsidRPr="006A095D" w:rsidRDefault="006A095D" w:rsidP="006A095D">
      <w:bookmarkStart w:id="3" w:name="_8f5njzc5l3vs" w:colFirst="0" w:colLast="0"/>
      <w:bookmarkEnd w:id="3"/>
      <w:r w:rsidRPr="006A095D">
        <w:t xml:space="preserve">Criminal law is a very crucial legislation system in the UK which primarily provides punishment to the criminals who are guilty of any  crime committed. Based on the given study, it is observed that various case studies were highlighted based on criminal activities. Out of which the most interesting cases identified in the given section happens to be Fagan v MPC [1969] which showcased one of the most brutal cases of criminal law activities. The duty of act also arises in the citizens of the UK so that citizens are protected with utmost care. </w:t>
      </w:r>
      <w:r w:rsidRPr="006A095D">
        <w:br w:type="page"/>
      </w:r>
    </w:p>
    <w:p w14:paraId="00000026" w14:textId="28497FAD" w:rsidR="009C72D6" w:rsidRPr="006A095D" w:rsidRDefault="006A095D" w:rsidP="006A095D">
      <w:pPr>
        <w:pStyle w:val="Heading1"/>
        <w:rPr>
          <w:color w:val="000000" w:themeColor="text1"/>
        </w:rPr>
      </w:pPr>
      <w:bookmarkStart w:id="4" w:name="_Toc118148138"/>
      <w:r w:rsidRPr="006A095D">
        <w:rPr>
          <w:color w:val="000000" w:themeColor="text1"/>
        </w:rPr>
        <w:lastRenderedPageBreak/>
        <w:t>Reference List</w:t>
      </w:r>
      <w:bookmarkEnd w:id="4"/>
      <w:r w:rsidRPr="006A095D">
        <w:rPr>
          <w:color w:val="000000" w:themeColor="text1"/>
        </w:rPr>
        <w:t xml:space="preserve"> </w:t>
      </w:r>
    </w:p>
    <w:p w14:paraId="560C42D5" w14:textId="632F7CF9" w:rsidR="006A095D" w:rsidRPr="006A095D" w:rsidRDefault="006A095D" w:rsidP="006A095D">
      <w:pPr>
        <w:rPr>
          <w:color w:val="000000" w:themeColor="text1"/>
          <w:highlight w:val="white"/>
        </w:rPr>
      </w:pPr>
      <w:r w:rsidRPr="006A095D">
        <w:rPr>
          <w:color w:val="000000" w:themeColor="text1"/>
          <w:highlight w:val="white"/>
        </w:rPr>
        <w:t>E</w:t>
      </w:r>
      <w:r w:rsidR="00356E86">
        <w:rPr>
          <w:color w:val="000000" w:themeColor="text1"/>
          <w:highlight w:val="white"/>
        </w:rPr>
        <w:t>-</w:t>
      </w:r>
      <w:proofErr w:type="spellStart"/>
      <w:r w:rsidRPr="006A095D">
        <w:rPr>
          <w:color w:val="000000" w:themeColor="text1"/>
          <w:highlight w:val="white"/>
        </w:rPr>
        <w:t>lawresource</w:t>
      </w:r>
      <w:proofErr w:type="spellEnd"/>
      <w:r w:rsidRPr="006A095D">
        <w:rPr>
          <w:color w:val="000000" w:themeColor="text1"/>
          <w:highlight w:val="white"/>
        </w:rPr>
        <w:t xml:space="preserve"> ,2022. </w:t>
      </w:r>
      <w:r w:rsidRPr="006A095D">
        <w:rPr>
          <w:i/>
          <w:color w:val="000000" w:themeColor="text1"/>
          <w:highlight w:val="white"/>
        </w:rPr>
        <w:t xml:space="preserve">Fagan v MPC [1969] 1 QB 439. </w:t>
      </w:r>
      <w:r w:rsidRPr="006A095D">
        <w:rPr>
          <w:color w:val="000000" w:themeColor="text1"/>
          <w:highlight w:val="white"/>
        </w:rPr>
        <w:t>[online]. Available at:&lt;</w:t>
      </w:r>
      <w:hyperlink r:id="rId4">
        <w:r w:rsidRPr="006A095D">
          <w:rPr>
            <w:color w:val="000000" w:themeColor="text1"/>
            <w:highlight w:val="white"/>
          </w:rPr>
          <w:t>http://www.e-lawresources.co.uk/Fagan-v-MPC.php</w:t>
        </w:r>
      </w:hyperlink>
      <w:r w:rsidRPr="006A095D">
        <w:rPr>
          <w:color w:val="000000" w:themeColor="text1"/>
          <w:highlight w:val="white"/>
        </w:rPr>
        <w:t>&gt;  [Accessed on: 30th October 2022].</w:t>
      </w:r>
    </w:p>
    <w:p w14:paraId="2F6CB614" w14:textId="2FDA3AB8" w:rsidR="006A095D" w:rsidRPr="006A095D" w:rsidRDefault="006A095D" w:rsidP="006A095D">
      <w:pPr>
        <w:rPr>
          <w:color w:val="000000" w:themeColor="text1"/>
          <w:highlight w:val="white"/>
        </w:rPr>
      </w:pPr>
      <w:r w:rsidRPr="006A095D">
        <w:rPr>
          <w:color w:val="000000" w:themeColor="text1"/>
          <w:highlight w:val="white"/>
        </w:rPr>
        <w:t>E</w:t>
      </w:r>
      <w:r w:rsidR="00356E86">
        <w:rPr>
          <w:color w:val="000000" w:themeColor="text1"/>
          <w:highlight w:val="white"/>
        </w:rPr>
        <w:t>-</w:t>
      </w:r>
      <w:proofErr w:type="spellStart"/>
      <w:r w:rsidRPr="006A095D">
        <w:rPr>
          <w:color w:val="000000" w:themeColor="text1"/>
          <w:highlight w:val="white"/>
        </w:rPr>
        <w:t>lawresource</w:t>
      </w:r>
      <w:proofErr w:type="spellEnd"/>
      <w:r w:rsidRPr="006A095D">
        <w:rPr>
          <w:color w:val="000000" w:themeColor="text1"/>
          <w:highlight w:val="white"/>
        </w:rPr>
        <w:t xml:space="preserve"> ,2022. </w:t>
      </w:r>
      <w:r w:rsidRPr="006A095D">
        <w:rPr>
          <w:i/>
          <w:color w:val="000000" w:themeColor="text1"/>
          <w:highlight w:val="white"/>
        </w:rPr>
        <w:t xml:space="preserve">R v Adomako [1994] 3 WLR 288 House of Lords. </w:t>
      </w:r>
      <w:r w:rsidRPr="006A095D">
        <w:rPr>
          <w:color w:val="000000" w:themeColor="text1"/>
          <w:highlight w:val="white"/>
        </w:rPr>
        <w:t>[online]. Available at:&lt;</w:t>
      </w:r>
      <w:hyperlink r:id="rId5">
        <w:r w:rsidRPr="006A095D">
          <w:rPr>
            <w:color w:val="000000" w:themeColor="text1"/>
            <w:highlight w:val="white"/>
          </w:rPr>
          <w:t>http://www.e-lawresources.co.uk/R-v-Adomako.php</w:t>
        </w:r>
      </w:hyperlink>
      <w:r w:rsidRPr="006A095D">
        <w:rPr>
          <w:color w:val="000000" w:themeColor="text1"/>
          <w:highlight w:val="white"/>
        </w:rPr>
        <w:t>&gt;  [Accessed on: 30th October 2022].</w:t>
      </w:r>
    </w:p>
    <w:p w14:paraId="7891E8CA" w14:textId="620B6BA6" w:rsidR="006A095D" w:rsidRPr="006A095D" w:rsidRDefault="006A095D" w:rsidP="006A095D">
      <w:pPr>
        <w:rPr>
          <w:color w:val="000000" w:themeColor="text1"/>
          <w:highlight w:val="white"/>
        </w:rPr>
      </w:pPr>
      <w:r w:rsidRPr="006A095D">
        <w:rPr>
          <w:color w:val="000000" w:themeColor="text1"/>
          <w:highlight w:val="white"/>
        </w:rPr>
        <w:t>E</w:t>
      </w:r>
      <w:r w:rsidR="00356E86">
        <w:rPr>
          <w:color w:val="000000" w:themeColor="text1"/>
          <w:highlight w:val="white"/>
        </w:rPr>
        <w:t>-</w:t>
      </w:r>
      <w:proofErr w:type="spellStart"/>
      <w:r w:rsidRPr="006A095D">
        <w:rPr>
          <w:color w:val="000000" w:themeColor="text1"/>
          <w:highlight w:val="white"/>
        </w:rPr>
        <w:t>lawresource</w:t>
      </w:r>
      <w:proofErr w:type="spellEnd"/>
      <w:r w:rsidRPr="006A095D">
        <w:rPr>
          <w:color w:val="000000" w:themeColor="text1"/>
          <w:highlight w:val="white"/>
        </w:rPr>
        <w:t xml:space="preserve">, 2022. </w:t>
      </w:r>
      <w:r w:rsidRPr="006A095D">
        <w:rPr>
          <w:i/>
          <w:color w:val="000000" w:themeColor="text1"/>
          <w:highlight w:val="white"/>
        </w:rPr>
        <w:t xml:space="preserve">R v Miller [1983] 2 AC 161 House of Lords. </w:t>
      </w:r>
      <w:r w:rsidRPr="006A095D">
        <w:rPr>
          <w:color w:val="000000" w:themeColor="text1"/>
          <w:highlight w:val="white"/>
        </w:rPr>
        <w:t>[online]. Available at:&lt;</w:t>
      </w:r>
      <w:hyperlink r:id="rId6">
        <w:r w:rsidRPr="006A095D">
          <w:rPr>
            <w:color w:val="000000" w:themeColor="text1"/>
            <w:highlight w:val="white"/>
          </w:rPr>
          <w:t>http://www.e-lawresources.co.uk/R-v-Miller.php</w:t>
        </w:r>
      </w:hyperlink>
      <w:r w:rsidRPr="006A095D">
        <w:rPr>
          <w:color w:val="000000" w:themeColor="text1"/>
          <w:highlight w:val="white"/>
        </w:rPr>
        <w:t>&gt; [Accessed on: 30th October 2022].</w:t>
      </w:r>
    </w:p>
    <w:p w14:paraId="109C912F" w14:textId="77777777" w:rsidR="006A095D" w:rsidRPr="006A095D" w:rsidRDefault="006A095D" w:rsidP="006A095D">
      <w:pPr>
        <w:rPr>
          <w:color w:val="000000" w:themeColor="text1"/>
        </w:rPr>
      </w:pPr>
      <w:r w:rsidRPr="006A095D">
        <w:rPr>
          <w:color w:val="000000" w:themeColor="text1"/>
        </w:rPr>
        <w:t xml:space="preserve">Gov.uk, 2022. </w:t>
      </w:r>
      <w:r w:rsidRPr="006A095D">
        <w:rPr>
          <w:i/>
          <w:color w:val="000000" w:themeColor="text1"/>
        </w:rPr>
        <w:t>Growth Duty: Statutory Guidance</w:t>
      </w:r>
      <w:r w:rsidRPr="006A095D">
        <w:rPr>
          <w:color w:val="000000" w:themeColor="text1"/>
        </w:rPr>
        <w:t xml:space="preserve"> [Online] Available at:</w:t>
      </w:r>
      <w:hyperlink r:id="rId7">
        <w:r w:rsidRPr="006A095D">
          <w:rPr>
            <w:color w:val="000000" w:themeColor="text1"/>
            <w:u w:val="single"/>
          </w:rPr>
          <w:t>https://assets.publishing.service.gov.uk/government/uploads/system/uploads/attachment_data/file/603743/growth-duty-statutory-guidance.pdf</w:t>
        </w:r>
      </w:hyperlink>
      <w:r w:rsidRPr="006A095D">
        <w:rPr>
          <w:color w:val="000000" w:themeColor="text1"/>
        </w:rPr>
        <w:t xml:space="preserve"> [Accessed on 30th October, 2022]</w:t>
      </w:r>
    </w:p>
    <w:p w14:paraId="617A7F08" w14:textId="6160149F" w:rsidR="006A095D" w:rsidRPr="006A095D" w:rsidRDefault="006A095D" w:rsidP="006A095D">
      <w:pPr>
        <w:rPr>
          <w:color w:val="000000" w:themeColor="text1"/>
          <w:highlight w:val="white"/>
        </w:rPr>
      </w:pPr>
      <w:r w:rsidRPr="006A095D">
        <w:rPr>
          <w:color w:val="000000" w:themeColor="text1"/>
          <w:highlight w:val="white"/>
        </w:rPr>
        <w:t xml:space="preserve">Iccsa.org.uk, 2022. </w:t>
      </w:r>
      <w:r w:rsidRPr="006A095D">
        <w:rPr>
          <w:i/>
          <w:color w:val="000000" w:themeColor="text1"/>
          <w:highlight w:val="white"/>
        </w:rPr>
        <w:t>R v Mohammad Yaqoob (2005)</w:t>
      </w:r>
      <w:r w:rsidRPr="006A095D">
        <w:rPr>
          <w:color w:val="000000" w:themeColor="text1"/>
          <w:highlight w:val="white"/>
        </w:rPr>
        <w:t xml:space="preserve"> [Online] Available </w:t>
      </w:r>
      <w:r w:rsidR="006D59A6" w:rsidRPr="006A095D">
        <w:rPr>
          <w:color w:val="000000" w:themeColor="text1"/>
          <w:highlight w:val="white"/>
        </w:rPr>
        <w:t>at:</w:t>
      </w:r>
      <w:r w:rsidR="006D59A6">
        <w:t xml:space="preserve"> HTTPs</w:t>
      </w:r>
      <w:r w:rsidRPr="006A095D">
        <w:rPr>
          <w:color w:val="000000" w:themeColor="text1"/>
          <w:highlight w:val="white"/>
        </w:rPr>
        <w:t xml:space="preserve"> [Accessed on: 30th October 2022]</w:t>
      </w:r>
    </w:p>
    <w:p w14:paraId="33683045" w14:textId="77777777" w:rsidR="006A095D" w:rsidRPr="006A095D" w:rsidRDefault="006A095D" w:rsidP="006A095D">
      <w:pPr>
        <w:rPr>
          <w:color w:val="000000" w:themeColor="text1"/>
          <w:highlight w:val="white"/>
        </w:rPr>
      </w:pPr>
      <w:r w:rsidRPr="006A095D">
        <w:rPr>
          <w:color w:val="000000" w:themeColor="text1"/>
          <w:highlight w:val="white"/>
        </w:rPr>
        <w:t xml:space="preserve">Legislation, 2022. </w:t>
      </w:r>
      <w:r w:rsidRPr="006A095D">
        <w:rPr>
          <w:i/>
          <w:color w:val="000000" w:themeColor="text1"/>
          <w:highlight w:val="white"/>
        </w:rPr>
        <w:t xml:space="preserve">Road Traffic Act 1988. </w:t>
      </w:r>
      <w:r w:rsidRPr="006A095D">
        <w:rPr>
          <w:color w:val="000000" w:themeColor="text1"/>
          <w:highlight w:val="white"/>
        </w:rPr>
        <w:t>[online]. Available ta:&lt;</w:t>
      </w:r>
      <w:hyperlink r:id="rId8">
        <w:r w:rsidRPr="006A095D">
          <w:rPr>
            <w:color w:val="000000" w:themeColor="text1"/>
            <w:highlight w:val="white"/>
          </w:rPr>
          <w:t>https://www.legislation.gov.uk/ukpga/1988/52/section/6</w:t>
        </w:r>
      </w:hyperlink>
      <w:r w:rsidRPr="006A095D">
        <w:rPr>
          <w:color w:val="000000" w:themeColor="text1"/>
          <w:highlight w:val="white"/>
        </w:rPr>
        <w:t>&gt; [Accessed on: 30th October 2022]</w:t>
      </w:r>
    </w:p>
    <w:p w14:paraId="3F10A327" w14:textId="55A1CB75" w:rsidR="006A095D" w:rsidRPr="006A095D" w:rsidRDefault="006A095D" w:rsidP="006A095D">
      <w:pPr>
        <w:rPr>
          <w:color w:val="000000" w:themeColor="text1"/>
          <w:highlight w:val="white"/>
        </w:rPr>
      </w:pPr>
      <w:r w:rsidRPr="006A095D">
        <w:rPr>
          <w:color w:val="000000" w:themeColor="text1"/>
          <w:highlight w:val="white"/>
        </w:rPr>
        <w:t xml:space="preserve">Sheikh, H. and Subhan, M., 2017. Is </w:t>
      </w:r>
      <w:r w:rsidR="006D59A6" w:rsidRPr="006A095D">
        <w:rPr>
          <w:color w:val="000000" w:themeColor="text1"/>
          <w:highlight w:val="white"/>
        </w:rPr>
        <w:t>the ‘Failure</w:t>
      </w:r>
      <w:r w:rsidRPr="006A095D">
        <w:rPr>
          <w:color w:val="000000" w:themeColor="text1"/>
          <w:highlight w:val="white"/>
        </w:rPr>
        <w:t xml:space="preserve"> to </w:t>
      </w:r>
      <w:r w:rsidR="006D59A6" w:rsidRPr="006A095D">
        <w:rPr>
          <w:color w:val="000000" w:themeColor="text1"/>
          <w:highlight w:val="white"/>
        </w:rPr>
        <w:t>Act’s</w:t>
      </w:r>
      <w:r w:rsidRPr="006A095D">
        <w:rPr>
          <w:color w:val="000000" w:themeColor="text1"/>
          <w:highlight w:val="white"/>
        </w:rPr>
        <w:t xml:space="preserve"> Sufficient Basis for Criminal Liability under English Criminal Law?. </w:t>
      </w:r>
      <w:r w:rsidRPr="006A095D">
        <w:rPr>
          <w:i/>
          <w:color w:val="000000" w:themeColor="text1"/>
          <w:highlight w:val="white"/>
        </w:rPr>
        <w:t>Criminal Law &amp; Justice Weekly</w:t>
      </w:r>
      <w:r w:rsidRPr="006A095D">
        <w:rPr>
          <w:color w:val="000000" w:themeColor="text1"/>
          <w:highlight w:val="white"/>
        </w:rPr>
        <w:t xml:space="preserve">, </w:t>
      </w:r>
      <w:r w:rsidRPr="006A095D">
        <w:rPr>
          <w:i/>
          <w:color w:val="000000" w:themeColor="text1"/>
          <w:highlight w:val="white"/>
        </w:rPr>
        <w:t>181</w:t>
      </w:r>
      <w:r w:rsidRPr="006A095D">
        <w:rPr>
          <w:color w:val="000000" w:themeColor="text1"/>
          <w:highlight w:val="white"/>
        </w:rPr>
        <w:t>.</w:t>
      </w:r>
    </w:p>
    <w:sectPr w:rsidR="006A095D" w:rsidRPr="006A095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2D6"/>
    <w:rsid w:val="00356E86"/>
    <w:rsid w:val="004F4188"/>
    <w:rsid w:val="006A095D"/>
    <w:rsid w:val="006D59A6"/>
    <w:rsid w:val="009C72D6"/>
    <w:rsid w:val="00E44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1234D"/>
  <w15:docId w15:val="{3968C4BC-9471-4E3F-AB9B-C3AD9F6A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6A095D"/>
    <w:pPr>
      <w:spacing w:after="100"/>
    </w:pPr>
  </w:style>
  <w:style w:type="character" w:styleId="Hyperlink">
    <w:name w:val="Hyperlink"/>
    <w:basedOn w:val="DefaultParagraphFont"/>
    <w:uiPriority w:val="99"/>
    <w:unhideWhenUsed/>
    <w:rsid w:val="006A095D"/>
    <w:rPr>
      <w:color w:val="0000FF" w:themeColor="hyperlink"/>
      <w:u w:val="single"/>
    </w:rPr>
  </w:style>
  <w:style w:type="character" w:customStyle="1" w:styleId="TitleChar">
    <w:name w:val="Title Char"/>
    <w:basedOn w:val="DefaultParagraphFont"/>
    <w:link w:val="Title"/>
    <w:uiPriority w:val="10"/>
    <w:rsid w:val="004F4188"/>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8/52/section/6" TargetMode="Externa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603743/growth-duty-statutory-guidance.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lawresources.co.uk/R-v-Miller.php" TargetMode="External"/><Relationship Id="rId5" Type="http://schemas.openxmlformats.org/officeDocument/2006/relationships/hyperlink" Target="http://www.e-lawresources.co.uk/R-v-Adomako.php" TargetMode="External"/><Relationship Id="rId10" Type="http://schemas.openxmlformats.org/officeDocument/2006/relationships/theme" Target="theme/theme1.xml"/><Relationship Id="rId4" Type="http://schemas.openxmlformats.org/officeDocument/2006/relationships/hyperlink" Target="http://www.e-lawresources.co.uk/Fagan-v-MPC.php"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 IMBREA</dc:creator>
  <cp:lastModifiedBy>Madalina Imbrea (2127378)</cp:lastModifiedBy>
  <cp:revision>3</cp:revision>
  <dcterms:created xsi:type="dcterms:W3CDTF">2022-11-03T16:56:00Z</dcterms:created>
  <dcterms:modified xsi:type="dcterms:W3CDTF">2022-11-08T10:11:00Z</dcterms:modified>
</cp:coreProperties>
</file>