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F9324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5804DA">
        <w:rPr>
          <w:rFonts w:ascii="Arial" w:hAnsi="Arial" w:cs="Arial"/>
          <w:b/>
          <w:bCs/>
          <w:sz w:val="28"/>
          <w:szCs w:val="28"/>
        </w:rPr>
        <w:t>Protecting and Supporting Families in Health Care</w:t>
      </w:r>
      <w:r w:rsidRPr="00AD0E8D">
        <w:rPr>
          <w:rFonts w:ascii="Arial" w:hAnsi="Arial" w:cs="Arial"/>
          <w:b/>
          <w:bCs/>
          <w:sz w:val="28"/>
          <w:szCs w:val="28"/>
        </w:rPr>
        <w:t xml:space="preserve"> (BMHP</w:t>
      </w:r>
      <w:r w:rsidR="00AD0E8D" w:rsidRPr="00AD0E8D">
        <w:rPr>
          <w:rFonts w:ascii="Arial" w:hAnsi="Arial" w:cs="Arial"/>
          <w:b/>
          <w:bCs/>
          <w:sz w:val="28"/>
          <w:szCs w:val="28"/>
        </w:rPr>
        <w:t>50</w:t>
      </w:r>
      <w:r w:rsidR="008D14D2">
        <w:rPr>
          <w:rFonts w:ascii="Arial" w:hAnsi="Arial" w:cs="Arial"/>
          <w:b/>
          <w:bCs/>
          <w:sz w:val="28"/>
          <w:szCs w:val="28"/>
        </w:rPr>
        <w:t>21</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7E9ED788" w14:textId="77777777" w:rsidR="0073159F" w:rsidRPr="0073159F" w:rsidRDefault="00715990" w:rsidP="0073159F">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73159F" w:rsidRPr="0073159F">
        <w:rPr>
          <w:rFonts w:ascii="Arial" w:hAnsi="Arial" w:cs="Arial"/>
          <w:sz w:val="28"/>
          <w:szCs w:val="28"/>
        </w:rPr>
        <w:t xml:space="preserve">An examination and analysis of how the ‘Early Help’ system is signposted </w:t>
      </w:r>
    </w:p>
    <w:p w14:paraId="08BDA311" w14:textId="2EBF7ABD" w:rsidR="00041A5A" w:rsidRPr="0073159F" w:rsidRDefault="0073159F" w:rsidP="0073159F">
      <w:pPr>
        <w:spacing w:line="360" w:lineRule="auto"/>
        <w:jc w:val="center"/>
        <w:rPr>
          <w:rFonts w:ascii="Arial" w:hAnsi="Arial" w:cs="Arial"/>
          <w:sz w:val="28"/>
          <w:szCs w:val="28"/>
        </w:rPr>
      </w:pPr>
      <w:r w:rsidRPr="0073159F">
        <w:rPr>
          <w:rFonts w:ascii="Arial" w:hAnsi="Arial" w:cs="Arial"/>
          <w:sz w:val="28"/>
          <w:szCs w:val="28"/>
        </w:rPr>
        <w:t>to UK families by their local authority website.</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4233DCD6"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73159F">
        <w:rPr>
          <w:rFonts w:ascii="Arial" w:hAnsi="Arial" w:cs="Arial"/>
          <w:sz w:val="28"/>
          <w:szCs w:val="28"/>
        </w:rPr>
        <w:t>2336889</w:t>
      </w:r>
    </w:p>
    <w:p w14:paraId="01D5D8DB" w14:textId="03ED09ED" w:rsidR="00FF5B70" w:rsidRPr="00AD0E8D" w:rsidRDefault="00FF5B70" w:rsidP="00041A5A">
      <w:pPr>
        <w:spacing w:line="360" w:lineRule="auto"/>
        <w:rPr>
          <w:rFonts w:ascii="Arial" w:hAnsi="Arial" w:cs="Arial"/>
          <w:sz w:val="28"/>
          <w:szCs w:val="28"/>
        </w:rPr>
      </w:pPr>
    </w:p>
    <w:p w14:paraId="37A27DB3" w14:textId="55738A11"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73159F">
        <w:rPr>
          <w:rFonts w:ascii="Arial" w:hAnsi="Arial" w:cs="Arial"/>
          <w:sz w:val="28"/>
          <w:szCs w:val="28"/>
        </w:rPr>
        <w:t>Lauren Christopher</w:t>
      </w:r>
    </w:p>
    <w:p w14:paraId="638A4615" w14:textId="77777777" w:rsidR="00715990" w:rsidRPr="00AD0E8D" w:rsidRDefault="00715990" w:rsidP="00041A5A">
      <w:pPr>
        <w:spacing w:line="360" w:lineRule="auto"/>
        <w:rPr>
          <w:rFonts w:ascii="Arial" w:hAnsi="Arial" w:cs="Arial"/>
          <w:sz w:val="28"/>
          <w:szCs w:val="28"/>
        </w:rPr>
      </w:pPr>
    </w:p>
    <w:p w14:paraId="0B04E018" w14:textId="005DAA6C"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001E02">
        <w:rPr>
          <w:rFonts w:ascii="Arial" w:hAnsi="Arial" w:cs="Arial"/>
          <w:sz w:val="28"/>
          <w:szCs w:val="28"/>
        </w:rPr>
        <w:t>14</w:t>
      </w:r>
      <w:r w:rsidR="00EE5A26">
        <w:rPr>
          <w:rFonts w:ascii="Arial" w:hAnsi="Arial" w:cs="Arial"/>
          <w:sz w:val="28"/>
          <w:szCs w:val="28"/>
        </w:rPr>
        <w:t xml:space="preserve"> </w:t>
      </w:r>
      <w:r w:rsidR="00001E02">
        <w:rPr>
          <w:rFonts w:ascii="Arial" w:hAnsi="Arial" w:cs="Arial"/>
          <w:sz w:val="28"/>
          <w:szCs w:val="28"/>
        </w:rPr>
        <w:t>August</w:t>
      </w:r>
      <w:r w:rsidR="00EE5A26">
        <w:rPr>
          <w:rFonts w:ascii="Arial" w:hAnsi="Arial" w:cs="Arial"/>
          <w:sz w:val="28"/>
          <w:szCs w:val="28"/>
        </w:rPr>
        <w:t xml:space="preserve"> 2026</w:t>
      </w:r>
    </w:p>
    <w:p w14:paraId="3FE66E60" w14:textId="39C2B4AF" w:rsidR="00FF5B70" w:rsidRPr="00AD0E8D" w:rsidRDefault="00FF5B70" w:rsidP="00041A5A">
      <w:pPr>
        <w:spacing w:line="360" w:lineRule="auto"/>
        <w:rPr>
          <w:rFonts w:ascii="Arial" w:hAnsi="Arial" w:cs="Arial"/>
          <w:b/>
          <w:bCs/>
          <w:sz w:val="28"/>
          <w:szCs w:val="28"/>
        </w:rPr>
      </w:pP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2F578B" w:rsidRDefault="00715990" w:rsidP="002F578B">
      <w:pPr>
        <w:spacing w:line="360" w:lineRule="auto"/>
        <w:jc w:val="both"/>
        <w:rPr>
          <w:rFonts w:ascii="Arial" w:hAnsi="Arial" w:cs="Arial"/>
          <w:sz w:val="22"/>
        </w:rPr>
      </w:pPr>
      <w:r w:rsidRPr="002F578B">
        <w:rPr>
          <w:rFonts w:ascii="Arial" w:hAnsi="Arial" w:cs="Arial"/>
          <w:sz w:val="22"/>
        </w:rPr>
        <w:br w:type="page"/>
      </w:r>
    </w:p>
    <w:p w14:paraId="232DCC93" w14:textId="72EFF1B9" w:rsidR="0061260B" w:rsidRPr="00D6376B" w:rsidRDefault="00F975B1" w:rsidP="00D6376B">
      <w:pPr>
        <w:pStyle w:val="Heading2"/>
      </w:pPr>
      <w:r w:rsidRPr="00D6376B">
        <w:lastRenderedPageBreak/>
        <w:t>Introduction</w:t>
      </w:r>
    </w:p>
    <w:p w14:paraId="7A908F6D" w14:textId="77777777" w:rsidR="00674B50" w:rsidRPr="007D5B27" w:rsidRDefault="00674B50" w:rsidP="007D5B27">
      <w:pPr>
        <w:spacing w:line="360" w:lineRule="auto"/>
        <w:jc w:val="both"/>
        <w:rPr>
          <w:rFonts w:ascii="Arial" w:hAnsi="Arial" w:cs="Arial"/>
          <w:sz w:val="22"/>
        </w:rPr>
      </w:pPr>
      <w:r w:rsidRPr="007D5B27">
        <w:rPr>
          <w:rFonts w:ascii="Arial" w:hAnsi="Arial" w:cs="Arial"/>
          <w:sz w:val="22"/>
        </w:rPr>
        <w:t>The protection and welfare of children are paramount priorities within the United Kingdom's child safeguarding framework. The Early Help system is fundamental to this structure, aimed at delivering prompt, preventative assistance to children and families prior to the escalation of concerns necessitating legislative action. The efficacy of this approach mostly depends on the accessibility and clarity of information for families, primarily conveyed through local government websites. These digital platforms function as essential conduits, directing families to suitable providers and promoting early intervention.</w:t>
      </w:r>
    </w:p>
    <w:p w14:paraId="3697FCED" w14:textId="16DB3984" w:rsidR="00F975B1" w:rsidRPr="007D5B27" w:rsidRDefault="00674B50" w:rsidP="007D5B27">
      <w:pPr>
        <w:spacing w:line="360" w:lineRule="auto"/>
        <w:jc w:val="both"/>
        <w:rPr>
          <w:rFonts w:ascii="Arial" w:hAnsi="Arial" w:cs="Arial"/>
          <w:sz w:val="22"/>
        </w:rPr>
      </w:pPr>
      <w:r w:rsidRPr="007D5B27">
        <w:rPr>
          <w:rFonts w:ascii="Arial" w:hAnsi="Arial" w:cs="Arial"/>
          <w:sz w:val="22"/>
        </w:rPr>
        <w:t>This paper rigorously analyses the communication strategies employed by three local authorities—Tower Hamlets, Southwark, and Nottinghamshire—concerning Early Help and additional family support services. It assesses their web material in accordance with best practices based on statutory advice, contemporary academic research, and policy frameworks, including Working Together to Safeguard Children 2023. The analysis seeks to identify strengths, flaws, and areas for enhancement, finally offering recommendations to improve the accessibility and clarity of online signposting for families.</w:t>
      </w:r>
    </w:p>
    <w:p w14:paraId="4492FE6C" w14:textId="335C634E" w:rsidR="00E970CA" w:rsidRPr="007D5B27" w:rsidRDefault="00E970CA" w:rsidP="00D6376B">
      <w:pPr>
        <w:pStyle w:val="Heading2"/>
      </w:pPr>
      <w:r w:rsidRPr="007D5B27">
        <w:t>Explanation of the Early Help System</w:t>
      </w:r>
    </w:p>
    <w:p w14:paraId="667DA2C6" w14:textId="403D0044" w:rsidR="00587EB0" w:rsidRPr="007D5B27" w:rsidRDefault="00587EB0" w:rsidP="007D5B27">
      <w:pPr>
        <w:spacing w:line="360" w:lineRule="auto"/>
        <w:jc w:val="both"/>
        <w:rPr>
          <w:rFonts w:ascii="Arial" w:hAnsi="Arial" w:cs="Arial"/>
          <w:sz w:val="22"/>
        </w:rPr>
      </w:pPr>
      <w:r w:rsidRPr="007D5B27">
        <w:rPr>
          <w:rFonts w:ascii="Arial" w:hAnsi="Arial" w:cs="Arial"/>
          <w:sz w:val="22"/>
        </w:rPr>
        <w:t xml:space="preserve">The Early Help system in the UK is a proactive, multi-agency strategy designed to </w:t>
      </w:r>
      <w:r w:rsidR="00AC257A" w:rsidRPr="007D5B27">
        <w:rPr>
          <w:rFonts w:ascii="Arial" w:hAnsi="Arial" w:cs="Arial"/>
          <w:sz w:val="22"/>
        </w:rPr>
        <w:t>help</w:t>
      </w:r>
      <w:r w:rsidRPr="007D5B27">
        <w:rPr>
          <w:rFonts w:ascii="Arial" w:hAnsi="Arial" w:cs="Arial"/>
          <w:sz w:val="22"/>
        </w:rPr>
        <w:t xml:space="preserve"> children and families at the earliest opportunity (Davis &amp; Ward, 2019). The fundamental premise is prevention—tackling issues prior to their escalation into crises or legal involvement, such as child protection proceedings. The Department for Education (</w:t>
      </w:r>
      <w:r w:rsidR="00041B30" w:rsidRPr="007D5B27">
        <w:rPr>
          <w:rFonts w:ascii="Arial" w:hAnsi="Arial" w:cs="Arial"/>
          <w:sz w:val="22"/>
        </w:rPr>
        <w:t>DFE</w:t>
      </w:r>
      <w:r w:rsidRPr="007D5B27">
        <w:rPr>
          <w:rFonts w:ascii="Arial" w:hAnsi="Arial" w:cs="Arial"/>
          <w:sz w:val="22"/>
        </w:rPr>
        <w:t>) asserts that Early Help entails a collaborative approach to various familial requirements, encompassing parenting assistance, mental health, housing, and education (</w:t>
      </w:r>
      <w:r w:rsidR="00041B30" w:rsidRPr="007D5B27">
        <w:rPr>
          <w:rFonts w:ascii="Arial" w:hAnsi="Arial" w:cs="Arial"/>
          <w:sz w:val="22"/>
        </w:rPr>
        <w:t>DFE</w:t>
      </w:r>
      <w:r w:rsidRPr="007D5B27">
        <w:rPr>
          <w:rFonts w:ascii="Arial" w:hAnsi="Arial" w:cs="Arial"/>
          <w:sz w:val="22"/>
        </w:rPr>
        <w:t>, 2019).</w:t>
      </w:r>
    </w:p>
    <w:p w14:paraId="7CDA7977" w14:textId="77777777" w:rsidR="00587EB0" w:rsidRPr="007D5B27" w:rsidRDefault="00587EB0" w:rsidP="007D5B27">
      <w:pPr>
        <w:spacing w:line="360" w:lineRule="auto"/>
        <w:jc w:val="both"/>
        <w:rPr>
          <w:rFonts w:ascii="Arial" w:hAnsi="Arial" w:cs="Arial"/>
          <w:sz w:val="22"/>
        </w:rPr>
      </w:pPr>
      <w:r w:rsidRPr="007D5B27">
        <w:rPr>
          <w:rFonts w:ascii="Arial" w:hAnsi="Arial" w:cs="Arial"/>
          <w:sz w:val="22"/>
        </w:rPr>
        <w:t>The 2023 guidance, Working Together to Safeguard Children, establishes the operational framework for Early Help, emphasising the significance of early vulnerability identification and cohesive multi-agency collaboration (HM Government, 2023). It promotes a localised, child-focused methodology wherein practitioners collaborate with families, guaranteeing that assistance is accessible, proportionate, and customised to specific need.</w:t>
      </w:r>
    </w:p>
    <w:p w14:paraId="7CA49252" w14:textId="6472CDE1" w:rsidR="00E970CA" w:rsidRPr="007D5B27" w:rsidRDefault="00587EB0" w:rsidP="007D5B27">
      <w:pPr>
        <w:spacing w:line="360" w:lineRule="auto"/>
        <w:jc w:val="both"/>
        <w:rPr>
          <w:rFonts w:ascii="Arial" w:hAnsi="Arial" w:cs="Arial"/>
          <w:sz w:val="22"/>
        </w:rPr>
      </w:pPr>
      <w:r w:rsidRPr="007D5B27">
        <w:rPr>
          <w:rFonts w:ascii="Arial" w:hAnsi="Arial" w:cs="Arial"/>
          <w:sz w:val="22"/>
        </w:rPr>
        <w:t>Studies demonstrate that efficient Early Help programs enhance long-term outcomes for children, encompassing enhanced emotional well-being, educational achievement, and social stability (Hodgson &amp; Macdonald, 2020). Furthermore, early intervention alleviates the burden on statutory services, showcasing both social and economic advantages (Ferguson et al., 2018).</w:t>
      </w:r>
    </w:p>
    <w:p w14:paraId="73810731" w14:textId="2E6D8A84" w:rsidR="00940E72" w:rsidRPr="007D5B27" w:rsidRDefault="00940E72" w:rsidP="00D6376B">
      <w:pPr>
        <w:pStyle w:val="Heading2"/>
      </w:pPr>
      <w:r w:rsidRPr="007D5B27">
        <w:t>Explanation of Multi-Agency Working</w:t>
      </w:r>
    </w:p>
    <w:p w14:paraId="1C0D63EE" w14:textId="77777777" w:rsidR="00FB321E" w:rsidRPr="007D5B27" w:rsidRDefault="00FB321E" w:rsidP="007D5B27">
      <w:pPr>
        <w:spacing w:line="360" w:lineRule="auto"/>
        <w:jc w:val="both"/>
        <w:rPr>
          <w:rFonts w:ascii="Arial" w:hAnsi="Arial" w:cs="Arial"/>
          <w:sz w:val="22"/>
        </w:rPr>
      </w:pPr>
      <w:r w:rsidRPr="007D5B27">
        <w:rPr>
          <w:rFonts w:ascii="Arial" w:hAnsi="Arial" w:cs="Arial"/>
          <w:sz w:val="22"/>
        </w:rPr>
        <w:t xml:space="preserve">Collaborative efforts among multiple agencies are essential for providing successful Early Help (Berkowitz et al., 2018). It entails collaborative efforts among healthcare experts, social </w:t>
      </w:r>
      <w:r w:rsidRPr="007D5B27">
        <w:rPr>
          <w:rFonts w:ascii="Arial" w:hAnsi="Arial" w:cs="Arial"/>
          <w:sz w:val="22"/>
        </w:rPr>
        <w:lastRenderedPageBreak/>
        <w:t>workers, educators, nonprofit organisations, and community groups to comprehensively address intricate family issues (Lindsey &amp; McIntosh, 2020). This association guarantees that interferences are prompt, suitable, and prevent redundancy or deficiencies in service delivery.</w:t>
      </w:r>
    </w:p>
    <w:p w14:paraId="48BF72D5" w14:textId="77777777" w:rsidR="00FB321E" w:rsidRPr="007D5B27" w:rsidRDefault="00FB321E" w:rsidP="007D5B27">
      <w:pPr>
        <w:spacing w:line="360" w:lineRule="auto"/>
        <w:jc w:val="both"/>
        <w:rPr>
          <w:rFonts w:ascii="Arial" w:hAnsi="Arial" w:cs="Arial"/>
          <w:sz w:val="22"/>
        </w:rPr>
      </w:pPr>
      <w:r w:rsidRPr="007D5B27">
        <w:rPr>
          <w:rFonts w:ascii="Arial" w:hAnsi="Arial" w:cs="Arial"/>
          <w:sz w:val="22"/>
        </w:rPr>
        <w:t>The efficacy of multi-agency collaboration relies on the exchange of information, explicit communication procedures, and well delineated roles and duties (Gilling et al., 2020). The Working Together guidance underscores the necessity of creating multi-agency safeguarding frameworks customised to local requirements, featuring appointed safeguarding leads and cohesive case management systems (HM Government, 2023).</w:t>
      </w:r>
    </w:p>
    <w:p w14:paraId="23CC4A9B" w14:textId="135B55F7" w:rsidR="00E02DE2" w:rsidRPr="00113B81" w:rsidRDefault="00FB321E" w:rsidP="00113B81">
      <w:pPr>
        <w:spacing w:line="360" w:lineRule="auto"/>
        <w:jc w:val="both"/>
        <w:rPr>
          <w:rFonts w:ascii="Arial" w:hAnsi="Arial" w:cs="Arial"/>
          <w:sz w:val="22"/>
        </w:rPr>
      </w:pPr>
      <w:r w:rsidRPr="007D5B27">
        <w:rPr>
          <w:rFonts w:ascii="Arial" w:hAnsi="Arial" w:cs="Arial"/>
          <w:sz w:val="22"/>
        </w:rPr>
        <w:t>Research indicates that effective multi-agency collaboration cultivates a mutual comprehension of risks and strengths in families, resulting in more focused and efficient support (Allen et al., 2021). Poor communication and ambiguity around referral processes can impede early intervention efforts (O’Hara &amp; O’Connor, 2019).</w:t>
      </w:r>
    </w:p>
    <w:p w14:paraId="2DFF1330" w14:textId="341DF3EC" w:rsidR="0056017D" w:rsidRPr="007D5B27" w:rsidRDefault="0056017D" w:rsidP="007D5B27">
      <w:pPr>
        <w:pStyle w:val="Heading3"/>
        <w:spacing w:line="360" w:lineRule="auto"/>
        <w:jc w:val="both"/>
        <w:rPr>
          <w:rFonts w:cs="Arial"/>
          <w:sz w:val="22"/>
          <w:szCs w:val="22"/>
        </w:rPr>
      </w:pPr>
      <w:r w:rsidRPr="007D5B27">
        <w:rPr>
          <w:rFonts w:cs="Arial"/>
          <w:sz w:val="22"/>
          <w:szCs w:val="22"/>
        </w:rPr>
        <w:t>Tower Hamlets Borough Council</w:t>
      </w:r>
    </w:p>
    <w:p w14:paraId="2D8FED7C" w14:textId="77777777" w:rsidR="0056017D" w:rsidRPr="007D5B27" w:rsidRDefault="0056017D" w:rsidP="007D5B27">
      <w:pPr>
        <w:spacing w:line="360" w:lineRule="auto"/>
        <w:jc w:val="both"/>
        <w:rPr>
          <w:rFonts w:ascii="Arial" w:hAnsi="Arial" w:cs="Arial"/>
          <w:sz w:val="22"/>
        </w:rPr>
      </w:pPr>
      <w:r w:rsidRPr="007D5B27">
        <w:rPr>
          <w:rFonts w:ascii="Arial" w:hAnsi="Arial" w:cs="Arial"/>
          <w:sz w:val="22"/>
        </w:rPr>
        <w:t>The official website of Tower Hamlets features a specific section on family assistance and Early Help, highlighting community-focused strategies tailored to its diverse demographic (Tower Hamlets Council, 2023). The website includes intuitive navigation options, with conspicuous linkages to support services like parenting programs, child development information, and mental health assistance. The material is conveyed in comprehensible English, with multilingual alternatives to accommodate its diverse community, along with best practice standards for equal access (Lindsey &amp; McIntosh, 2020).</w:t>
      </w:r>
    </w:p>
    <w:p w14:paraId="059667BF" w14:textId="77777777" w:rsidR="0056017D" w:rsidRPr="007D5B27" w:rsidRDefault="0056017D" w:rsidP="007D5B27">
      <w:pPr>
        <w:pStyle w:val="Heading3"/>
        <w:spacing w:line="360" w:lineRule="auto"/>
        <w:jc w:val="both"/>
        <w:rPr>
          <w:rFonts w:cs="Arial"/>
          <w:sz w:val="22"/>
          <w:szCs w:val="22"/>
        </w:rPr>
      </w:pPr>
      <w:r w:rsidRPr="007D5B27">
        <w:rPr>
          <w:rFonts w:cs="Arial"/>
          <w:sz w:val="22"/>
          <w:szCs w:val="22"/>
        </w:rPr>
        <w:t>Advantages</w:t>
      </w:r>
    </w:p>
    <w:p w14:paraId="7616B89D" w14:textId="77777777" w:rsidR="0056017D" w:rsidRPr="007D5B27" w:rsidRDefault="0056017D" w:rsidP="007D5B27">
      <w:pPr>
        <w:spacing w:line="360" w:lineRule="auto"/>
        <w:jc w:val="both"/>
        <w:rPr>
          <w:rFonts w:ascii="Arial" w:hAnsi="Arial" w:cs="Arial"/>
          <w:sz w:val="22"/>
        </w:rPr>
      </w:pPr>
      <w:r w:rsidRPr="007D5B27">
        <w:rPr>
          <w:rFonts w:ascii="Arial" w:hAnsi="Arial" w:cs="Arial"/>
          <w:sz w:val="22"/>
        </w:rPr>
        <w:t>A significant strength is the clear direction regarding referral paths, encompassing contact information for local Early Help teams and online referral forms. The website provides downloadable resources and comprehensive eligibility requirements, enhancing openness. Its multilingual capabilities reflect an awareness of linguistic diversity, facilitating equal access (Gilling et al., 2020). Furthermore, consistent updates on service modifications guarantee that information stays pertinent, exemplifying effective digital communication strategies.</w:t>
      </w:r>
    </w:p>
    <w:p w14:paraId="60B56202" w14:textId="77777777" w:rsidR="0056017D" w:rsidRPr="007D5B27" w:rsidRDefault="0056017D" w:rsidP="007D5B27">
      <w:pPr>
        <w:pStyle w:val="Heading3"/>
        <w:spacing w:line="360" w:lineRule="auto"/>
        <w:jc w:val="both"/>
        <w:rPr>
          <w:rFonts w:cs="Arial"/>
          <w:sz w:val="22"/>
          <w:szCs w:val="22"/>
        </w:rPr>
      </w:pPr>
      <w:r w:rsidRPr="007D5B27">
        <w:rPr>
          <w:rFonts w:cs="Arial"/>
          <w:sz w:val="22"/>
          <w:szCs w:val="22"/>
        </w:rPr>
        <w:t>Vulnerabilities</w:t>
      </w:r>
    </w:p>
    <w:p w14:paraId="297DD40C" w14:textId="77777777" w:rsidR="0056017D" w:rsidRPr="007D5B27" w:rsidRDefault="0056017D" w:rsidP="007D5B27">
      <w:pPr>
        <w:spacing w:line="360" w:lineRule="auto"/>
        <w:jc w:val="both"/>
        <w:rPr>
          <w:rFonts w:ascii="Arial" w:hAnsi="Arial" w:cs="Arial"/>
          <w:sz w:val="22"/>
        </w:rPr>
      </w:pPr>
      <w:r w:rsidRPr="007D5B27">
        <w:rPr>
          <w:rFonts w:ascii="Arial" w:hAnsi="Arial" w:cs="Arial"/>
          <w:sz w:val="22"/>
        </w:rPr>
        <w:t xml:space="preserve">Nonetheless, certain limits are apparent. The information regarding certain vulnerable populations, such as individuals with impairments or those facing domestic abuse, is insufficient. The site may improve its signposting by offering more customised assistance for </w:t>
      </w:r>
      <w:r w:rsidRPr="007D5B27">
        <w:rPr>
          <w:rFonts w:ascii="Arial" w:hAnsi="Arial" w:cs="Arial"/>
          <w:sz w:val="22"/>
        </w:rPr>
        <w:lastRenderedPageBreak/>
        <w:t>these groups, as suggested by the Working Together guidance (HM Government, 2023). Moreover, several pages are devoid of visual aids or interactive components, which could enhance user engagement, especially for families with limited digital literacy.</w:t>
      </w:r>
    </w:p>
    <w:p w14:paraId="5B3CAAB9" w14:textId="77777777" w:rsidR="0056017D" w:rsidRPr="007D5B27" w:rsidRDefault="0056017D" w:rsidP="007D5B27">
      <w:pPr>
        <w:pStyle w:val="Heading3"/>
        <w:spacing w:line="360" w:lineRule="auto"/>
        <w:jc w:val="both"/>
        <w:rPr>
          <w:rFonts w:cs="Arial"/>
          <w:sz w:val="22"/>
          <w:szCs w:val="22"/>
        </w:rPr>
      </w:pPr>
      <w:r w:rsidRPr="007D5B27">
        <w:rPr>
          <w:rFonts w:cs="Arial"/>
          <w:sz w:val="22"/>
          <w:szCs w:val="22"/>
        </w:rPr>
        <w:t>Scholarly Viewpoint</w:t>
      </w:r>
    </w:p>
    <w:p w14:paraId="6B11FCD2" w14:textId="416E574B" w:rsidR="00E02DE2" w:rsidRPr="007D5B27" w:rsidRDefault="0056017D" w:rsidP="007D5B27">
      <w:pPr>
        <w:spacing w:line="360" w:lineRule="auto"/>
        <w:jc w:val="both"/>
        <w:rPr>
          <w:rFonts w:ascii="Arial" w:hAnsi="Arial" w:cs="Arial"/>
          <w:sz w:val="22"/>
        </w:rPr>
      </w:pPr>
      <w:r w:rsidRPr="007D5B27">
        <w:rPr>
          <w:rFonts w:ascii="Arial" w:hAnsi="Arial" w:cs="Arial"/>
          <w:sz w:val="22"/>
        </w:rPr>
        <w:t>Research emphasises that clarity and navigability are essential for effective online signposting (Ferguson et al., 2018). While Tower Hamlets’ website excels in certain areas, the absence of customised information for varied requirements indicates potential enhancements in inclusive communication strategies—crucial for effective early intervention (Berkowitz et important., 2018).</w:t>
      </w:r>
    </w:p>
    <w:p w14:paraId="01B70209" w14:textId="2553B47D" w:rsidR="00AC257A" w:rsidRPr="007D5B27" w:rsidRDefault="00AC257A" w:rsidP="007D5B27">
      <w:pPr>
        <w:pStyle w:val="Heading3"/>
        <w:spacing w:line="360" w:lineRule="auto"/>
        <w:jc w:val="both"/>
        <w:rPr>
          <w:rFonts w:cs="Arial"/>
          <w:sz w:val="22"/>
          <w:szCs w:val="22"/>
        </w:rPr>
      </w:pPr>
      <w:r w:rsidRPr="007D5B27">
        <w:rPr>
          <w:rFonts w:cs="Arial"/>
          <w:sz w:val="22"/>
          <w:szCs w:val="22"/>
        </w:rPr>
        <w:t xml:space="preserve">Southwark Council </w:t>
      </w:r>
    </w:p>
    <w:p w14:paraId="64D5CEC3" w14:textId="77777777" w:rsidR="00AC257A" w:rsidRPr="007D5B27" w:rsidRDefault="00AC257A" w:rsidP="007D5B27">
      <w:pPr>
        <w:spacing w:line="360" w:lineRule="auto"/>
        <w:jc w:val="both"/>
        <w:rPr>
          <w:rFonts w:ascii="Arial" w:hAnsi="Arial" w:cs="Arial"/>
          <w:sz w:val="22"/>
        </w:rPr>
      </w:pPr>
      <w:r w:rsidRPr="007D5B27">
        <w:rPr>
          <w:rFonts w:ascii="Arial" w:hAnsi="Arial" w:cs="Arial"/>
          <w:sz w:val="22"/>
        </w:rPr>
        <w:t>Southwark's website employs an appealing multimedia strategy, using movies, narratives, and interactive guides to enhance awareness of Early Help and family support services (Southwark Council, 2023). The website highlights community involvement and features a specific Early Help section containing extensive contact information, referral procedures, and connections to partner organisations.</w:t>
      </w:r>
    </w:p>
    <w:p w14:paraId="7969F138" w14:textId="77777777" w:rsidR="00AC257A" w:rsidRPr="007D5B27" w:rsidRDefault="00AC257A" w:rsidP="007D5B27">
      <w:pPr>
        <w:pStyle w:val="Heading3"/>
        <w:spacing w:line="360" w:lineRule="auto"/>
        <w:jc w:val="both"/>
        <w:rPr>
          <w:rFonts w:cs="Arial"/>
          <w:sz w:val="22"/>
          <w:szCs w:val="22"/>
        </w:rPr>
      </w:pPr>
      <w:r w:rsidRPr="007D5B27">
        <w:rPr>
          <w:rFonts w:cs="Arial"/>
          <w:sz w:val="22"/>
          <w:szCs w:val="22"/>
        </w:rPr>
        <w:t>Advantages</w:t>
      </w:r>
    </w:p>
    <w:p w14:paraId="7057F524" w14:textId="77777777" w:rsidR="00AC257A" w:rsidRPr="007D5B27" w:rsidRDefault="00AC257A" w:rsidP="007D5B27">
      <w:pPr>
        <w:spacing w:line="360" w:lineRule="auto"/>
        <w:jc w:val="both"/>
        <w:rPr>
          <w:rFonts w:ascii="Arial" w:hAnsi="Arial" w:cs="Arial"/>
          <w:sz w:val="22"/>
        </w:rPr>
      </w:pPr>
      <w:r w:rsidRPr="007D5B27">
        <w:rPr>
          <w:rFonts w:ascii="Arial" w:hAnsi="Arial" w:cs="Arial"/>
          <w:sz w:val="22"/>
        </w:rPr>
        <w:t>Multimedia content improves accessibility, particularly for families with restricted literacy or digital competencies (Lindsey &amp; McIntosh, 2020). The website's design enables rapid access to essential information, using big banners and distinct titles. It additionally provides details on multi-agency communication points, along with the collaborative concepts established in Working Together (HM Government, 2023). Moreover, Southwark's focus on community narratives cultivates trust and exemplifies a strengths-based methodology.</w:t>
      </w:r>
    </w:p>
    <w:p w14:paraId="79645365" w14:textId="77777777" w:rsidR="00AC257A" w:rsidRPr="007D5B27" w:rsidRDefault="00AC257A" w:rsidP="007D5B27">
      <w:pPr>
        <w:pStyle w:val="Heading3"/>
        <w:spacing w:line="360" w:lineRule="auto"/>
        <w:jc w:val="both"/>
        <w:rPr>
          <w:rFonts w:cs="Arial"/>
          <w:sz w:val="22"/>
          <w:szCs w:val="22"/>
        </w:rPr>
      </w:pPr>
      <w:r w:rsidRPr="007D5B27">
        <w:rPr>
          <w:rFonts w:cs="Arial"/>
          <w:sz w:val="22"/>
          <w:szCs w:val="22"/>
        </w:rPr>
        <w:t>Vulnerabilities</w:t>
      </w:r>
    </w:p>
    <w:p w14:paraId="18E04A7F" w14:textId="77777777" w:rsidR="00AC257A" w:rsidRPr="007D5B27" w:rsidRDefault="00AC257A" w:rsidP="007D5B27">
      <w:pPr>
        <w:spacing w:line="360" w:lineRule="auto"/>
        <w:jc w:val="both"/>
        <w:rPr>
          <w:rFonts w:ascii="Arial" w:hAnsi="Arial" w:cs="Arial"/>
          <w:sz w:val="22"/>
        </w:rPr>
      </w:pPr>
      <w:r w:rsidRPr="007D5B27">
        <w:rPr>
          <w:rFonts w:ascii="Arial" w:hAnsi="Arial" w:cs="Arial"/>
          <w:sz w:val="22"/>
        </w:rPr>
        <w:t>Notwithstanding these advantages, the website's disorganised information architecture may present navigational difficulties, necessitating numerous clicks to reach particular services. This fragmentation may impede families in need of immediate or clear counsel, violating best practice criteria for digital accessibility (Ferguson et al., 2019). Furthermore, certain content is not consistently updated, jeopardising the distribution of obsolete information, hence compromising trust and effectiveness.</w:t>
      </w:r>
    </w:p>
    <w:p w14:paraId="6F96A6E7" w14:textId="77777777" w:rsidR="00AC257A" w:rsidRPr="007D5B27" w:rsidRDefault="00AC257A" w:rsidP="007D5B27">
      <w:pPr>
        <w:pStyle w:val="Heading3"/>
        <w:spacing w:line="360" w:lineRule="auto"/>
        <w:jc w:val="both"/>
        <w:rPr>
          <w:rFonts w:cs="Arial"/>
          <w:sz w:val="22"/>
          <w:szCs w:val="22"/>
        </w:rPr>
      </w:pPr>
      <w:r w:rsidRPr="007D5B27">
        <w:rPr>
          <w:rFonts w:cs="Arial"/>
          <w:sz w:val="22"/>
          <w:szCs w:val="22"/>
        </w:rPr>
        <w:t>Scholarly Viewpoint</w:t>
      </w:r>
    </w:p>
    <w:p w14:paraId="349E9656" w14:textId="7809E0EE" w:rsidR="00AC257A" w:rsidRPr="007D5B27" w:rsidRDefault="00BF3876" w:rsidP="007D5B27">
      <w:pPr>
        <w:spacing w:line="360" w:lineRule="auto"/>
        <w:jc w:val="both"/>
        <w:rPr>
          <w:rFonts w:ascii="Arial" w:hAnsi="Arial" w:cs="Arial"/>
          <w:sz w:val="22"/>
        </w:rPr>
      </w:pPr>
      <w:r w:rsidRPr="007D5B27">
        <w:rPr>
          <w:rFonts w:ascii="Arial" w:hAnsi="Arial" w:cs="Arial"/>
          <w:sz w:val="22"/>
        </w:rPr>
        <w:lastRenderedPageBreak/>
        <w:t>research</w:t>
      </w:r>
      <w:r w:rsidR="00AC257A" w:rsidRPr="007D5B27">
        <w:rPr>
          <w:rFonts w:ascii="Arial" w:hAnsi="Arial" w:cs="Arial"/>
          <w:sz w:val="22"/>
        </w:rPr>
        <w:t xml:space="preserve"> indicates that intuitive, linear navigation improves engagement and diminishes frustration for families in search of support (Gilling et al., 2020). Southwark’s multimedia strategy is creative; nonetheless, the website would be enhanced by a more centralised information </w:t>
      </w:r>
      <w:r w:rsidRPr="007D5B27">
        <w:rPr>
          <w:rFonts w:ascii="Arial" w:hAnsi="Arial" w:cs="Arial"/>
          <w:sz w:val="22"/>
        </w:rPr>
        <w:t>centre</w:t>
      </w:r>
      <w:r w:rsidR="00AC257A" w:rsidRPr="007D5B27">
        <w:rPr>
          <w:rFonts w:ascii="Arial" w:hAnsi="Arial" w:cs="Arial"/>
          <w:sz w:val="22"/>
        </w:rPr>
        <w:t xml:space="preserve"> to facilitate accessibility, as suggested in digital communication literature (O’Hara &amp; O’Connor, 2019)</w:t>
      </w:r>
    </w:p>
    <w:p w14:paraId="131B47F3" w14:textId="01AEE6EF" w:rsidR="0065462A" w:rsidRPr="007D5B27" w:rsidRDefault="0065462A" w:rsidP="007D5B27">
      <w:pPr>
        <w:pStyle w:val="Heading3"/>
        <w:spacing w:line="360" w:lineRule="auto"/>
        <w:jc w:val="both"/>
        <w:rPr>
          <w:rFonts w:cs="Arial"/>
          <w:sz w:val="22"/>
          <w:szCs w:val="22"/>
        </w:rPr>
      </w:pPr>
      <w:r w:rsidRPr="007D5B27">
        <w:rPr>
          <w:rFonts w:cs="Arial"/>
          <w:sz w:val="22"/>
          <w:szCs w:val="22"/>
        </w:rPr>
        <w:t>Nottinghamshire County Council</w:t>
      </w:r>
    </w:p>
    <w:p w14:paraId="18A3DF9D" w14:textId="77777777" w:rsidR="0065462A" w:rsidRPr="007D5B27" w:rsidRDefault="0065462A" w:rsidP="007D5B27">
      <w:pPr>
        <w:spacing w:line="360" w:lineRule="auto"/>
        <w:jc w:val="both"/>
        <w:rPr>
          <w:rFonts w:ascii="Arial" w:hAnsi="Arial" w:cs="Arial"/>
          <w:sz w:val="22"/>
        </w:rPr>
      </w:pPr>
      <w:r w:rsidRPr="007D5B27">
        <w:rPr>
          <w:rFonts w:ascii="Arial" w:hAnsi="Arial" w:cs="Arial"/>
          <w:sz w:val="22"/>
        </w:rPr>
        <w:t>The Nottinghamshire website provides a thorough and systematically arranged platform for family support, featuring specific sections for Early Help, parenting initiatives, and focused interventions. The design is user-friendly, featuring concise information and clear language, enhancing accessibility for a wide audience (Nottinghamshire County Council, 2023).</w:t>
      </w:r>
    </w:p>
    <w:p w14:paraId="61C65590" w14:textId="77777777" w:rsidR="0065462A" w:rsidRPr="007D5B27" w:rsidRDefault="0065462A" w:rsidP="007D5B27">
      <w:pPr>
        <w:pStyle w:val="Heading3"/>
        <w:spacing w:line="360" w:lineRule="auto"/>
        <w:jc w:val="both"/>
        <w:rPr>
          <w:rFonts w:cs="Arial"/>
          <w:sz w:val="22"/>
          <w:szCs w:val="22"/>
        </w:rPr>
      </w:pPr>
      <w:r w:rsidRPr="007D5B27">
        <w:rPr>
          <w:rFonts w:cs="Arial"/>
          <w:sz w:val="22"/>
          <w:szCs w:val="22"/>
        </w:rPr>
        <w:t>Advantages</w:t>
      </w:r>
    </w:p>
    <w:p w14:paraId="10CD52C0" w14:textId="77777777" w:rsidR="0065462A" w:rsidRPr="007D5B27" w:rsidRDefault="0065462A" w:rsidP="007D5B27">
      <w:pPr>
        <w:spacing w:line="360" w:lineRule="auto"/>
        <w:jc w:val="both"/>
        <w:rPr>
          <w:rFonts w:ascii="Arial" w:hAnsi="Arial" w:cs="Arial"/>
          <w:sz w:val="22"/>
        </w:rPr>
      </w:pPr>
      <w:r w:rsidRPr="007D5B27">
        <w:rPr>
          <w:rFonts w:ascii="Arial" w:hAnsi="Arial" w:cs="Arial"/>
          <w:sz w:val="22"/>
        </w:rPr>
        <w:t>A significant advantage is the availability of online referral forms and distinct contact points for local Early Help teams, promoting self-referral and proactive involvement. The site provides instructions for families to independently obtain support, according with the Working Together guidance's focus on accessible channels (HM Government, 2023). The focus on inclusivity, exemplified by the translation of essential papers into many languages, reflects a dedication to equitable access.</w:t>
      </w:r>
    </w:p>
    <w:p w14:paraId="2FEC56A2" w14:textId="77777777" w:rsidR="0065462A" w:rsidRPr="007D5B27" w:rsidRDefault="0065462A" w:rsidP="007D5B27">
      <w:pPr>
        <w:pStyle w:val="Heading3"/>
        <w:spacing w:line="360" w:lineRule="auto"/>
        <w:jc w:val="both"/>
        <w:rPr>
          <w:rFonts w:cs="Arial"/>
          <w:sz w:val="22"/>
          <w:szCs w:val="22"/>
        </w:rPr>
      </w:pPr>
      <w:r w:rsidRPr="007D5B27">
        <w:rPr>
          <w:rFonts w:cs="Arial"/>
          <w:sz w:val="22"/>
          <w:szCs w:val="22"/>
        </w:rPr>
        <w:t>Vulnerabilities</w:t>
      </w:r>
    </w:p>
    <w:p w14:paraId="18C45840" w14:textId="77777777" w:rsidR="0065462A" w:rsidRPr="007D5B27" w:rsidRDefault="0065462A" w:rsidP="007D5B27">
      <w:pPr>
        <w:spacing w:line="360" w:lineRule="auto"/>
        <w:jc w:val="both"/>
        <w:rPr>
          <w:rFonts w:ascii="Arial" w:hAnsi="Arial" w:cs="Arial"/>
          <w:sz w:val="22"/>
        </w:rPr>
      </w:pPr>
      <w:r w:rsidRPr="007D5B27">
        <w:rPr>
          <w:rFonts w:ascii="Arial" w:hAnsi="Arial" w:cs="Arial"/>
          <w:sz w:val="22"/>
        </w:rPr>
        <w:t>However, several regions lack comprehensive information specifically designed for vulnerable populations, like individuals with extra requirements or those facing domestic abuse. Although the general design is user-friendly, the site should improve its multimedia material and interactive elements to accommodate various learning preferences. Moreover, several service sites are integrated inside larger parts, which may obscure essential information for families requiring immediate assistance.</w:t>
      </w:r>
    </w:p>
    <w:p w14:paraId="3F7A4918" w14:textId="77777777" w:rsidR="0065462A" w:rsidRPr="007D5B27" w:rsidRDefault="0065462A" w:rsidP="007D5B27">
      <w:pPr>
        <w:pStyle w:val="Heading3"/>
        <w:spacing w:line="360" w:lineRule="auto"/>
        <w:jc w:val="both"/>
        <w:rPr>
          <w:rFonts w:cs="Arial"/>
          <w:sz w:val="22"/>
          <w:szCs w:val="22"/>
        </w:rPr>
      </w:pPr>
      <w:r w:rsidRPr="007D5B27">
        <w:rPr>
          <w:rFonts w:cs="Arial"/>
          <w:sz w:val="22"/>
          <w:szCs w:val="22"/>
        </w:rPr>
        <w:t>Scholarly Viewpoint</w:t>
      </w:r>
    </w:p>
    <w:p w14:paraId="351ED4F0" w14:textId="51530040" w:rsidR="0065462A" w:rsidRPr="007D5B27" w:rsidRDefault="0065462A" w:rsidP="007D5B27">
      <w:pPr>
        <w:spacing w:line="360" w:lineRule="auto"/>
        <w:jc w:val="both"/>
        <w:rPr>
          <w:rFonts w:ascii="Arial" w:hAnsi="Arial" w:cs="Arial"/>
          <w:sz w:val="22"/>
        </w:rPr>
      </w:pPr>
      <w:r w:rsidRPr="007D5B27">
        <w:rPr>
          <w:rFonts w:ascii="Arial" w:hAnsi="Arial" w:cs="Arial"/>
          <w:sz w:val="22"/>
        </w:rPr>
        <w:t>Research promotes the use of clear, accessible language and unambiguous routes to assistance (Ferguson et al., 2018). The Nottinghamshire website excels in these areas but might enhance its effectiveness by offering customised information and interactive tools to assist families with complicated needs, in accordance with inclusive digital communication principles (Berkowitz et al., 2018).</w:t>
      </w:r>
    </w:p>
    <w:p w14:paraId="688B7E2C" w14:textId="77777777" w:rsidR="002F578B" w:rsidRPr="007D5B27" w:rsidRDefault="002F578B" w:rsidP="007D5B27">
      <w:pPr>
        <w:spacing w:line="360" w:lineRule="auto"/>
        <w:jc w:val="both"/>
        <w:rPr>
          <w:rFonts w:ascii="Arial" w:hAnsi="Arial" w:cs="Arial"/>
          <w:sz w:val="22"/>
        </w:rPr>
      </w:pPr>
    </w:p>
    <w:p w14:paraId="6CA1B0DE" w14:textId="314F1711" w:rsidR="002F578B" w:rsidRPr="007D5B27" w:rsidRDefault="002F578B" w:rsidP="007D5B27">
      <w:pPr>
        <w:pStyle w:val="Heading3"/>
        <w:spacing w:line="360" w:lineRule="auto"/>
        <w:jc w:val="both"/>
        <w:rPr>
          <w:rFonts w:cs="Arial"/>
          <w:sz w:val="22"/>
          <w:szCs w:val="22"/>
        </w:rPr>
      </w:pPr>
      <w:r w:rsidRPr="007D5B27">
        <w:rPr>
          <w:rFonts w:cs="Arial"/>
          <w:sz w:val="22"/>
          <w:szCs w:val="22"/>
        </w:rPr>
        <w:t>Comparative Examinations</w:t>
      </w:r>
    </w:p>
    <w:tbl>
      <w:tblPr>
        <w:tblStyle w:val="TableGrid"/>
        <w:tblW w:w="0" w:type="auto"/>
        <w:tblLook w:val="04A0" w:firstRow="1" w:lastRow="0" w:firstColumn="1" w:lastColumn="0" w:noHBand="0" w:noVBand="1"/>
      </w:tblPr>
      <w:tblGrid>
        <w:gridCol w:w="2254"/>
        <w:gridCol w:w="2254"/>
        <w:gridCol w:w="2254"/>
        <w:gridCol w:w="2254"/>
      </w:tblGrid>
      <w:tr w:rsidR="00593276" w:rsidRPr="007D5B27" w14:paraId="5821337B" w14:textId="77777777" w:rsidTr="00593276">
        <w:tc>
          <w:tcPr>
            <w:tcW w:w="2254" w:type="dxa"/>
          </w:tcPr>
          <w:p w14:paraId="1AB15E4A" w14:textId="0513A096" w:rsidR="00593276" w:rsidRPr="007D5B27" w:rsidRDefault="004A498D" w:rsidP="007D5B27">
            <w:pPr>
              <w:spacing w:line="360" w:lineRule="auto"/>
              <w:jc w:val="both"/>
              <w:rPr>
                <w:rFonts w:ascii="Arial" w:hAnsi="Arial" w:cs="Arial"/>
                <w:sz w:val="22"/>
                <w:szCs w:val="22"/>
              </w:rPr>
            </w:pPr>
            <w:r w:rsidRPr="007D5B27">
              <w:rPr>
                <w:rFonts w:ascii="Arial" w:hAnsi="Arial" w:cs="Arial"/>
                <w:sz w:val="22"/>
                <w:szCs w:val="22"/>
              </w:rPr>
              <w:t>Element</w:t>
            </w:r>
          </w:p>
        </w:tc>
        <w:tc>
          <w:tcPr>
            <w:tcW w:w="2254" w:type="dxa"/>
          </w:tcPr>
          <w:p w14:paraId="217AF29C" w14:textId="6EBE6B9A" w:rsidR="00593276" w:rsidRPr="007D5B27" w:rsidRDefault="004A498D" w:rsidP="007D5B27">
            <w:pPr>
              <w:spacing w:line="360" w:lineRule="auto"/>
              <w:jc w:val="both"/>
              <w:rPr>
                <w:rFonts w:ascii="Arial" w:hAnsi="Arial" w:cs="Arial"/>
                <w:sz w:val="22"/>
                <w:szCs w:val="22"/>
              </w:rPr>
            </w:pPr>
            <w:r w:rsidRPr="007D5B27">
              <w:rPr>
                <w:rFonts w:ascii="Arial" w:hAnsi="Arial" w:cs="Arial"/>
                <w:sz w:val="22"/>
                <w:szCs w:val="22"/>
              </w:rPr>
              <w:t>Tower Hamlets</w:t>
            </w:r>
          </w:p>
        </w:tc>
        <w:tc>
          <w:tcPr>
            <w:tcW w:w="2254" w:type="dxa"/>
          </w:tcPr>
          <w:p w14:paraId="04BA0738" w14:textId="46CA7492" w:rsidR="00593276" w:rsidRPr="007D5B27" w:rsidRDefault="004A498D" w:rsidP="007D5B27">
            <w:pPr>
              <w:spacing w:line="360" w:lineRule="auto"/>
              <w:jc w:val="both"/>
              <w:rPr>
                <w:rFonts w:ascii="Arial" w:hAnsi="Arial" w:cs="Arial"/>
                <w:sz w:val="22"/>
                <w:szCs w:val="22"/>
              </w:rPr>
            </w:pPr>
            <w:r w:rsidRPr="007D5B27">
              <w:rPr>
                <w:rFonts w:ascii="Arial" w:hAnsi="Arial" w:cs="Arial"/>
                <w:sz w:val="22"/>
                <w:szCs w:val="22"/>
              </w:rPr>
              <w:t>Southwark</w:t>
            </w:r>
          </w:p>
        </w:tc>
        <w:tc>
          <w:tcPr>
            <w:tcW w:w="2254" w:type="dxa"/>
          </w:tcPr>
          <w:p w14:paraId="6FB399D3" w14:textId="2761032A" w:rsidR="00593276" w:rsidRPr="007D5B27" w:rsidRDefault="004A498D" w:rsidP="007D5B27">
            <w:pPr>
              <w:spacing w:line="360" w:lineRule="auto"/>
              <w:jc w:val="both"/>
              <w:rPr>
                <w:rFonts w:ascii="Arial" w:hAnsi="Arial" w:cs="Arial"/>
                <w:sz w:val="22"/>
                <w:szCs w:val="22"/>
              </w:rPr>
            </w:pPr>
            <w:r w:rsidRPr="007D5B27">
              <w:rPr>
                <w:rFonts w:ascii="Arial" w:hAnsi="Arial" w:cs="Arial"/>
                <w:sz w:val="22"/>
                <w:szCs w:val="22"/>
              </w:rPr>
              <w:t>Nottingham</w:t>
            </w:r>
          </w:p>
        </w:tc>
      </w:tr>
      <w:tr w:rsidR="00593276" w:rsidRPr="007D5B27" w14:paraId="534A2AF5" w14:textId="77777777" w:rsidTr="00593276">
        <w:tc>
          <w:tcPr>
            <w:tcW w:w="2254" w:type="dxa"/>
          </w:tcPr>
          <w:p w14:paraId="0CC0CB08" w14:textId="798385D5" w:rsidR="00593276" w:rsidRPr="007D5B27" w:rsidRDefault="006573D3" w:rsidP="007D5B27">
            <w:pPr>
              <w:spacing w:line="360" w:lineRule="auto"/>
              <w:jc w:val="both"/>
              <w:rPr>
                <w:rFonts w:ascii="Arial" w:hAnsi="Arial" w:cs="Arial"/>
                <w:sz w:val="22"/>
                <w:szCs w:val="22"/>
              </w:rPr>
            </w:pPr>
            <w:r w:rsidRPr="007D5B27">
              <w:rPr>
                <w:rFonts w:ascii="Arial" w:hAnsi="Arial" w:cs="Arial"/>
                <w:sz w:val="22"/>
                <w:szCs w:val="22"/>
              </w:rPr>
              <w:t>Lucidity of Information</w:t>
            </w:r>
          </w:p>
        </w:tc>
        <w:tc>
          <w:tcPr>
            <w:tcW w:w="2254" w:type="dxa"/>
          </w:tcPr>
          <w:p w14:paraId="5B39A11C" w14:textId="5B6A02E9" w:rsidR="00593276" w:rsidRPr="007D5B27" w:rsidRDefault="00954488" w:rsidP="007D5B27">
            <w:pPr>
              <w:spacing w:line="360" w:lineRule="auto"/>
              <w:jc w:val="both"/>
              <w:rPr>
                <w:rFonts w:ascii="Arial" w:hAnsi="Arial" w:cs="Arial"/>
                <w:sz w:val="22"/>
                <w:szCs w:val="22"/>
              </w:rPr>
            </w:pPr>
            <w:r w:rsidRPr="007D5B27">
              <w:rPr>
                <w:rFonts w:ascii="Arial" w:hAnsi="Arial" w:cs="Arial"/>
                <w:sz w:val="22"/>
                <w:szCs w:val="22"/>
              </w:rPr>
              <w:t>Well-structured pages featuring intuitive navigation</w:t>
            </w:r>
          </w:p>
        </w:tc>
        <w:tc>
          <w:tcPr>
            <w:tcW w:w="2254" w:type="dxa"/>
          </w:tcPr>
          <w:p w14:paraId="4CE699A5" w14:textId="75522626" w:rsidR="00593276" w:rsidRPr="007D5B27" w:rsidRDefault="00954488" w:rsidP="007D5B27">
            <w:pPr>
              <w:spacing w:line="360" w:lineRule="auto"/>
              <w:jc w:val="both"/>
              <w:rPr>
                <w:rFonts w:ascii="Arial" w:hAnsi="Arial" w:cs="Arial"/>
                <w:sz w:val="22"/>
                <w:szCs w:val="22"/>
              </w:rPr>
            </w:pPr>
            <w:r w:rsidRPr="007D5B27">
              <w:rPr>
                <w:rFonts w:ascii="Arial" w:hAnsi="Arial" w:cs="Arial"/>
                <w:sz w:val="22"/>
                <w:szCs w:val="22"/>
              </w:rPr>
              <w:t>Captivating yet disjointed content</w:t>
            </w:r>
          </w:p>
        </w:tc>
        <w:tc>
          <w:tcPr>
            <w:tcW w:w="2254" w:type="dxa"/>
          </w:tcPr>
          <w:p w14:paraId="45A12D0D" w14:textId="0A007D77" w:rsidR="00593276" w:rsidRPr="007D5B27" w:rsidRDefault="00954488" w:rsidP="007D5B27">
            <w:pPr>
              <w:spacing w:line="360" w:lineRule="auto"/>
              <w:jc w:val="both"/>
              <w:rPr>
                <w:rFonts w:ascii="Arial" w:hAnsi="Arial" w:cs="Arial"/>
                <w:sz w:val="22"/>
                <w:szCs w:val="22"/>
              </w:rPr>
            </w:pPr>
            <w:r w:rsidRPr="007D5B27">
              <w:rPr>
                <w:rFonts w:ascii="Arial" w:hAnsi="Arial" w:cs="Arial"/>
                <w:sz w:val="22"/>
                <w:szCs w:val="22"/>
              </w:rPr>
              <w:t>Lucid, Systemic</w:t>
            </w:r>
            <w:r w:rsidR="00C82C0E" w:rsidRPr="007D5B27">
              <w:rPr>
                <w:rFonts w:ascii="Arial" w:hAnsi="Arial" w:cs="Arial"/>
                <w:sz w:val="22"/>
                <w:szCs w:val="22"/>
              </w:rPr>
              <w:t>, accessible</w:t>
            </w:r>
          </w:p>
        </w:tc>
      </w:tr>
      <w:tr w:rsidR="00593276" w:rsidRPr="007D5B27" w14:paraId="61394C94" w14:textId="77777777" w:rsidTr="00593276">
        <w:tc>
          <w:tcPr>
            <w:tcW w:w="2254" w:type="dxa"/>
          </w:tcPr>
          <w:p w14:paraId="5F5ECDAC" w14:textId="38AA59E6" w:rsidR="00593276" w:rsidRPr="007D5B27" w:rsidRDefault="00C82C0E" w:rsidP="007D5B27">
            <w:pPr>
              <w:spacing w:line="360" w:lineRule="auto"/>
              <w:jc w:val="both"/>
              <w:rPr>
                <w:rFonts w:ascii="Arial" w:hAnsi="Arial" w:cs="Arial"/>
                <w:sz w:val="22"/>
                <w:szCs w:val="22"/>
              </w:rPr>
            </w:pPr>
            <w:r w:rsidRPr="007D5B27">
              <w:rPr>
                <w:rFonts w:ascii="Arial" w:hAnsi="Arial" w:cs="Arial"/>
                <w:sz w:val="22"/>
                <w:szCs w:val="22"/>
              </w:rPr>
              <w:t>Accessibility</w:t>
            </w:r>
          </w:p>
        </w:tc>
        <w:tc>
          <w:tcPr>
            <w:tcW w:w="2254" w:type="dxa"/>
          </w:tcPr>
          <w:p w14:paraId="53052310" w14:textId="0B071B79" w:rsidR="00593276" w:rsidRPr="007D5B27" w:rsidRDefault="00A3665C" w:rsidP="007D5B27">
            <w:pPr>
              <w:spacing w:line="360" w:lineRule="auto"/>
              <w:jc w:val="both"/>
              <w:rPr>
                <w:rFonts w:ascii="Arial" w:hAnsi="Arial" w:cs="Arial"/>
                <w:sz w:val="22"/>
                <w:szCs w:val="22"/>
              </w:rPr>
            </w:pPr>
            <w:r w:rsidRPr="007D5B27">
              <w:rPr>
                <w:rFonts w:ascii="Arial" w:hAnsi="Arial" w:cs="Arial"/>
                <w:sz w:val="22"/>
                <w:szCs w:val="22"/>
              </w:rPr>
              <w:t>Multilingual alternatives, revised content</w:t>
            </w:r>
          </w:p>
        </w:tc>
        <w:tc>
          <w:tcPr>
            <w:tcW w:w="2254" w:type="dxa"/>
          </w:tcPr>
          <w:p w14:paraId="071F0604" w14:textId="2B08B015" w:rsidR="00593276" w:rsidRPr="007D5B27" w:rsidRDefault="00A3665C" w:rsidP="007D5B27">
            <w:pPr>
              <w:spacing w:line="360" w:lineRule="auto"/>
              <w:jc w:val="both"/>
              <w:rPr>
                <w:rFonts w:ascii="Arial" w:hAnsi="Arial" w:cs="Arial"/>
                <w:sz w:val="22"/>
                <w:szCs w:val="22"/>
              </w:rPr>
            </w:pPr>
            <w:r w:rsidRPr="007D5B27">
              <w:rPr>
                <w:rFonts w:ascii="Arial" w:hAnsi="Arial" w:cs="Arial"/>
                <w:sz w:val="22"/>
                <w:szCs w:val="22"/>
              </w:rPr>
              <w:t>Prominent placement of multimedia material</w:t>
            </w:r>
          </w:p>
        </w:tc>
        <w:tc>
          <w:tcPr>
            <w:tcW w:w="2254" w:type="dxa"/>
          </w:tcPr>
          <w:p w14:paraId="4C367BD4" w14:textId="14D20F5C" w:rsidR="00593276" w:rsidRPr="007D5B27" w:rsidRDefault="00257BBB" w:rsidP="007D5B27">
            <w:pPr>
              <w:spacing w:line="360" w:lineRule="auto"/>
              <w:jc w:val="both"/>
              <w:rPr>
                <w:rFonts w:ascii="Arial" w:hAnsi="Arial" w:cs="Arial"/>
                <w:sz w:val="22"/>
                <w:szCs w:val="22"/>
              </w:rPr>
            </w:pPr>
            <w:r w:rsidRPr="007D5B27">
              <w:rPr>
                <w:rFonts w:ascii="Arial" w:hAnsi="Arial" w:cs="Arial"/>
                <w:sz w:val="22"/>
                <w:szCs w:val="22"/>
              </w:rPr>
              <w:t>Translated documents, Clear</w:t>
            </w:r>
            <w:r w:rsidR="00791E93" w:rsidRPr="007D5B27">
              <w:rPr>
                <w:rFonts w:ascii="Arial" w:hAnsi="Arial" w:cs="Arial"/>
                <w:sz w:val="22"/>
                <w:szCs w:val="22"/>
              </w:rPr>
              <w:t xml:space="preserve"> lan</w:t>
            </w:r>
            <w:r w:rsidR="002613A3" w:rsidRPr="007D5B27">
              <w:rPr>
                <w:rFonts w:ascii="Arial" w:hAnsi="Arial" w:cs="Arial"/>
                <w:sz w:val="22"/>
                <w:szCs w:val="22"/>
              </w:rPr>
              <w:t>g</w:t>
            </w:r>
            <w:r w:rsidR="00791E93" w:rsidRPr="007D5B27">
              <w:rPr>
                <w:rFonts w:ascii="Arial" w:hAnsi="Arial" w:cs="Arial"/>
                <w:sz w:val="22"/>
                <w:szCs w:val="22"/>
              </w:rPr>
              <w:t>uage</w:t>
            </w:r>
          </w:p>
        </w:tc>
      </w:tr>
      <w:tr w:rsidR="00593276" w:rsidRPr="007D5B27" w14:paraId="2BA56B58" w14:textId="77777777" w:rsidTr="00593276">
        <w:tc>
          <w:tcPr>
            <w:tcW w:w="2254" w:type="dxa"/>
          </w:tcPr>
          <w:p w14:paraId="6E3BBE6D" w14:textId="4C0300A9" w:rsidR="00593276" w:rsidRPr="007D5B27" w:rsidRDefault="00C82C0E" w:rsidP="007D5B27">
            <w:pPr>
              <w:spacing w:line="360" w:lineRule="auto"/>
              <w:jc w:val="both"/>
              <w:rPr>
                <w:rFonts w:ascii="Arial" w:hAnsi="Arial" w:cs="Arial"/>
                <w:sz w:val="22"/>
                <w:szCs w:val="22"/>
              </w:rPr>
            </w:pPr>
            <w:r w:rsidRPr="007D5B27">
              <w:rPr>
                <w:rFonts w:ascii="Arial" w:hAnsi="Arial" w:cs="Arial"/>
                <w:sz w:val="22"/>
                <w:szCs w:val="22"/>
              </w:rPr>
              <w:t>Guidance to services</w:t>
            </w:r>
          </w:p>
        </w:tc>
        <w:tc>
          <w:tcPr>
            <w:tcW w:w="2254" w:type="dxa"/>
          </w:tcPr>
          <w:p w14:paraId="050554B0" w14:textId="67E49292" w:rsidR="00593276" w:rsidRPr="007D5B27" w:rsidRDefault="006D00AE" w:rsidP="007D5B27">
            <w:pPr>
              <w:spacing w:line="360" w:lineRule="auto"/>
              <w:jc w:val="both"/>
              <w:rPr>
                <w:rFonts w:ascii="Arial" w:hAnsi="Arial" w:cs="Arial"/>
                <w:sz w:val="22"/>
                <w:szCs w:val="22"/>
              </w:rPr>
            </w:pPr>
            <w:r w:rsidRPr="007D5B27">
              <w:rPr>
                <w:rFonts w:ascii="Arial" w:hAnsi="Arial" w:cs="Arial"/>
                <w:sz w:val="22"/>
                <w:szCs w:val="22"/>
              </w:rPr>
              <w:t>Contact information, community narratives</w:t>
            </w:r>
          </w:p>
        </w:tc>
        <w:tc>
          <w:tcPr>
            <w:tcW w:w="2254" w:type="dxa"/>
          </w:tcPr>
          <w:p w14:paraId="388E856E" w14:textId="36605BF0" w:rsidR="00593276" w:rsidRPr="007D5B27" w:rsidRDefault="006D00AE" w:rsidP="007D5B27">
            <w:pPr>
              <w:spacing w:line="360" w:lineRule="auto"/>
              <w:jc w:val="both"/>
              <w:rPr>
                <w:rFonts w:ascii="Arial" w:hAnsi="Arial" w:cs="Arial"/>
                <w:sz w:val="22"/>
                <w:szCs w:val="22"/>
              </w:rPr>
            </w:pPr>
            <w:r w:rsidRPr="007D5B27">
              <w:rPr>
                <w:rFonts w:ascii="Arial" w:hAnsi="Arial" w:cs="Arial"/>
                <w:sz w:val="22"/>
                <w:szCs w:val="22"/>
              </w:rPr>
              <w:t>Digital forms, Comprehensive contact infor</w:t>
            </w:r>
            <w:r w:rsidR="00BA38BB" w:rsidRPr="007D5B27">
              <w:rPr>
                <w:rFonts w:ascii="Arial" w:hAnsi="Arial" w:cs="Arial"/>
                <w:sz w:val="22"/>
                <w:szCs w:val="22"/>
              </w:rPr>
              <w:t>mation</w:t>
            </w:r>
          </w:p>
        </w:tc>
        <w:tc>
          <w:tcPr>
            <w:tcW w:w="2254" w:type="dxa"/>
          </w:tcPr>
          <w:p w14:paraId="4EA1AE38" w14:textId="6736B34B" w:rsidR="00593276" w:rsidRPr="007D5B27" w:rsidRDefault="002613A3" w:rsidP="007D5B27">
            <w:pPr>
              <w:spacing w:line="360" w:lineRule="auto"/>
              <w:jc w:val="both"/>
              <w:rPr>
                <w:rFonts w:ascii="Arial" w:hAnsi="Arial" w:cs="Arial"/>
                <w:sz w:val="22"/>
                <w:szCs w:val="22"/>
              </w:rPr>
            </w:pPr>
            <w:r w:rsidRPr="007D5B27">
              <w:rPr>
                <w:rFonts w:ascii="Arial" w:hAnsi="Arial" w:cs="Arial"/>
                <w:sz w:val="22"/>
                <w:szCs w:val="22"/>
              </w:rPr>
              <w:t>Presented adequately, although the breadth is restricted for vulnerable populations.</w:t>
            </w:r>
          </w:p>
        </w:tc>
      </w:tr>
      <w:tr w:rsidR="00593276" w:rsidRPr="007D5B27" w14:paraId="4EAA318E" w14:textId="77777777" w:rsidTr="00593276">
        <w:tc>
          <w:tcPr>
            <w:tcW w:w="2254" w:type="dxa"/>
          </w:tcPr>
          <w:p w14:paraId="0413D003" w14:textId="7D6F0236" w:rsidR="00593276" w:rsidRPr="007D5B27" w:rsidRDefault="000540EA" w:rsidP="007D5B27">
            <w:pPr>
              <w:spacing w:line="360" w:lineRule="auto"/>
              <w:jc w:val="both"/>
              <w:rPr>
                <w:rFonts w:ascii="Arial" w:hAnsi="Arial" w:cs="Arial"/>
                <w:sz w:val="22"/>
                <w:szCs w:val="22"/>
              </w:rPr>
            </w:pPr>
            <w:r w:rsidRPr="007D5B27">
              <w:rPr>
                <w:rFonts w:ascii="Arial" w:hAnsi="Arial" w:cs="Arial"/>
                <w:sz w:val="22"/>
                <w:szCs w:val="22"/>
              </w:rPr>
              <w:t>Inter-agency co-operation</w:t>
            </w:r>
          </w:p>
        </w:tc>
        <w:tc>
          <w:tcPr>
            <w:tcW w:w="2254" w:type="dxa"/>
          </w:tcPr>
          <w:p w14:paraId="071FA9AF" w14:textId="4A4BC22F" w:rsidR="00593276" w:rsidRPr="007D5B27" w:rsidRDefault="000540EA" w:rsidP="007D5B27">
            <w:pPr>
              <w:spacing w:line="360" w:lineRule="auto"/>
              <w:jc w:val="both"/>
              <w:rPr>
                <w:rFonts w:ascii="Arial" w:hAnsi="Arial" w:cs="Arial"/>
                <w:sz w:val="22"/>
                <w:szCs w:val="22"/>
              </w:rPr>
            </w:pPr>
            <w:r w:rsidRPr="007D5B27">
              <w:rPr>
                <w:rFonts w:ascii="Arial" w:hAnsi="Arial" w:cs="Arial"/>
                <w:sz w:val="22"/>
                <w:szCs w:val="22"/>
              </w:rPr>
              <w:t>Explicit referral pathways and downloadable resources</w:t>
            </w:r>
          </w:p>
        </w:tc>
        <w:tc>
          <w:tcPr>
            <w:tcW w:w="2254" w:type="dxa"/>
          </w:tcPr>
          <w:p w14:paraId="64BD4097" w14:textId="779DAC2B" w:rsidR="00593276" w:rsidRPr="007D5B27" w:rsidRDefault="005C6EC6" w:rsidP="007D5B27">
            <w:pPr>
              <w:spacing w:line="360" w:lineRule="auto"/>
              <w:jc w:val="both"/>
              <w:rPr>
                <w:rFonts w:ascii="Arial" w:hAnsi="Arial" w:cs="Arial"/>
                <w:sz w:val="22"/>
                <w:szCs w:val="22"/>
              </w:rPr>
            </w:pPr>
            <w:r w:rsidRPr="007D5B27">
              <w:rPr>
                <w:rFonts w:ascii="Arial" w:hAnsi="Arial" w:cs="Arial"/>
                <w:sz w:val="22"/>
                <w:szCs w:val="22"/>
              </w:rPr>
              <w:t>Highlighted through community narratives.</w:t>
            </w:r>
          </w:p>
        </w:tc>
        <w:tc>
          <w:tcPr>
            <w:tcW w:w="2254" w:type="dxa"/>
          </w:tcPr>
          <w:p w14:paraId="4B63CC87" w14:textId="3310FC3F" w:rsidR="00593276" w:rsidRPr="007D5B27" w:rsidRDefault="005C6EC6" w:rsidP="007D5B27">
            <w:pPr>
              <w:spacing w:line="360" w:lineRule="auto"/>
              <w:jc w:val="both"/>
              <w:rPr>
                <w:rFonts w:ascii="Arial" w:hAnsi="Arial" w:cs="Arial"/>
                <w:sz w:val="22"/>
                <w:szCs w:val="22"/>
              </w:rPr>
            </w:pPr>
            <w:r w:rsidRPr="007D5B27">
              <w:rPr>
                <w:rFonts w:ascii="Arial" w:hAnsi="Arial" w:cs="Arial"/>
                <w:sz w:val="22"/>
                <w:szCs w:val="22"/>
              </w:rPr>
              <w:t>Thoroughly elucidated, featuring distinct multi-agency paths.</w:t>
            </w:r>
          </w:p>
        </w:tc>
      </w:tr>
    </w:tbl>
    <w:p w14:paraId="5CB9072E" w14:textId="77777777" w:rsidR="00707936" w:rsidRPr="007D5B27" w:rsidRDefault="00707936" w:rsidP="007D5B27">
      <w:pPr>
        <w:spacing w:line="360" w:lineRule="auto"/>
        <w:jc w:val="both"/>
        <w:rPr>
          <w:rFonts w:ascii="Arial" w:hAnsi="Arial" w:cs="Arial"/>
          <w:sz w:val="22"/>
        </w:rPr>
      </w:pPr>
    </w:p>
    <w:p w14:paraId="6E2AD214" w14:textId="77777777" w:rsidR="00D112D4" w:rsidRPr="007D5B27" w:rsidRDefault="00D112D4" w:rsidP="007D5B27">
      <w:pPr>
        <w:pStyle w:val="Heading3"/>
        <w:spacing w:line="360" w:lineRule="auto"/>
        <w:rPr>
          <w:rFonts w:cs="Arial"/>
          <w:sz w:val="22"/>
          <w:szCs w:val="22"/>
        </w:rPr>
      </w:pPr>
      <w:r w:rsidRPr="007D5B27">
        <w:rPr>
          <w:rFonts w:cs="Arial"/>
          <w:sz w:val="22"/>
          <w:szCs w:val="22"/>
        </w:rPr>
        <w:t>Strengths among locations</w:t>
      </w:r>
    </w:p>
    <w:p w14:paraId="075398B4" w14:textId="1BE2FDAF" w:rsidR="00D112D4" w:rsidRPr="007D5B27" w:rsidRDefault="00D112D4" w:rsidP="007D5B27">
      <w:pPr>
        <w:pStyle w:val="Heading3"/>
        <w:spacing w:line="360" w:lineRule="auto"/>
        <w:rPr>
          <w:rFonts w:cs="Arial"/>
          <w:sz w:val="22"/>
          <w:szCs w:val="22"/>
        </w:rPr>
      </w:pPr>
      <w:r w:rsidRPr="007D5B27">
        <w:rPr>
          <w:rFonts w:cs="Arial"/>
          <w:b w:val="0"/>
          <w:bCs w:val="0"/>
          <w:sz w:val="22"/>
          <w:szCs w:val="22"/>
        </w:rPr>
        <w:t>All three sites offer readily available contact information and explicit routes to services</w:t>
      </w:r>
      <w:r w:rsidRPr="007D5B27">
        <w:rPr>
          <w:rFonts w:cs="Arial"/>
          <w:sz w:val="22"/>
          <w:szCs w:val="22"/>
        </w:rPr>
        <w:t>.</w:t>
      </w:r>
    </w:p>
    <w:p w14:paraId="2D15E1F2" w14:textId="77777777" w:rsidR="00D112D4" w:rsidRPr="007D5B27" w:rsidRDefault="00D112D4" w:rsidP="007D5B27">
      <w:pPr>
        <w:spacing w:line="360" w:lineRule="auto"/>
        <w:jc w:val="both"/>
        <w:rPr>
          <w:rFonts w:ascii="Arial" w:hAnsi="Arial" w:cs="Arial"/>
          <w:sz w:val="22"/>
        </w:rPr>
      </w:pPr>
      <w:r w:rsidRPr="007D5B27">
        <w:rPr>
          <w:rFonts w:ascii="Arial" w:hAnsi="Arial" w:cs="Arial"/>
          <w:sz w:val="22"/>
        </w:rPr>
        <w:t>The utilisation of multimedia in Southwark and multilingual alternatives in Tower Hamlets and Nottinghamshire augment outreach.</w:t>
      </w:r>
    </w:p>
    <w:p w14:paraId="3B89CF5D" w14:textId="77777777" w:rsidR="00D112D4" w:rsidRPr="007D5B27" w:rsidRDefault="00D112D4" w:rsidP="007D5B27">
      <w:pPr>
        <w:spacing w:line="360" w:lineRule="auto"/>
        <w:jc w:val="both"/>
        <w:rPr>
          <w:rFonts w:ascii="Arial" w:hAnsi="Arial" w:cs="Arial"/>
          <w:sz w:val="22"/>
        </w:rPr>
      </w:pPr>
      <w:r w:rsidRPr="007D5B27">
        <w:rPr>
          <w:rFonts w:ascii="Arial" w:hAnsi="Arial" w:cs="Arial"/>
          <w:sz w:val="22"/>
        </w:rPr>
        <w:t>Consistent updates and transparency regarding referral procedures cultivate confidence.</w:t>
      </w:r>
    </w:p>
    <w:p w14:paraId="30E50372" w14:textId="77777777" w:rsidR="00D112D4" w:rsidRPr="007D5B27" w:rsidRDefault="00D112D4" w:rsidP="007D5B27">
      <w:pPr>
        <w:spacing w:line="360" w:lineRule="auto"/>
        <w:jc w:val="both"/>
        <w:rPr>
          <w:rFonts w:ascii="Arial" w:hAnsi="Arial" w:cs="Arial"/>
          <w:sz w:val="22"/>
        </w:rPr>
      </w:pPr>
    </w:p>
    <w:p w14:paraId="5CC1EC07" w14:textId="7FFD8BB3" w:rsidR="00D112D4" w:rsidRPr="007D5B27" w:rsidRDefault="00D112D4" w:rsidP="007D5B27">
      <w:pPr>
        <w:pStyle w:val="Heading3"/>
        <w:spacing w:line="360" w:lineRule="auto"/>
        <w:rPr>
          <w:rFonts w:cs="Arial"/>
          <w:sz w:val="22"/>
          <w:szCs w:val="22"/>
        </w:rPr>
      </w:pPr>
      <w:r w:rsidRPr="007D5B27">
        <w:rPr>
          <w:rFonts w:cs="Arial"/>
          <w:sz w:val="22"/>
          <w:szCs w:val="22"/>
        </w:rPr>
        <w:t>Deficiencies across locations</w:t>
      </w:r>
    </w:p>
    <w:p w14:paraId="1403AD2E" w14:textId="77777777" w:rsidR="00D112D4" w:rsidRPr="007D5B27" w:rsidRDefault="00D112D4" w:rsidP="007D5B27">
      <w:pPr>
        <w:spacing w:line="360" w:lineRule="auto"/>
        <w:jc w:val="both"/>
        <w:rPr>
          <w:rFonts w:ascii="Arial" w:hAnsi="Arial" w:cs="Arial"/>
          <w:sz w:val="22"/>
        </w:rPr>
      </w:pPr>
      <w:r w:rsidRPr="007D5B27">
        <w:rPr>
          <w:rFonts w:ascii="Arial" w:hAnsi="Arial" w:cs="Arial"/>
          <w:sz w:val="22"/>
        </w:rPr>
        <w:t>Disjointed information architecture (Southwark) can obstruct navigation.</w:t>
      </w:r>
    </w:p>
    <w:p w14:paraId="6C177BE6" w14:textId="5B4EDEE6" w:rsidR="00D112D4" w:rsidRPr="007D5B27" w:rsidRDefault="00D112D4" w:rsidP="007D5B27">
      <w:pPr>
        <w:spacing w:line="360" w:lineRule="auto"/>
        <w:jc w:val="both"/>
        <w:rPr>
          <w:rFonts w:ascii="Arial" w:hAnsi="Arial" w:cs="Arial"/>
          <w:sz w:val="22"/>
        </w:rPr>
      </w:pPr>
      <w:r w:rsidRPr="007D5B27">
        <w:rPr>
          <w:rFonts w:ascii="Arial" w:hAnsi="Arial" w:cs="Arial"/>
          <w:sz w:val="22"/>
        </w:rPr>
        <w:t>Insufficient customised information for vulnerable populations, including children with disabilities or those facing domestic abuse.</w:t>
      </w:r>
    </w:p>
    <w:p w14:paraId="5BF91D9D" w14:textId="77777777" w:rsidR="00D112D4" w:rsidRPr="007D5B27" w:rsidRDefault="00D112D4" w:rsidP="007D5B27">
      <w:pPr>
        <w:spacing w:line="360" w:lineRule="auto"/>
        <w:jc w:val="both"/>
        <w:rPr>
          <w:rFonts w:ascii="Arial" w:hAnsi="Arial" w:cs="Arial"/>
          <w:sz w:val="22"/>
        </w:rPr>
      </w:pPr>
      <w:r w:rsidRPr="007D5B27">
        <w:rPr>
          <w:rFonts w:ascii="Arial" w:hAnsi="Arial" w:cs="Arial"/>
          <w:sz w:val="22"/>
        </w:rPr>
        <w:lastRenderedPageBreak/>
        <w:t>There is a necessity for increased interactive content to assist families with limited digital literacy.</w:t>
      </w:r>
    </w:p>
    <w:p w14:paraId="7EF201FF" w14:textId="77777777" w:rsidR="00D112D4" w:rsidRPr="007D5B27" w:rsidRDefault="00D112D4" w:rsidP="007D5B27">
      <w:pPr>
        <w:spacing w:line="360" w:lineRule="auto"/>
        <w:jc w:val="both"/>
        <w:rPr>
          <w:rFonts w:ascii="Arial" w:hAnsi="Arial" w:cs="Arial"/>
          <w:sz w:val="22"/>
        </w:rPr>
      </w:pPr>
    </w:p>
    <w:p w14:paraId="25439E68" w14:textId="77777777" w:rsidR="00D112D4" w:rsidRPr="007D5B27" w:rsidRDefault="00D112D4" w:rsidP="007D5B27">
      <w:pPr>
        <w:pStyle w:val="Heading3"/>
        <w:spacing w:line="360" w:lineRule="auto"/>
        <w:rPr>
          <w:rFonts w:cs="Arial"/>
          <w:sz w:val="22"/>
          <w:szCs w:val="22"/>
        </w:rPr>
      </w:pPr>
      <w:r w:rsidRPr="007D5B27">
        <w:rPr>
          <w:rFonts w:cs="Arial"/>
          <w:sz w:val="22"/>
          <w:szCs w:val="22"/>
        </w:rPr>
        <w:t>Consequences Derived from Scholarly Literature and Policy</w:t>
      </w:r>
    </w:p>
    <w:p w14:paraId="60789EC3" w14:textId="2E20BE8B" w:rsidR="00BF3876" w:rsidRPr="007D5B27" w:rsidRDefault="00D112D4" w:rsidP="007D5B27">
      <w:pPr>
        <w:spacing w:line="360" w:lineRule="auto"/>
        <w:jc w:val="both"/>
        <w:rPr>
          <w:rFonts w:ascii="Arial" w:hAnsi="Arial" w:cs="Arial"/>
          <w:sz w:val="22"/>
        </w:rPr>
      </w:pPr>
      <w:r w:rsidRPr="007D5B27">
        <w:rPr>
          <w:rFonts w:ascii="Arial" w:hAnsi="Arial" w:cs="Arial"/>
          <w:sz w:val="22"/>
        </w:rPr>
        <w:t>The Working Together guidance underscores the necessity of accessible, prompt, and customised information to enable early intervention (HM Government, 2023). Obstacles to digital literacy and cultural diversity necessitate customised strategies, encompassing bilingual content and interactive resources (Lindsey &amp; McIntosh, 2020). Moreover, studies indicate that digital platforms must provide straightforward self-referral for families and provide a clear understanding of the multi-agency support framework, which is essential for effective early intervention (Ferguson et al., 2018).</w:t>
      </w:r>
    </w:p>
    <w:p w14:paraId="6A6523DC" w14:textId="77777777" w:rsidR="00B106C9" w:rsidRPr="007D5B27" w:rsidRDefault="00B106C9" w:rsidP="007D5B27">
      <w:pPr>
        <w:pStyle w:val="Heading3"/>
        <w:spacing w:line="360" w:lineRule="auto"/>
        <w:rPr>
          <w:rFonts w:cs="Arial"/>
          <w:sz w:val="22"/>
          <w:szCs w:val="22"/>
        </w:rPr>
      </w:pPr>
      <w:r w:rsidRPr="007D5B27">
        <w:rPr>
          <w:rFonts w:cs="Arial"/>
          <w:sz w:val="22"/>
          <w:szCs w:val="22"/>
        </w:rPr>
        <w:t>Conclusions and Recommendations</w:t>
      </w:r>
    </w:p>
    <w:p w14:paraId="451D94E6" w14:textId="77777777" w:rsidR="00B106C9" w:rsidRPr="007D5B27" w:rsidRDefault="00B106C9" w:rsidP="007D5B27">
      <w:pPr>
        <w:spacing w:line="360" w:lineRule="auto"/>
        <w:jc w:val="both"/>
        <w:rPr>
          <w:rFonts w:ascii="Arial" w:hAnsi="Arial" w:cs="Arial"/>
          <w:sz w:val="22"/>
        </w:rPr>
      </w:pPr>
      <w:r w:rsidRPr="007D5B27">
        <w:rPr>
          <w:rFonts w:ascii="Arial" w:hAnsi="Arial" w:cs="Arial"/>
          <w:sz w:val="22"/>
        </w:rPr>
        <w:t>The research reveals that Nottinghamshire County Council’s website exemplifies the optimal combination of clarity, accessibility, and thorough signposting, in accordance with legislative guidance and best practices. Southwark's innovative multimedia strategy improves engagement but necessitates optimisation for enhanced navigation. Tower Hamlets offers accessible multilingual content but could enhance customised support information.</w:t>
      </w:r>
    </w:p>
    <w:p w14:paraId="1AE61D90" w14:textId="1D13E31D" w:rsidR="00B106C9" w:rsidRPr="007D5B27" w:rsidRDefault="00B106C9" w:rsidP="007D5B27">
      <w:pPr>
        <w:pStyle w:val="Heading3"/>
        <w:spacing w:line="360" w:lineRule="auto"/>
        <w:rPr>
          <w:rFonts w:cs="Arial"/>
          <w:sz w:val="22"/>
          <w:szCs w:val="22"/>
        </w:rPr>
      </w:pPr>
      <w:r w:rsidRPr="007D5B27">
        <w:rPr>
          <w:rFonts w:cs="Arial"/>
          <w:sz w:val="22"/>
          <w:szCs w:val="22"/>
        </w:rPr>
        <w:t>Suggestions for Enhancement</w:t>
      </w:r>
    </w:p>
    <w:p w14:paraId="359D0042" w14:textId="77777777" w:rsidR="00B106C9" w:rsidRPr="007D5B27" w:rsidRDefault="00B106C9" w:rsidP="007D5B27">
      <w:pPr>
        <w:spacing w:line="360" w:lineRule="auto"/>
        <w:jc w:val="both"/>
        <w:rPr>
          <w:rFonts w:ascii="Arial" w:hAnsi="Arial" w:cs="Arial"/>
          <w:sz w:val="22"/>
        </w:rPr>
      </w:pPr>
      <w:r w:rsidRPr="007D5B27">
        <w:rPr>
          <w:rFonts w:ascii="Arial" w:hAnsi="Arial" w:cs="Arial"/>
          <w:sz w:val="22"/>
        </w:rPr>
        <w:t>Improve Navigation and Information Architecture: All websites must include more intuitive, centralised hubs for Early Help information to minimise navigation complexity, in accordance with digital accessibility guidelines (Gilling et al., 2020).</w:t>
      </w:r>
    </w:p>
    <w:p w14:paraId="52631C60" w14:textId="77777777" w:rsidR="00B106C9" w:rsidRPr="007D5B27" w:rsidRDefault="00B106C9" w:rsidP="007D5B27">
      <w:pPr>
        <w:spacing w:line="360" w:lineRule="auto"/>
        <w:jc w:val="both"/>
        <w:rPr>
          <w:rFonts w:ascii="Arial" w:hAnsi="Arial" w:cs="Arial"/>
          <w:sz w:val="22"/>
        </w:rPr>
      </w:pPr>
      <w:r w:rsidRPr="007D5B27">
        <w:rPr>
          <w:rFonts w:ascii="Arial" w:hAnsi="Arial" w:cs="Arial"/>
          <w:sz w:val="22"/>
        </w:rPr>
        <w:t>Enhance Customised Content: Formulate targeted recommendations for at-risk populations, including children with impairments and individuals facing domestic abuse, in alignment with the Working Together focus on personalised assistance (HM Government, 2023).</w:t>
      </w:r>
    </w:p>
    <w:p w14:paraId="3EFBFFF2" w14:textId="77777777" w:rsidR="00B106C9" w:rsidRDefault="00B106C9" w:rsidP="007D5B27">
      <w:pPr>
        <w:spacing w:line="360" w:lineRule="auto"/>
        <w:jc w:val="both"/>
        <w:rPr>
          <w:rFonts w:ascii="Arial" w:hAnsi="Arial" w:cs="Arial"/>
          <w:sz w:val="22"/>
        </w:rPr>
      </w:pPr>
      <w:r w:rsidRPr="007D5B27">
        <w:rPr>
          <w:rFonts w:ascii="Arial" w:hAnsi="Arial" w:cs="Arial"/>
          <w:sz w:val="22"/>
        </w:rPr>
        <w:t>Utilise Interactive Tools: Employ online self-assessment questionnaires, videos, and live chat functionalities to accommodate various learning styles and enhance engagement (O’Hara &amp; O’Connor, 2019).</w:t>
      </w:r>
    </w:p>
    <w:p w14:paraId="56D1CC7D" w14:textId="77777777" w:rsidR="00AB150B" w:rsidRPr="007D5B27" w:rsidRDefault="00AB150B" w:rsidP="007D5B27">
      <w:pPr>
        <w:spacing w:line="360" w:lineRule="auto"/>
        <w:jc w:val="both"/>
        <w:rPr>
          <w:rFonts w:ascii="Arial" w:hAnsi="Arial" w:cs="Arial"/>
          <w:sz w:val="22"/>
        </w:rPr>
      </w:pPr>
    </w:p>
    <w:p w14:paraId="057648E9" w14:textId="77777777" w:rsidR="00B106C9" w:rsidRPr="007D5B27" w:rsidRDefault="00B106C9" w:rsidP="007D5B27">
      <w:pPr>
        <w:spacing w:line="360" w:lineRule="auto"/>
        <w:jc w:val="both"/>
        <w:rPr>
          <w:rFonts w:ascii="Arial" w:hAnsi="Arial" w:cs="Arial"/>
          <w:sz w:val="22"/>
        </w:rPr>
      </w:pPr>
      <w:r w:rsidRPr="007D5B27">
        <w:rPr>
          <w:rFonts w:ascii="Arial" w:hAnsi="Arial" w:cs="Arial"/>
          <w:sz w:val="22"/>
        </w:rPr>
        <w:t>Periodic Content Review: Guarantee that all content is consistently updated to uphold accuracy, fostering trust with families and professionals.</w:t>
      </w:r>
    </w:p>
    <w:p w14:paraId="115ACA61" w14:textId="6325D5EE" w:rsidR="00D112D4" w:rsidRPr="007D5B27" w:rsidRDefault="00B106C9" w:rsidP="007D5B27">
      <w:pPr>
        <w:spacing w:line="360" w:lineRule="auto"/>
        <w:jc w:val="both"/>
        <w:rPr>
          <w:rFonts w:ascii="Arial" w:hAnsi="Arial" w:cs="Arial"/>
          <w:sz w:val="22"/>
        </w:rPr>
      </w:pPr>
      <w:r w:rsidRPr="007D5B27">
        <w:rPr>
          <w:rFonts w:ascii="Arial" w:hAnsi="Arial" w:cs="Arial"/>
          <w:sz w:val="22"/>
        </w:rPr>
        <w:lastRenderedPageBreak/>
        <w:t>Enhance multilingual resources and accessibility features to successfully serve various group</w:t>
      </w:r>
    </w:p>
    <w:p w14:paraId="38747EC0" w14:textId="04ACA188" w:rsidR="005D717C" w:rsidRPr="007D5B27" w:rsidRDefault="005D717C" w:rsidP="007D5B27">
      <w:pPr>
        <w:spacing w:line="360" w:lineRule="auto"/>
        <w:rPr>
          <w:rFonts w:ascii="Arial" w:hAnsi="Arial" w:cs="Arial"/>
          <w:sz w:val="22"/>
        </w:rPr>
      </w:pPr>
    </w:p>
    <w:p w14:paraId="41913251" w14:textId="488529FF" w:rsidR="000A6298" w:rsidRPr="007D5B27" w:rsidRDefault="000A6298" w:rsidP="007D5B27">
      <w:pPr>
        <w:spacing w:line="360" w:lineRule="auto"/>
        <w:rPr>
          <w:rFonts w:ascii="Arial" w:hAnsi="Arial" w:cs="Arial"/>
          <w:sz w:val="22"/>
        </w:rPr>
      </w:pPr>
    </w:p>
    <w:p w14:paraId="64C3045A" w14:textId="742E6424" w:rsidR="0061260B" w:rsidRPr="007D5B27" w:rsidRDefault="0061260B" w:rsidP="007D5B27">
      <w:pPr>
        <w:spacing w:line="360" w:lineRule="auto"/>
        <w:rPr>
          <w:rFonts w:ascii="Arial" w:hAnsi="Arial" w:cs="Arial"/>
          <w:sz w:val="22"/>
        </w:rPr>
      </w:pPr>
    </w:p>
    <w:p w14:paraId="32C49FA8" w14:textId="77777777" w:rsidR="00260277" w:rsidRPr="007D5B27" w:rsidRDefault="00260277" w:rsidP="007D5B27">
      <w:pPr>
        <w:spacing w:line="360" w:lineRule="auto"/>
        <w:rPr>
          <w:rFonts w:ascii="Arial" w:hAnsi="Arial" w:cs="Arial"/>
          <w:sz w:val="22"/>
        </w:rPr>
      </w:pPr>
    </w:p>
    <w:p w14:paraId="376E10FA" w14:textId="77777777" w:rsidR="00260277" w:rsidRPr="007D5B27" w:rsidRDefault="00260277" w:rsidP="007D5B27">
      <w:pPr>
        <w:spacing w:line="360" w:lineRule="auto"/>
        <w:rPr>
          <w:rFonts w:ascii="Arial" w:hAnsi="Arial" w:cs="Arial"/>
          <w:sz w:val="22"/>
        </w:rPr>
      </w:pPr>
    </w:p>
    <w:p w14:paraId="44ED918B" w14:textId="60401EE1" w:rsidR="00FF5B70" w:rsidRPr="007D5B27" w:rsidRDefault="00FF5B70" w:rsidP="007D5B27">
      <w:pPr>
        <w:spacing w:line="360" w:lineRule="auto"/>
        <w:rPr>
          <w:rFonts w:ascii="Arial" w:hAnsi="Arial" w:cs="Arial"/>
          <w:sz w:val="22"/>
        </w:rPr>
      </w:pPr>
    </w:p>
    <w:p w14:paraId="602D39AC" w14:textId="44AF797D" w:rsidR="00545684" w:rsidRPr="007D5B27" w:rsidRDefault="00545684" w:rsidP="007D5B27">
      <w:pPr>
        <w:spacing w:line="360" w:lineRule="auto"/>
        <w:rPr>
          <w:rFonts w:ascii="Arial" w:hAnsi="Arial" w:cs="Arial"/>
          <w:sz w:val="22"/>
        </w:rPr>
      </w:pPr>
    </w:p>
    <w:p w14:paraId="7D7C2A82" w14:textId="1F77B7A9" w:rsidR="00FF5B70" w:rsidRPr="007D5B27" w:rsidRDefault="00FF5B70" w:rsidP="007D5B27">
      <w:pPr>
        <w:spacing w:line="360" w:lineRule="auto"/>
        <w:rPr>
          <w:rFonts w:ascii="Arial" w:hAnsi="Arial" w:cs="Arial"/>
          <w:sz w:val="22"/>
        </w:rPr>
      </w:pPr>
    </w:p>
    <w:p w14:paraId="4ECDA0BD" w14:textId="77777777" w:rsidR="00FF5B70" w:rsidRPr="007D5B27" w:rsidRDefault="00FF5B70" w:rsidP="007D5B27">
      <w:pPr>
        <w:spacing w:line="360" w:lineRule="auto"/>
        <w:rPr>
          <w:rFonts w:ascii="Arial" w:hAnsi="Arial" w:cs="Arial"/>
          <w:sz w:val="22"/>
        </w:rPr>
      </w:pPr>
    </w:p>
    <w:p w14:paraId="449212CA" w14:textId="77777777" w:rsidR="00545684" w:rsidRPr="007D5B27" w:rsidRDefault="00545684" w:rsidP="007D5B27">
      <w:pPr>
        <w:spacing w:line="360" w:lineRule="auto"/>
        <w:rPr>
          <w:rFonts w:ascii="Arial" w:hAnsi="Arial" w:cs="Arial"/>
          <w:sz w:val="22"/>
        </w:rPr>
      </w:pPr>
      <w:r w:rsidRPr="007D5B27">
        <w:rPr>
          <w:rFonts w:ascii="Arial" w:hAnsi="Arial" w:cs="Arial"/>
          <w:sz w:val="22"/>
        </w:rPr>
        <w:br w:type="page"/>
      </w:r>
    </w:p>
    <w:p w14:paraId="262C8CA3" w14:textId="4D2FF9E1" w:rsidR="00545684" w:rsidRDefault="00545684" w:rsidP="007D5B27">
      <w:pPr>
        <w:pStyle w:val="Heading1"/>
        <w:jc w:val="both"/>
        <w:rPr>
          <w:rFonts w:cs="Arial"/>
          <w:sz w:val="22"/>
        </w:rPr>
      </w:pPr>
      <w:r w:rsidRPr="007D5B27">
        <w:rPr>
          <w:rFonts w:cs="Arial"/>
          <w:sz w:val="22"/>
        </w:rPr>
        <w:lastRenderedPageBreak/>
        <w:t>References</w:t>
      </w:r>
    </w:p>
    <w:p w14:paraId="47CFE2CE" w14:textId="77777777" w:rsidR="00274ACA" w:rsidRPr="00274ACA" w:rsidRDefault="00274ACA" w:rsidP="00274ACA"/>
    <w:p w14:paraId="20C8779E" w14:textId="469661D5" w:rsidR="001A7E8E" w:rsidRDefault="001A7E8E" w:rsidP="00274ACA">
      <w:pPr>
        <w:spacing w:line="360" w:lineRule="auto"/>
        <w:jc w:val="both"/>
        <w:rPr>
          <w:rFonts w:ascii="Arial" w:hAnsi="Arial" w:cs="Arial"/>
          <w:sz w:val="22"/>
        </w:rPr>
      </w:pPr>
      <w:r w:rsidRPr="001A7E8E">
        <w:rPr>
          <w:rFonts w:ascii="Arial" w:hAnsi="Arial" w:cs="Arial"/>
          <w:sz w:val="22"/>
        </w:rPr>
        <w:t>Allen, G., et al. (2021). Multi-agency working and child safeguarding: Challenges and opportunities</w:t>
      </w:r>
      <w:r w:rsidRPr="001A7E8E">
        <w:rPr>
          <w:rFonts w:ascii="Arial" w:hAnsi="Arial" w:cs="Arial"/>
          <w:i/>
          <w:iCs/>
          <w:sz w:val="22"/>
        </w:rPr>
        <w:t>. Journal of Child Protection</w:t>
      </w:r>
      <w:r w:rsidRPr="001A7E8E">
        <w:rPr>
          <w:rFonts w:ascii="Arial" w:hAnsi="Arial" w:cs="Arial"/>
          <w:sz w:val="22"/>
        </w:rPr>
        <w:t>, 15(3), 245–262.</w:t>
      </w:r>
    </w:p>
    <w:p w14:paraId="7CC20F3D" w14:textId="04FEA0C6" w:rsidR="00274ACA" w:rsidRDefault="00274ACA" w:rsidP="00274ACA">
      <w:pPr>
        <w:spacing w:line="360" w:lineRule="auto"/>
        <w:jc w:val="both"/>
        <w:rPr>
          <w:rFonts w:ascii="Arial" w:hAnsi="Arial" w:cs="Arial"/>
          <w:sz w:val="22"/>
        </w:rPr>
      </w:pPr>
      <w:r w:rsidRPr="00274ACA">
        <w:rPr>
          <w:rFonts w:ascii="Arial" w:hAnsi="Arial" w:cs="Arial"/>
          <w:sz w:val="22"/>
        </w:rPr>
        <w:t xml:space="preserve">Berkowitz, S., et al. (2018). Digital communication in child safeguarding: Opportunities and pitfalls. </w:t>
      </w:r>
      <w:r w:rsidRPr="0009085C">
        <w:rPr>
          <w:rFonts w:ascii="Arial" w:hAnsi="Arial" w:cs="Arial"/>
          <w:i/>
          <w:iCs/>
          <w:sz w:val="22"/>
        </w:rPr>
        <w:t>Child &amp; Family Social Work</w:t>
      </w:r>
      <w:r w:rsidRPr="00274ACA">
        <w:rPr>
          <w:rFonts w:ascii="Arial" w:hAnsi="Arial" w:cs="Arial"/>
          <w:sz w:val="22"/>
        </w:rPr>
        <w:t>, 23(4), 654–662.</w:t>
      </w:r>
    </w:p>
    <w:p w14:paraId="4041CC6A" w14:textId="256881F2" w:rsidR="00FE02E2" w:rsidRDefault="00FE02E2" w:rsidP="00274ACA">
      <w:pPr>
        <w:spacing w:line="360" w:lineRule="auto"/>
        <w:jc w:val="both"/>
        <w:rPr>
          <w:rFonts w:ascii="Arial" w:hAnsi="Arial" w:cs="Arial"/>
          <w:sz w:val="22"/>
        </w:rPr>
      </w:pPr>
      <w:r w:rsidRPr="00FE02E2">
        <w:rPr>
          <w:rFonts w:ascii="Arial" w:hAnsi="Arial" w:cs="Arial"/>
          <w:sz w:val="22"/>
        </w:rPr>
        <w:t xml:space="preserve">Department for Education. (2019). </w:t>
      </w:r>
      <w:r w:rsidRPr="00004EB2">
        <w:rPr>
          <w:rFonts w:ascii="Arial" w:hAnsi="Arial" w:cs="Arial"/>
          <w:i/>
          <w:iCs/>
          <w:sz w:val="22"/>
        </w:rPr>
        <w:t>Early Help: Summary of building blocks.</w:t>
      </w:r>
      <w:r w:rsidRPr="00FE02E2">
        <w:rPr>
          <w:rFonts w:ascii="Arial" w:hAnsi="Arial" w:cs="Arial"/>
          <w:sz w:val="22"/>
        </w:rPr>
        <w:t xml:space="preserve"> Available at:  </w:t>
      </w:r>
      <w:hyperlink r:id="rId7" w:history="1">
        <w:r w:rsidR="001F6F19" w:rsidRPr="00CC2543">
          <w:rPr>
            <w:rStyle w:val="Hyperlink"/>
            <w:rFonts w:ascii="Arial" w:hAnsi="Arial" w:cs="Arial"/>
            <w:sz w:val="22"/>
          </w:rPr>
          <w:t>https://assets.publishing.service.gov.uk/media/628de13be90e071f5f7e1bd2/Early_Help_System_Guide.pdf</w:t>
        </w:r>
      </w:hyperlink>
      <w:r w:rsidR="001F6F19">
        <w:rPr>
          <w:rFonts w:ascii="Arial" w:hAnsi="Arial" w:cs="Arial"/>
          <w:sz w:val="22"/>
        </w:rPr>
        <w:t xml:space="preserve"> </w:t>
      </w:r>
      <w:r w:rsidR="00004EB2">
        <w:rPr>
          <w:rFonts w:ascii="Arial" w:hAnsi="Arial" w:cs="Arial"/>
          <w:sz w:val="22"/>
        </w:rPr>
        <w:t xml:space="preserve"> </w:t>
      </w:r>
      <w:r w:rsidRPr="00FE02E2">
        <w:rPr>
          <w:rFonts w:ascii="Arial" w:hAnsi="Arial" w:cs="Arial"/>
          <w:sz w:val="22"/>
        </w:rPr>
        <w:t xml:space="preserve"> (Date Accessed: </w:t>
      </w:r>
      <w:r w:rsidR="00D57347">
        <w:rPr>
          <w:rFonts w:ascii="Arial" w:hAnsi="Arial" w:cs="Arial"/>
          <w:sz w:val="22"/>
        </w:rPr>
        <w:t>23</w:t>
      </w:r>
      <w:r w:rsidRPr="00FE02E2">
        <w:rPr>
          <w:rFonts w:ascii="Arial" w:hAnsi="Arial" w:cs="Arial"/>
          <w:sz w:val="22"/>
        </w:rPr>
        <w:t xml:space="preserve"> </w:t>
      </w:r>
      <w:r w:rsidR="00D57347">
        <w:rPr>
          <w:rFonts w:ascii="Arial" w:hAnsi="Arial" w:cs="Arial"/>
          <w:sz w:val="22"/>
        </w:rPr>
        <w:t>July</w:t>
      </w:r>
      <w:r w:rsidRPr="00FE02E2">
        <w:rPr>
          <w:rFonts w:ascii="Arial" w:hAnsi="Arial" w:cs="Arial"/>
          <w:sz w:val="22"/>
        </w:rPr>
        <w:t xml:space="preserve"> 2026)</w:t>
      </w:r>
    </w:p>
    <w:p w14:paraId="7F8BF758" w14:textId="6156ED08" w:rsidR="00004EB2" w:rsidRPr="001A7E8E" w:rsidRDefault="00004EB2" w:rsidP="00274ACA">
      <w:pPr>
        <w:spacing w:line="360" w:lineRule="auto"/>
        <w:jc w:val="both"/>
        <w:rPr>
          <w:rFonts w:ascii="Arial" w:hAnsi="Arial" w:cs="Arial"/>
          <w:sz w:val="22"/>
        </w:rPr>
      </w:pPr>
      <w:r w:rsidRPr="00004EB2">
        <w:rPr>
          <w:rFonts w:ascii="Arial" w:hAnsi="Arial" w:cs="Arial"/>
          <w:sz w:val="22"/>
        </w:rPr>
        <w:t xml:space="preserve">Ferguson, H., et al. (2018). Early intervention and digital services: Enhancing family engagement. </w:t>
      </w:r>
      <w:r w:rsidRPr="00BA26D8">
        <w:rPr>
          <w:rFonts w:ascii="Arial" w:hAnsi="Arial" w:cs="Arial"/>
          <w:i/>
          <w:iCs/>
          <w:sz w:val="22"/>
        </w:rPr>
        <w:t>Journal of Social Work Practice</w:t>
      </w:r>
      <w:r w:rsidRPr="00004EB2">
        <w:rPr>
          <w:rFonts w:ascii="Arial" w:hAnsi="Arial" w:cs="Arial"/>
          <w:sz w:val="22"/>
        </w:rPr>
        <w:t>, 32(2), 239–253.</w:t>
      </w:r>
    </w:p>
    <w:p w14:paraId="68A5DA95" w14:textId="40EDF7B3" w:rsidR="00C84EC6" w:rsidRPr="007D5B27" w:rsidRDefault="00630F43" w:rsidP="007D5B27">
      <w:pPr>
        <w:spacing w:line="360" w:lineRule="auto"/>
        <w:jc w:val="both"/>
        <w:rPr>
          <w:rFonts w:ascii="Arial" w:hAnsi="Arial" w:cs="Arial"/>
          <w:sz w:val="22"/>
        </w:rPr>
      </w:pPr>
      <w:r w:rsidRPr="007D5B27">
        <w:rPr>
          <w:rFonts w:ascii="Arial" w:hAnsi="Arial" w:cs="Arial"/>
          <w:sz w:val="22"/>
        </w:rPr>
        <w:t xml:space="preserve">HM Government. (2023). </w:t>
      </w:r>
      <w:r w:rsidRPr="00BA26D8">
        <w:rPr>
          <w:rFonts w:ascii="Arial" w:hAnsi="Arial" w:cs="Arial"/>
          <w:i/>
          <w:iCs/>
          <w:sz w:val="22"/>
        </w:rPr>
        <w:t>Working Together to Safeguard Children 2023: Statutory Guidance.</w:t>
      </w:r>
      <w:r w:rsidR="00E21C99" w:rsidRPr="00BA26D8">
        <w:rPr>
          <w:rFonts w:ascii="Arial" w:hAnsi="Arial" w:cs="Arial"/>
          <w:i/>
          <w:iCs/>
          <w:sz w:val="22"/>
        </w:rPr>
        <w:t xml:space="preserve"> </w:t>
      </w:r>
      <w:r w:rsidR="00E21C99" w:rsidRPr="007D5B27">
        <w:rPr>
          <w:rFonts w:ascii="Arial" w:hAnsi="Arial" w:cs="Arial"/>
          <w:sz w:val="22"/>
        </w:rPr>
        <w:t>Available</w:t>
      </w:r>
      <w:r w:rsidR="004B2ABD">
        <w:rPr>
          <w:rFonts w:ascii="Arial" w:hAnsi="Arial" w:cs="Arial"/>
          <w:sz w:val="22"/>
        </w:rPr>
        <w:t xml:space="preserve"> </w:t>
      </w:r>
      <w:r w:rsidR="00E21C99" w:rsidRPr="007D5B27">
        <w:rPr>
          <w:rFonts w:ascii="Arial" w:hAnsi="Arial" w:cs="Arial"/>
          <w:sz w:val="22"/>
        </w:rPr>
        <w:t xml:space="preserve">at : </w:t>
      </w:r>
      <w:hyperlink r:id="rId8" w:history="1">
        <w:r w:rsidR="001E3C6B" w:rsidRPr="00CC2543">
          <w:rPr>
            <w:rStyle w:val="Hyperlink"/>
            <w:rFonts w:ascii="Arial" w:hAnsi="Arial" w:cs="Arial"/>
            <w:sz w:val="22"/>
          </w:rPr>
          <w:t>https://www.gov.uk/government/publications/working-together-to-safeguard-children--2</w:t>
        </w:r>
      </w:hyperlink>
      <w:r w:rsidR="001E3C6B">
        <w:rPr>
          <w:rFonts w:ascii="Arial" w:hAnsi="Arial" w:cs="Arial"/>
          <w:sz w:val="22"/>
        </w:rPr>
        <w:t xml:space="preserve"> </w:t>
      </w:r>
      <w:r w:rsidR="00AB5A46" w:rsidRPr="00AB5A46">
        <w:rPr>
          <w:rFonts w:ascii="Arial" w:hAnsi="Arial" w:cs="Arial"/>
          <w:sz w:val="22"/>
        </w:rPr>
        <w:t xml:space="preserve"> </w:t>
      </w:r>
      <w:r w:rsidR="00E21C99" w:rsidRPr="007D5B27">
        <w:rPr>
          <w:rFonts w:ascii="Arial" w:hAnsi="Arial" w:cs="Arial"/>
          <w:sz w:val="22"/>
        </w:rPr>
        <w:t xml:space="preserve">(Date Accessed </w:t>
      </w:r>
      <w:r w:rsidR="00D57347">
        <w:rPr>
          <w:rFonts w:ascii="Arial" w:hAnsi="Arial" w:cs="Arial"/>
          <w:sz w:val="22"/>
        </w:rPr>
        <w:t>23</w:t>
      </w:r>
      <w:r w:rsidR="00E21C99" w:rsidRPr="007D5B27">
        <w:rPr>
          <w:rFonts w:ascii="Arial" w:hAnsi="Arial" w:cs="Arial"/>
          <w:sz w:val="22"/>
        </w:rPr>
        <w:t xml:space="preserve"> </w:t>
      </w:r>
      <w:r w:rsidR="00D57347">
        <w:rPr>
          <w:rFonts w:ascii="Arial" w:hAnsi="Arial" w:cs="Arial"/>
          <w:sz w:val="22"/>
        </w:rPr>
        <w:t>July</w:t>
      </w:r>
      <w:r w:rsidR="00E21C99" w:rsidRPr="007D5B27">
        <w:rPr>
          <w:rFonts w:ascii="Arial" w:hAnsi="Arial" w:cs="Arial"/>
          <w:sz w:val="22"/>
        </w:rPr>
        <w:t xml:space="preserve"> 2026)</w:t>
      </w:r>
    </w:p>
    <w:p w14:paraId="03DAE3B5" w14:textId="77777777" w:rsidR="00630F43" w:rsidRPr="007D5B27" w:rsidRDefault="00630F43" w:rsidP="007D5B27">
      <w:pPr>
        <w:spacing w:line="360" w:lineRule="auto"/>
        <w:jc w:val="both"/>
        <w:rPr>
          <w:rFonts w:ascii="Arial" w:hAnsi="Arial" w:cs="Arial"/>
          <w:sz w:val="22"/>
        </w:rPr>
      </w:pPr>
      <w:r w:rsidRPr="007D5B27">
        <w:rPr>
          <w:rFonts w:ascii="Arial" w:hAnsi="Arial" w:cs="Arial"/>
          <w:sz w:val="22"/>
        </w:rPr>
        <w:t xml:space="preserve">Gilling, M., et al. (2020). Digital accessibility in social care: Achievements and challenges. </w:t>
      </w:r>
      <w:r w:rsidRPr="00DB640C">
        <w:rPr>
          <w:rFonts w:ascii="Arial" w:hAnsi="Arial" w:cs="Arial"/>
          <w:i/>
          <w:iCs/>
          <w:sz w:val="22"/>
        </w:rPr>
        <w:t>Social Policy &amp; Society,</w:t>
      </w:r>
      <w:r w:rsidRPr="007D5B27">
        <w:rPr>
          <w:rFonts w:ascii="Arial" w:hAnsi="Arial" w:cs="Arial"/>
          <w:sz w:val="22"/>
        </w:rPr>
        <w:t xml:space="preserve"> 19(5), 675–687.</w:t>
      </w:r>
    </w:p>
    <w:p w14:paraId="7F5E4E46" w14:textId="77777777" w:rsidR="00630F43" w:rsidRPr="007D5B27" w:rsidRDefault="00630F43" w:rsidP="007D5B27">
      <w:pPr>
        <w:spacing w:line="360" w:lineRule="auto"/>
        <w:jc w:val="both"/>
        <w:rPr>
          <w:rFonts w:ascii="Arial" w:hAnsi="Arial" w:cs="Arial"/>
          <w:sz w:val="22"/>
        </w:rPr>
      </w:pPr>
      <w:r w:rsidRPr="007D5B27">
        <w:rPr>
          <w:rFonts w:ascii="Arial" w:hAnsi="Arial" w:cs="Arial"/>
          <w:sz w:val="22"/>
        </w:rPr>
        <w:t xml:space="preserve">Hodgson, J., &amp; Macdonald, B. (2020). The long-term impacts of early intervention programs. </w:t>
      </w:r>
      <w:r w:rsidRPr="00FC11BF">
        <w:rPr>
          <w:rFonts w:ascii="Arial" w:hAnsi="Arial" w:cs="Arial"/>
          <w:i/>
          <w:iCs/>
          <w:sz w:val="22"/>
        </w:rPr>
        <w:t>Child &amp; Youth Services Review,</w:t>
      </w:r>
      <w:r w:rsidRPr="007D5B27">
        <w:rPr>
          <w:rFonts w:ascii="Arial" w:hAnsi="Arial" w:cs="Arial"/>
          <w:sz w:val="22"/>
        </w:rPr>
        <w:t xml:space="preserve"> 117, 105278.</w:t>
      </w:r>
    </w:p>
    <w:p w14:paraId="5FEDC41F" w14:textId="77777777" w:rsidR="00630F43" w:rsidRDefault="00630F43" w:rsidP="007D5B27">
      <w:pPr>
        <w:spacing w:line="360" w:lineRule="auto"/>
        <w:jc w:val="both"/>
        <w:rPr>
          <w:rFonts w:ascii="Arial" w:hAnsi="Arial" w:cs="Arial"/>
          <w:sz w:val="22"/>
        </w:rPr>
      </w:pPr>
      <w:r w:rsidRPr="007D5B27">
        <w:rPr>
          <w:rFonts w:ascii="Arial" w:hAnsi="Arial" w:cs="Arial"/>
          <w:sz w:val="22"/>
        </w:rPr>
        <w:t xml:space="preserve">Lindsey, N., &amp; McIntosh, J. (2020). Inclusive digital communication in social services: Best practices and future directions. </w:t>
      </w:r>
      <w:r w:rsidRPr="00F163D0">
        <w:rPr>
          <w:rFonts w:ascii="Arial" w:hAnsi="Arial" w:cs="Arial"/>
          <w:i/>
          <w:iCs/>
          <w:sz w:val="22"/>
        </w:rPr>
        <w:t>Journal of Digital Social Work,</w:t>
      </w:r>
      <w:r w:rsidRPr="007D5B27">
        <w:rPr>
          <w:rFonts w:ascii="Arial" w:hAnsi="Arial" w:cs="Arial"/>
          <w:sz w:val="22"/>
        </w:rPr>
        <w:t xml:space="preserve"> 4(1), 45–62.</w:t>
      </w:r>
    </w:p>
    <w:p w14:paraId="3C019137" w14:textId="1A57F25C" w:rsidR="00F163D0" w:rsidRPr="007D5B27" w:rsidRDefault="00F163D0" w:rsidP="007D5B27">
      <w:pPr>
        <w:spacing w:line="360" w:lineRule="auto"/>
        <w:jc w:val="both"/>
        <w:rPr>
          <w:rFonts w:ascii="Arial" w:hAnsi="Arial" w:cs="Arial"/>
          <w:sz w:val="22"/>
        </w:rPr>
      </w:pPr>
      <w:r w:rsidRPr="00F163D0">
        <w:rPr>
          <w:rFonts w:ascii="Arial" w:hAnsi="Arial" w:cs="Arial"/>
          <w:sz w:val="22"/>
        </w:rPr>
        <w:t xml:space="preserve">Nottinghamshire County Council. (2023). Family Support Services. Available at:  </w:t>
      </w:r>
      <w:hyperlink r:id="rId9" w:history="1">
        <w:r w:rsidRPr="00CC2543">
          <w:rPr>
            <w:rStyle w:val="Hyperlink"/>
            <w:rFonts w:ascii="Arial" w:hAnsi="Arial" w:cs="Arial"/>
            <w:sz w:val="22"/>
          </w:rPr>
          <w:t>https://www.nottinghamshire.gov.uk/</w:t>
        </w:r>
      </w:hyperlink>
      <w:r>
        <w:rPr>
          <w:rFonts w:ascii="Arial" w:hAnsi="Arial" w:cs="Arial"/>
          <w:sz w:val="22"/>
        </w:rPr>
        <w:t xml:space="preserve"> </w:t>
      </w:r>
      <w:r w:rsidRPr="00F163D0">
        <w:rPr>
          <w:rFonts w:ascii="Arial" w:hAnsi="Arial" w:cs="Arial"/>
          <w:sz w:val="22"/>
        </w:rPr>
        <w:t xml:space="preserve"> (Date Accessed </w:t>
      </w:r>
      <w:r w:rsidR="00D57347">
        <w:rPr>
          <w:rFonts w:ascii="Arial" w:hAnsi="Arial" w:cs="Arial"/>
          <w:sz w:val="22"/>
        </w:rPr>
        <w:t>23</w:t>
      </w:r>
      <w:r w:rsidRPr="00F163D0">
        <w:rPr>
          <w:rFonts w:ascii="Arial" w:hAnsi="Arial" w:cs="Arial"/>
          <w:sz w:val="22"/>
        </w:rPr>
        <w:t xml:space="preserve"> </w:t>
      </w:r>
      <w:r w:rsidR="00D57347">
        <w:rPr>
          <w:rFonts w:ascii="Arial" w:hAnsi="Arial" w:cs="Arial"/>
          <w:sz w:val="22"/>
        </w:rPr>
        <w:t>July</w:t>
      </w:r>
      <w:r w:rsidRPr="00F163D0">
        <w:rPr>
          <w:rFonts w:ascii="Arial" w:hAnsi="Arial" w:cs="Arial"/>
          <w:sz w:val="22"/>
        </w:rPr>
        <w:t xml:space="preserve"> 2026)</w:t>
      </w:r>
    </w:p>
    <w:p w14:paraId="21BCB1B4" w14:textId="424D2BC3" w:rsidR="00630F43" w:rsidRPr="007D5B27" w:rsidRDefault="00630F43" w:rsidP="007D5B27">
      <w:pPr>
        <w:spacing w:line="360" w:lineRule="auto"/>
        <w:jc w:val="both"/>
        <w:rPr>
          <w:rFonts w:ascii="Arial" w:hAnsi="Arial" w:cs="Arial"/>
          <w:sz w:val="22"/>
        </w:rPr>
      </w:pPr>
      <w:r w:rsidRPr="007D5B27">
        <w:rPr>
          <w:rFonts w:ascii="Arial" w:hAnsi="Arial" w:cs="Arial"/>
          <w:sz w:val="22"/>
        </w:rPr>
        <w:t xml:space="preserve">O’Hara, M., &amp; O’Connor, S. (2019). Digital navigation and user engagement in social care services. </w:t>
      </w:r>
      <w:r w:rsidRPr="00F163D0">
        <w:rPr>
          <w:rFonts w:ascii="Arial" w:hAnsi="Arial" w:cs="Arial"/>
          <w:i/>
          <w:iCs/>
          <w:sz w:val="22"/>
        </w:rPr>
        <w:t>Social Care Review,</w:t>
      </w:r>
      <w:r w:rsidRPr="007D5B27">
        <w:rPr>
          <w:rFonts w:ascii="Arial" w:hAnsi="Arial" w:cs="Arial"/>
          <w:sz w:val="22"/>
        </w:rPr>
        <w:t xml:space="preserve"> 11(2), 33–39.</w:t>
      </w:r>
    </w:p>
    <w:p w14:paraId="5EFA13CA" w14:textId="1B58DCC9" w:rsidR="00630F43" w:rsidRPr="007D5B27" w:rsidRDefault="00630F43" w:rsidP="007D5B27">
      <w:pPr>
        <w:spacing w:line="360" w:lineRule="auto"/>
        <w:jc w:val="both"/>
        <w:rPr>
          <w:rFonts w:ascii="Arial" w:hAnsi="Arial" w:cs="Arial"/>
          <w:sz w:val="22"/>
        </w:rPr>
      </w:pPr>
      <w:r w:rsidRPr="007D5B27">
        <w:rPr>
          <w:rFonts w:ascii="Arial" w:hAnsi="Arial" w:cs="Arial"/>
          <w:sz w:val="22"/>
        </w:rPr>
        <w:t xml:space="preserve">Southwark Council. (2023). Family Support and Early Help. </w:t>
      </w:r>
      <w:r w:rsidR="00896E80" w:rsidRPr="007D5B27">
        <w:rPr>
          <w:rFonts w:ascii="Arial" w:hAnsi="Arial" w:cs="Arial"/>
          <w:sz w:val="22"/>
        </w:rPr>
        <w:t xml:space="preserve">Available at: </w:t>
      </w:r>
      <w:r w:rsidRPr="007D5B27">
        <w:rPr>
          <w:rFonts w:ascii="Arial" w:hAnsi="Arial" w:cs="Arial"/>
          <w:sz w:val="22"/>
        </w:rPr>
        <w:t xml:space="preserve"> </w:t>
      </w:r>
      <w:hyperlink r:id="rId10" w:history="1">
        <w:r w:rsidRPr="007D5B27">
          <w:rPr>
            <w:rStyle w:val="Hyperlink"/>
            <w:rFonts w:ascii="Arial" w:hAnsi="Arial" w:cs="Arial"/>
            <w:sz w:val="22"/>
          </w:rPr>
          <w:t>https://southwark.gov.uk/</w:t>
        </w:r>
      </w:hyperlink>
      <w:r w:rsidRPr="007D5B27">
        <w:rPr>
          <w:rFonts w:ascii="Arial" w:hAnsi="Arial" w:cs="Arial"/>
          <w:sz w:val="22"/>
        </w:rPr>
        <w:t xml:space="preserve"> </w:t>
      </w:r>
      <w:r w:rsidR="00896E80" w:rsidRPr="007D5B27">
        <w:rPr>
          <w:rFonts w:ascii="Arial" w:hAnsi="Arial" w:cs="Arial"/>
          <w:sz w:val="22"/>
        </w:rPr>
        <w:t xml:space="preserve">(Date Accessed </w:t>
      </w:r>
      <w:r w:rsidR="00D57347">
        <w:rPr>
          <w:rFonts w:ascii="Arial" w:hAnsi="Arial" w:cs="Arial"/>
          <w:sz w:val="22"/>
        </w:rPr>
        <w:t>23</w:t>
      </w:r>
      <w:r w:rsidR="00896E80" w:rsidRPr="007D5B27">
        <w:rPr>
          <w:rFonts w:ascii="Arial" w:hAnsi="Arial" w:cs="Arial"/>
          <w:sz w:val="22"/>
        </w:rPr>
        <w:t xml:space="preserve"> </w:t>
      </w:r>
      <w:r w:rsidR="00D57347">
        <w:rPr>
          <w:rFonts w:ascii="Arial" w:hAnsi="Arial" w:cs="Arial"/>
          <w:sz w:val="22"/>
        </w:rPr>
        <w:t>July</w:t>
      </w:r>
      <w:r w:rsidR="00896E80" w:rsidRPr="007D5B27">
        <w:rPr>
          <w:rFonts w:ascii="Arial" w:hAnsi="Arial" w:cs="Arial"/>
          <w:sz w:val="22"/>
        </w:rPr>
        <w:t xml:space="preserve"> 2026)</w:t>
      </w:r>
    </w:p>
    <w:p w14:paraId="3AD61E93" w14:textId="06F2D369" w:rsidR="00630F43" w:rsidRDefault="00630F43" w:rsidP="007D5B27">
      <w:pPr>
        <w:spacing w:line="360" w:lineRule="auto"/>
        <w:jc w:val="both"/>
        <w:rPr>
          <w:rFonts w:ascii="Arial" w:hAnsi="Arial" w:cs="Arial"/>
          <w:sz w:val="22"/>
        </w:rPr>
      </w:pPr>
      <w:r w:rsidRPr="007D5B27">
        <w:rPr>
          <w:rFonts w:ascii="Arial" w:hAnsi="Arial" w:cs="Arial"/>
          <w:sz w:val="22"/>
        </w:rPr>
        <w:t xml:space="preserve">Tower Hamlets Council. (2023). Family Support and Early Help. </w:t>
      </w:r>
      <w:r w:rsidR="00896E80" w:rsidRPr="007D5B27">
        <w:rPr>
          <w:rFonts w:ascii="Arial" w:hAnsi="Arial" w:cs="Arial"/>
          <w:sz w:val="22"/>
        </w:rPr>
        <w:t xml:space="preserve">Available at: </w:t>
      </w:r>
      <w:r w:rsidRPr="007D5B27">
        <w:rPr>
          <w:rFonts w:ascii="Arial" w:hAnsi="Arial" w:cs="Arial"/>
          <w:sz w:val="22"/>
        </w:rPr>
        <w:t xml:space="preserve"> </w:t>
      </w:r>
      <w:hyperlink r:id="rId11" w:history="1">
        <w:r w:rsidRPr="007D5B27">
          <w:rPr>
            <w:rStyle w:val="Hyperlink"/>
            <w:rFonts w:ascii="Arial" w:hAnsi="Arial" w:cs="Arial"/>
            <w:sz w:val="22"/>
          </w:rPr>
          <w:t>https://www.towerhamlets.gov.uk/</w:t>
        </w:r>
      </w:hyperlink>
      <w:r w:rsidRPr="007D5B27">
        <w:rPr>
          <w:rFonts w:ascii="Arial" w:hAnsi="Arial" w:cs="Arial"/>
          <w:sz w:val="22"/>
        </w:rPr>
        <w:t xml:space="preserve"> </w:t>
      </w:r>
      <w:r w:rsidR="00896E80" w:rsidRPr="007D5B27">
        <w:rPr>
          <w:rFonts w:ascii="Arial" w:hAnsi="Arial" w:cs="Arial"/>
          <w:sz w:val="22"/>
        </w:rPr>
        <w:t xml:space="preserve">(Date Accessed </w:t>
      </w:r>
      <w:r w:rsidR="00D57347">
        <w:rPr>
          <w:rFonts w:ascii="Arial" w:hAnsi="Arial" w:cs="Arial"/>
          <w:sz w:val="22"/>
        </w:rPr>
        <w:t>23 July</w:t>
      </w:r>
      <w:r w:rsidR="00896E80" w:rsidRPr="007D5B27">
        <w:rPr>
          <w:rFonts w:ascii="Arial" w:hAnsi="Arial" w:cs="Arial"/>
          <w:sz w:val="22"/>
        </w:rPr>
        <w:t xml:space="preserve"> 2026)</w:t>
      </w:r>
    </w:p>
    <w:p w14:paraId="242AB023" w14:textId="035E8E42" w:rsidR="003A7A38" w:rsidRPr="007D5B27" w:rsidRDefault="003A7A38" w:rsidP="007D5B27">
      <w:pPr>
        <w:spacing w:line="360" w:lineRule="auto"/>
        <w:jc w:val="both"/>
        <w:rPr>
          <w:rFonts w:ascii="Arial" w:hAnsi="Arial" w:cs="Arial"/>
          <w:sz w:val="22"/>
        </w:rPr>
      </w:pPr>
      <w:r>
        <w:rPr>
          <w:rFonts w:ascii="Arial" w:hAnsi="Arial" w:cs="Arial"/>
          <w:sz w:val="22"/>
        </w:rPr>
        <w:t>Working Together To Safeguard Children (2023). Available at:</w:t>
      </w:r>
      <w:r w:rsidRPr="003A7A38">
        <w:t xml:space="preserve"> </w:t>
      </w:r>
      <w:hyperlink r:id="rId12" w:history="1">
        <w:r w:rsidRPr="00CC2543">
          <w:rPr>
            <w:rStyle w:val="Hyperlink"/>
            <w:rFonts w:ascii="Arial" w:hAnsi="Arial" w:cs="Arial"/>
            <w:sz w:val="22"/>
          </w:rPr>
          <w:t>https://assets.publishing.service.gov.uk/media/6849a7b67cba25f610c7db3f/Working_together_to_safeguard_children_2023_-_statutory_guidance.pdf</w:t>
        </w:r>
      </w:hyperlink>
      <w:r>
        <w:rPr>
          <w:rFonts w:ascii="Arial" w:hAnsi="Arial" w:cs="Arial"/>
          <w:sz w:val="22"/>
        </w:rPr>
        <w:t xml:space="preserve"> </w:t>
      </w:r>
      <w:r w:rsidR="009F4606">
        <w:rPr>
          <w:rFonts w:ascii="Arial" w:hAnsi="Arial" w:cs="Arial"/>
          <w:sz w:val="22"/>
        </w:rPr>
        <w:t xml:space="preserve">(Date Accessed </w:t>
      </w:r>
      <w:r w:rsidR="00D57347">
        <w:rPr>
          <w:rFonts w:ascii="Arial" w:hAnsi="Arial" w:cs="Arial"/>
          <w:sz w:val="22"/>
        </w:rPr>
        <w:t>23 July</w:t>
      </w:r>
      <w:r w:rsidR="009F4606">
        <w:rPr>
          <w:rFonts w:ascii="Arial" w:hAnsi="Arial" w:cs="Arial"/>
          <w:sz w:val="22"/>
        </w:rPr>
        <w:t xml:space="preserve"> 2026)</w:t>
      </w:r>
      <w:r>
        <w:rPr>
          <w:rFonts w:ascii="Arial" w:hAnsi="Arial" w:cs="Arial"/>
          <w:sz w:val="22"/>
        </w:rPr>
        <w:t xml:space="preserve">  </w:t>
      </w:r>
    </w:p>
    <w:p w14:paraId="5BC91157" w14:textId="77777777" w:rsidR="00545684" w:rsidRPr="007D5B27" w:rsidRDefault="00545684" w:rsidP="007D5B27">
      <w:pPr>
        <w:spacing w:line="360" w:lineRule="auto"/>
        <w:rPr>
          <w:rFonts w:ascii="Arial" w:hAnsi="Arial" w:cs="Arial"/>
          <w:sz w:val="22"/>
        </w:rPr>
      </w:pPr>
    </w:p>
    <w:sectPr w:rsidR="00545684" w:rsidRPr="007D5B27"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2D6BA" w14:textId="77777777" w:rsidR="00912A03" w:rsidRDefault="00912A03" w:rsidP="00545684">
      <w:pPr>
        <w:spacing w:after="0" w:line="240" w:lineRule="auto"/>
      </w:pPr>
      <w:r>
        <w:separator/>
      </w:r>
    </w:p>
  </w:endnote>
  <w:endnote w:type="continuationSeparator" w:id="0">
    <w:p w14:paraId="6FB0F147" w14:textId="77777777" w:rsidR="00912A03" w:rsidRDefault="00912A0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12109" w14:textId="77777777" w:rsidR="00912A03" w:rsidRDefault="00912A03" w:rsidP="00545684">
      <w:pPr>
        <w:spacing w:after="0" w:line="240" w:lineRule="auto"/>
      </w:pPr>
      <w:r>
        <w:separator/>
      </w:r>
    </w:p>
  </w:footnote>
  <w:footnote w:type="continuationSeparator" w:id="0">
    <w:p w14:paraId="553718AF" w14:textId="77777777" w:rsidR="00912A03" w:rsidRDefault="00912A0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1E02"/>
    <w:rsid w:val="00004EB2"/>
    <w:rsid w:val="00041A5A"/>
    <w:rsid w:val="00041B30"/>
    <w:rsid w:val="000540EA"/>
    <w:rsid w:val="0009085C"/>
    <w:rsid w:val="000A5161"/>
    <w:rsid w:val="000A6298"/>
    <w:rsid w:val="000B7CD5"/>
    <w:rsid w:val="00113B81"/>
    <w:rsid w:val="00116A14"/>
    <w:rsid w:val="001A7E8E"/>
    <w:rsid w:val="001E3C6B"/>
    <w:rsid w:val="001F6F19"/>
    <w:rsid w:val="00216C85"/>
    <w:rsid w:val="00257BBB"/>
    <w:rsid w:val="00260277"/>
    <w:rsid w:val="002613A3"/>
    <w:rsid w:val="00273EDD"/>
    <w:rsid w:val="00274ACA"/>
    <w:rsid w:val="002A15DA"/>
    <w:rsid w:val="002C3965"/>
    <w:rsid w:val="002F578B"/>
    <w:rsid w:val="00321C4C"/>
    <w:rsid w:val="003734B4"/>
    <w:rsid w:val="003A220F"/>
    <w:rsid w:val="003A7A38"/>
    <w:rsid w:val="003B5B7F"/>
    <w:rsid w:val="003E4986"/>
    <w:rsid w:val="004903AA"/>
    <w:rsid w:val="004A498D"/>
    <w:rsid w:val="004B10C9"/>
    <w:rsid w:val="004B2ABD"/>
    <w:rsid w:val="004E6C3B"/>
    <w:rsid w:val="00545684"/>
    <w:rsid w:val="0056017D"/>
    <w:rsid w:val="005804DA"/>
    <w:rsid w:val="00587EB0"/>
    <w:rsid w:val="00593276"/>
    <w:rsid w:val="005C6EC6"/>
    <w:rsid w:val="005D717C"/>
    <w:rsid w:val="0061260B"/>
    <w:rsid w:val="00630F43"/>
    <w:rsid w:val="00645010"/>
    <w:rsid w:val="0065462A"/>
    <w:rsid w:val="006573D3"/>
    <w:rsid w:val="00674B50"/>
    <w:rsid w:val="006D00AE"/>
    <w:rsid w:val="00700BB2"/>
    <w:rsid w:val="00707936"/>
    <w:rsid w:val="00715990"/>
    <w:rsid w:val="0072523C"/>
    <w:rsid w:val="0073159F"/>
    <w:rsid w:val="00784670"/>
    <w:rsid w:val="00791E93"/>
    <w:rsid w:val="007D5B27"/>
    <w:rsid w:val="007D5E11"/>
    <w:rsid w:val="0084268E"/>
    <w:rsid w:val="00866B7B"/>
    <w:rsid w:val="00896E80"/>
    <w:rsid w:val="008D14D2"/>
    <w:rsid w:val="008E5015"/>
    <w:rsid w:val="00912A03"/>
    <w:rsid w:val="00940E72"/>
    <w:rsid w:val="00954488"/>
    <w:rsid w:val="009D1D1E"/>
    <w:rsid w:val="009F4606"/>
    <w:rsid w:val="00A035FD"/>
    <w:rsid w:val="00A3665C"/>
    <w:rsid w:val="00A72809"/>
    <w:rsid w:val="00A955E2"/>
    <w:rsid w:val="00AB150B"/>
    <w:rsid w:val="00AB5A46"/>
    <w:rsid w:val="00AC257A"/>
    <w:rsid w:val="00AD0E8D"/>
    <w:rsid w:val="00AD3B27"/>
    <w:rsid w:val="00B106C9"/>
    <w:rsid w:val="00BA26D8"/>
    <w:rsid w:val="00BA38BB"/>
    <w:rsid w:val="00BB5934"/>
    <w:rsid w:val="00BF3876"/>
    <w:rsid w:val="00C82C0E"/>
    <w:rsid w:val="00C84EC6"/>
    <w:rsid w:val="00CA6206"/>
    <w:rsid w:val="00CA730D"/>
    <w:rsid w:val="00D02E76"/>
    <w:rsid w:val="00D112D4"/>
    <w:rsid w:val="00D138F8"/>
    <w:rsid w:val="00D57347"/>
    <w:rsid w:val="00D6376B"/>
    <w:rsid w:val="00D769F0"/>
    <w:rsid w:val="00DB640C"/>
    <w:rsid w:val="00E02DE2"/>
    <w:rsid w:val="00E138AF"/>
    <w:rsid w:val="00E21C99"/>
    <w:rsid w:val="00E614D4"/>
    <w:rsid w:val="00E970CA"/>
    <w:rsid w:val="00EA4BBF"/>
    <w:rsid w:val="00EB3727"/>
    <w:rsid w:val="00EE5A26"/>
    <w:rsid w:val="00F163D0"/>
    <w:rsid w:val="00F278D4"/>
    <w:rsid w:val="00F4712C"/>
    <w:rsid w:val="00F975B1"/>
    <w:rsid w:val="00FB321E"/>
    <w:rsid w:val="00FC11BF"/>
    <w:rsid w:val="00FE02E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D5E11"/>
    <w:pPr>
      <w:keepNext/>
      <w:keepLines/>
      <w:spacing w:before="240" w:after="0" w:line="360" w:lineRule="auto"/>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D6376B"/>
    <w:pPr>
      <w:keepNext/>
      <w:keepLines/>
      <w:spacing w:before="40" w:after="0" w:line="360" w:lineRule="auto"/>
      <w:jc w:val="both"/>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3734B4"/>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E11"/>
    <w:rPr>
      <w:rFonts w:ascii="Arial" w:eastAsiaTheme="majorEastAsia" w:hAnsi="Arial" w:cstheme="majorBidi"/>
      <w:b/>
      <w:sz w:val="28"/>
    </w:rPr>
  </w:style>
  <w:style w:type="character" w:customStyle="1" w:styleId="Heading2Char">
    <w:name w:val="Heading 2 Char"/>
    <w:basedOn w:val="DefaultParagraphFont"/>
    <w:link w:val="Heading2"/>
    <w:uiPriority w:val="9"/>
    <w:rsid w:val="00D6376B"/>
    <w:rPr>
      <w:rFonts w:ascii="Arial" w:eastAsiaTheme="majorEastAsia" w:hAnsi="Arial" w:cs="Arial"/>
      <w:b/>
      <w:bCs/>
      <w:iCs/>
      <w:sz w:val="22"/>
    </w:rPr>
  </w:style>
  <w:style w:type="character" w:customStyle="1" w:styleId="Heading3Char">
    <w:name w:val="Heading 3 Char"/>
    <w:basedOn w:val="DefaultParagraphFont"/>
    <w:link w:val="Heading3"/>
    <w:uiPriority w:val="9"/>
    <w:rsid w:val="003734B4"/>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630F43"/>
    <w:rPr>
      <w:color w:val="0563C1" w:themeColor="hyperlink"/>
      <w:u w:val="single"/>
    </w:rPr>
  </w:style>
  <w:style w:type="character" w:styleId="UnresolvedMention">
    <w:name w:val="Unresolved Mention"/>
    <w:basedOn w:val="DefaultParagraphFont"/>
    <w:uiPriority w:val="99"/>
    <w:semiHidden/>
    <w:unhideWhenUsed/>
    <w:rsid w:val="00630F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ssets.publishing.service.gov.uk/media/628de13be90e071f5f7e1bd2/Early_Help_System_Guide.pdf" TargetMode="External"/><Relationship Id="rId12" Type="http://schemas.openxmlformats.org/officeDocument/2006/relationships/hyperlink" Target="https://assets.publishing.service.gov.uk/media/6849a7b67cba25f610c7db3f/Working_together_to_safeguard_children_2023_-_statutory_guidanc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werhamlets.gov.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outhwark.gov.uk/" TargetMode="External"/><Relationship Id="rId4" Type="http://schemas.openxmlformats.org/officeDocument/2006/relationships/webSettings" Target="webSettings.xml"/><Relationship Id="rId9" Type="http://schemas.openxmlformats.org/officeDocument/2006/relationships/hyperlink" Target="https://www.nottinghamshire.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1455</TotalTime>
  <Pages>10</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Lauren Christopher</cp:lastModifiedBy>
  <cp:revision>77</cp:revision>
  <dcterms:created xsi:type="dcterms:W3CDTF">2026-02-26T16:45:00Z</dcterms:created>
  <dcterms:modified xsi:type="dcterms:W3CDTF">2026-07-23T15:07:00Z</dcterms:modified>
</cp:coreProperties>
</file>