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2A57" w:rsidRDefault="002373E7" w:rsidP="008C3138">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Dissertation Report</w:t>
      </w:r>
    </w:p>
    <w:p w:rsidR="002F0B10" w:rsidRDefault="002F0B10" w:rsidP="008C3138">
      <w:pPr>
        <w:spacing w:line="360" w:lineRule="auto"/>
        <w:rPr>
          <w:rFonts w:ascii="Times New Roman" w:hAnsi="Times New Roman" w:cs="Times New Roman"/>
          <w:b/>
          <w:sz w:val="24"/>
          <w:szCs w:val="24"/>
          <w:u w:val="single"/>
        </w:rPr>
      </w:pPr>
    </w:p>
    <w:p w:rsidR="00E84BC2" w:rsidRDefault="00C50C35" w:rsidP="008C3138">
      <w:pPr>
        <w:spacing w:line="360" w:lineRule="auto"/>
        <w:rPr>
          <w:rFonts w:ascii="Times New Roman" w:hAnsi="Times New Roman" w:cs="Times New Roman"/>
          <w:sz w:val="24"/>
          <w:szCs w:val="24"/>
        </w:rPr>
      </w:pPr>
      <w:r w:rsidRPr="001C7D8E">
        <w:rPr>
          <w:rFonts w:ascii="Times New Roman" w:hAnsi="Times New Roman" w:cs="Times New Roman"/>
          <w:b/>
          <w:sz w:val="24"/>
          <w:szCs w:val="24"/>
          <w:u w:val="single"/>
        </w:rPr>
        <w:t>Title:</w:t>
      </w:r>
      <w:r w:rsidRPr="001C7D8E">
        <w:rPr>
          <w:rFonts w:ascii="Times New Roman" w:hAnsi="Times New Roman" w:cs="Times New Roman"/>
          <w:sz w:val="24"/>
          <w:szCs w:val="24"/>
        </w:rPr>
        <w:t xml:space="preserve"> </w:t>
      </w:r>
      <w:r w:rsidR="00F63EAF" w:rsidRPr="001C7D8E">
        <w:rPr>
          <w:rFonts w:ascii="Times New Roman" w:hAnsi="Times New Roman" w:cs="Times New Roman"/>
          <w:sz w:val="24"/>
          <w:szCs w:val="24"/>
        </w:rPr>
        <w:t>‘</w:t>
      </w:r>
      <w:r w:rsidR="00745A08">
        <w:rPr>
          <w:rFonts w:ascii="Times New Roman" w:hAnsi="Times New Roman" w:cs="Times New Roman"/>
          <w:sz w:val="24"/>
          <w:szCs w:val="24"/>
        </w:rPr>
        <w:t>Praise</w:t>
      </w:r>
      <w:r w:rsidR="00E84BC2" w:rsidRPr="001C7D8E">
        <w:rPr>
          <w:rFonts w:ascii="Times New Roman" w:hAnsi="Times New Roman" w:cs="Times New Roman"/>
          <w:sz w:val="24"/>
          <w:szCs w:val="24"/>
        </w:rPr>
        <w:t xml:space="preserve"> the Aten</w:t>
      </w:r>
      <w:r w:rsidR="00F63EAF" w:rsidRPr="001C7D8E">
        <w:rPr>
          <w:rFonts w:ascii="Times New Roman" w:hAnsi="Times New Roman" w:cs="Times New Roman"/>
          <w:sz w:val="24"/>
          <w:szCs w:val="24"/>
        </w:rPr>
        <w:t>- How Revolutionary was the Amarna Period?’</w:t>
      </w:r>
    </w:p>
    <w:p w:rsidR="002F0B10" w:rsidRDefault="002F0B10" w:rsidP="008C3138">
      <w:pPr>
        <w:spacing w:line="360" w:lineRule="auto"/>
        <w:rPr>
          <w:rFonts w:ascii="Times New Roman" w:hAnsi="Times New Roman" w:cs="Times New Roman"/>
          <w:sz w:val="24"/>
          <w:szCs w:val="24"/>
        </w:rPr>
      </w:pPr>
    </w:p>
    <w:p w:rsidR="002F0B10" w:rsidRDefault="002F0B10" w:rsidP="008C3138">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Overview:</w:t>
      </w:r>
    </w:p>
    <w:p w:rsidR="002F0B10" w:rsidRPr="002F0B10" w:rsidRDefault="00B0158A" w:rsidP="008C3138">
      <w:pPr>
        <w:spacing w:line="360" w:lineRule="auto"/>
        <w:rPr>
          <w:rFonts w:ascii="Times New Roman" w:hAnsi="Times New Roman" w:cs="Times New Roman"/>
          <w:sz w:val="24"/>
          <w:szCs w:val="24"/>
        </w:rPr>
      </w:pPr>
      <w:r>
        <w:rPr>
          <w:rFonts w:ascii="Times New Roman" w:hAnsi="Times New Roman" w:cs="Times New Roman"/>
          <w:sz w:val="24"/>
          <w:szCs w:val="24"/>
        </w:rPr>
        <w:t>This dissertation plans</w:t>
      </w:r>
      <w:r w:rsidR="002F0B10">
        <w:rPr>
          <w:rFonts w:ascii="Times New Roman" w:hAnsi="Times New Roman" w:cs="Times New Roman"/>
          <w:sz w:val="24"/>
          <w:szCs w:val="24"/>
        </w:rPr>
        <w:t xml:space="preserve"> to argue how revolutionary the Amarna period was</w:t>
      </w:r>
      <w:r w:rsidR="00A5673F">
        <w:rPr>
          <w:rFonts w:ascii="Times New Roman" w:hAnsi="Times New Roman" w:cs="Times New Roman"/>
          <w:sz w:val="24"/>
          <w:szCs w:val="24"/>
        </w:rPr>
        <w:t xml:space="preserve">. Using evidence from both modern literature and primary sources, </w:t>
      </w:r>
      <w:r w:rsidR="00C1074A">
        <w:rPr>
          <w:rFonts w:ascii="Times New Roman" w:hAnsi="Times New Roman" w:cs="Times New Roman"/>
          <w:sz w:val="24"/>
          <w:szCs w:val="24"/>
        </w:rPr>
        <w:t xml:space="preserve">the main </w:t>
      </w:r>
      <w:r w:rsidR="00A5673F">
        <w:rPr>
          <w:rFonts w:ascii="Times New Roman" w:hAnsi="Times New Roman" w:cs="Times New Roman"/>
          <w:sz w:val="24"/>
          <w:szCs w:val="24"/>
        </w:rPr>
        <w:t>argument will be that the Amarna period was substantially revolutionary enough that the ancient Egyptians felt the need to complete</w:t>
      </w:r>
      <w:r w:rsidR="007925DC">
        <w:rPr>
          <w:rFonts w:ascii="Times New Roman" w:hAnsi="Times New Roman" w:cs="Times New Roman"/>
          <w:sz w:val="24"/>
          <w:szCs w:val="24"/>
        </w:rPr>
        <w:t>ly</w:t>
      </w:r>
      <w:r w:rsidR="00A5673F">
        <w:rPr>
          <w:rFonts w:ascii="Times New Roman" w:hAnsi="Times New Roman" w:cs="Times New Roman"/>
          <w:sz w:val="24"/>
          <w:szCs w:val="24"/>
        </w:rPr>
        <w:t xml:space="preserve"> wipe it from their history. Due to the deliberate destruction of the archaeological record, this has made gathering primary evidence difficult. For example, Ramesses II dismantled and used blocks from Akhenaten’s Aten temple in his temple dedicated to Amun</w:t>
      </w:r>
      <w:r w:rsidR="007925DC">
        <w:rPr>
          <w:rFonts w:ascii="Times New Roman" w:hAnsi="Times New Roman" w:cs="Times New Roman"/>
          <w:sz w:val="24"/>
          <w:szCs w:val="24"/>
        </w:rPr>
        <w:t xml:space="preserve"> </w:t>
      </w:r>
      <w:r w:rsidR="004E03A3">
        <w:rPr>
          <w:rFonts w:ascii="Times New Roman" w:hAnsi="Times New Roman" w:cs="Times New Roman"/>
          <w:sz w:val="24"/>
          <w:szCs w:val="24"/>
        </w:rPr>
        <w:t>(</w:t>
      </w:r>
      <w:r w:rsidR="00664950">
        <w:rPr>
          <w:rFonts w:ascii="Times New Roman" w:hAnsi="Times New Roman" w:cs="Times New Roman"/>
          <w:sz w:val="24"/>
          <w:szCs w:val="24"/>
        </w:rPr>
        <w:t>Fletcher 2015</w:t>
      </w:r>
      <w:r w:rsidR="007925DC">
        <w:rPr>
          <w:rFonts w:ascii="Times New Roman" w:hAnsi="Times New Roman" w:cs="Times New Roman"/>
          <w:sz w:val="24"/>
          <w:szCs w:val="24"/>
        </w:rPr>
        <w:t>)</w:t>
      </w:r>
      <w:r w:rsidR="00A5673F">
        <w:rPr>
          <w:rFonts w:ascii="Times New Roman" w:hAnsi="Times New Roman" w:cs="Times New Roman"/>
          <w:sz w:val="24"/>
          <w:szCs w:val="24"/>
        </w:rPr>
        <w:t>.</w:t>
      </w:r>
      <w:r w:rsidR="00C1074A">
        <w:rPr>
          <w:rFonts w:ascii="Times New Roman" w:hAnsi="Times New Roman" w:cs="Times New Roman"/>
          <w:sz w:val="24"/>
          <w:szCs w:val="24"/>
        </w:rPr>
        <w:t xml:space="preserve"> The </w:t>
      </w:r>
      <w:r w:rsidR="007925DC">
        <w:rPr>
          <w:rFonts w:ascii="Times New Roman" w:hAnsi="Times New Roman" w:cs="Times New Roman"/>
          <w:sz w:val="24"/>
          <w:szCs w:val="24"/>
        </w:rPr>
        <w:t xml:space="preserve">initial idea for </w:t>
      </w:r>
      <w:r w:rsidR="00C1074A">
        <w:rPr>
          <w:rFonts w:ascii="Times New Roman" w:hAnsi="Times New Roman" w:cs="Times New Roman"/>
          <w:sz w:val="24"/>
          <w:szCs w:val="24"/>
        </w:rPr>
        <w:t xml:space="preserve">this </w:t>
      </w:r>
      <w:r w:rsidR="007925DC">
        <w:rPr>
          <w:rFonts w:ascii="Times New Roman" w:hAnsi="Times New Roman" w:cs="Times New Roman"/>
          <w:sz w:val="24"/>
          <w:szCs w:val="24"/>
        </w:rPr>
        <w:t xml:space="preserve">dissertation was to do something on ancient Egyptian jewellery. However, after further researching this topic, it </w:t>
      </w:r>
      <w:r w:rsidR="00C1074A">
        <w:rPr>
          <w:rFonts w:ascii="Times New Roman" w:hAnsi="Times New Roman" w:cs="Times New Roman"/>
          <w:sz w:val="24"/>
          <w:szCs w:val="24"/>
        </w:rPr>
        <w:t xml:space="preserve">was </w:t>
      </w:r>
      <w:r w:rsidR="007925DC">
        <w:rPr>
          <w:rFonts w:ascii="Times New Roman" w:hAnsi="Times New Roman" w:cs="Times New Roman"/>
          <w:sz w:val="24"/>
          <w:szCs w:val="24"/>
        </w:rPr>
        <w:t xml:space="preserve">hard to both narrow down </w:t>
      </w:r>
      <w:r w:rsidR="00C1074A">
        <w:rPr>
          <w:rFonts w:ascii="Times New Roman" w:hAnsi="Times New Roman" w:cs="Times New Roman"/>
          <w:sz w:val="24"/>
          <w:szCs w:val="24"/>
        </w:rPr>
        <w:t>the</w:t>
      </w:r>
      <w:r w:rsidR="007925DC">
        <w:rPr>
          <w:rFonts w:ascii="Times New Roman" w:hAnsi="Times New Roman" w:cs="Times New Roman"/>
          <w:sz w:val="24"/>
          <w:szCs w:val="24"/>
        </w:rPr>
        <w:t xml:space="preserve"> subject area and find literary materials that were relevant to this topic.</w:t>
      </w:r>
      <w:r w:rsidR="00096441">
        <w:rPr>
          <w:rFonts w:ascii="Times New Roman" w:hAnsi="Times New Roman" w:cs="Times New Roman"/>
          <w:sz w:val="24"/>
          <w:szCs w:val="24"/>
        </w:rPr>
        <w:t xml:space="preserve"> Therefore, </w:t>
      </w:r>
      <w:r w:rsidR="00C1074A">
        <w:rPr>
          <w:rFonts w:ascii="Times New Roman" w:hAnsi="Times New Roman" w:cs="Times New Roman"/>
          <w:sz w:val="24"/>
          <w:szCs w:val="24"/>
        </w:rPr>
        <w:t xml:space="preserve">the topic was changed </w:t>
      </w:r>
      <w:r w:rsidR="00096441">
        <w:rPr>
          <w:rFonts w:ascii="Times New Roman" w:hAnsi="Times New Roman" w:cs="Times New Roman"/>
          <w:sz w:val="24"/>
          <w:szCs w:val="24"/>
        </w:rPr>
        <w:t xml:space="preserve">to the Amarna period, as this is what had originally </w:t>
      </w:r>
      <w:r w:rsidR="00015A58">
        <w:rPr>
          <w:rFonts w:ascii="Times New Roman" w:hAnsi="Times New Roman" w:cs="Times New Roman"/>
          <w:sz w:val="24"/>
          <w:szCs w:val="24"/>
        </w:rPr>
        <w:t xml:space="preserve">made me interested in Egypt. </w:t>
      </w:r>
      <w:r w:rsidR="0079508D">
        <w:rPr>
          <w:rFonts w:ascii="Times New Roman" w:hAnsi="Times New Roman" w:cs="Times New Roman"/>
          <w:sz w:val="24"/>
          <w:szCs w:val="24"/>
        </w:rPr>
        <w:t xml:space="preserve">It is also </w:t>
      </w:r>
      <w:r w:rsidR="00D62CA2">
        <w:rPr>
          <w:rFonts w:ascii="Times New Roman" w:hAnsi="Times New Roman" w:cs="Times New Roman"/>
          <w:sz w:val="24"/>
          <w:szCs w:val="24"/>
        </w:rPr>
        <w:t>easier</w:t>
      </w:r>
      <w:r w:rsidR="0079508D">
        <w:rPr>
          <w:rFonts w:ascii="Times New Roman" w:hAnsi="Times New Roman" w:cs="Times New Roman"/>
          <w:sz w:val="24"/>
          <w:szCs w:val="24"/>
        </w:rPr>
        <w:t xml:space="preserve"> to find modern literature, and </w:t>
      </w:r>
      <w:r w:rsidR="002F3B46">
        <w:rPr>
          <w:rFonts w:ascii="Times New Roman" w:hAnsi="Times New Roman" w:cs="Times New Roman"/>
          <w:sz w:val="24"/>
          <w:szCs w:val="24"/>
        </w:rPr>
        <w:t xml:space="preserve">ancient </w:t>
      </w:r>
      <w:r w:rsidR="0079508D">
        <w:rPr>
          <w:rFonts w:ascii="Times New Roman" w:hAnsi="Times New Roman" w:cs="Times New Roman"/>
          <w:sz w:val="24"/>
          <w:szCs w:val="24"/>
        </w:rPr>
        <w:t xml:space="preserve">artefacts relating to the period. </w:t>
      </w:r>
      <w:r w:rsidR="00C1074A">
        <w:rPr>
          <w:rFonts w:ascii="Times New Roman" w:hAnsi="Times New Roman" w:cs="Times New Roman"/>
          <w:sz w:val="24"/>
          <w:szCs w:val="24"/>
        </w:rPr>
        <w:t xml:space="preserve">This </w:t>
      </w:r>
      <w:r w:rsidR="00CF5D24" w:rsidRPr="00CF5D24">
        <w:rPr>
          <w:rFonts w:ascii="Times New Roman" w:hAnsi="Times New Roman" w:cs="Times New Roman"/>
          <w:sz w:val="24"/>
          <w:szCs w:val="24"/>
        </w:rPr>
        <w:t>dissertation will argue how revolutionary the Amarna Period was using both sources from that time, and modern literature. In</w:t>
      </w:r>
      <w:r w:rsidR="00C1074A">
        <w:rPr>
          <w:rFonts w:ascii="Times New Roman" w:hAnsi="Times New Roman" w:cs="Times New Roman"/>
          <w:sz w:val="24"/>
          <w:szCs w:val="24"/>
        </w:rPr>
        <w:t xml:space="preserve"> conclusion</w:t>
      </w:r>
      <w:r w:rsidR="00CF5D24" w:rsidRPr="00CF5D24">
        <w:rPr>
          <w:rFonts w:ascii="Times New Roman" w:hAnsi="Times New Roman" w:cs="Times New Roman"/>
          <w:sz w:val="24"/>
          <w:szCs w:val="24"/>
        </w:rPr>
        <w:t>, it was revolutionary at the time, enough for it to be deemed necessary to alter their own history. However, was it really that revolutionary as things were changed back to the way they were before?</w:t>
      </w:r>
    </w:p>
    <w:p w:rsidR="002373E7" w:rsidRDefault="002373E7" w:rsidP="008C3138">
      <w:pPr>
        <w:spacing w:line="360" w:lineRule="auto"/>
        <w:rPr>
          <w:rFonts w:ascii="Times New Roman" w:hAnsi="Times New Roman" w:cs="Times New Roman"/>
          <w:b/>
          <w:sz w:val="24"/>
          <w:szCs w:val="24"/>
          <w:u w:val="single"/>
        </w:rPr>
      </w:pPr>
    </w:p>
    <w:p w:rsidR="00203BFE" w:rsidRPr="00203BFE" w:rsidRDefault="00203BFE" w:rsidP="008C3138">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Ab</w:t>
      </w:r>
      <w:r w:rsidR="002F0B10">
        <w:rPr>
          <w:rFonts w:ascii="Times New Roman" w:hAnsi="Times New Roman" w:cs="Times New Roman"/>
          <w:b/>
          <w:sz w:val="24"/>
          <w:szCs w:val="24"/>
          <w:u w:val="single"/>
        </w:rPr>
        <w:t>stract:</w:t>
      </w:r>
    </w:p>
    <w:p w:rsidR="002373E7" w:rsidRDefault="0002679A" w:rsidP="008C3138">
      <w:pPr>
        <w:spacing w:line="360" w:lineRule="auto"/>
        <w:rPr>
          <w:rFonts w:ascii="Times New Roman" w:hAnsi="Times New Roman" w:cs="Times New Roman"/>
          <w:sz w:val="24"/>
          <w:szCs w:val="24"/>
        </w:rPr>
      </w:pPr>
      <w:r>
        <w:rPr>
          <w:rFonts w:ascii="Times New Roman" w:hAnsi="Times New Roman" w:cs="Times New Roman"/>
          <w:sz w:val="24"/>
          <w:szCs w:val="24"/>
        </w:rPr>
        <w:t>Ancient Egypt is one of the most intriguing and sometimes mysterious p</w:t>
      </w:r>
      <w:r w:rsidR="008C7798">
        <w:rPr>
          <w:rFonts w:ascii="Times New Roman" w:hAnsi="Times New Roman" w:cs="Times New Roman"/>
          <w:sz w:val="24"/>
          <w:szCs w:val="24"/>
        </w:rPr>
        <w:t>eriods of history</w:t>
      </w:r>
      <w:r>
        <w:rPr>
          <w:rFonts w:ascii="Times New Roman" w:hAnsi="Times New Roman" w:cs="Times New Roman"/>
          <w:sz w:val="24"/>
          <w:szCs w:val="24"/>
        </w:rPr>
        <w:t>.</w:t>
      </w:r>
      <w:r w:rsidR="008C7798">
        <w:rPr>
          <w:rFonts w:ascii="Times New Roman" w:hAnsi="Times New Roman" w:cs="Times New Roman"/>
          <w:sz w:val="24"/>
          <w:szCs w:val="24"/>
        </w:rPr>
        <w:t xml:space="preserve"> What we know about their society and culture has mainly come</w:t>
      </w:r>
      <w:r w:rsidR="00A7127D">
        <w:rPr>
          <w:rFonts w:ascii="Times New Roman" w:hAnsi="Times New Roman" w:cs="Times New Roman"/>
          <w:sz w:val="24"/>
          <w:szCs w:val="24"/>
        </w:rPr>
        <w:t xml:space="preserve"> from their vivid funerary scenes within tombs that </w:t>
      </w:r>
      <w:r w:rsidR="00985EE8">
        <w:rPr>
          <w:rFonts w:ascii="Times New Roman" w:hAnsi="Times New Roman" w:cs="Times New Roman"/>
          <w:sz w:val="24"/>
          <w:szCs w:val="24"/>
        </w:rPr>
        <w:t>were last entered thousands of years ago. However, due to the deliberate destruction of the archaeological record, the Amarna period remained virtually undiscovered until the nineteenth century CE</w:t>
      </w:r>
      <w:r w:rsidR="0094439D">
        <w:rPr>
          <w:rFonts w:ascii="Times New Roman" w:hAnsi="Times New Roman" w:cs="Times New Roman"/>
          <w:sz w:val="24"/>
          <w:szCs w:val="24"/>
        </w:rPr>
        <w:t xml:space="preserve"> (</w:t>
      </w:r>
      <w:r w:rsidR="00664950">
        <w:rPr>
          <w:rFonts w:ascii="Times New Roman" w:hAnsi="Times New Roman" w:cs="Times New Roman"/>
          <w:sz w:val="24"/>
          <w:szCs w:val="24"/>
        </w:rPr>
        <w:t>Shaw 2000</w:t>
      </w:r>
      <w:r w:rsidR="0094439D">
        <w:rPr>
          <w:rFonts w:ascii="Times New Roman" w:hAnsi="Times New Roman" w:cs="Times New Roman"/>
          <w:sz w:val="24"/>
          <w:szCs w:val="24"/>
        </w:rPr>
        <w:t>).</w:t>
      </w:r>
      <w:r w:rsidR="0083128D">
        <w:rPr>
          <w:rFonts w:ascii="Times New Roman" w:hAnsi="Times New Roman" w:cs="Times New Roman"/>
          <w:sz w:val="24"/>
          <w:szCs w:val="24"/>
        </w:rPr>
        <w:t xml:space="preserve"> Although building blocks mentioning the name Akhenaten had been found, it was not until the Rosetta stone was deciphered in 1824CE that the period was brought to light. </w:t>
      </w:r>
      <w:r w:rsidR="008A177C">
        <w:rPr>
          <w:rFonts w:ascii="Times New Roman" w:hAnsi="Times New Roman" w:cs="Times New Roman"/>
          <w:sz w:val="24"/>
          <w:szCs w:val="24"/>
        </w:rPr>
        <w:t xml:space="preserve">The </w:t>
      </w:r>
      <w:r w:rsidR="00E84BC2">
        <w:rPr>
          <w:rFonts w:ascii="Times New Roman" w:hAnsi="Times New Roman" w:cs="Times New Roman"/>
          <w:sz w:val="24"/>
          <w:szCs w:val="24"/>
        </w:rPr>
        <w:t xml:space="preserve">person responsible </w:t>
      </w:r>
      <w:r w:rsidR="00A25A9A">
        <w:rPr>
          <w:rFonts w:ascii="Times New Roman" w:hAnsi="Times New Roman" w:cs="Times New Roman"/>
          <w:sz w:val="24"/>
          <w:szCs w:val="24"/>
        </w:rPr>
        <w:t>for the destruction of Akhenaten’s reign has long been thought to be due to the Pharaoh Horemheb, who added the years of Akhenaten’s reign to his own</w:t>
      </w:r>
      <w:r w:rsidR="0094439D">
        <w:rPr>
          <w:rFonts w:ascii="Times New Roman" w:hAnsi="Times New Roman" w:cs="Times New Roman"/>
          <w:sz w:val="24"/>
          <w:szCs w:val="24"/>
        </w:rPr>
        <w:t xml:space="preserve"> (</w:t>
      </w:r>
      <w:r w:rsidR="00664950">
        <w:rPr>
          <w:rFonts w:ascii="Times New Roman" w:hAnsi="Times New Roman" w:cs="Times New Roman"/>
          <w:sz w:val="24"/>
          <w:szCs w:val="24"/>
        </w:rPr>
        <w:t>Fletcher 2015</w:t>
      </w:r>
      <w:r w:rsidR="0094439D">
        <w:rPr>
          <w:rFonts w:ascii="Times New Roman" w:hAnsi="Times New Roman" w:cs="Times New Roman"/>
          <w:sz w:val="24"/>
          <w:szCs w:val="24"/>
        </w:rPr>
        <w:t>)</w:t>
      </w:r>
      <w:r w:rsidR="00A25A9A">
        <w:rPr>
          <w:rFonts w:ascii="Times New Roman" w:hAnsi="Times New Roman" w:cs="Times New Roman"/>
          <w:sz w:val="24"/>
          <w:szCs w:val="24"/>
        </w:rPr>
        <w:t>. But, the destruction started with his successor, and son, Tutankhamun.</w:t>
      </w:r>
      <w:r w:rsidR="00E84BC2">
        <w:rPr>
          <w:rFonts w:ascii="Times New Roman" w:hAnsi="Times New Roman" w:cs="Times New Roman"/>
          <w:sz w:val="24"/>
          <w:szCs w:val="24"/>
        </w:rPr>
        <w:t xml:space="preserve"> </w:t>
      </w:r>
      <w:r w:rsidR="00C50C35">
        <w:rPr>
          <w:rFonts w:ascii="Times New Roman" w:hAnsi="Times New Roman" w:cs="Times New Roman"/>
          <w:sz w:val="24"/>
          <w:szCs w:val="24"/>
        </w:rPr>
        <w:t xml:space="preserve">The Amarna Period only lasted around twenty-eight </w:t>
      </w:r>
      <w:r w:rsidR="00BB153F">
        <w:rPr>
          <w:rFonts w:ascii="Times New Roman" w:hAnsi="Times New Roman" w:cs="Times New Roman"/>
          <w:sz w:val="24"/>
          <w:szCs w:val="24"/>
        </w:rPr>
        <w:t>years,</w:t>
      </w:r>
      <w:r w:rsidR="00C50C35">
        <w:rPr>
          <w:rFonts w:ascii="Times New Roman" w:hAnsi="Times New Roman" w:cs="Times New Roman"/>
          <w:sz w:val="24"/>
          <w:szCs w:val="24"/>
        </w:rPr>
        <w:t xml:space="preserve"> but it had a profound effect on the </w:t>
      </w:r>
      <w:r w:rsidR="00BB153F">
        <w:rPr>
          <w:rFonts w:ascii="Times New Roman" w:hAnsi="Times New Roman" w:cs="Times New Roman"/>
          <w:sz w:val="24"/>
          <w:szCs w:val="24"/>
        </w:rPr>
        <w:t>ancient Egyptians.</w:t>
      </w:r>
      <w:r w:rsidR="00E43323">
        <w:rPr>
          <w:rFonts w:ascii="Times New Roman" w:hAnsi="Times New Roman" w:cs="Times New Roman"/>
          <w:sz w:val="24"/>
          <w:szCs w:val="24"/>
        </w:rPr>
        <w:t xml:space="preserve"> </w:t>
      </w:r>
      <w:r w:rsidR="00BB153F">
        <w:rPr>
          <w:rFonts w:ascii="Times New Roman" w:hAnsi="Times New Roman" w:cs="Times New Roman"/>
          <w:sz w:val="24"/>
          <w:szCs w:val="24"/>
        </w:rPr>
        <w:t xml:space="preserve">Akhenaten has been hailed as a modern revolutionary; as for his own people, </w:t>
      </w:r>
      <w:r w:rsidR="00BF44A1">
        <w:rPr>
          <w:rFonts w:ascii="Times New Roman" w:hAnsi="Times New Roman" w:cs="Times New Roman"/>
          <w:sz w:val="24"/>
          <w:szCs w:val="24"/>
        </w:rPr>
        <w:t xml:space="preserve">they </w:t>
      </w:r>
      <w:r w:rsidR="00BB153F">
        <w:rPr>
          <w:rFonts w:ascii="Times New Roman" w:hAnsi="Times New Roman" w:cs="Times New Roman"/>
          <w:sz w:val="24"/>
          <w:szCs w:val="24"/>
        </w:rPr>
        <w:t xml:space="preserve">branded </w:t>
      </w:r>
      <w:r w:rsidR="00BF44A1">
        <w:rPr>
          <w:rFonts w:ascii="Times New Roman" w:hAnsi="Times New Roman" w:cs="Times New Roman"/>
          <w:sz w:val="24"/>
          <w:szCs w:val="24"/>
        </w:rPr>
        <w:t xml:space="preserve">him </w:t>
      </w:r>
      <w:r w:rsidR="00BB153F">
        <w:rPr>
          <w:rFonts w:ascii="Times New Roman" w:hAnsi="Times New Roman" w:cs="Times New Roman"/>
          <w:sz w:val="24"/>
          <w:szCs w:val="24"/>
        </w:rPr>
        <w:t>a heretic.</w:t>
      </w:r>
      <w:r w:rsidR="00B6513C">
        <w:rPr>
          <w:rFonts w:ascii="Times New Roman" w:hAnsi="Times New Roman" w:cs="Times New Roman"/>
          <w:sz w:val="24"/>
          <w:szCs w:val="24"/>
        </w:rPr>
        <w:t xml:space="preserve"> His revolutionary ideas involving </w:t>
      </w:r>
      <w:r w:rsidR="001438B0">
        <w:rPr>
          <w:rFonts w:ascii="Times New Roman" w:hAnsi="Times New Roman" w:cs="Times New Roman"/>
          <w:sz w:val="24"/>
          <w:szCs w:val="24"/>
        </w:rPr>
        <w:t xml:space="preserve">religion, art, politics, and even moving </w:t>
      </w:r>
      <w:r w:rsidR="001438B0">
        <w:rPr>
          <w:rFonts w:ascii="Times New Roman" w:hAnsi="Times New Roman" w:cs="Times New Roman"/>
          <w:sz w:val="24"/>
          <w:szCs w:val="24"/>
        </w:rPr>
        <w:lastRenderedPageBreak/>
        <w:t xml:space="preserve">the capital city left the ancient Egyptians believing that he had disturbed Ma’at, the balance of chaos and order.  </w:t>
      </w:r>
      <w:r w:rsidR="004761F7">
        <w:rPr>
          <w:rFonts w:ascii="Times New Roman" w:hAnsi="Times New Roman" w:cs="Times New Roman"/>
          <w:sz w:val="24"/>
          <w:szCs w:val="24"/>
        </w:rPr>
        <w:t xml:space="preserve">Therefore, upon his death </w:t>
      </w:r>
      <w:r w:rsidR="00BC2CF4">
        <w:rPr>
          <w:rFonts w:ascii="Times New Roman" w:hAnsi="Times New Roman" w:cs="Times New Roman"/>
          <w:sz w:val="24"/>
          <w:szCs w:val="24"/>
        </w:rPr>
        <w:t>in 1335BC</w:t>
      </w:r>
      <w:r w:rsidR="00E27090">
        <w:rPr>
          <w:rFonts w:ascii="Times New Roman" w:hAnsi="Times New Roman" w:cs="Times New Roman"/>
          <w:sz w:val="24"/>
          <w:szCs w:val="24"/>
        </w:rPr>
        <w:t xml:space="preserve">, everything returned </w:t>
      </w:r>
      <w:r w:rsidR="00BF44A1">
        <w:rPr>
          <w:rFonts w:ascii="Times New Roman" w:hAnsi="Times New Roman" w:cs="Times New Roman"/>
          <w:sz w:val="24"/>
          <w:szCs w:val="24"/>
        </w:rPr>
        <w:t xml:space="preserve">to the way it had been before. </w:t>
      </w:r>
      <w:r w:rsidR="00162CC4">
        <w:rPr>
          <w:rFonts w:ascii="Times New Roman" w:hAnsi="Times New Roman" w:cs="Times New Roman"/>
          <w:sz w:val="24"/>
          <w:szCs w:val="24"/>
        </w:rPr>
        <w:t xml:space="preserve">Akhenaten, his family, his monuments, and his city were wiped from the archaeological record. </w:t>
      </w:r>
    </w:p>
    <w:p w:rsidR="00157DB5" w:rsidRDefault="00157DB5" w:rsidP="008C3138">
      <w:pPr>
        <w:spacing w:line="360" w:lineRule="auto"/>
        <w:rPr>
          <w:rFonts w:ascii="Times New Roman" w:hAnsi="Times New Roman" w:cs="Times New Roman"/>
          <w:sz w:val="24"/>
          <w:szCs w:val="24"/>
        </w:rPr>
      </w:pPr>
    </w:p>
    <w:p w:rsidR="001D0044" w:rsidRPr="001D0044" w:rsidRDefault="002B1A22" w:rsidP="001D004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Methodology:</w:t>
      </w:r>
    </w:p>
    <w:p w:rsidR="00082390" w:rsidRDefault="00B93CF3" w:rsidP="003C4CDB">
      <w:pPr>
        <w:spacing w:line="360" w:lineRule="auto"/>
        <w:rPr>
          <w:rFonts w:ascii="Times New Roman" w:hAnsi="Times New Roman" w:cs="Times New Roman"/>
          <w:sz w:val="24"/>
          <w:szCs w:val="24"/>
        </w:rPr>
      </w:pPr>
      <w:r w:rsidRPr="00B93CF3">
        <w:rPr>
          <w:rFonts w:ascii="Times New Roman" w:hAnsi="Times New Roman" w:cs="Times New Roman"/>
          <w:sz w:val="24"/>
          <w:szCs w:val="24"/>
        </w:rPr>
        <w:t xml:space="preserve">Initially, I started my research with books that provided background on Egypt itself, with a particular focus on Egyptian society and culture. Therefore, when researching the Amarna period, it would be easier to understand why the Egyptians found Akhenaten’s reforms revolutionary. For example, “The Oxford History of Ancient Egypt” by Ian Shaw (2000) was extremely useful for gaining insight into before, during, and after the Amarna period.  Its division of these periods into sub-sections meant that it was easy to understand different aspects of this time. Next, I narrowed my research into finding literature specifically about Amarna. “The Royal Women of Amarna: Images of Beauty from Ancient Egypt” by Dorothea Arnold (1997) gave a lot of information which will be useful when writing chapter Four on women in Amarna. </w:t>
      </w:r>
    </w:p>
    <w:p w:rsidR="00082390" w:rsidRDefault="00082390" w:rsidP="003C4CDB">
      <w:pPr>
        <w:spacing w:line="360" w:lineRule="auto"/>
        <w:rPr>
          <w:rFonts w:ascii="Times New Roman" w:hAnsi="Times New Roman" w:cs="Times New Roman"/>
          <w:sz w:val="24"/>
          <w:szCs w:val="24"/>
        </w:rPr>
      </w:pPr>
    </w:p>
    <w:p w:rsidR="00300E69" w:rsidRDefault="00B93CF3" w:rsidP="003C4CDB">
      <w:pPr>
        <w:spacing w:line="360" w:lineRule="auto"/>
        <w:rPr>
          <w:rFonts w:ascii="Times New Roman" w:hAnsi="Times New Roman" w:cs="Times New Roman"/>
          <w:sz w:val="24"/>
          <w:szCs w:val="24"/>
        </w:rPr>
      </w:pPr>
      <w:r w:rsidRPr="00B93CF3">
        <w:rPr>
          <w:rFonts w:ascii="Times New Roman" w:hAnsi="Times New Roman" w:cs="Times New Roman"/>
          <w:sz w:val="24"/>
          <w:szCs w:val="24"/>
        </w:rPr>
        <w:t xml:space="preserve">My next stage of </w:t>
      </w:r>
      <w:r w:rsidR="004E3E38">
        <w:rPr>
          <w:rFonts w:ascii="Times New Roman" w:hAnsi="Times New Roman" w:cs="Times New Roman"/>
          <w:sz w:val="24"/>
          <w:szCs w:val="24"/>
        </w:rPr>
        <w:t xml:space="preserve">research will be to investigate the </w:t>
      </w:r>
      <w:r w:rsidR="00E45BCF">
        <w:rPr>
          <w:rFonts w:ascii="Times New Roman" w:hAnsi="Times New Roman" w:cs="Times New Roman"/>
          <w:sz w:val="24"/>
          <w:szCs w:val="24"/>
        </w:rPr>
        <w:t>primary sources from the Amarna period; the Amarna letters being the most prolific written source available. Discovered in 1887, these clay tablets provide evidence of a diplomatic network stretching from Egypt to kingdoms in Mesopotamia (</w:t>
      </w:r>
      <w:r w:rsidR="00664950">
        <w:rPr>
          <w:rFonts w:ascii="Times New Roman" w:hAnsi="Times New Roman" w:cs="Times New Roman"/>
          <w:sz w:val="24"/>
          <w:szCs w:val="24"/>
        </w:rPr>
        <w:t>Shaw 2000</w:t>
      </w:r>
      <w:r w:rsidR="00E45BCF">
        <w:rPr>
          <w:rFonts w:ascii="Times New Roman" w:hAnsi="Times New Roman" w:cs="Times New Roman"/>
          <w:sz w:val="24"/>
          <w:szCs w:val="24"/>
        </w:rPr>
        <w:t>). It will be intriguing to look into these diplomatic relationships during this period. I will also begin looking at archaeological reports, from both initial excavations in 1891 by Flinders Petrie, and more recent excavations by Barry Kemp.</w:t>
      </w:r>
      <w:r w:rsidR="00280FFE">
        <w:rPr>
          <w:rFonts w:ascii="Times New Roman" w:hAnsi="Times New Roman" w:cs="Times New Roman"/>
          <w:sz w:val="24"/>
          <w:szCs w:val="24"/>
        </w:rPr>
        <w:t xml:space="preserve"> Case studies will also be </w:t>
      </w:r>
      <w:r w:rsidR="00082390">
        <w:rPr>
          <w:rFonts w:ascii="Times New Roman" w:hAnsi="Times New Roman" w:cs="Times New Roman"/>
          <w:sz w:val="24"/>
          <w:szCs w:val="24"/>
        </w:rPr>
        <w:t xml:space="preserve">a </w:t>
      </w:r>
      <w:r w:rsidR="00280FFE">
        <w:rPr>
          <w:rFonts w:ascii="Times New Roman" w:hAnsi="Times New Roman" w:cs="Times New Roman"/>
          <w:sz w:val="24"/>
          <w:szCs w:val="24"/>
        </w:rPr>
        <w:t>method by which I shall determine the revolution in Amarna. For example, I shall examine the movement of the court from Thebes to Akhetaten (Amarna), and us</w:t>
      </w:r>
      <w:r w:rsidR="001D6B5F">
        <w:rPr>
          <w:rFonts w:ascii="Times New Roman" w:hAnsi="Times New Roman" w:cs="Times New Roman"/>
          <w:sz w:val="24"/>
          <w:szCs w:val="24"/>
        </w:rPr>
        <w:t xml:space="preserve">e this to investigate how Akhenaten began to reform Egyptian society, such as the building of Aten temples within the city. Artefacts, such as the Nefertiti bust and stelas depicting the royal family, will be explored to gather context and knowledge about thoughts </w:t>
      </w:r>
      <w:r w:rsidR="00480A1A">
        <w:rPr>
          <w:rFonts w:ascii="Times New Roman" w:hAnsi="Times New Roman" w:cs="Times New Roman"/>
          <w:sz w:val="24"/>
          <w:szCs w:val="24"/>
        </w:rPr>
        <w:t xml:space="preserve">during </w:t>
      </w:r>
      <w:r w:rsidR="001D6B5F">
        <w:rPr>
          <w:rFonts w:ascii="Times New Roman" w:hAnsi="Times New Roman" w:cs="Times New Roman"/>
          <w:sz w:val="24"/>
          <w:szCs w:val="24"/>
        </w:rPr>
        <w:t xml:space="preserve">this period and how </w:t>
      </w:r>
      <w:r w:rsidR="004C216B">
        <w:rPr>
          <w:rFonts w:ascii="Times New Roman" w:hAnsi="Times New Roman" w:cs="Times New Roman"/>
          <w:sz w:val="24"/>
          <w:szCs w:val="24"/>
        </w:rPr>
        <w:t>ordinary Egyptians viewed the royal family</w:t>
      </w:r>
      <w:r w:rsidR="001D6B5F">
        <w:rPr>
          <w:rFonts w:ascii="Times New Roman" w:hAnsi="Times New Roman" w:cs="Times New Roman"/>
          <w:sz w:val="24"/>
          <w:szCs w:val="24"/>
        </w:rPr>
        <w:t>.</w:t>
      </w:r>
      <w:r w:rsidR="00480A1A">
        <w:rPr>
          <w:rFonts w:ascii="Times New Roman" w:hAnsi="Times New Roman" w:cs="Times New Roman"/>
          <w:sz w:val="24"/>
          <w:szCs w:val="24"/>
        </w:rPr>
        <w:t xml:space="preserve"> </w:t>
      </w:r>
      <w:r w:rsidR="00AA300B">
        <w:rPr>
          <w:rFonts w:ascii="Times New Roman" w:hAnsi="Times New Roman" w:cs="Times New Roman"/>
          <w:sz w:val="24"/>
          <w:szCs w:val="24"/>
        </w:rPr>
        <w:t>I also aim to find contrasting opinions of scholars on the subject and use these as a method to come to my own conclusion on this topic.</w:t>
      </w:r>
    </w:p>
    <w:p w:rsidR="00300E69" w:rsidRDefault="00300E69" w:rsidP="003C4CDB">
      <w:pPr>
        <w:spacing w:line="360" w:lineRule="auto"/>
        <w:rPr>
          <w:rFonts w:ascii="Times New Roman" w:hAnsi="Times New Roman" w:cs="Times New Roman"/>
          <w:sz w:val="24"/>
          <w:szCs w:val="24"/>
        </w:rPr>
      </w:pPr>
    </w:p>
    <w:p w:rsidR="00300E69" w:rsidRDefault="00300E69" w:rsidP="003C4CDB">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Literature Review:</w:t>
      </w:r>
    </w:p>
    <w:p w:rsidR="00300E69" w:rsidRPr="001D0044" w:rsidRDefault="001D0044" w:rsidP="003C4CDB">
      <w:pPr>
        <w:spacing w:line="360" w:lineRule="auto"/>
        <w:rPr>
          <w:rFonts w:ascii="Times New Roman" w:hAnsi="Times New Roman" w:cs="Times New Roman"/>
          <w:sz w:val="24"/>
          <w:szCs w:val="24"/>
        </w:rPr>
      </w:pPr>
      <w:r>
        <w:rPr>
          <w:rFonts w:ascii="Times New Roman" w:hAnsi="Times New Roman" w:cs="Times New Roman"/>
          <w:sz w:val="24"/>
          <w:szCs w:val="24"/>
        </w:rPr>
        <w:t>Scholarship on the Amarna period is plentiful and well researched</w:t>
      </w:r>
      <w:r w:rsidR="00047F1D">
        <w:rPr>
          <w:rFonts w:ascii="Times New Roman" w:hAnsi="Times New Roman" w:cs="Times New Roman"/>
          <w:sz w:val="24"/>
          <w:szCs w:val="24"/>
        </w:rPr>
        <w:t xml:space="preserve">. However, whilst the majority of them describe and provide a good overview of this time, hardly any of them discuss in </w:t>
      </w:r>
      <w:r w:rsidR="0018650B">
        <w:rPr>
          <w:rFonts w:ascii="Times New Roman" w:hAnsi="Times New Roman" w:cs="Times New Roman"/>
          <w:sz w:val="24"/>
          <w:szCs w:val="24"/>
        </w:rPr>
        <w:t xml:space="preserve">detail </w:t>
      </w:r>
      <w:r w:rsidR="0018650B">
        <w:rPr>
          <w:rFonts w:ascii="Times New Roman" w:hAnsi="Times New Roman" w:cs="Times New Roman"/>
          <w:sz w:val="24"/>
          <w:szCs w:val="24"/>
        </w:rPr>
        <w:lastRenderedPageBreak/>
        <w:t>why Akhenaten was revolutionary.</w:t>
      </w:r>
      <w:r w:rsidR="005C5FBC">
        <w:rPr>
          <w:rFonts w:ascii="Times New Roman" w:hAnsi="Times New Roman" w:cs="Times New Roman"/>
          <w:sz w:val="24"/>
          <w:szCs w:val="24"/>
        </w:rPr>
        <w:t xml:space="preserve"> Barbara Watterson’s “Amarna: Ancient Egypt’s Age of Revolution” (1999) is the only scholarship I have found with the word </w:t>
      </w:r>
      <w:r w:rsidR="00AA300B">
        <w:rPr>
          <w:rFonts w:ascii="Times New Roman" w:hAnsi="Times New Roman" w:cs="Times New Roman"/>
          <w:sz w:val="24"/>
          <w:szCs w:val="24"/>
        </w:rPr>
        <w:t>‘revolution’ in the title. What I found interesting about this book was that she brings together a lot of relevant theories about Akhenaten, although with it being written in 1999, this could be a limitation as new theories and ideas would have developed since.</w:t>
      </w:r>
      <w:r w:rsidR="0031110D">
        <w:rPr>
          <w:rFonts w:ascii="Times New Roman" w:hAnsi="Times New Roman" w:cs="Times New Roman"/>
          <w:sz w:val="24"/>
          <w:szCs w:val="24"/>
        </w:rPr>
        <w:t xml:space="preserve"> Using the literature that Flinders Petrie wrote about his excavations at Amarna gives an insight into the development of Egyptology and how the city was thought about when it was first discovered. It is important to look at archaeological reports when studying the Amarna period because this is how Amarna was found. Without the city, it is possible that Akhenaten and Nefertiti could have remained undiscovered, due to their ‘heresy’. </w:t>
      </w:r>
      <w:r w:rsidR="00E02A36">
        <w:rPr>
          <w:rFonts w:ascii="Times New Roman" w:hAnsi="Times New Roman" w:cs="Times New Roman"/>
          <w:sz w:val="24"/>
          <w:szCs w:val="24"/>
        </w:rPr>
        <w:t>The ongoing excavations at Amarna by Barry Kemp and Anna Stevens</w:t>
      </w:r>
      <w:r w:rsidR="00F0315D">
        <w:rPr>
          <w:rFonts w:ascii="Times New Roman" w:hAnsi="Times New Roman" w:cs="Times New Roman"/>
          <w:sz w:val="24"/>
          <w:szCs w:val="24"/>
        </w:rPr>
        <w:t xml:space="preserve"> provide a wealth of information </w:t>
      </w:r>
      <w:r w:rsidR="007221C6">
        <w:rPr>
          <w:rFonts w:ascii="Times New Roman" w:hAnsi="Times New Roman" w:cs="Times New Roman"/>
          <w:sz w:val="24"/>
          <w:szCs w:val="24"/>
        </w:rPr>
        <w:t xml:space="preserve">regarding the city itself but also its material culture, therefore providing us with a unique insight into the lives of the ancient Egyptians who lived there. The Amarna Project website is a great source that I plan to use extensively in my research as it has so much information clearly set out into different sections; for example, it has a good section on the excavations taking place in the South Tombs </w:t>
      </w:r>
      <w:r w:rsidR="00BD598C">
        <w:rPr>
          <w:rFonts w:ascii="Times New Roman" w:hAnsi="Times New Roman" w:cs="Times New Roman"/>
          <w:sz w:val="24"/>
          <w:szCs w:val="24"/>
        </w:rPr>
        <w:t>cemetery</w:t>
      </w:r>
      <w:r w:rsidR="007221C6">
        <w:rPr>
          <w:rFonts w:ascii="Times New Roman" w:hAnsi="Times New Roman" w:cs="Times New Roman"/>
          <w:sz w:val="24"/>
          <w:szCs w:val="24"/>
        </w:rPr>
        <w:t xml:space="preserve"> </w:t>
      </w:r>
      <w:r w:rsidR="00BD598C">
        <w:rPr>
          <w:rFonts w:ascii="Times New Roman" w:hAnsi="Times New Roman" w:cs="Times New Roman"/>
          <w:sz w:val="24"/>
          <w:szCs w:val="24"/>
        </w:rPr>
        <w:t>and the skeletal remains found.</w:t>
      </w:r>
      <w:r w:rsidR="00246F6E">
        <w:rPr>
          <w:rFonts w:ascii="Times New Roman" w:hAnsi="Times New Roman" w:cs="Times New Roman"/>
          <w:sz w:val="24"/>
          <w:szCs w:val="24"/>
        </w:rPr>
        <w:t xml:space="preserve"> Barry Kemp’s publication “The City of Akhenaten and Nefertiti” (2012) is also a great resource to use when discussing the actual city of Akhetaten. However, with all of these examples that use material culture, there are limitations because how we view items would have been different to how the ancient Egyptians would have seen them as we have vastly different cultures.</w:t>
      </w:r>
      <w:r w:rsidR="007221C6">
        <w:rPr>
          <w:rFonts w:ascii="Times New Roman" w:hAnsi="Times New Roman" w:cs="Times New Roman"/>
          <w:sz w:val="24"/>
          <w:szCs w:val="24"/>
        </w:rPr>
        <w:t xml:space="preserve"> </w:t>
      </w:r>
    </w:p>
    <w:p w:rsidR="00400306" w:rsidRDefault="00400306" w:rsidP="003C4CDB">
      <w:pPr>
        <w:spacing w:line="360" w:lineRule="auto"/>
        <w:rPr>
          <w:rFonts w:ascii="Times New Roman" w:hAnsi="Times New Roman" w:cs="Times New Roman"/>
          <w:b/>
          <w:sz w:val="24"/>
          <w:szCs w:val="24"/>
          <w:u w:val="single"/>
        </w:rPr>
      </w:pPr>
    </w:p>
    <w:p w:rsidR="00300E69" w:rsidRDefault="00300E69" w:rsidP="003C4CDB">
      <w:pPr>
        <w:spacing w:line="360" w:lineRule="auto"/>
        <w:rPr>
          <w:rFonts w:ascii="Times New Roman" w:hAnsi="Times New Roman" w:cs="Times New Roman"/>
          <w:sz w:val="24"/>
          <w:szCs w:val="24"/>
        </w:rPr>
      </w:pPr>
      <w:r>
        <w:rPr>
          <w:rFonts w:ascii="Times New Roman" w:hAnsi="Times New Roman" w:cs="Times New Roman"/>
          <w:b/>
          <w:sz w:val="24"/>
          <w:szCs w:val="24"/>
          <w:u w:val="single"/>
        </w:rPr>
        <w:t>Dissertation Plan:</w:t>
      </w:r>
    </w:p>
    <w:p w:rsidR="00D1151D" w:rsidRDefault="007C6836" w:rsidP="003C4CD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dissertation is being planned </w:t>
      </w:r>
      <w:r w:rsidR="00E43323">
        <w:rPr>
          <w:rFonts w:ascii="Times New Roman" w:hAnsi="Times New Roman" w:cs="Times New Roman"/>
          <w:sz w:val="24"/>
          <w:szCs w:val="24"/>
        </w:rPr>
        <w:t xml:space="preserve">in six sections. </w:t>
      </w:r>
      <w:r>
        <w:rPr>
          <w:rFonts w:ascii="Times New Roman" w:hAnsi="Times New Roman" w:cs="Times New Roman"/>
          <w:sz w:val="24"/>
          <w:szCs w:val="24"/>
        </w:rPr>
        <w:t xml:space="preserve">A </w:t>
      </w:r>
      <w:r w:rsidR="00E43323">
        <w:rPr>
          <w:rFonts w:ascii="Times New Roman" w:hAnsi="Times New Roman" w:cs="Times New Roman"/>
          <w:sz w:val="24"/>
          <w:szCs w:val="24"/>
        </w:rPr>
        <w:t xml:space="preserve">timeline of the New Kingdom from </w:t>
      </w:r>
      <w:r>
        <w:rPr>
          <w:rFonts w:ascii="Times New Roman" w:hAnsi="Times New Roman" w:cs="Times New Roman"/>
          <w:sz w:val="24"/>
          <w:szCs w:val="24"/>
        </w:rPr>
        <w:t>will be included in the beginning</w:t>
      </w:r>
      <w:r w:rsidR="00664950">
        <w:rPr>
          <w:rFonts w:ascii="Times New Roman" w:hAnsi="Times New Roman" w:cs="Times New Roman"/>
          <w:sz w:val="24"/>
          <w:szCs w:val="24"/>
        </w:rPr>
        <w:t xml:space="preserve"> (Fletcher 2015)</w:t>
      </w:r>
      <w:r w:rsidR="005C593F">
        <w:rPr>
          <w:rFonts w:ascii="Times New Roman" w:hAnsi="Times New Roman" w:cs="Times New Roman"/>
          <w:sz w:val="24"/>
          <w:szCs w:val="24"/>
        </w:rPr>
        <w:t>. As there are various dates for this time period, this timeline will be what the research is based on</w:t>
      </w:r>
      <w:r w:rsidR="008954BC">
        <w:rPr>
          <w:rFonts w:ascii="Times New Roman" w:hAnsi="Times New Roman" w:cs="Times New Roman"/>
          <w:sz w:val="24"/>
          <w:szCs w:val="24"/>
        </w:rPr>
        <w:t xml:space="preserve">. </w:t>
      </w:r>
      <w:r w:rsidR="00C00EAB">
        <w:rPr>
          <w:rFonts w:ascii="Times New Roman" w:hAnsi="Times New Roman" w:cs="Times New Roman"/>
          <w:sz w:val="24"/>
          <w:szCs w:val="24"/>
        </w:rPr>
        <w:t xml:space="preserve">The introduction will briefly examine the </w:t>
      </w:r>
      <w:r w:rsidR="00A705EF">
        <w:rPr>
          <w:rFonts w:ascii="Times New Roman" w:hAnsi="Times New Roman" w:cs="Times New Roman"/>
          <w:sz w:val="24"/>
          <w:szCs w:val="24"/>
        </w:rPr>
        <w:t>reign on Amenhotep III and how this could have affected the reign of</w:t>
      </w:r>
      <w:r w:rsidR="0009192F">
        <w:rPr>
          <w:rFonts w:ascii="Times New Roman" w:hAnsi="Times New Roman" w:cs="Times New Roman"/>
          <w:sz w:val="24"/>
          <w:szCs w:val="24"/>
        </w:rPr>
        <w:t xml:space="preserve"> his son </w:t>
      </w:r>
      <w:r w:rsidR="00585E3D">
        <w:rPr>
          <w:rFonts w:ascii="Times New Roman" w:hAnsi="Times New Roman" w:cs="Times New Roman"/>
          <w:sz w:val="24"/>
          <w:szCs w:val="24"/>
        </w:rPr>
        <w:t xml:space="preserve">Amenhotep IV </w:t>
      </w:r>
      <w:r w:rsidR="00E5787C">
        <w:rPr>
          <w:rFonts w:ascii="Times New Roman" w:hAnsi="Times New Roman" w:cs="Times New Roman"/>
          <w:sz w:val="24"/>
          <w:szCs w:val="24"/>
        </w:rPr>
        <w:t xml:space="preserve">(later </w:t>
      </w:r>
      <w:r w:rsidR="0009192F">
        <w:rPr>
          <w:rFonts w:ascii="Times New Roman" w:hAnsi="Times New Roman" w:cs="Times New Roman"/>
          <w:sz w:val="24"/>
          <w:szCs w:val="24"/>
        </w:rPr>
        <w:t>Akhenaten</w:t>
      </w:r>
      <w:r w:rsidR="00E5787C">
        <w:rPr>
          <w:rFonts w:ascii="Times New Roman" w:hAnsi="Times New Roman" w:cs="Times New Roman"/>
          <w:sz w:val="24"/>
          <w:szCs w:val="24"/>
        </w:rPr>
        <w:t>)</w:t>
      </w:r>
      <w:r w:rsidR="0009192F">
        <w:rPr>
          <w:rFonts w:ascii="Times New Roman" w:hAnsi="Times New Roman" w:cs="Times New Roman"/>
          <w:sz w:val="24"/>
          <w:szCs w:val="24"/>
        </w:rPr>
        <w:t>. For example, his adoption of the Aten as his personal deity (</w:t>
      </w:r>
      <w:r w:rsidR="00664950">
        <w:rPr>
          <w:rFonts w:ascii="Times New Roman" w:hAnsi="Times New Roman" w:cs="Times New Roman"/>
          <w:sz w:val="24"/>
          <w:szCs w:val="24"/>
        </w:rPr>
        <w:t>Clayton 2006</w:t>
      </w:r>
      <w:r w:rsidR="0009192F">
        <w:rPr>
          <w:rFonts w:ascii="Times New Roman" w:hAnsi="Times New Roman" w:cs="Times New Roman"/>
          <w:sz w:val="24"/>
          <w:szCs w:val="24"/>
        </w:rPr>
        <w:t xml:space="preserve">). </w:t>
      </w:r>
      <w:r w:rsidR="00585E3D">
        <w:rPr>
          <w:rFonts w:ascii="Times New Roman" w:hAnsi="Times New Roman" w:cs="Times New Roman"/>
          <w:sz w:val="24"/>
          <w:szCs w:val="24"/>
        </w:rPr>
        <w:t>It will then elaborate on the possible co-regency with A</w:t>
      </w:r>
      <w:r w:rsidR="00E5787C">
        <w:rPr>
          <w:rFonts w:ascii="Times New Roman" w:hAnsi="Times New Roman" w:cs="Times New Roman"/>
          <w:sz w:val="24"/>
          <w:szCs w:val="24"/>
        </w:rPr>
        <w:t>menhotep III</w:t>
      </w:r>
      <w:r w:rsidR="00585E3D">
        <w:rPr>
          <w:rFonts w:ascii="Times New Roman" w:hAnsi="Times New Roman" w:cs="Times New Roman"/>
          <w:sz w:val="24"/>
          <w:szCs w:val="24"/>
        </w:rPr>
        <w:t xml:space="preserve"> in Amenhotep III’s later reign, with contrasting </w:t>
      </w:r>
      <w:r w:rsidR="003300AB">
        <w:rPr>
          <w:rFonts w:ascii="Times New Roman" w:hAnsi="Times New Roman" w:cs="Times New Roman"/>
          <w:sz w:val="24"/>
          <w:szCs w:val="24"/>
        </w:rPr>
        <w:t xml:space="preserve">opinions from modern scholars. </w:t>
      </w:r>
      <w:r w:rsidR="00E5787C">
        <w:rPr>
          <w:rFonts w:ascii="Times New Roman" w:hAnsi="Times New Roman" w:cs="Times New Roman"/>
          <w:sz w:val="24"/>
          <w:szCs w:val="24"/>
        </w:rPr>
        <w:t xml:space="preserve">The introduction shall then move on to discussing the early part of Amenhotep IV’s reign, up until his fifth regnal year where he changed his name to Akhenaten and moved the royal court to Akhetaten (Amarna). This will then provide </w:t>
      </w:r>
      <w:r w:rsidR="00CC209E">
        <w:rPr>
          <w:rFonts w:ascii="Times New Roman" w:hAnsi="Times New Roman" w:cs="Times New Roman"/>
          <w:sz w:val="24"/>
          <w:szCs w:val="24"/>
        </w:rPr>
        <w:t>the background for the rest of the dissertation.</w:t>
      </w:r>
      <w:r w:rsidR="009B78FC">
        <w:rPr>
          <w:rFonts w:ascii="Times New Roman" w:hAnsi="Times New Roman" w:cs="Times New Roman"/>
          <w:sz w:val="24"/>
          <w:szCs w:val="24"/>
        </w:rPr>
        <w:t xml:space="preserve"> Chapter One will discuss Egyptian religion and how it was altered under Akhenaten. Egyptian mythology was polytheistic, but Akhenaten’s religious reforms meant that the Aten (“sun- disk”)</w:t>
      </w:r>
      <w:r w:rsidR="00B0043A">
        <w:rPr>
          <w:rFonts w:ascii="Times New Roman" w:hAnsi="Times New Roman" w:cs="Times New Roman"/>
          <w:sz w:val="24"/>
          <w:szCs w:val="24"/>
        </w:rPr>
        <w:t xml:space="preserve"> was being elevated above the other gods in the Egyptian pantheon. Amun had always been the </w:t>
      </w:r>
      <w:r w:rsidR="00AE5295">
        <w:rPr>
          <w:rFonts w:ascii="Times New Roman" w:hAnsi="Times New Roman" w:cs="Times New Roman"/>
          <w:sz w:val="24"/>
          <w:szCs w:val="24"/>
        </w:rPr>
        <w:t xml:space="preserve">principle god worshipped, and </w:t>
      </w:r>
      <w:r w:rsidR="00AE5295">
        <w:rPr>
          <w:rFonts w:ascii="Times New Roman" w:hAnsi="Times New Roman" w:cs="Times New Roman"/>
          <w:sz w:val="24"/>
          <w:szCs w:val="24"/>
        </w:rPr>
        <w:lastRenderedPageBreak/>
        <w:t xml:space="preserve">the idea that he was being pushed aside in favour of this untouchable disk </w:t>
      </w:r>
      <w:r w:rsidR="00231F6B">
        <w:rPr>
          <w:rFonts w:ascii="Times New Roman" w:hAnsi="Times New Roman" w:cs="Times New Roman"/>
          <w:sz w:val="24"/>
          <w:szCs w:val="24"/>
        </w:rPr>
        <w:t>was abhorrent to the ancient Egyptians.</w:t>
      </w:r>
      <w:r w:rsidR="00D1151D">
        <w:rPr>
          <w:rFonts w:ascii="Times New Roman" w:hAnsi="Times New Roman" w:cs="Times New Roman"/>
          <w:sz w:val="24"/>
          <w:szCs w:val="24"/>
        </w:rPr>
        <w:t xml:space="preserve"> The way people worshipped was also forced to change. Whereas before, the Egyptians could worship their gods directly or at a temple, under Akhenaten they had to worship Akhenaten, and his queen Nefertiti because they were the only ones with a direct link to the Aten (</w:t>
      </w:r>
      <w:r w:rsidR="00664950">
        <w:rPr>
          <w:rFonts w:ascii="Times New Roman" w:hAnsi="Times New Roman" w:cs="Times New Roman"/>
          <w:sz w:val="24"/>
          <w:szCs w:val="24"/>
        </w:rPr>
        <w:t>Redford 2002</w:t>
      </w:r>
      <w:r w:rsidR="00D1151D">
        <w:rPr>
          <w:rFonts w:ascii="Times New Roman" w:hAnsi="Times New Roman" w:cs="Times New Roman"/>
          <w:sz w:val="24"/>
          <w:szCs w:val="24"/>
        </w:rPr>
        <w:t>).</w:t>
      </w:r>
      <w:r w:rsidR="00303E66">
        <w:rPr>
          <w:rFonts w:ascii="Times New Roman" w:hAnsi="Times New Roman" w:cs="Times New Roman"/>
          <w:sz w:val="24"/>
          <w:szCs w:val="24"/>
        </w:rPr>
        <w:t xml:space="preserve"> Case studies used in this section will be the </w:t>
      </w:r>
      <w:r w:rsidR="00D8718B">
        <w:rPr>
          <w:rFonts w:ascii="Times New Roman" w:hAnsi="Times New Roman" w:cs="Times New Roman"/>
          <w:sz w:val="24"/>
          <w:szCs w:val="24"/>
        </w:rPr>
        <w:t>stelas depicting Akhenaten and Nefertiti worshipping the Aten. It will also talk about the hymns and prayers written in praise of the Aten.</w:t>
      </w:r>
    </w:p>
    <w:p w:rsidR="004A61F4" w:rsidRDefault="004A61F4" w:rsidP="003C4CDB">
      <w:pPr>
        <w:spacing w:line="360" w:lineRule="auto"/>
        <w:rPr>
          <w:rFonts w:ascii="Times New Roman" w:hAnsi="Times New Roman" w:cs="Times New Roman"/>
          <w:sz w:val="24"/>
          <w:szCs w:val="24"/>
        </w:rPr>
      </w:pPr>
    </w:p>
    <w:p w:rsidR="00DB45B5" w:rsidRDefault="00215617" w:rsidP="003C4CDB">
      <w:pPr>
        <w:spacing w:line="360" w:lineRule="auto"/>
        <w:rPr>
          <w:rFonts w:ascii="Times New Roman" w:hAnsi="Times New Roman" w:cs="Times New Roman"/>
          <w:sz w:val="24"/>
          <w:szCs w:val="24"/>
        </w:rPr>
      </w:pPr>
      <w:r>
        <w:rPr>
          <w:rFonts w:ascii="Times New Roman" w:hAnsi="Times New Roman" w:cs="Times New Roman"/>
          <w:sz w:val="24"/>
          <w:szCs w:val="24"/>
        </w:rPr>
        <w:t>In chapter Two, the art in Amarna, and how it changed from before will be explored.</w:t>
      </w:r>
      <w:r w:rsidR="004A61F4">
        <w:rPr>
          <w:rFonts w:ascii="Times New Roman" w:hAnsi="Times New Roman" w:cs="Times New Roman"/>
          <w:sz w:val="24"/>
          <w:szCs w:val="24"/>
        </w:rPr>
        <w:t xml:space="preserve"> </w:t>
      </w:r>
      <w:r w:rsidR="00F84E8A">
        <w:rPr>
          <w:rFonts w:ascii="Times New Roman" w:hAnsi="Times New Roman" w:cs="Times New Roman"/>
          <w:sz w:val="24"/>
          <w:szCs w:val="24"/>
        </w:rPr>
        <w:t xml:space="preserve">For example, </w:t>
      </w:r>
      <w:r w:rsidR="00CF77FB">
        <w:rPr>
          <w:rFonts w:ascii="Times New Roman" w:hAnsi="Times New Roman" w:cs="Times New Roman"/>
          <w:sz w:val="24"/>
          <w:szCs w:val="24"/>
        </w:rPr>
        <w:t xml:space="preserve">the representations of Akhenaten and Nefertiti, as well as the rest of the royal family, are some of the most unique and personal pieces of art </w:t>
      </w:r>
      <w:r w:rsidR="00CA3AE1">
        <w:rPr>
          <w:rFonts w:ascii="Times New Roman" w:hAnsi="Times New Roman" w:cs="Times New Roman"/>
          <w:sz w:val="24"/>
          <w:szCs w:val="24"/>
        </w:rPr>
        <w:t>throughout ancient Egyptian history. For example, there are intimate portraits of the Pharaoh and queen, and the family is even depicted mourning the death of one of their children (</w:t>
      </w:r>
      <w:r w:rsidR="00664950">
        <w:rPr>
          <w:rFonts w:ascii="Times New Roman" w:hAnsi="Times New Roman" w:cs="Times New Roman"/>
          <w:sz w:val="24"/>
          <w:szCs w:val="24"/>
        </w:rPr>
        <w:t>Arnold 1997</w:t>
      </w:r>
      <w:r w:rsidR="00CA3AE1">
        <w:rPr>
          <w:rFonts w:ascii="Times New Roman" w:hAnsi="Times New Roman" w:cs="Times New Roman"/>
          <w:sz w:val="24"/>
          <w:szCs w:val="24"/>
        </w:rPr>
        <w:t xml:space="preserve">). Religious art also goes through a change, with both Akhenaten and Nefertiti in positions of worship towards the Aten, but also, they are being worshipped by the ordinary Egyptians. The art itself can be deemed as revolutionary, purely because it is so different from other Egyptian art. The Pharaoh is </w:t>
      </w:r>
      <w:r w:rsidR="004C0EF2">
        <w:rPr>
          <w:rFonts w:ascii="Times New Roman" w:hAnsi="Times New Roman" w:cs="Times New Roman"/>
          <w:sz w:val="24"/>
          <w:szCs w:val="24"/>
        </w:rPr>
        <w:t>not depicted as a young man, regardless of age, but is instead depicted, arguably, realistically with “malformed” features.</w:t>
      </w:r>
      <w:r w:rsidR="00D8718B">
        <w:rPr>
          <w:rFonts w:ascii="Times New Roman" w:hAnsi="Times New Roman" w:cs="Times New Roman"/>
          <w:sz w:val="24"/>
          <w:szCs w:val="24"/>
        </w:rPr>
        <w:t xml:space="preserve"> Case studies in this section will be stelas showing Akhenaten and Nefertiti in intimate scenes. The colossal statues of Akhenaten will also be examined.</w:t>
      </w:r>
      <w:r w:rsidR="004C0EF2">
        <w:rPr>
          <w:rFonts w:ascii="Times New Roman" w:hAnsi="Times New Roman" w:cs="Times New Roman"/>
          <w:sz w:val="24"/>
          <w:szCs w:val="24"/>
        </w:rPr>
        <w:t xml:space="preserve"> </w:t>
      </w:r>
      <w:r w:rsidR="00B37453">
        <w:rPr>
          <w:rFonts w:ascii="Times New Roman" w:hAnsi="Times New Roman" w:cs="Times New Roman"/>
          <w:sz w:val="24"/>
          <w:szCs w:val="24"/>
        </w:rPr>
        <w:t xml:space="preserve">In chapter Three, the dissertation will discuss politics and diplomacy. Much of the information from this period is luckily preserved in the Amarna letters. Through the study of these letters, it is possible to deduce Egypt’s foreign relationships at this time, although it does not give much insight into Amarna itself. The possible co-regency or elevation of Nefertiti’s status to Pharaoh ruling jointly with Akhenaten shall also be discussed, along with the relevant </w:t>
      </w:r>
      <w:r w:rsidR="006C7519">
        <w:rPr>
          <w:rFonts w:ascii="Times New Roman" w:hAnsi="Times New Roman" w:cs="Times New Roman"/>
          <w:sz w:val="24"/>
          <w:szCs w:val="24"/>
        </w:rPr>
        <w:t xml:space="preserve">opinions from modern scholarship. </w:t>
      </w:r>
      <w:r w:rsidR="00D8718B">
        <w:rPr>
          <w:rFonts w:ascii="Times New Roman" w:hAnsi="Times New Roman" w:cs="Times New Roman"/>
          <w:sz w:val="24"/>
          <w:szCs w:val="24"/>
        </w:rPr>
        <w:t>Case studies investigated will be the Amarna letters, and any iconography depicting foreign peoples.</w:t>
      </w:r>
    </w:p>
    <w:p w:rsidR="00FA2997" w:rsidRDefault="00FA2997" w:rsidP="003C4CDB">
      <w:pPr>
        <w:spacing w:line="360" w:lineRule="auto"/>
        <w:rPr>
          <w:rFonts w:ascii="Times New Roman" w:hAnsi="Times New Roman" w:cs="Times New Roman"/>
          <w:sz w:val="24"/>
          <w:szCs w:val="24"/>
        </w:rPr>
      </w:pPr>
    </w:p>
    <w:p w:rsidR="00FA2997" w:rsidRDefault="00FA2997" w:rsidP="003C4CDB">
      <w:pPr>
        <w:spacing w:line="360" w:lineRule="auto"/>
        <w:rPr>
          <w:rFonts w:ascii="Times New Roman" w:hAnsi="Times New Roman" w:cs="Times New Roman"/>
          <w:sz w:val="24"/>
          <w:szCs w:val="24"/>
        </w:rPr>
      </w:pPr>
      <w:r>
        <w:rPr>
          <w:rFonts w:ascii="Times New Roman" w:hAnsi="Times New Roman" w:cs="Times New Roman"/>
          <w:sz w:val="24"/>
          <w:szCs w:val="24"/>
        </w:rPr>
        <w:t>In chapter Four, the Amarna women will be discussed. Interestingly, there is more evidence of the Amarna women than there are at other periods in Egyptian history, despite its attempted removal from history (</w:t>
      </w:r>
      <w:r w:rsidR="00664950">
        <w:rPr>
          <w:rFonts w:ascii="Times New Roman" w:hAnsi="Times New Roman" w:cs="Times New Roman"/>
          <w:sz w:val="24"/>
          <w:szCs w:val="24"/>
        </w:rPr>
        <w:t>Fletcher 2015</w:t>
      </w:r>
      <w:r>
        <w:rPr>
          <w:rFonts w:ascii="Times New Roman" w:hAnsi="Times New Roman" w:cs="Times New Roman"/>
          <w:sz w:val="24"/>
          <w:szCs w:val="24"/>
        </w:rPr>
        <w:t xml:space="preserve">). </w:t>
      </w:r>
      <w:r w:rsidR="00682F1B">
        <w:rPr>
          <w:rFonts w:ascii="Times New Roman" w:hAnsi="Times New Roman" w:cs="Times New Roman"/>
          <w:sz w:val="24"/>
          <w:szCs w:val="24"/>
        </w:rPr>
        <w:t>Arguably Nefertiti was one of the most influential women in the ancient Egyptian world. Her bust in Berlin has ensnared the gaze of scholars since its discovery. The way she is depicted in iconography is in an unusual way compared to women before the Amarna period. For example, she is depicted almost the same size as Akhenaten (</w:t>
      </w:r>
      <w:r w:rsidR="00664950">
        <w:rPr>
          <w:rFonts w:ascii="Times New Roman" w:hAnsi="Times New Roman" w:cs="Times New Roman"/>
          <w:sz w:val="24"/>
          <w:szCs w:val="24"/>
        </w:rPr>
        <w:t>Arnold 1997</w:t>
      </w:r>
      <w:r w:rsidR="00682F1B">
        <w:rPr>
          <w:rFonts w:ascii="Times New Roman" w:hAnsi="Times New Roman" w:cs="Times New Roman"/>
          <w:sz w:val="24"/>
          <w:szCs w:val="24"/>
        </w:rPr>
        <w:t xml:space="preserve">). </w:t>
      </w:r>
      <w:r w:rsidR="002458D6">
        <w:rPr>
          <w:rFonts w:ascii="Times New Roman" w:hAnsi="Times New Roman" w:cs="Times New Roman"/>
          <w:sz w:val="24"/>
          <w:szCs w:val="24"/>
        </w:rPr>
        <w:t xml:space="preserve">It will also mention the roles of the daughters of Akhenaten and their positions </w:t>
      </w:r>
      <w:r w:rsidR="002458D6">
        <w:rPr>
          <w:rFonts w:ascii="Times New Roman" w:hAnsi="Times New Roman" w:cs="Times New Roman"/>
          <w:sz w:val="24"/>
          <w:szCs w:val="24"/>
        </w:rPr>
        <w:lastRenderedPageBreak/>
        <w:t xml:space="preserve">within the Amarna court, alongside the role of Akhenaten’s mother, Tiye. </w:t>
      </w:r>
      <w:r w:rsidR="00D8718B">
        <w:rPr>
          <w:rFonts w:ascii="Times New Roman" w:hAnsi="Times New Roman" w:cs="Times New Roman"/>
          <w:sz w:val="24"/>
          <w:szCs w:val="24"/>
        </w:rPr>
        <w:t xml:space="preserve">The case studies being examined will be the Nefertiti bust, </w:t>
      </w:r>
      <w:r w:rsidR="00664950">
        <w:rPr>
          <w:rFonts w:ascii="Times New Roman" w:hAnsi="Times New Roman" w:cs="Times New Roman"/>
          <w:sz w:val="24"/>
          <w:szCs w:val="24"/>
        </w:rPr>
        <w:t>a stela</w:t>
      </w:r>
      <w:r w:rsidR="00D8718B">
        <w:rPr>
          <w:rFonts w:ascii="Times New Roman" w:hAnsi="Times New Roman" w:cs="Times New Roman"/>
          <w:sz w:val="24"/>
          <w:szCs w:val="24"/>
        </w:rPr>
        <w:t xml:space="preserve"> showing Nefertiti in the smiting position traditionally reserved for a Pharaoh, and lastly, some busts of the Amarna princesses. </w:t>
      </w:r>
      <w:r w:rsidR="0078009F">
        <w:rPr>
          <w:rFonts w:ascii="Times New Roman" w:hAnsi="Times New Roman" w:cs="Times New Roman"/>
          <w:sz w:val="24"/>
          <w:szCs w:val="24"/>
        </w:rPr>
        <w:t xml:space="preserve">Finally, the last chapter will discuss the conclusion, pulling together the voices from both the ancient and modern scholarship, and how they perceive the revolutionary nature of the Amarna period. </w:t>
      </w:r>
    </w:p>
    <w:p w:rsidR="00CA3AE1" w:rsidRDefault="00CA3AE1" w:rsidP="003C4CDB">
      <w:pPr>
        <w:spacing w:line="360" w:lineRule="auto"/>
        <w:rPr>
          <w:rFonts w:ascii="Times New Roman" w:hAnsi="Times New Roman" w:cs="Times New Roman"/>
          <w:sz w:val="24"/>
          <w:szCs w:val="24"/>
        </w:rPr>
      </w:pPr>
    </w:p>
    <w:p w:rsidR="0042508B" w:rsidRPr="00DB45B5" w:rsidRDefault="0042508B" w:rsidP="003C4CDB">
      <w:pPr>
        <w:spacing w:line="360" w:lineRule="auto"/>
        <w:rPr>
          <w:rFonts w:ascii="Times New Roman" w:hAnsi="Times New Roman" w:cs="Times New Roman"/>
          <w:sz w:val="24"/>
          <w:szCs w:val="24"/>
        </w:rPr>
      </w:pPr>
    </w:p>
    <w:p w:rsidR="0009380C" w:rsidRPr="0009380C" w:rsidRDefault="0009380C" w:rsidP="0009380C">
      <w:pPr>
        <w:pStyle w:val="ListParagraph"/>
        <w:spacing w:line="360" w:lineRule="auto"/>
        <w:rPr>
          <w:rFonts w:ascii="Times New Roman" w:hAnsi="Times New Roman" w:cs="Times New Roman"/>
          <w:sz w:val="24"/>
          <w:szCs w:val="24"/>
        </w:rPr>
      </w:pPr>
    </w:p>
    <w:p w:rsidR="00D60C30" w:rsidRDefault="00D60C30" w:rsidP="008C3138">
      <w:pPr>
        <w:spacing w:line="360" w:lineRule="auto"/>
        <w:rPr>
          <w:rFonts w:ascii="Times New Roman" w:hAnsi="Times New Roman" w:cs="Times New Roman"/>
          <w:sz w:val="24"/>
          <w:szCs w:val="24"/>
        </w:rPr>
      </w:pPr>
    </w:p>
    <w:p w:rsidR="00D60C30" w:rsidRDefault="00D60C30" w:rsidP="008C3138">
      <w:pPr>
        <w:spacing w:line="360" w:lineRule="auto"/>
        <w:rPr>
          <w:rFonts w:ascii="Times New Roman" w:hAnsi="Times New Roman" w:cs="Times New Roman"/>
          <w:sz w:val="24"/>
          <w:szCs w:val="24"/>
        </w:rPr>
      </w:pPr>
    </w:p>
    <w:p w:rsidR="00D60C30" w:rsidRDefault="00D60C30" w:rsidP="008C3138">
      <w:pPr>
        <w:spacing w:line="360" w:lineRule="auto"/>
        <w:rPr>
          <w:rFonts w:ascii="Times New Roman" w:hAnsi="Times New Roman" w:cs="Times New Roman"/>
          <w:sz w:val="24"/>
          <w:szCs w:val="24"/>
        </w:rPr>
      </w:pPr>
    </w:p>
    <w:p w:rsidR="00D60C30" w:rsidRDefault="00D60C30" w:rsidP="008C3138">
      <w:pPr>
        <w:spacing w:line="360" w:lineRule="auto"/>
        <w:rPr>
          <w:rFonts w:ascii="Times New Roman" w:hAnsi="Times New Roman" w:cs="Times New Roman"/>
          <w:sz w:val="24"/>
          <w:szCs w:val="24"/>
        </w:rPr>
      </w:pPr>
    </w:p>
    <w:p w:rsidR="00D60C30" w:rsidRDefault="00D60C30" w:rsidP="008C3138">
      <w:pPr>
        <w:spacing w:line="360" w:lineRule="auto"/>
        <w:rPr>
          <w:rFonts w:ascii="Times New Roman" w:hAnsi="Times New Roman" w:cs="Times New Roman"/>
          <w:sz w:val="24"/>
          <w:szCs w:val="24"/>
        </w:rPr>
      </w:pPr>
    </w:p>
    <w:p w:rsidR="00D60C30" w:rsidRDefault="00D60C30" w:rsidP="008C3138">
      <w:pPr>
        <w:spacing w:line="360" w:lineRule="auto"/>
        <w:rPr>
          <w:rFonts w:ascii="Times New Roman" w:hAnsi="Times New Roman" w:cs="Times New Roman"/>
          <w:sz w:val="24"/>
          <w:szCs w:val="24"/>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400306" w:rsidRDefault="00400306" w:rsidP="008C3138">
      <w:pPr>
        <w:spacing w:line="360" w:lineRule="auto"/>
        <w:rPr>
          <w:rFonts w:ascii="Times New Roman" w:hAnsi="Times New Roman" w:cs="Times New Roman"/>
          <w:b/>
          <w:sz w:val="24"/>
          <w:szCs w:val="24"/>
          <w:u w:val="single"/>
        </w:rPr>
      </w:pPr>
    </w:p>
    <w:p w:rsidR="00D60C30" w:rsidRDefault="00D60C30" w:rsidP="008C3138">
      <w:pPr>
        <w:spacing w:line="360" w:lineRule="auto"/>
        <w:rPr>
          <w:rFonts w:ascii="Times New Roman" w:hAnsi="Times New Roman" w:cs="Times New Roman"/>
          <w:b/>
          <w:sz w:val="24"/>
          <w:szCs w:val="24"/>
          <w:u w:val="single"/>
        </w:rPr>
      </w:pPr>
      <w:bookmarkStart w:id="0" w:name="_GoBack"/>
      <w:bookmarkEnd w:id="0"/>
      <w:r>
        <w:rPr>
          <w:rFonts w:ascii="Times New Roman" w:hAnsi="Times New Roman" w:cs="Times New Roman"/>
          <w:b/>
          <w:sz w:val="24"/>
          <w:szCs w:val="24"/>
          <w:u w:val="single"/>
        </w:rPr>
        <w:lastRenderedPageBreak/>
        <w:t>Bibliography:</w:t>
      </w:r>
    </w:p>
    <w:p w:rsidR="009109A6" w:rsidRDefault="009109A6" w:rsidP="009109A6">
      <w:pPr>
        <w:spacing w:line="360" w:lineRule="auto"/>
        <w:rPr>
          <w:rFonts w:ascii="Times New Roman" w:hAnsi="Times New Roman" w:cs="Times New Roman"/>
          <w:sz w:val="24"/>
          <w:szCs w:val="24"/>
        </w:rPr>
      </w:pPr>
    </w:p>
    <w:p w:rsidR="00334F87" w:rsidRPr="009109A6" w:rsidRDefault="009109A6" w:rsidP="009109A6">
      <w:pPr>
        <w:spacing w:line="360" w:lineRule="auto"/>
        <w:rPr>
          <w:rFonts w:ascii="Times New Roman" w:hAnsi="Times New Roman" w:cs="Times New Roman"/>
          <w:sz w:val="24"/>
          <w:szCs w:val="24"/>
        </w:rPr>
      </w:pPr>
      <w:r>
        <w:rPr>
          <w:rFonts w:ascii="Times New Roman" w:hAnsi="Times New Roman" w:cs="Times New Roman"/>
          <w:sz w:val="24"/>
          <w:szCs w:val="24"/>
        </w:rPr>
        <w:t>Books:</w:t>
      </w:r>
    </w:p>
    <w:p w:rsidR="00E444F4" w:rsidRDefault="00E444F4" w:rsidP="00334F87">
      <w:pPr>
        <w:pStyle w:val="ListParagraph"/>
        <w:numPr>
          <w:ilvl w:val="0"/>
          <w:numId w:val="1"/>
        </w:numPr>
        <w:spacing w:line="360" w:lineRule="auto"/>
        <w:rPr>
          <w:rFonts w:ascii="Times New Roman" w:hAnsi="Times New Roman" w:cs="Times New Roman"/>
          <w:sz w:val="24"/>
          <w:szCs w:val="24"/>
        </w:rPr>
      </w:pPr>
      <w:r w:rsidRPr="00334F87">
        <w:rPr>
          <w:rFonts w:ascii="Times New Roman" w:hAnsi="Times New Roman" w:cs="Times New Roman"/>
          <w:sz w:val="24"/>
          <w:szCs w:val="24"/>
        </w:rPr>
        <w:t xml:space="preserve">Arnold, D. 1997. </w:t>
      </w:r>
      <w:r w:rsidRPr="00334F87">
        <w:rPr>
          <w:rFonts w:ascii="Times New Roman" w:hAnsi="Times New Roman" w:cs="Times New Roman"/>
          <w:i/>
          <w:sz w:val="24"/>
          <w:szCs w:val="24"/>
        </w:rPr>
        <w:t>The Royal Women of Amarna: Images of Beauty from Ancient Egypt</w:t>
      </w:r>
      <w:r w:rsidRPr="00334F87">
        <w:rPr>
          <w:rFonts w:ascii="Times New Roman" w:hAnsi="Times New Roman" w:cs="Times New Roman"/>
          <w:sz w:val="24"/>
          <w:szCs w:val="24"/>
        </w:rPr>
        <w:t>. New York: Metropolitan Museum of Art.</w:t>
      </w:r>
    </w:p>
    <w:p w:rsidR="009109A6" w:rsidRPr="00334F87" w:rsidRDefault="009109A6" w:rsidP="00334F8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Brewer, D.J and Teeter, E. 2007. </w:t>
      </w:r>
      <w:r>
        <w:rPr>
          <w:rFonts w:ascii="Times New Roman" w:hAnsi="Times New Roman" w:cs="Times New Roman"/>
          <w:i/>
          <w:sz w:val="24"/>
          <w:szCs w:val="24"/>
        </w:rPr>
        <w:t>Egypt and the Egyptians</w:t>
      </w:r>
      <w:r>
        <w:rPr>
          <w:rFonts w:ascii="Times New Roman" w:hAnsi="Times New Roman" w:cs="Times New Roman"/>
          <w:sz w:val="24"/>
          <w:szCs w:val="24"/>
        </w:rPr>
        <w:t>. Cambridge: Cambridge University Press.</w:t>
      </w:r>
    </w:p>
    <w:p w:rsidR="002C0495" w:rsidRDefault="002C0495"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Chadwick, R. 2005. </w:t>
      </w:r>
      <w:r>
        <w:rPr>
          <w:rFonts w:ascii="Times New Roman" w:hAnsi="Times New Roman" w:cs="Times New Roman"/>
          <w:i/>
          <w:sz w:val="24"/>
          <w:szCs w:val="24"/>
        </w:rPr>
        <w:t>First Civilisations: Ancient Mesopotamia and Ancient Egypt</w:t>
      </w:r>
      <w:r>
        <w:rPr>
          <w:rFonts w:ascii="Times New Roman" w:hAnsi="Times New Roman" w:cs="Times New Roman"/>
          <w:sz w:val="24"/>
          <w:szCs w:val="24"/>
        </w:rPr>
        <w:t>. Montréal: Les Éditions Champ Fleury.</w:t>
      </w:r>
    </w:p>
    <w:p w:rsidR="009109A6" w:rsidRDefault="009109A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Clayton, P.A. 2006. </w:t>
      </w:r>
      <w:r>
        <w:rPr>
          <w:rFonts w:ascii="Times New Roman" w:hAnsi="Times New Roman" w:cs="Times New Roman"/>
          <w:i/>
          <w:sz w:val="24"/>
          <w:szCs w:val="24"/>
        </w:rPr>
        <w:t>Chronicle of the Pharaohs</w:t>
      </w:r>
      <w:r>
        <w:rPr>
          <w:rFonts w:ascii="Times New Roman" w:hAnsi="Times New Roman" w:cs="Times New Roman"/>
          <w:sz w:val="24"/>
          <w:szCs w:val="24"/>
        </w:rPr>
        <w:t>. London: Thames and Hudson.</w:t>
      </w:r>
    </w:p>
    <w:p w:rsidR="0077521A" w:rsidRDefault="0077521A"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Cohen, R. 1947. </w:t>
      </w:r>
      <w:r>
        <w:rPr>
          <w:rFonts w:ascii="Times New Roman" w:hAnsi="Times New Roman" w:cs="Times New Roman"/>
          <w:i/>
          <w:sz w:val="24"/>
          <w:szCs w:val="24"/>
        </w:rPr>
        <w:t>Amarna Diplomacy: The Beginnings of International Relations</w:t>
      </w:r>
      <w:r>
        <w:rPr>
          <w:rFonts w:ascii="Times New Roman" w:hAnsi="Times New Roman" w:cs="Times New Roman"/>
          <w:sz w:val="24"/>
          <w:szCs w:val="24"/>
        </w:rPr>
        <w:t>. Baltimore: John Hopkins University Press.</w:t>
      </w:r>
    </w:p>
    <w:p w:rsidR="005C0F46" w:rsidRDefault="005C0F4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Coogan, M.D. 2013. </w:t>
      </w:r>
      <w:r>
        <w:rPr>
          <w:rFonts w:ascii="Times New Roman" w:hAnsi="Times New Roman" w:cs="Times New Roman"/>
          <w:i/>
          <w:sz w:val="24"/>
          <w:szCs w:val="24"/>
        </w:rPr>
        <w:t xml:space="preserve">A Reader of </w:t>
      </w:r>
      <w:r w:rsidR="003829BF">
        <w:rPr>
          <w:rFonts w:ascii="Times New Roman" w:hAnsi="Times New Roman" w:cs="Times New Roman"/>
          <w:i/>
          <w:sz w:val="24"/>
          <w:szCs w:val="24"/>
        </w:rPr>
        <w:t>Ancient Near Eastern Texts: Sources for the study of the Old Testament</w:t>
      </w:r>
      <w:r w:rsidR="003829BF">
        <w:rPr>
          <w:rFonts w:ascii="Times New Roman" w:hAnsi="Times New Roman" w:cs="Times New Roman"/>
          <w:sz w:val="24"/>
          <w:szCs w:val="24"/>
        </w:rPr>
        <w:t>. New York: Oxford University Press.</w:t>
      </w:r>
    </w:p>
    <w:p w:rsidR="009109A6" w:rsidRDefault="009109A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Dodson, A. 2009. </w:t>
      </w:r>
      <w:r>
        <w:rPr>
          <w:rFonts w:ascii="Times New Roman" w:hAnsi="Times New Roman" w:cs="Times New Roman"/>
          <w:i/>
          <w:sz w:val="24"/>
          <w:szCs w:val="24"/>
        </w:rPr>
        <w:t>Amarna Sunset</w:t>
      </w:r>
      <w:r>
        <w:rPr>
          <w:rFonts w:ascii="Times New Roman" w:hAnsi="Times New Roman" w:cs="Times New Roman"/>
          <w:sz w:val="24"/>
          <w:szCs w:val="24"/>
        </w:rPr>
        <w:t>. Cairo: The American University in Cairo Press.</w:t>
      </w:r>
    </w:p>
    <w:p w:rsidR="009109A6" w:rsidRDefault="009109A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Dodson, A. 2014. </w:t>
      </w:r>
      <w:r>
        <w:rPr>
          <w:rFonts w:ascii="Times New Roman" w:hAnsi="Times New Roman" w:cs="Times New Roman"/>
          <w:i/>
          <w:sz w:val="24"/>
          <w:szCs w:val="24"/>
        </w:rPr>
        <w:t>Amarna Sunrise</w:t>
      </w:r>
      <w:r>
        <w:rPr>
          <w:rFonts w:ascii="Times New Roman" w:hAnsi="Times New Roman" w:cs="Times New Roman"/>
          <w:sz w:val="24"/>
          <w:szCs w:val="24"/>
        </w:rPr>
        <w:t>. Cairo: The American University in Cairo Press.</w:t>
      </w:r>
    </w:p>
    <w:p w:rsidR="00B73A3E" w:rsidRDefault="00B73A3E"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Fletcher, J. 2004. </w:t>
      </w:r>
      <w:r>
        <w:rPr>
          <w:rFonts w:ascii="Times New Roman" w:hAnsi="Times New Roman" w:cs="Times New Roman"/>
          <w:i/>
          <w:sz w:val="24"/>
          <w:szCs w:val="24"/>
        </w:rPr>
        <w:t>The Search for Nefertiti: The True Story of a Remarkable Discovery</w:t>
      </w:r>
      <w:r>
        <w:rPr>
          <w:rFonts w:ascii="Times New Roman" w:hAnsi="Times New Roman" w:cs="Times New Roman"/>
          <w:sz w:val="24"/>
          <w:szCs w:val="24"/>
        </w:rPr>
        <w:t>. London: Hodder and Stoughton.</w:t>
      </w:r>
    </w:p>
    <w:p w:rsidR="005A5ED8" w:rsidRDefault="005A5ED8"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Fletcher, J. 2015. </w:t>
      </w:r>
      <w:r>
        <w:rPr>
          <w:rFonts w:ascii="Times New Roman" w:hAnsi="Times New Roman" w:cs="Times New Roman"/>
          <w:i/>
          <w:sz w:val="24"/>
          <w:szCs w:val="24"/>
        </w:rPr>
        <w:t>The Story of Egypt</w:t>
      </w:r>
      <w:r>
        <w:rPr>
          <w:rFonts w:ascii="Times New Roman" w:hAnsi="Times New Roman" w:cs="Times New Roman"/>
          <w:sz w:val="24"/>
          <w:szCs w:val="24"/>
        </w:rPr>
        <w:t>. London: Hodder and Stoughton.</w:t>
      </w:r>
    </w:p>
    <w:p w:rsidR="00955984" w:rsidRDefault="00955984"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Hagen, R- M. and Hagen, R. 2016. </w:t>
      </w:r>
      <w:r>
        <w:rPr>
          <w:rFonts w:ascii="Times New Roman" w:hAnsi="Times New Roman" w:cs="Times New Roman"/>
          <w:i/>
          <w:sz w:val="24"/>
          <w:szCs w:val="24"/>
        </w:rPr>
        <w:t>Egypt: People, Gods, Pharaohs</w:t>
      </w:r>
      <w:r>
        <w:rPr>
          <w:rFonts w:ascii="Times New Roman" w:hAnsi="Times New Roman" w:cs="Times New Roman"/>
          <w:sz w:val="24"/>
          <w:szCs w:val="24"/>
        </w:rPr>
        <w:t>. Cologne: Taschen.</w:t>
      </w:r>
    </w:p>
    <w:p w:rsidR="0077521A" w:rsidRDefault="0077521A"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Kampp- Seyfried, F. 2012. </w:t>
      </w:r>
      <w:r>
        <w:rPr>
          <w:rFonts w:ascii="Times New Roman" w:hAnsi="Times New Roman" w:cs="Times New Roman"/>
          <w:i/>
          <w:sz w:val="24"/>
          <w:szCs w:val="24"/>
        </w:rPr>
        <w:t>In the Light of Amarna: 100 Years of the Nefertiti Discovery</w:t>
      </w:r>
      <w:r>
        <w:rPr>
          <w:rFonts w:ascii="Times New Roman" w:hAnsi="Times New Roman" w:cs="Times New Roman"/>
          <w:sz w:val="24"/>
          <w:szCs w:val="24"/>
        </w:rPr>
        <w:t>. Petersburg: Imhof.</w:t>
      </w:r>
    </w:p>
    <w:p w:rsidR="009109A6" w:rsidRDefault="009109A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Kemp, B.J. 2012. </w:t>
      </w:r>
      <w:r>
        <w:rPr>
          <w:rFonts w:ascii="Times New Roman" w:hAnsi="Times New Roman" w:cs="Times New Roman"/>
          <w:i/>
          <w:sz w:val="24"/>
          <w:szCs w:val="24"/>
        </w:rPr>
        <w:t>The City of Akhenaten and Nefertiti</w:t>
      </w:r>
      <w:r>
        <w:rPr>
          <w:rFonts w:ascii="Times New Roman" w:hAnsi="Times New Roman" w:cs="Times New Roman"/>
          <w:sz w:val="24"/>
          <w:szCs w:val="24"/>
        </w:rPr>
        <w:t>. London: Thames and Hudson.</w:t>
      </w:r>
    </w:p>
    <w:p w:rsidR="005C0F46" w:rsidRDefault="005C0F4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Lichtheim, M. 2006. </w:t>
      </w:r>
      <w:r>
        <w:rPr>
          <w:rFonts w:ascii="Times New Roman" w:hAnsi="Times New Roman" w:cs="Times New Roman"/>
          <w:i/>
          <w:sz w:val="24"/>
          <w:szCs w:val="24"/>
        </w:rPr>
        <w:t>Ancient Egyptian Literature: A Book of Readings 2. The New Kingdom</w:t>
      </w:r>
      <w:r>
        <w:rPr>
          <w:rFonts w:ascii="Times New Roman" w:hAnsi="Times New Roman" w:cs="Times New Roman"/>
          <w:sz w:val="24"/>
          <w:szCs w:val="24"/>
        </w:rPr>
        <w:t>. Berkeley: University of California Press.</w:t>
      </w:r>
    </w:p>
    <w:p w:rsidR="003829BF" w:rsidRDefault="003829BF"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Mairs, R. and Miratov, M. 2015. </w:t>
      </w:r>
      <w:r>
        <w:rPr>
          <w:rFonts w:ascii="Times New Roman" w:hAnsi="Times New Roman" w:cs="Times New Roman"/>
          <w:i/>
          <w:sz w:val="24"/>
          <w:szCs w:val="24"/>
        </w:rPr>
        <w:t>Archaeologists, Tourists, Interpreters: Exploring Egypt and the Near East in the Late 19</w:t>
      </w:r>
      <w:r w:rsidRPr="003829BF">
        <w:rPr>
          <w:rFonts w:ascii="Times New Roman" w:hAnsi="Times New Roman" w:cs="Times New Roman"/>
          <w:i/>
          <w:sz w:val="24"/>
          <w:szCs w:val="24"/>
          <w:vertAlign w:val="superscript"/>
        </w:rPr>
        <w:t>th</w:t>
      </w:r>
      <w:r>
        <w:rPr>
          <w:rFonts w:ascii="Times New Roman" w:hAnsi="Times New Roman" w:cs="Times New Roman"/>
          <w:i/>
          <w:sz w:val="24"/>
          <w:szCs w:val="24"/>
        </w:rPr>
        <w:t>-early 20</w:t>
      </w:r>
      <w:r w:rsidRPr="003829BF">
        <w:rPr>
          <w:rFonts w:ascii="Times New Roman" w:hAnsi="Times New Roman" w:cs="Times New Roman"/>
          <w:i/>
          <w:sz w:val="24"/>
          <w:szCs w:val="24"/>
          <w:vertAlign w:val="superscript"/>
        </w:rPr>
        <w:t>th</w:t>
      </w:r>
      <w:r>
        <w:rPr>
          <w:rFonts w:ascii="Times New Roman" w:hAnsi="Times New Roman" w:cs="Times New Roman"/>
          <w:i/>
          <w:sz w:val="24"/>
          <w:szCs w:val="24"/>
        </w:rPr>
        <w:t xml:space="preserve"> Centuries</w:t>
      </w:r>
      <w:r>
        <w:rPr>
          <w:rFonts w:ascii="Times New Roman" w:hAnsi="Times New Roman" w:cs="Times New Roman"/>
          <w:sz w:val="24"/>
          <w:szCs w:val="24"/>
        </w:rPr>
        <w:t>. London: Bloomsbury Publishing.</w:t>
      </w:r>
    </w:p>
    <w:p w:rsidR="009109A6" w:rsidRDefault="009109A6"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Moran, W.L. 1992. </w:t>
      </w:r>
      <w:r>
        <w:rPr>
          <w:rFonts w:ascii="Times New Roman" w:hAnsi="Times New Roman" w:cs="Times New Roman"/>
          <w:i/>
          <w:sz w:val="24"/>
          <w:szCs w:val="24"/>
        </w:rPr>
        <w:t>The Amarna Letters</w:t>
      </w:r>
      <w:r>
        <w:rPr>
          <w:rFonts w:ascii="Times New Roman" w:hAnsi="Times New Roman" w:cs="Times New Roman"/>
          <w:sz w:val="24"/>
          <w:szCs w:val="24"/>
        </w:rPr>
        <w:t>. Baltimore: John Hopkins University Press.</w:t>
      </w:r>
    </w:p>
    <w:p w:rsidR="003829BF" w:rsidRDefault="003829BF"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Petrie, W.M.F. 1939. </w:t>
      </w:r>
      <w:r>
        <w:rPr>
          <w:rFonts w:ascii="Times New Roman" w:hAnsi="Times New Roman" w:cs="Times New Roman"/>
          <w:i/>
          <w:sz w:val="24"/>
          <w:szCs w:val="24"/>
        </w:rPr>
        <w:t>The Making of Egypt</w:t>
      </w:r>
      <w:r>
        <w:rPr>
          <w:rFonts w:ascii="Times New Roman" w:hAnsi="Times New Roman" w:cs="Times New Roman"/>
          <w:sz w:val="24"/>
          <w:szCs w:val="24"/>
        </w:rPr>
        <w:t>. London: Sheldon Press.</w:t>
      </w:r>
    </w:p>
    <w:p w:rsidR="003829BF" w:rsidRDefault="003829BF"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Petrie, W.M.F. 1894. </w:t>
      </w:r>
      <w:r>
        <w:rPr>
          <w:rFonts w:ascii="Times New Roman" w:hAnsi="Times New Roman" w:cs="Times New Roman"/>
          <w:i/>
          <w:sz w:val="24"/>
          <w:szCs w:val="24"/>
        </w:rPr>
        <w:t>Tell- El- Amarna</w:t>
      </w:r>
      <w:r>
        <w:rPr>
          <w:rFonts w:ascii="Times New Roman" w:hAnsi="Times New Roman" w:cs="Times New Roman"/>
          <w:sz w:val="24"/>
          <w:szCs w:val="24"/>
        </w:rPr>
        <w:t>. Surrey: Methuen and Co.</w:t>
      </w:r>
    </w:p>
    <w:p w:rsidR="0051243A" w:rsidRDefault="0051243A"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Redford, D.B. 1984. </w:t>
      </w:r>
      <w:r>
        <w:rPr>
          <w:rFonts w:ascii="Times New Roman" w:hAnsi="Times New Roman" w:cs="Times New Roman"/>
          <w:i/>
          <w:sz w:val="24"/>
          <w:szCs w:val="24"/>
        </w:rPr>
        <w:t>Akhenaten: The Heretic King</w:t>
      </w:r>
      <w:r>
        <w:rPr>
          <w:rFonts w:ascii="Times New Roman" w:hAnsi="Times New Roman" w:cs="Times New Roman"/>
          <w:sz w:val="24"/>
          <w:szCs w:val="24"/>
        </w:rPr>
        <w:t>. Princeton: Princeton University Press.</w:t>
      </w:r>
    </w:p>
    <w:p w:rsidR="0051243A" w:rsidRPr="0051243A" w:rsidRDefault="00E444F4" w:rsidP="0051243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Redford, D. B. 2002. </w:t>
      </w:r>
      <w:r>
        <w:rPr>
          <w:rFonts w:ascii="Times New Roman" w:hAnsi="Times New Roman" w:cs="Times New Roman"/>
          <w:i/>
          <w:sz w:val="24"/>
          <w:szCs w:val="24"/>
        </w:rPr>
        <w:t>The Ancient Gods Speak: A Guide to Egyptian Religion</w:t>
      </w:r>
      <w:r>
        <w:rPr>
          <w:rFonts w:ascii="Times New Roman" w:hAnsi="Times New Roman" w:cs="Times New Roman"/>
          <w:sz w:val="24"/>
          <w:szCs w:val="24"/>
        </w:rPr>
        <w:t>. New York: Oxford University Press Inc.</w:t>
      </w:r>
    </w:p>
    <w:p w:rsidR="005A5ED8" w:rsidRDefault="005A5ED8"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Reeves, N. and Wilkinson, R. H. 1996. </w:t>
      </w:r>
      <w:r>
        <w:rPr>
          <w:rFonts w:ascii="Times New Roman" w:hAnsi="Times New Roman" w:cs="Times New Roman"/>
          <w:i/>
          <w:sz w:val="24"/>
          <w:szCs w:val="24"/>
        </w:rPr>
        <w:t>The Complete Valley of the Kings: Tombs and Treasures of Egypt’s Greatest Pharaoh</w:t>
      </w:r>
      <w:r>
        <w:rPr>
          <w:rFonts w:ascii="Times New Roman" w:hAnsi="Times New Roman" w:cs="Times New Roman"/>
          <w:sz w:val="24"/>
          <w:szCs w:val="24"/>
        </w:rPr>
        <w:t>. London: Thames and Hudson Ltd.</w:t>
      </w:r>
    </w:p>
    <w:p w:rsidR="0077521A" w:rsidRPr="0077521A" w:rsidRDefault="00E444F4" w:rsidP="0077521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Robins, G. 2007. </w:t>
      </w:r>
      <w:r>
        <w:rPr>
          <w:rFonts w:ascii="Times New Roman" w:hAnsi="Times New Roman" w:cs="Times New Roman"/>
          <w:i/>
          <w:sz w:val="24"/>
          <w:szCs w:val="24"/>
        </w:rPr>
        <w:t>The Art of Ancient Egypt</w:t>
      </w:r>
      <w:r>
        <w:rPr>
          <w:rFonts w:ascii="Times New Roman" w:hAnsi="Times New Roman" w:cs="Times New Roman"/>
          <w:sz w:val="24"/>
          <w:szCs w:val="24"/>
        </w:rPr>
        <w:t>. Cambridge: Harvard University Press.</w:t>
      </w:r>
    </w:p>
    <w:p w:rsidR="00A555E1" w:rsidRDefault="00C020C9"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Shaw, I. 2000. </w:t>
      </w:r>
      <w:r>
        <w:rPr>
          <w:rFonts w:ascii="Times New Roman" w:hAnsi="Times New Roman" w:cs="Times New Roman"/>
          <w:i/>
          <w:sz w:val="24"/>
          <w:szCs w:val="24"/>
        </w:rPr>
        <w:t>The Oxford History of Ancient Egypt</w:t>
      </w:r>
      <w:r>
        <w:rPr>
          <w:rFonts w:ascii="Times New Roman" w:hAnsi="Times New Roman" w:cs="Times New Roman"/>
          <w:sz w:val="24"/>
          <w:szCs w:val="24"/>
        </w:rPr>
        <w:t>. New York: Oxford University Press.</w:t>
      </w:r>
    </w:p>
    <w:p w:rsidR="00B73A3E" w:rsidRDefault="00B73A3E"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Tyldesley, J. 2003. </w:t>
      </w:r>
      <w:r>
        <w:rPr>
          <w:rFonts w:ascii="Times New Roman" w:hAnsi="Times New Roman" w:cs="Times New Roman"/>
          <w:i/>
          <w:sz w:val="24"/>
          <w:szCs w:val="24"/>
        </w:rPr>
        <w:t>Nefertiti: Unlocking the Mystery surrounding Egypt’s most famous and beautiful queen</w:t>
      </w:r>
      <w:r>
        <w:rPr>
          <w:rFonts w:ascii="Times New Roman" w:hAnsi="Times New Roman" w:cs="Times New Roman"/>
          <w:sz w:val="24"/>
          <w:szCs w:val="24"/>
        </w:rPr>
        <w:t>. London: Penguin Books.</w:t>
      </w:r>
    </w:p>
    <w:p w:rsidR="00D60C30" w:rsidRDefault="00D60C30"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Tyldesley, J. 2012. </w:t>
      </w:r>
      <w:r>
        <w:rPr>
          <w:rFonts w:ascii="Times New Roman" w:hAnsi="Times New Roman" w:cs="Times New Roman"/>
          <w:i/>
          <w:sz w:val="24"/>
          <w:szCs w:val="24"/>
        </w:rPr>
        <w:t>Tutankhamun’s Curse: The Developing History of an Egyptian King.</w:t>
      </w:r>
      <w:r w:rsidR="00B73A3E">
        <w:rPr>
          <w:rFonts w:ascii="Times New Roman" w:hAnsi="Times New Roman" w:cs="Times New Roman"/>
          <w:sz w:val="24"/>
          <w:szCs w:val="24"/>
        </w:rPr>
        <w:t xml:space="preserve"> London: Profile Books Ltd.</w:t>
      </w:r>
    </w:p>
    <w:p w:rsidR="00B73A3E" w:rsidRDefault="0051243A" w:rsidP="00D60C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Wat</w:t>
      </w:r>
      <w:r w:rsidR="00DE1C86">
        <w:rPr>
          <w:rFonts w:ascii="Times New Roman" w:hAnsi="Times New Roman" w:cs="Times New Roman"/>
          <w:sz w:val="24"/>
          <w:szCs w:val="24"/>
        </w:rPr>
        <w:t>t</w:t>
      </w:r>
      <w:r>
        <w:rPr>
          <w:rFonts w:ascii="Times New Roman" w:hAnsi="Times New Roman" w:cs="Times New Roman"/>
          <w:sz w:val="24"/>
          <w:szCs w:val="24"/>
        </w:rPr>
        <w:t xml:space="preserve">erson, B. 1999. </w:t>
      </w:r>
      <w:r>
        <w:rPr>
          <w:rFonts w:ascii="Times New Roman" w:hAnsi="Times New Roman" w:cs="Times New Roman"/>
          <w:i/>
          <w:sz w:val="24"/>
          <w:szCs w:val="24"/>
        </w:rPr>
        <w:t>Amarna: Ancient Egypt’s Age of Revolution</w:t>
      </w:r>
      <w:r>
        <w:rPr>
          <w:rFonts w:ascii="Times New Roman" w:hAnsi="Times New Roman" w:cs="Times New Roman"/>
          <w:sz w:val="24"/>
          <w:szCs w:val="24"/>
        </w:rPr>
        <w:t>. Mount Pleasant: Arcadia Publishing.</w:t>
      </w:r>
    </w:p>
    <w:p w:rsidR="001C7D8E" w:rsidRDefault="001C7D8E" w:rsidP="001C7D8E">
      <w:pPr>
        <w:spacing w:line="360" w:lineRule="auto"/>
        <w:rPr>
          <w:rFonts w:ascii="Times New Roman" w:hAnsi="Times New Roman" w:cs="Times New Roman"/>
          <w:sz w:val="24"/>
          <w:szCs w:val="24"/>
        </w:rPr>
      </w:pPr>
    </w:p>
    <w:p w:rsidR="001C7D8E" w:rsidRDefault="001C7D8E" w:rsidP="001C7D8E">
      <w:pPr>
        <w:spacing w:line="360" w:lineRule="auto"/>
        <w:rPr>
          <w:rFonts w:ascii="Times New Roman" w:hAnsi="Times New Roman" w:cs="Times New Roman"/>
          <w:sz w:val="24"/>
          <w:szCs w:val="24"/>
        </w:rPr>
      </w:pPr>
      <w:r>
        <w:rPr>
          <w:rFonts w:ascii="Times New Roman" w:hAnsi="Times New Roman" w:cs="Times New Roman"/>
          <w:sz w:val="24"/>
          <w:szCs w:val="24"/>
        </w:rPr>
        <w:t>Websites:</w:t>
      </w:r>
    </w:p>
    <w:p w:rsidR="001C7D8E" w:rsidRDefault="00310CD4" w:rsidP="00310CD4">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Archaeology, 2006. Excavating Amarna- An Interview with Barry Kemp. Archaeological Institute of America. </w:t>
      </w:r>
      <w:hyperlink r:id="rId8" w:history="1">
        <w:r w:rsidRPr="00E7634F">
          <w:rPr>
            <w:rStyle w:val="Hyperlink"/>
            <w:rFonts w:ascii="Times New Roman" w:hAnsi="Times New Roman" w:cs="Times New Roman"/>
            <w:sz w:val="24"/>
            <w:szCs w:val="24"/>
          </w:rPr>
          <w:t>https://archive.archaeology.org/online/interviews/kemp.html</w:t>
        </w:r>
      </w:hyperlink>
      <w:r>
        <w:rPr>
          <w:rFonts w:ascii="Times New Roman" w:hAnsi="Times New Roman" w:cs="Times New Roman"/>
          <w:sz w:val="24"/>
          <w:szCs w:val="24"/>
        </w:rPr>
        <w:t>. [Accessed on: 14/11/2017].</w:t>
      </w:r>
    </w:p>
    <w:p w:rsidR="00310CD4" w:rsidRPr="00310CD4" w:rsidRDefault="003921D8" w:rsidP="00310CD4">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Amarna Project, 2000-2017. Amarna The Place. Amarna Project. </w:t>
      </w:r>
      <w:hyperlink r:id="rId9" w:history="1">
        <w:r w:rsidRPr="00E7634F">
          <w:rPr>
            <w:rStyle w:val="Hyperlink"/>
            <w:rFonts w:ascii="Times New Roman" w:hAnsi="Times New Roman" w:cs="Times New Roman"/>
            <w:sz w:val="24"/>
            <w:szCs w:val="24"/>
          </w:rPr>
          <w:t>http://amarnaproject.com/</w:t>
        </w:r>
      </w:hyperlink>
      <w:r>
        <w:rPr>
          <w:rFonts w:ascii="Times New Roman" w:hAnsi="Times New Roman" w:cs="Times New Roman"/>
          <w:sz w:val="24"/>
          <w:szCs w:val="24"/>
        </w:rPr>
        <w:t>. [Accessed on 14/11/2017].</w:t>
      </w:r>
    </w:p>
    <w:p w:rsidR="0064470D" w:rsidRDefault="0064470D" w:rsidP="008C3138">
      <w:pPr>
        <w:spacing w:line="360" w:lineRule="auto"/>
        <w:rPr>
          <w:rFonts w:ascii="Times New Roman" w:hAnsi="Times New Roman" w:cs="Times New Roman"/>
          <w:sz w:val="24"/>
          <w:szCs w:val="24"/>
        </w:rPr>
      </w:pPr>
    </w:p>
    <w:p w:rsidR="0064470D" w:rsidRPr="002373E7" w:rsidRDefault="0064470D" w:rsidP="008C3138">
      <w:pPr>
        <w:spacing w:line="360" w:lineRule="auto"/>
        <w:rPr>
          <w:rFonts w:ascii="Times New Roman" w:hAnsi="Times New Roman" w:cs="Times New Roman"/>
          <w:sz w:val="24"/>
          <w:szCs w:val="24"/>
        </w:rPr>
      </w:pPr>
    </w:p>
    <w:sectPr w:rsidR="0064470D" w:rsidRPr="002373E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E97" w:rsidRDefault="00694E97" w:rsidP="008C3138">
      <w:r>
        <w:separator/>
      </w:r>
    </w:p>
  </w:endnote>
  <w:endnote w:type="continuationSeparator" w:id="0">
    <w:p w:rsidR="00694E97" w:rsidRDefault="00694E97" w:rsidP="008C31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8431948"/>
      <w:docPartObj>
        <w:docPartGallery w:val="Page Numbers (Bottom of Page)"/>
        <w:docPartUnique/>
      </w:docPartObj>
    </w:sdtPr>
    <w:sdtEndPr>
      <w:rPr>
        <w:noProof/>
      </w:rPr>
    </w:sdtEndPr>
    <w:sdtContent>
      <w:p w:rsidR="004E03A3" w:rsidRDefault="004E03A3">
        <w:pPr>
          <w:pStyle w:val="Footer"/>
          <w:jc w:val="right"/>
        </w:pPr>
        <w:r>
          <w:fldChar w:fldCharType="begin"/>
        </w:r>
        <w:r>
          <w:instrText xml:space="preserve"> PAGE   \* MERGEFORMAT </w:instrText>
        </w:r>
        <w:r>
          <w:fldChar w:fldCharType="separate"/>
        </w:r>
        <w:r w:rsidR="00664950">
          <w:rPr>
            <w:noProof/>
          </w:rPr>
          <w:t>7</w:t>
        </w:r>
        <w:r>
          <w:rPr>
            <w:noProof/>
          </w:rPr>
          <w:fldChar w:fldCharType="end"/>
        </w:r>
      </w:p>
    </w:sdtContent>
  </w:sdt>
  <w:p w:rsidR="004E03A3" w:rsidRDefault="004E0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E97" w:rsidRDefault="00694E97" w:rsidP="008C3138">
      <w:r>
        <w:separator/>
      </w:r>
    </w:p>
  </w:footnote>
  <w:footnote w:type="continuationSeparator" w:id="0">
    <w:p w:rsidR="00694E97" w:rsidRDefault="00694E97" w:rsidP="008C31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03A3" w:rsidRPr="008C3138" w:rsidRDefault="004E03A3">
    <w:pPr>
      <w:pStyle w:val="Header"/>
      <w:rPr>
        <w:rFonts w:ascii="Times New Roman" w:hAnsi="Times New Roman" w:cs="Times New Roman"/>
        <w:sz w:val="24"/>
        <w:szCs w:val="24"/>
      </w:rPr>
    </w:pPr>
    <w:r>
      <w:rPr>
        <w:rFonts w:ascii="Times New Roman" w:hAnsi="Times New Roman" w:cs="Times New Roman"/>
        <w:sz w:val="24"/>
        <w:szCs w:val="24"/>
      </w:rPr>
      <w:t>Lauren Bird- Hall- 1500137</w:t>
    </w:r>
  </w:p>
  <w:p w:rsidR="004E03A3" w:rsidRDefault="004E03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D16DB"/>
    <w:multiLevelType w:val="hybridMultilevel"/>
    <w:tmpl w:val="0A3261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952F4"/>
    <w:multiLevelType w:val="hybridMultilevel"/>
    <w:tmpl w:val="2B6AD49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981E0C"/>
    <w:multiLevelType w:val="hybridMultilevel"/>
    <w:tmpl w:val="D6F0342E"/>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9D76932"/>
    <w:multiLevelType w:val="hybridMultilevel"/>
    <w:tmpl w:val="DDEEAD3C"/>
    <w:lvl w:ilvl="0" w:tplc="B134914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6F5A54"/>
    <w:multiLevelType w:val="hybridMultilevel"/>
    <w:tmpl w:val="34D66D2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C928AA"/>
    <w:multiLevelType w:val="hybridMultilevel"/>
    <w:tmpl w:val="55340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515740"/>
    <w:multiLevelType w:val="hybridMultilevel"/>
    <w:tmpl w:val="D0BA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8E4C6C"/>
    <w:multiLevelType w:val="hybridMultilevel"/>
    <w:tmpl w:val="1368E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7"/>
  </w:num>
  <w:num w:numId="4">
    <w:abstractNumId w:val="4"/>
  </w:num>
  <w:num w:numId="5">
    <w:abstractNumId w:val="1"/>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92B"/>
    <w:rsid w:val="00015A58"/>
    <w:rsid w:val="0002679A"/>
    <w:rsid w:val="00037123"/>
    <w:rsid w:val="00047F1D"/>
    <w:rsid w:val="00074B9B"/>
    <w:rsid w:val="00081E9B"/>
    <w:rsid w:val="00082390"/>
    <w:rsid w:val="00091506"/>
    <w:rsid w:val="0009192F"/>
    <w:rsid w:val="0009380C"/>
    <w:rsid w:val="00096441"/>
    <w:rsid w:val="000B01B5"/>
    <w:rsid w:val="000C792B"/>
    <w:rsid w:val="000D343C"/>
    <w:rsid w:val="000D4C9B"/>
    <w:rsid w:val="000F21FC"/>
    <w:rsid w:val="0010014C"/>
    <w:rsid w:val="001438B0"/>
    <w:rsid w:val="00157DB5"/>
    <w:rsid w:val="00162CC4"/>
    <w:rsid w:val="00183FCC"/>
    <w:rsid w:val="0018650B"/>
    <w:rsid w:val="001C3941"/>
    <w:rsid w:val="001C7D8E"/>
    <w:rsid w:val="001D0044"/>
    <w:rsid w:val="001D6B5F"/>
    <w:rsid w:val="001E7867"/>
    <w:rsid w:val="00203BFE"/>
    <w:rsid w:val="00215617"/>
    <w:rsid w:val="00231F6B"/>
    <w:rsid w:val="002373E7"/>
    <w:rsid w:val="002448C6"/>
    <w:rsid w:val="002458D6"/>
    <w:rsid w:val="00246F6E"/>
    <w:rsid w:val="00272D1F"/>
    <w:rsid w:val="002756E1"/>
    <w:rsid w:val="00280FFE"/>
    <w:rsid w:val="00290994"/>
    <w:rsid w:val="002B1A22"/>
    <w:rsid w:val="002C0495"/>
    <w:rsid w:val="002F0B10"/>
    <w:rsid w:val="002F3B46"/>
    <w:rsid w:val="002F733A"/>
    <w:rsid w:val="00300E69"/>
    <w:rsid w:val="00303E66"/>
    <w:rsid w:val="00310CD4"/>
    <w:rsid w:val="0031110D"/>
    <w:rsid w:val="00320099"/>
    <w:rsid w:val="003300AB"/>
    <w:rsid w:val="00334F87"/>
    <w:rsid w:val="00345E24"/>
    <w:rsid w:val="003829BF"/>
    <w:rsid w:val="00386C32"/>
    <w:rsid w:val="003921D8"/>
    <w:rsid w:val="00393A46"/>
    <w:rsid w:val="003A08FF"/>
    <w:rsid w:val="003C4CDB"/>
    <w:rsid w:val="003E57DA"/>
    <w:rsid w:val="00400306"/>
    <w:rsid w:val="0042508B"/>
    <w:rsid w:val="00427A81"/>
    <w:rsid w:val="00437F8B"/>
    <w:rsid w:val="00450A0E"/>
    <w:rsid w:val="004740CD"/>
    <w:rsid w:val="004761F7"/>
    <w:rsid w:val="00480A1A"/>
    <w:rsid w:val="0049498E"/>
    <w:rsid w:val="004A61F4"/>
    <w:rsid w:val="004B1C9A"/>
    <w:rsid w:val="004C0EF2"/>
    <w:rsid w:val="004C216B"/>
    <w:rsid w:val="004E03A3"/>
    <w:rsid w:val="004E3E38"/>
    <w:rsid w:val="005072B1"/>
    <w:rsid w:val="0051243A"/>
    <w:rsid w:val="00575EBC"/>
    <w:rsid w:val="0058133D"/>
    <w:rsid w:val="00584370"/>
    <w:rsid w:val="00585E3D"/>
    <w:rsid w:val="005A5ED8"/>
    <w:rsid w:val="005B04EF"/>
    <w:rsid w:val="005C0F46"/>
    <w:rsid w:val="005C593F"/>
    <w:rsid w:val="005C5FBC"/>
    <w:rsid w:val="005D5659"/>
    <w:rsid w:val="0064470D"/>
    <w:rsid w:val="00650BA4"/>
    <w:rsid w:val="00664950"/>
    <w:rsid w:val="00673E0E"/>
    <w:rsid w:val="00682F1B"/>
    <w:rsid w:val="00683B64"/>
    <w:rsid w:val="00694E97"/>
    <w:rsid w:val="006C7519"/>
    <w:rsid w:val="006C7A83"/>
    <w:rsid w:val="006D3C4F"/>
    <w:rsid w:val="006F1732"/>
    <w:rsid w:val="007120D3"/>
    <w:rsid w:val="007221C6"/>
    <w:rsid w:val="00732AC7"/>
    <w:rsid w:val="00745A08"/>
    <w:rsid w:val="00750FC6"/>
    <w:rsid w:val="00754C8F"/>
    <w:rsid w:val="0077521A"/>
    <w:rsid w:val="0078009F"/>
    <w:rsid w:val="007925DC"/>
    <w:rsid w:val="0079508D"/>
    <w:rsid w:val="007C6836"/>
    <w:rsid w:val="00807DEB"/>
    <w:rsid w:val="0083128D"/>
    <w:rsid w:val="00856CED"/>
    <w:rsid w:val="00864751"/>
    <w:rsid w:val="008801F9"/>
    <w:rsid w:val="008954BC"/>
    <w:rsid w:val="008A177C"/>
    <w:rsid w:val="008C2D86"/>
    <w:rsid w:val="008C3138"/>
    <w:rsid w:val="008C7798"/>
    <w:rsid w:val="008E0557"/>
    <w:rsid w:val="009100D5"/>
    <w:rsid w:val="009109A6"/>
    <w:rsid w:val="009403B5"/>
    <w:rsid w:val="0094439D"/>
    <w:rsid w:val="00955984"/>
    <w:rsid w:val="0096201F"/>
    <w:rsid w:val="00985EE8"/>
    <w:rsid w:val="009B78FC"/>
    <w:rsid w:val="009D44A3"/>
    <w:rsid w:val="00A0305C"/>
    <w:rsid w:val="00A25A9A"/>
    <w:rsid w:val="00A36CB5"/>
    <w:rsid w:val="00A555E1"/>
    <w:rsid w:val="00A5673F"/>
    <w:rsid w:val="00A705EF"/>
    <w:rsid w:val="00A7127D"/>
    <w:rsid w:val="00AA300B"/>
    <w:rsid w:val="00AC16E3"/>
    <w:rsid w:val="00AE5295"/>
    <w:rsid w:val="00B0043A"/>
    <w:rsid w:val="00B0158A"/>
    <w:rsid w:val="00B01FA3"/>
    <w:rsid w:val="00B37453"/>
    <w:rsid w:val="00B6513C"/>
    <w:rsid w:val="00B73A3E"/>
    <w:rsid w:val="00B93CF3"/>
    <w:rsid w:val="00BB11DE"/>
    <w:rsid w:val="00BB153F"/>
    <w:rsid w:val="00BB24EC"/>
    <w:rsid w:val="00BC19C8"/>
    <w:rsid w:val="00BC2CF4"/>
    <w:rsid w:val="00BD598C"/>
    <w:rsid w:val="00BE2A57"/>
    <w:rsid w:val="00BF44A1"/>
    <w:rsid w:val="00C00EAB"/>
    <w:rsid w:val="00C020C9"/>
    <w:rsid w:val="00C1074A"/>
    <w:rsid w:val="00C50C35"/>
    <w:rsid w:val="00C5229C"/>
    <w:rsid w:val="00C52F6E"/>
    <w:rsid w:val="00C95125"/>
    <w:rsid w:val="00CA11A6"/>
    <w:rsid w:val="00CA3AE1"/>
    <w:rsid w:val="00CA532F"/>
    <w:rsid w:val="00CC209E"/>
    <w:rsid w:val="00CF5D24"/>
    <w:rsid w:val="00CF7080"/>
    <w:rsid w:val="00CF77FB"/>
    <w:rsid w:val="00CF7CFE"/>
    <w:rsid w:val="00D1151D"/>
    <w:rsid w:val="00D3442A"/>
    <w:rsid w:val="00D60C30"/>
    <w:rsid w:val="00D62CA2"/>
    <w:rsid w:val="00D8718B"/>
    <w:rsid w:val="00DB45B5"/>
    <w:rsid w:val="00DB6861"/>
    <w:rsid w:val="00DC441C"/>
    <w:rsid w:val="00DD2046"/>
    <w:rsid w:val="00DE1C86"/>
    <w:rsid w:val="00E02A36"/>
    <w:rsid w:val="00E0302F"/>
    <w:rsid w:val="00E17295"/>
    <w:rsid w:val="00E27090"/>
    <w:rsid w:val="00E43323"/>
    <w:rsid w:val="00E444F4"/>
    <w:rsid w:val="00E45BCF"/>
    <w:rsid w:val="00E5787C"/>
    <w:rsid w:val="00E84BC2"/>
    <w:rsid w:val="00EA624E"/>
    <w:rsid w:val="00EB49F6"/>
    <w:rsid w:val="00F0315D"/>
    <w:rsid w:val="00F27B9E"/>
    <w:rsid w:val="00F32195"/>
    <w:rsid w:val="00F33827"/>
    <w:rsid w:val="00F40376"/>
    <w:rsid w:val="00F44E4C"/>
    <w:rsid w:val="00F63EAF"/>
    <w:rsid w:val="00F65856"/>
    <w:rsid w:val="00F84E8A"/>
    <w:rsid w:val="00F90B73"/>
    <w:rsid w:val="00FA2997"/>
    <w:rsid w:val="00FD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342D8"/>
  <w15:chartTrackingRefBased/>
  <w15:docId w15:val="{FA992E40-1E97-473E-811E-D90BCC176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138"/>
    <w:pPr>
      <w:tabs>
        <w:tab w:val="center" w:pos="4513"/>
        <w:tab w:val="right" w:pos="9026"/>
      </w:tabs>
    </w:pPr>
  </w:style>
  <w:style w:type="character" w:customStyle="1" w:styleId="HeaderChar">
    <w:name w:val="Header Char"/>
    <w:basedOn w:val="DefaultParagraphFont"/>
    <w:link w:val="Header"/>
    <w:uiPriority w:val="99"/>
    <w:rsid w:val="008C3138"/>
  </w:style>
  <w:style w:type="paragraph" w:styleId="Footer">
    <w:name w:val="footer"/>
    <w:basedOn w:val="Normal"/>
    <w:link w:val="FooterChar"/>
    <w:uiPriority w:val="99"/>
    <w:unhideWhenUsed/>
    <w:rsid w:val="008C3138"/>
    <w:pPr>
      <w:tabs>
        <w:tab w:val="center" w:pos="4513"/>
        <w:tab w:val="right" w:pos="9026"/>
      </w:tabs>
    </w:pPr>
  </w:style>
  <w:style w:type="character" w:customStyle="1" w:styleId="FooterChar">
    <w:name w:val="Footer Char"/>
    <w:basedOn w:val="DefaultParagraphFont"/>
    <w:link w:val="Footer"/>
    <w:uiPriority w:val="99"/>
    <w:rsid w:val="008C3138"/>
  </w:style>
  <w:style w:type="paragraph" w:styleId="FootnoteText">
    <w:name w:val="footnote text"/>
    <w:basedOn w:val="Normal"/>
    <w:link w:val="FootnoteTextChar"/>
    <w:uiPriority w:val="99"/>
    <w:semiHidden/>
    <w:unhideWhenUsed/>
    <w:rsid w:val="00985EE8"/>
    <w:rPr>
      <w:sz w:val="20"/>
      <w:szCs w:val="20"/>
    </w:rPr>
  </w:style>
  <w:style w:type="character" w:customStyle="1" w:styleId="FootnoteTextChar">
    <w:name w:val="Footnote Text Char"/>
    <w:basedOn w:val="DefaultParagraphFont"/>
    <w:link w:val="FootnoteText"/>
    <w:uiPriority w:val="99"/>
    <w:semiHidden/>
    <w:rsid w:val="00985EE8"/>
    <w:rPr>
      <w:sz w:val="20"/>
      <w:szCs w:val="20"/>
    </w:rPr>
  </w:style>
  <w:style w:type="character" w:styleId="FootnoteReference">
    <w:name w:val="footnote reference"/>
    <w:basedOn w:val="DefaultParagraphFont"/>
    <w:uiPriority w:val="99"/>
    <w:semiHidden/>
    <w:unhideWhenUsed/>
    <w:rsid w:val="00985EE8"/>
    <w:rPr>
      <w:vertAlign w:val="superscript"/>
    </w:rPr>
  </w:style>
  <w:style w:type="paragraph" w:styleId="ListParagraph">
    <w:name w:val="List Paragraph"/>
    <w:basedOn w:val="Normal"/>
    <w:uiPriority w:val="34"/>
    <w:qFormat/>
    <w:rsid w:val="00D60C30"/>
    <w:pPr>
      <w:ind w:left="720"/>
      <w:contextualSpacing/>
    </w:pPr>
  </w:style>
  <w:style w:type="character" w:styleId="Hyperlink">
    <w:name w:val="Hyperlink"/>
    <w:basedOn w:val="DefaultParagraphFont"/>
    <w:uiPriority w:val="99"/>
    <w:unhideWhenUsed/>
    <w:rsid w:val="00310CD4"/>
    <w:rPr>
      <w:color w:val="0563C1" w:themeColor="hyperlink"/>
      <w:u w:val="single"/>
    </w:rPr>
  </w:style>
  <w:style w:type="character" w:styleId="UnresolvedMention">
    <w:name w:val="Unresolved Mention"/>
    <w:basedOn w:val="DefaultParagraphFont"/>
    <w:uiPriority w:val="99"/>
    <w:semiHidden/>
    <w:unhideWhenUsed/>
    <w:rsid w:val="00310C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archaeology.org/online/interviews/kemp.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amarnaproj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463B0-FF92-4BC2-83DB-6C41CFDB4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1135</TotalTime>
  <Pages>7</Pages>
  <Words>2180</Words>
  <Characters>12430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dc:creator>
  <cp:keywords/>
  <dc:description/>
  <cp:lastModifiedBy>Lauren Hall</cp:lastModifiedBy>
  <cp:revision>108</cp:revision>
  <dcterms:created xsi:type="dcterms:W3CDTF">2017-11-09T15:23:00Z</dcterms:created>
  <dcterms:modified xsi:type="dcterms:W3CDTF">2017-11-16T12:30:00Z</dcterms:modified>
</cp:coreProperties>
</file>