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CFCDED" w14:textId="77777777" w:rsidR="001357A2" w:rsidRPr="001357A2" w:rsidRDefault="001357A2" w:rsidP="001357A2">
      <w:pPr>
        <w:rPr>
          <w:b/>
          <w:bCs/>
        </w:rPr>
      </w:pPr>
      <w:r w:rsidRPr="001357A2">
        <w:rPr>
          <w:b/>
          <w:bCs/>
        </w:rPr>
        <w:t>Methodological Considerations</w:t>
      </w:r>
    </w:p>
    <w:p w14:paraId="7C1BECF6" w14:textId="7FB0C270" w:rsidR="001357A2" w:rsidRPr="001357A2" w:rsidRDefault="001357A2" w:rsidP="001357A2">
      <w:r w:rsidRPr="001357A2">
        <w:t xml:space="preserve">This research project adopts a qualitative methodology, underpinned by a constructivist paradigm, to explore whether children learn better through play-based learning (PBL). A qualitative approach is particularly suited to investigating the intricate and socially constructed nature of early years education. Unlike quantitative research, which focuses on numerical data and statistical analysis, qualitative methods prioritise depth and meaning, capturing the subjective experiences and perspectives of participants (Cohen, Manion and Morrison, 2018). This is especially valuable in early childhood contexts where learners’ developmental progress is multidimensional and influenced by social, emotional, and cultural </w:t>
      </w:r>
      <w:r w:rsidR="005E39A4">
        <w:t>factors</w:t>
      </w:r>
      <w:r w:rsidRPr="001357A2">
        <w:t>.</w:t>
      </w:r>
    </w:p>
    <w:p w14:paraId="565EA0D6" w14:textId="77777777" w:rsidR="001357A2" w:rsidRPr="001357A2" w:rsidRDefault="001357A2" w:rsidP="001357A2">
      <w:pPr>
        <w:rPr>
          <w:b/>
          <w:bCs/>
        </w:rPr>
      </w:pPr>
      <w:r w:rsidRPr="001357A2">
        <w:rPr>
          <w:b/>
          <w:bCs/>
        </w:rPr>
        <w:t>Sample</w:t>
      </w:r>
    </w:p>
    <w:p w14:paraId="074D1B2C" w14:textId="77777777" w:rsidR="001357A2" w:rsidRPr="001357A2" w:rsidRDefault="001357A2" w:rsidP="001357A2">
      <w:r w:rsidRPr="001357A2">
        <w:t>The sample for this study will consist of six early years practitioners employed within a maintained nursery school in South Wales. Participants will be selected using purposive sampling, a type of non-probability sampling in which individuals are chosen based on specific characteristics and relevance to the research topic (</w:t>
      </w:r>
      <w:proofErr w:type="spellStart"/>
      <w:r w:rsidRPr="001357A2">
        <w:t>Etikan</w:t>
      </w:r>
      <w:proofErr w:type="spellEnd"/>
      <w:r w:rsidRPr="001357A2">
        <w:t xml:space="preserve">, Musa and </w:t>
      </w:r>
      <w:proofErr w:type="spellStart"/>
      <w:r w:rsidRPr="001357A2">
        <w:t>Alkassim</w:t>
      </w:r>
      <w:proofErr w:type="spellEnd"/>
      <w:r w:rsidRPr="001357A2">
        <w:t>, 2016). All participants will have a minimum of one year’s experience delivering play-based learning under the Curriculum for Wales or EYFS framework.</w:t>
      </w:r>
    </w:p>
    <w:p w14:paraId="341809E7" w14:textId="77777777" w:rsidR="001357A2" w:rsidRPr="001357A2" w:rsidRDefault="001357A2" w:rsidP="001357A2">
      <w:r w:rsidRPr="001357A2">
        <w:t>This sample size, while small, is appropriate for qualitative research, where the goal is to achieve depth rather than breadth (Denscombe, 2021). The selected practitioners are likely to provide rich, experience-based insights into the implementation and perceived outcomes of PBL in their settings. Children and parents were not included in the sample due to ethical and logistical considerations. Gaining informed consent from children, alongside ensuring safeguarding measures, introduces complex variables that are beyond the current scope. Similarly, while parents could offer valuable perspectives, they do not have direct pedagogical responsibility, which limits the relevance of their contributions to the core research aim.</w:t>
      </w:r>
    </w:p>
    <w:p w14:paraId="1940AF1F" w14:textId="77777777" w:rsidR="001357A2" w:rsidRPr="001357A2" w:rsidRDefault="001357A2" w:rsidP="001357A2">
      <w:r w:rsidRPr="001357A2">
        <w:t>Purposive sampling was selected over random or stratified sampling as it allows the researcher to draw from a targeted population with expertise in the research subject. Probability-based methods, although valuable in large-scale studies aiming for generalisability, are less suited to the context of small-scale, in-depth educational research where understanding participant perspectives is key (Silverman, 2020).</w:t>
      </w:r>
    </w:p>
    <w:p w14:paraId="618B07AF" w14:textId="77777777" w:rsidR="001357A2" w:rsidRPr="001357A2" w:rsidRDefault="001357A2" w:rsidP="001357A2">
      <w:pPr>
        <w:rPr>
          <w:b/>
          <w:bCs/>
        </w:rPr>
      </w:pPr>
      <w:r w:rsidRPr="001357A2">
        <w:rPr>
          <w:b/>
          <w:bCs/>
        </w:rPr>
        <w:t>Chosen Method</w:t>
      </w:r>
    </w:p>
    <w:p w14:paraId="2DB2B318" w14:textId="77777777" w:rsidR="001357A2" w:rsidRPr="001357A2" w:rsidRDefault="001357A2" w:rsidP="001357A2">
      <w:r w:rsidRPr="001357A2">
        <w:t xml:space="preserve">The primary method of data collection will be semi-structured interviews. These are widely used in educational research because they strike a balance between flexibility and consistency. A set of open-ended questions will guide the conversation, allowing for probing where necessary to clarify responses or explore emerging themes (King and Horrocks, 2010). Interviews will be conducted in a private setting within the nursery </w:t>
      </w:r>
      <w:r w:rsidRPr="001357A2">
        <w:lastRenderedPageBreak/>
        <w:t>environment to ensure confidentiality and reduce participant anxiety. Each will last between 30 and 45 minutes and will be audio-recorded and transcribed with participant consent.</w:t>
      </w:r>
    </w:p>
    <w:p w14:paraId="3B8D767C" w14:textId="77777777" w:rsidR="001357A2" w:rsidRPr="001357A2" w:rsidRDefault="001357A2" w:rsidP="001357A2">
      <w:r w:rsidRPr="001357A2">
        <w:t>Semi-structured interviews were chosen over other qualitative methods such as unstructured interviews or focus groups for several reasons. Unstructured interviews, while open-ended, may not provide sufficient focus to ensure all research objectives are addressed. Focus groups, though useful for generating discussion, can be influenced by group dynamics and may inhibit individual participants from expressing honest or critical views (Bryman, 2016).</w:t>
      </w:r>
    </w:p>
    <w:p w14:paraId="3D0759ED" w14:textId="77777777" w:rsidR="001357A2" w:rsidRPr="001357A2" w:rsidRDefault="001357A2" w:rsidP="001357A2">
      <w:r w:rsidRPr="001357A2">
        <w:t>Observations and questionnaires were also considered but ultimately rejected. Observations would require sustained access to classroom settings and may compromise the naturalness of children's interactions due to the researcher's presence. They also raise ethical challenges related to filming or recording young children. Questionnaires, typically more suited to quantitative research, offer limited scope for exploring nuanced perspectives. As such, semi-structured interviews were deemed the most appropriate tool for accessing the rich, contextual data required for this study (Denscombe, 2021).</w:t>
      </w:r>
    </w:p>
    <w:p w14:paraId="5E119BA2" w14:textId="77777777" w:rsidR="001357A2" w:rsidRPr="001357A2" w:rsidRDefault="001357A2" w:rsidP="001357A2">
      <w:pPr>
        <w:rPr>
          <w:b/>
          <w:bCs/>
        </w:rPr>
      </w:pPr>
      <w:r w:rsidRPr="001357A2">
        <w:rPr>
          <w:b/>
          <w:bCs/>
        </w:rPr>
        <w:t>Limitations and Biases</w:t>
      </w:r>
    </w:p>
    <w:p w14:paraId="648C7B14" w14:textId="77777777" w:rsidR="001357A2" w:rsidRPr="001357A2" w:rsidRDefault="001357A2" w:rsidP="001357A2">
      <w:r w:rsidRPr="001357A2">
        <w:t>Despite their strengths, semi-structured interviews are not without limitations. One of the key concerns is the potential for social desirability bias, where participants may provide responses they perceive as professionally acceptable rather than completely truthful (Robson and McCartan, 2016). This is particularly relevant in educational contexts where practitioners may feel pressure to present themselves or their practice in a positive light.</w:t>
      </w:r>
    </w:p>
    <w:p w14:paraId="7C5A9750" w14:textId="77777777" w:rsidR="001357A2" w:rsidRPr="001357A2" w:rsidRDefault="001357A2" w:rsidP="001357A2">
      <w:r w:rsidRPr="001357A2">
        <w:t>Additionally, the Hawthorne Effect may influence participant responses. This phenomenon occurs when individuals alter their behaviour or answers because they are aware of being observed or studied (McCambridge, Witton and Elbourne, 2014). To mitigate this, the researcher will clearly communicate the purpose of the study, ensure confidentiality, and create a comfortable interview environment. The Halo Effect is another risk, whereby the researcher's perceptions of the participant influence the interpretation of data. To counter this, interview data will be transcribed and coded systematically, and peer checking will be employed where feasible.</w:t>
      </w:r>
    </w:p>
    <w:p w14:paraId="3A6BCB3A" w14:textId="77777777" w:rsidR="001357A2" w:rsidRPr="001357A2" w:rsidRDefault="001357A2" w:rsidP="001357A2">
      <w:r w:rsidRPr="001357A2">
        <w:t>Another limitation relates to the small, context-specific sample, which limits the generalisability of findings. However, qualitative research does not aim for statistical generalisation but rather for analytic generalisation, whereby insights can inform practice in similar contexts (Patton, 2015).</w:t>
      </w:r>
    </w:p>
    <w:p w14:paraId="546050F4" w14:textId="77777777" w:rsidR="001357A2" w:rsidRPr="001357A2" w:rsidRDefault="001357A2" w:rsidP="001357A2">
      <w:pPr>
        <w:rPr>
          <w:b/>
          <w:bCs/>
        </w:rPr>
      </w:pPr>
      <w:r w:rsidRPr="001357A2">
        <w:rPr>
          <w:b/>
          <w:bCs/>
        </w:rPr>
        <w:t>Triangulation</w:t>
      </w:r>
    </w:p>
    <w:p w14:paraId="0E0E752A" w14:textId="77777777" w:rsidR="001357A2" w:rsidRPr="001357A2" w:rsidRDefault="001357A2" w:rsidP="001357A2">
      <w:r w:rsidRPr="001357A2">
        <w:lastRenderedPageBreak/>
        <w:t>Triangulation enhances the credibility and reliability of qualitative research by integrating multiple data sources, methods, or researchers (Flick, 2018). Although this study will not employ methodological triangulation due to time and resource constraints, it will incorporate analyst triangulation. This involves a second researcher reviewing the interview transcripts and coding, thereby reducing individual bias in the interpretation of findings.</w:t>
      </w:r>
    </w:p>
    <w:p w14:paraId="5BB17B89" w14:textId="77777777" w:rsidR="001357A2" w:rsidRPr="001357A2" w:rsidRDefault="001357A2" w:rsidP="001357A2">
      <w:r w:rsidRPr="001357A2">
        <w:t>Data will also be cross-referenced with relevant literature on PBL to ensure consistency between empirical findings and existing research. This approach supports a higher level of validity by demonstrating that the data is grounded both in participant experiences and in established theory (Silverman, 2020).</w:t>
      </w:r>
    </w:p>
    <w:p w14:paraId="42DD2836" w14:textId="77777777" w:rsidR="001357A2" w:rsidRPr="001357A2" w:rsidRDefault="001357A2" w:rsidP="001357A2">
      <w:pPr>
        <w:rPr>
          <w:b/>
          <w:bCs/>
        </w:rPr>
      </w:pPr>
      <w:r w:rsidRPr="001357A2">
        <w:rPr>
          <w:b/>
          <w:bCs/>
        </w:rPr>
        <w:t>Ethical Considerations</w:t>
      </w:r>
    </w:p>
    <w:p w14:paraId="395C799B" w14:textId="77777777" w:rsidR="001357A2" w:rsidRPr="001357A2" w:rsidRDefault="001357A2" w:rsidP="001357A2">
      <w:r w:rsidRPr="001357A2">
        <w:t>Ethical integrity is fundamental in conducting research, particularly when it involves professionals working with children. Ethical approval will be obtained through the appropriate institutional procedures. Participants will receive detailed information sheets and consent forms outlining their right to withdraw at any time, assurances of confidentiality, and the use of data solely for academic purposes.</w:t>
      </w:r>
    </w:p>
    <w:p w14:paraId="2BB20EEB" w14:textId="77777777" w:rsidR="001357A2" w:rsidRPr="001357A2" w:rsidRDefault="001357A2" w:rsidP="001357A2">
      <w:r w:rsidRPr="001357A2">
        <w:t>Additionally, care will be taken to ensure that the data collected is stored securely in line with GDPR and the Data Protection Act (2018). Audio recordings and transcripts will be anonymised and kept in password-protected files. Participants will also be invited to review their interview transcripts to verify accuracy and provide any additional insights, a process known as member checking, which supports the credibility of the research (Bryman, 2016).</w:t>
      </w:r>
    </w:p>
    <w:p w14:paraId="68F31E84" w14:textId="77777777" w:rsidR="001357A2" w:rsidRPr="001357A2" w:rsidRDefault="001357A2" w:rsidP="001357A2">
      <w:r w:rsidRPr="001357A2">
        <w:t>Transparency and respect for participant autonomy will be prioritised throughout the research process. Building trust is essential to obtaining honest and meaningful responses, particularly when addressing sensitive issues such as pedagogical effectiveness or professional challenges in early years practice.</w:t>
      </w:r>
    </w:p>
    <w:p w14:paraId="51E6A34A" w14:textId="77777777" w:rsidR="001357A2" w:rsidRPr="001357A2" w:rsidRDefault="001357A2" w:rsidP="001357A2">
      <w:pPr>
        <w:rPr>
          <w:b/>
          <w:bCs/>
        </w:rPr>
      </w:pPr>
      <w:r w:rsidRPr="001357A2">
        <w:rPr>
          <w:b/>
          <w:bCs/>
        </w:rPr>
        <w:t>Justification of Research Design</w:t>
      </w:r>
    </w:p>
    <w:p w14:paraId="181338F5" w14:textId="77777777" w:rsidR="001357A2" w:rsidRPr="001357A2" w:rsidRDefault="001357A2" w:rsidP="001357A2">
      <w:r w:rsidRPr="001357A2">
        <w:t>This qualitative research design is well-suited to the study’s aim of understanding whether children learn better through PBL. It allows for in-depth exploration of practitioner beliefs and experiences, which are essential in unpacking how PBL is implemented and perceived in early years settings. By using purposive sampling and semi-structured interviews, the study balances structure with flexibility, providing a coherent yet adaptable framework for gathering meaningful data.</w:t>
      </w:r>
    </w:p>
    <w:p w14:paraId="347CD823" w14:textId="77777777" w:rsidR="001357A2" w:rsidRPr="001357A2" w:rsidRDefault="001357A2" w:rsidP="001357A2">
      <w:r w:rsidRPr="001357A2">
        <w:t>In rejecting other methods such as large-scale surveys or structured observations, the researcher prioritises depth and relevance over breadth and generalisability. The inclusion of triangulation and clear ethical safeguards further strengthens the integrity of the research process.</w:t>
      </w:r>
    </w:p>
    <w:p w14:paraId="347C74FB" w14:textId="77777777" w:rsidR="001357A2" w:rsidRPr="001357A2" w:rsidRDefault="001357A2" w:rsidP="001357A2">
      <w:r w:rsidRPr="001357A2">
        <w:lastRenderedPageBreak/>
        <w:t>Furthermore, this design acknowledges the dynamic and socially constructed nature of early learning environments. It values the voices of practitioners and seeks to represent the complexity of their work, which is often reduced in purely outcomes-focused evaluations.</w:t>
      </w:r>
    </w:p>
    <w:p w14:paraId="25A098DA" w14:textId="77777777" w:rsidR="001357A2" w:rsidRPr="001357A2" w:rsidRDefault="001357A2" w:rsidP="001357A2">
      <w:r w:rsidRPr="001357A2">
        <w:t>In conclusion, this methodological approach is grounded in robust academic principles and tailored to the specific demands of early years research. It enables a contextually rich investigation into PBL, with the potential to inform both practice and policy. Through thoughtful design, rigorous ethics, and reflective analysis, the study will contribute valuable insights into how play-based learning shapes educational outcomes in early childhood settings.</w:t>
      </w:r>
    </w:p>
    <w:p w14:paraId="067DADE8" w14:textId="77777777" w:rsidR="001357A2" w:rsidRDefault="001357A2"/>
    <w:sectPr w:rsidR="001357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7A2"/>
    <w:rsid w:val="001357A2"/>
    <w:rsid w:val="005E39A4"/>
    <w:rsid w:val="00DD01E4"/>
    <w:rsid w:val="00FB01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2237B"/>
  <w15:chartTrackingRefBased/>
  <w15:docId w15:val="{485FC17A-7F5D-4318-B619-50F646CFD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57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57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57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57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57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57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57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57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57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7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57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57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57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57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57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57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57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57A2"/>
    <w:rPr>
      <w:rFonts w:eastAsiaTheme="majorEastAsia" w:cstheme="majorBidi"/>
      <w:color w:val="272727" w:themeColor="text1" w:themeTint="D8"/>
    </w:rPr>
  </w:style>
  <w:style w:type="paragraph" w:styleId="Title">
    <w:name w:val="Title"/>
    <w:basedOn w:val="Normal"/>
    <w:next w:val="Normal"/>
    <w:link w:val="TitleChar"/>
    <w:uiPriority w:val="10"/>
    <w:qFormat/>
    <w:rsid w:val="001357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57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57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57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57A2"/>
    <w:pPr>
      <w:spacing w:before="160"/>
      <w:jc w:val="center"/>
    </w:pPr>
    <w:rPr>
      <w:i/>
      <w:iCs/>
      <w:color w:val="404040" w:themeColor="text1" w:themeTint="BF"/>
    </w:rPr>
  </w:style>
  <w:style w:type="character" w:customStyle="1" w:styleId="QuoteChar">
    <w:name w:val="Quote Char"/>
    <w:basedOn w:val="DefaultParagraphFont"/>
    <w:link w:val="Quote"/>
    <w:uiPriority w:val="29"/>
    <w:rsid w:val="001357A2"/>
    <w:rPr>
      <w:i/>
      <w:iCs/>
      <w:color w:val="404040" w:themeColor="text1" w:themeTint="BF"/>
    </w:rPr>
  </w:style>
  <w:style w:type="paragraph" w:styleId="ListParagraph">
    <w:name w:val="List Paragraph"/>
    <w:basedOn w:val="Normal"/>
    <w:uiPriority w:val="34"/>
    <w:qFormat/>
    <w:rsid w:val="001357A2"/>
    <w:pPr>
      <w:ind w:left="720"/>
      <w:contextualSpacing/>
    </w:pPr>
  </w:style>
  <w:style w:type="character" w:styleId="IntenseEmphasis">
    <w:name w:val="Intense Emphasis"/>
    <w:basedOn w:val="DefaultParagraphFont"/>
    <w:uiPriority w:val="21"/>
    <w:qFormat/>
    <w:rsid w:val="001357A2"/>
    <w:rPr>
      <w:i/>
      <w:iCs/>
      <w:color w:val="0F4761" w:themeColor="accent1" w:themeShade="BF"/>
    </w:rPr>
  </w:style>
  <w:style w:type="paragraph" w:styleId="IntenseQuote">
    <w:name w:val="Intense Quote"/>
    <w:basedOn w:val="Normal"/>
    <w:next w:val="Normal"/>
    <w:link w:val="IntenseQuoteChar"/>
    <w:uiPriority w:val="30"/>
    <w:qFormat/>
    <w:rsid w:val="001357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57A2"/>
    <w:rPr>
      <w:i/>
      <w:iCs/>
      <w:color w:val="0F4761" w:themeColor="accent1" w:themeShade="BF"/>
    </w:rPr>
  </w:style>
  <w:style w:type="character" w:styleId="IntenseReference">
    <w:name w:val="Intense Reference"/>
    <w:basedOn w:val="DefaultParagraphFont"/>
    <w:uiPriority w:val="32"/>
    <w:qFormat/>
    <w:rsid w:val="001357A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7867976">
      <w:bodyDiv w:val="1"/>
      <w:marLeft w:val="0"/>
      <w:marRight w:val="0"/>
      <w:marTop w:val="0"/>
      <w:marBottom w:val="0"/>
      <w:divBdr>
        <w:top w:val="none" w:sz="0" w:space="0" w:color="auto"/>
        <w:left w:val="none" w:sz="0" w:space="0" w:color="auto"/>
        <w:bottom w:val="none" w:sz="0" w:space="0" w:color="auto"/>
        <w:right w:val="none" w:sz="0" w:space="0" w:color="auto"/>
      </w:divBdr>
    </w:div>
    <w:div w:id="1176849398">
      <w:bodyDiv w:val="1"/>
      <w:marLeft w:val="0"/>
      <w:marRight w:val="0"/>
      <w:marTop w:val="0"/>
      <w:marBottom w:val="0"/>
      <w:divBdr>
        <w:top w:val="none" w:sz="0" w:space="0" w:color="auto"/>
        <w:left w:val="none" w:sz="0" w:space="0" w:color="auto"/>
        <w:bottom w:val="none" w:sz="0" w:space="0" w:color="auto"/>
        <w:right w:val="none" w:sz="0" w:space="0" w:color="auto"/>
      </w:divBdr>
    </w:div>
    <w:div w:id="1213688492">
      <w:bodyDiv w:val="1"/>
      <w:marLeft w:val="0"/>
      <w:marRight w:val="0"/>
      <w:marTop w:val="0"/>
      <w:marBottom w:val="0"/>
      <w:divBdr>
        <w:top w:val="none" w:sz="0" w:space="0" w:color="auto"/>
        <w:left w:val="none" w:sz="0" w:space="0" w:color="auto"/>
        <w:bottom w:val="none" w:sz="0" w:space="0" w:color="auto"/>
        <w:right w:val="none" w:sz="0" w:space="0" w:color="auto"/>
      </w:divBdr>
    </w:div>
    <w:div w:id="1728410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TotalTime>
  <Pages>4</Pages>
  <Words>1344</Words>
  <Characters>7664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griffiths</dc:creator>
  <cp:keywords/>
  <dc:description/>
  <cp:lastModifiedBy>anna griffiths</cp:lastModifiedBy>
  <cp:revision>1</cp:revision>
  <dcterms:created xsi:type="dcterms:W3CDTF">2025-05-24T10:22:00Z</dcterms:created>
  <dcterms:modified xsi:type="dcterms:W3CDTF">2025-05-24T10:46:00Z</dcterms:modified>
</cp:coreProperties>
</file>