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42A90" w:rsidRDefault="00042A90">
      <w:pPr>
        <w:spacing w:line="480" w:lineRule="auto"/>
        <w:rPr>
          <w:b/>
          <w:sz w:val="32"/>
          <w:szCs w:val="32"/>
        </w:rPr>
      </w:pPr>
      <w:bookmarkStart w:id="0" w:name="_heading=h.gjdgxs" w:colFirst="0" w:colLast="0"/>
      <w:bookmarkEnd w:id="0"/>
    </w:p>
    <w:p w14:paraId="00000002" w14:textId="77777777" w:rsidR="00042A90" w:rsidRDefault="00042A90">
      <w:pPr>
        <w:spacing w:line="480" w:lineRule="auto"/>
        <w:rPr>
          <w:b/>
          <w:sz w:val="32"/>
          <w:szCs w:val="32"/>
        </w:rPr>
      </w:pPr>
    </w:p>
    <w:p w14:paraId="00000003" w14:textId="77777777" w:rsidR="00042A90" w:rsidRDefault="00042A90">
      <w:pPr>
        <w:spacing w:line="480" w:lineRule="auto"/>
        <w:rPr>
          <w:b/>
          <w:sz w:val="32"/>
          <w:szCs w:val="32"/>
        </w:rPr>
      </w:pPr>
    </w:p>
    <w:p w14:paraId="4E1BB9DA" w14:textId="77777777" w:rsidR="00EE0779" w:rsidRDefault="00EE0779" w:rsidP="00EE0779">
      <w:pPr>
        <w:jc w:val="center"/>
        <w:rPr>
          <w:rFonts w:eastAsiaTheme="majorEastAsia"/>
          <w:b/>
          <w:spacing w:val="-10"/>
          <w:kern w:val="28"/>
          <w:sz w:val="32"/>
          <w:szCs w:val="32"/>
        </w:rPr>
      </w:pPr>
    </w:p>
    <w:p w14:paraId="10246C22" w14:textId="77777777" w:rsidR="00EE0779" w:rsidRDefault="00EE0779" w:rsidP="00EE0779">
      <w:pPr>
        <w:jc w:val="center"/>
        <w:rPr>
          <w:rFonts w:eastAsiaTheme="majorEastAsia"/>
          <w:b/>
          <w:spacing w:val="-10"/>
          <w:kern w:val="28"/>
          <w:sz w:val="32"/>
          <w:szCs w:val="32"/>
        </w:rPr>
      </w:pPr>
    </w:p>
    <w:p w14:paraId="393CA023" w14:textId="77777777" w:rsidR="00EE0779" w:rsidRDefault="00EE0779" w:rsidP="00EE0779">
      <w:pPr>
        <w:jc w:val="center"/>
        <w:rPr>
          <w:rFonts w:eastAsiaTheme="majorEastAsia"/>
          <w:b/>
          <w:spacing w:val="-10"/>
          <w:kern w:val="28"/>
          <w:sz w:val="32"/>
          <w:szCs w:val="32"/>
        </w:rPr>
      </w:pPr>
    </w:p>
    <w:p w14:paraId="6633C860" w14:textId="605508BA" w:rsidR="00EE0779" w:rsidRDefault="00000000" w:rsidP="00EE0779">
      <w:pPr>
        <w:jc w:val="center"/>
        <w:rPr>
          <w:rFonts w:eastAsiaTheme="majorEastAsia"/>
          <w:b/>
          <w:spacing w:val="-10"/>
          <w:kern w:val="28"/>
          <w:sz w:val="32"/>
          <w:szCs w:val="32"/>
        </w:rPr>
      </w:pPr>
      <w:r w:rsidRPr="00D105DA">
        <w:rPr>
          <w:rFonts w:eastAsiaTheme="majorEastAsia"/>
          <w:b/>
          <w:spacing w:val="-10"/>
          <w:kern w:val="28"/>
          <w:sz w:val="32"/>
          <w:szCs w:val="32"/>
        </w:rPr>
        <w:t>Legal Process</w:t>
      </w:r>
    </w:p>
    <w:p w14:paraId="6B9AF8CB" w14:textId="77777777" w:rsidR="00EE0779" w:rsidRDefault="00EE0779" w:rsidP="00EE0779">
      <w:pPr>
        <w:jc w:val="center"/>
        <w:rPr>
          <w:rFonts w:eastAsiaTheme="majorEastAsia"/>
          <w:b/>
          <w:spacing w:val="-10"/>
          <w:kern w:val="28"/>
          <w:sz w:val="32"/>
          <w:szCs w:val="32"/>
        </w:rPr>
      </w:pPr>
    </w:p>
    <w:p w14:paraId="33476F7E" w14:textId="3E2DDD0A" w:rsidR="00EE0779" w:rsidRDefault="00000000" w:rsidP="00EE0779">
      <w:pPr>
        <w:jc w:val="center"/>
        <w:rPr>
          <w:rFonts w:eastAsiaTheme="majorEastAsia"/>
          <w:b/>
          <w:spacing w:val="-10"/>
          <w:kern w:val="28"/>
        </w:rPr>
      </w:pPr>
      <w:r w:rsidRPr="00D105DA">
        <w:rPr>
          <w:rFonts w:eastAsiaTheme="majorEastAsia"/>
          <w:b/>
          <w:spacing w:val="-10"/>
          <w:kern w:val="28"/>
        </w:rPr>
        <w:t>The Constitutional Reform Act 2005 has made little to no changes to the UK’s constitution and the Separation of powers theory</w:t>
      </w:r>
    </w:p>
    <w:p w14:paraId="055336CC" w14:textId="77777777" w:rsidR="00EE0779" w:rsidRDefault="00000000">
      <w:pPr>
        <w:rPr>
          <w:rFonts w:eastAsiaTheme="majorEastAsia" w:cstheme="majorBidi"/>
          <w:b/>
          <w:bCs/>
          <w:sz w:val="28"/>
          <w:szCs w:val="28"/>
        </w:rPr>
      </w:pPr>
      <w:bookmarkStart w:id="1" w:name="_Toc141451715"/>
      <w:bookmarkStart w:id="2" w:name="_Toc141451728"/>
      <w:r>
        <w:br w:type="page"/>
      </w:r>
    </w:p>
    <w:p w14:paraId="670C55D5" w14:textId="7B87018B" w:rsidR="00EE0779" w:rsidRPr="00300BE5" w:rsidRDefault="00000000" w:rsidP="00EE0779">
      <w:pPr>
        <w:pStyle w:val="Heading1"/>
      </w:pPr>
      <w:r>
        <w:lastRenderedPageBreak/>
        <w:t>Understanding constitution</w:t>
      </w:r>
      <w:bookmarkEnd w:id="1"/>
      <w:bookmarkEnd w:id="2"/>
    </w:p>
    <w:p w14:paraId="5F45CB4E" w14:textId="77777777" w:rsidR="00EE0779" w:rsidRPr="00300BE5" w:rsidRDefault="00000000" w:rsidP="00EE0779">
      <w:r w:rsidRPr="00300BE5">
        <w:t xml:space="preserve">A constitution is a document of pre-established rules and guidelines by which states and respective organizations are governed. These fundamental principles help in the development and modification of legislation which is crucial to run a state and its subjects (Horsley, 2022). The set of guiding principles or long-standing norms also helps a country to formulate new laws and decide the rights and duties of people belonging therein. </w:t>
      </w:r>
    </w:p>
    <w:p w14:paraId="13956401" w14:textId="77777777" w:rsidR="00EE0779" w:rsidRPr="00300BE5" w:rsidRDefault="00000000" w:rsidP="00EE0779">
      <w:pPr>
        <w:pStyle w:val="Heading1"/>
        <w:rPr>
          <w:rFonts w:cs="Times New Roman"/>
          <w:b w:val="0"/>
        </w:rPr>
      </w:pPr>
      <w:bookmarkStart w:id="3" w:name="_Toc141211172"/>
      <w:bookmarkStart w:id="4" w:name="_Toc141451716"/>
      <w:bookmarkStart w:id="5" w:name="_Toc141451729"/>
      <w:r w:rsidRPr="00300BE5">
        <w:rPr>
          <w:rFonts w:cs="Times New Roman"/>
        </w:rPr>
        <w:t>Principles of the UK's Constitution</w:t>
      </w:r>
      <w:bookmarkEnd w:id="3"/>
      <w:bookmarkEnd w:id="4"/>
      <w:bookmarkEnd w:id="5"/>
    </w:p>
    <w:p w14:paraId="652A26B8" w14:textId="77777777" w:rsidR="00EE0779" w:rsidRPr="00300BE5" w:rsidRDefault="00000000" w:rsidP="00EE0779">
      <w:r w:rsidRPr="00300BE5">
        <w:t xml:space="preserve">The Courts of the British Empire uphold constitutional ideas and constitutional rights notwithstanding the absence of written constitutional standards that limit the scope of executive power. The majority of the courts have settled on four essential concepts which include the power of the parliament. Parliamentary power allows for the enactment of laws by the lower and upper houses of government. The English Reformation, Glorious Revolution of 1688, </w:t>
      </w:r>
      <w:r w:rsidRPr="00300BE5">
        <w:rPr>
          <w:b/>
        </w:rPr>
        <w:t>Civil War and Acts of Union of 1707</w:t>
      </w:r>
      <w:r w:rsidRPr="00300BE5">
        <w:t xml:space="preserve"> all contributed to Parliament's rise to power. It has grown to become more influential than the presidency, monarchy, and church combined. The main aim of the parliament is to ensure that the constitution and its core concept are respected and protected at all costs (</w:t>
      </w:r>
      <w:r w:rsidRPr="00300BE5">
        <w:rPr>
          <w:shd w:val="clear" w:color="auto" w:fill="FFFFFF"/>
        </w:rPr>
        <w:t>GUEDDA and RABAH, 2023</w:t>
      </w:r>
      <w:r w:rsidRPr="00300BE5">
        <w:t>). This is largely accepted because the legitimately chosen parliament upholds the supremacy of law, which includes global and constitutional human rights legislation.</w:t>
      </w:r>
    </w:p>
    <w:p w14:paraId="1D1C4F11" w14:textId="77777777" w:rsidR="00EE0779" w:rsidRPr="00300BE5" w:rsidRDefault="00000000" w:rsidP="00EE0779">
      <w:r w:rsidRPr="00300BE5">
        <w:t xml:space="preserve">Secondly, the law rule is and has been </w:t>
      </w:r>
      <w:r w:rsidRPr="00300BE5">
        <w:rPr>
          <w:b/>
        </w:rPr>
        <w:t xml:space="preserve">fundamental to the constitutional system in the UK </w:t>
      </w:r>
      <w:r w:rsidRPr="00300BE5">
        <w:rPr>
          <w:shd w:val="clear" w:color="auto" w:fill="FFFFFF"/>
        </w:rPr>
        <w:t>(Courant, 2021)</w:t>
      </w:r>
      <w:r w:rsidRPr="00300BE5">
        <w:t xml:space="preserve">. This was demonstrated in writing in the year, 1628 with both the Petition of Right and the Magna Carta. If the government is to act constitutionally, human rights will be upheld. Third, the right to vote is guaranteed by the Constitution for any citizen older than 18. Originally, only affluent male landowners could cast ballots in the House of Commons, and the king ruled with the help of an inherited upper chamber, the House of Lords. Beginning in 1832, the voting age was raised to twenty-one across the country. The </w:t>
      </w:r>
      <w:r w:rsidRPr="00A467E8">
        <w:rPr>
          <w:bCs/>
        </w:rPr>
        <w:t>UK Constitution</w:t>
      </w:r>
      <w:r w:rsidRPr="00300BE5">
        <w:t xml:space="preserve"> comes into conflict with global laws because the legislature chose to expand its practical authority by collaborating with different countries in global bodies like the Worldwide </w:t>
      </w:r>
      <w:proofErr w:type="spellStart"/>
      <w:r w:rsidRPr="00300BE5">
        <w:t>Labour</w:t>
      </w:r>
      <w:proofErr w:type="spellEnd"/>
      <w:r w:rsidRPr="00300BE5">
        <w:t xml:space="preserve"> Organization, the UN, the European Protocol on the Maintenance of People's Rights, the World Trade Organization, as well as the World Court of Truth.</w:t>
      </w:r>
    </w:p>
    <w:p w14:paraId="6211FA11" w14:textId="77777777" w:rsidR="00EE0779" w:rsidRPr="00300BE5" w:rsidRDefault="00000000" w:rsidP="00EE0779">
      <w:pPr>
        <w:pStyle w:val="Heading1"/>
        <w:rPr>
          <w:rFonts w:cs="Times New Roman"/>
          <w:b w:val="0"/>
        </w:rPr>
      </w:pPr>
      <w:bookmarkStart w:id="6" w:name="_Toc141211173"/>
      <w:bookmarkStart w:id="7" w:name="_Toc141451717"/>
      <w:bookmarkStart w:id="8" w:name="_Toc141451730"/>
      <w:r w:rsidRPr="00300BE5">
        <w:rPr>
          <w:rFonts w:cs="Times New Roman"/>
        </w:rPr>
        <w:lastRenderedPageBreak/>
        <w:t>Separation of Powers Theory</w:t>
      </w:r>
      <w:bookmarkEnd w:id="6"/>
      <w:bookmarkEnd w:id="7"/>
      <w:bookmarkEnd w:id="8"/>
    </w:p>
    <w:p w14:paraId="66B35589" w14:textId="77777777" w:rsidR="00EE0779" w:rsidRPr="00300BE5" w:rsidRDefault="00000000" w:rsidP="00EE0779">
      <w:pPr>
        <w:rPr>
          <w:b/>
        </w:rPr>
      </w:pPr>
      <w:r w:rsidRPr="00300BE5">
        <w:t xml:space="preserve">The </w:t>
      </w:r>
      <w:r w:rsidRPr="00A467E8">
        <w:rPr>
          <w:bCs/>
        </w:rPr>
        <w:t>United Kingdom's executive (UK government),</w:t>
      </w:r>
      <w:r w:rsidRPr="00300BE5">
        <w:t xml:space="preserve"> is an example of how the concept of "separation of powers" has been applied in practice. Some political theorists have argued that the separation of powers does not apply to the </w:t>
      </w:r>
      <w:r w:rsidRPr="00A467E8">
        <w:rPr>
          <w:bCs/>
        </w:rPr>
        <w:t>United Kingdom because</w:t>
      </w:r>
      <w:r w:rsidRPr="00300BE5">
        <w:t xml:space="preserve"> of the perceived close relationship between the executive and the legislative. This is </w:t>
      </w:r>
      <w:r w:rsidRPr="00A467E8">
        <w:t>because the P</w:t>
      </w:r>
      <w:r w:rsidRPr="00A467E8">
        <w:rPr>
          <w:bCs/>
        </w:rPr>
        <w:t>rime Minister of the United Kingdom is chosen from</w:t>
      </w:r>
      <w:r w:rsidRPr="00300BE5">
        <w:t xml:space="preserve"> the largest party in parliament, and this party usually holds a majority in parliament. In addition to this, the control of the British Parliament over the executive and the houses in the parliament along with the judiciary gives them the upper hand in decisive authority. However, the theory of separation of power is not neglected in the UK and is rather an integral part of the </w:t>
      </w:r>
      <w:r w:rsidRPr="00A467E8">
        <w:rPr>
          <w:bCs/>
        </w:rPr>
        <w:t>UK's constitutional framework</w:t>
      </w:r>
      <w:r w:rsidRPr="00300BE5">
        <w:rPr>
          <w:b/>
        </w:rPr>
        <w:t>.</w:t>
      </w:r>
    </w:p>
    <w:p w14:paraId="08E5502D" w14:textId="77777777" w:rsidR="00EE0779" w:rsidRDefault="00000000" w:rsidP="00EE0779">
      <w:pPr>
        <w:pStyle w:val="Heading2"/>
      </w:pPr>
      <w:bookmarkStart w:id="9" w:name="_Toc141451718"/>
      <w:bookmarkStart w:id="10" w:name="_Toc141451731"/>
      <w:r>
        <w:t xml:space="preserve">Role of </w:t>
      </w:r>
      <w:r w:rsidRPr="00300BE5">
        <w:t>Government, Parliament, and Judiciary</w:t>
      </w:r>
      <w:r>
        <w:t xml:space="preserve"> in the United Kingdom</w:t>
      </w:r>
      <w:bookmarkEnd w:id="9"/>
      <w:bookmarkEnd w:id="10"/>
    </w:p>
    <w:p w14:paraId="604174EF" w14:textId="2C76C732" w:rsidR="00EE0779" w:rsidRPr="00300BE5" w:rsidRDefault="00A21E56" w:rsidP="00EE0779">
      <w:pPr>
        <w:rPr>
          <w:bCs/>
        </w:rPr>
      </w:pPr>
      <w:r w:rsidRPr="00867288">
        <w:rPr>
          <w:shd w:val="clear" w:color="auto" w:fill="FFFFFF"/>
        </w:rPr>
        <w:t>The government, parliament, and judiciary are crucial institutions in a democracy that are in charge of upholding law and order. Although there have been issues with its application, judicial independence as a concept is uncontested in the UK. Due to the judiciary's exclusion from the House of Lords and the Cabinet, it has become increasingly isolated from the other branches of government. The UK's separation of powers is governed by European institutions, legislative authority, parliamentary sovereignty, and the judiciary's ability to create precedent.</w:t>
      </w:r>
      <w:r>
        <w:rPr>
          <w:shd w:val="clear" w:color="auto" w:fill="FFFFFF"/>
        </w:rPr>
        <w:t xml:space="preserve"> </w:t>
      </w:r>
      <w:r w:rsidR="00000000" w:rsidRPr="00A467E8">
        <w:rPr>
          <w:bCs/>
        </w:rPr>
        <w:t>The theory of separation of powers requires a government</w:t>
      </w:r>
      <w:r w:rsidR="00000000" w:rsidRPr="00300BE5">
        <w:t xml:space="preserve"> to delegate its responsibilities to distinct "branches" (Ashe, 2022). Each department has its own unique set of responsibilities and powers to avoid any potential for friction between them. </w:t>
      </w:r>
      <w:bookmarkStart w:id="11" w:name="_Hlk142516293"/>
      <w:r w:rsidRPr="00A21E56">
        <w:t>The judicial, executive, and legislative branches of government are all included in the political paradigm. Both the legislature and the executive share power in some systems, such as parliamentary and semi-presidential ones. But the judicial branch should remain distinct from the other branches in a perfect democracy, and interaction between them should be kept to a minimum. Power concentration is less likely as a result.</w:t>
      </w:r>
    </w:p>
    <w:p w14:paraId="4A2FE391" w14:textId="77777777" w:rsidR="00EE0779" w:rsidRPr="00300BE5" w:rsidRDefault="00000000" w:rsidP="00EE0779">
      <w:pPr>
        <w:pStyle w:val="Heading1"/>
        <w:rPr>
          <w:rFonts w:cs="Times New Roman"/>
          <w:b w:val="0"/>
        </w:rPr>
      </w:pPr>
      <w:bookmarkStart w:id="12" w:name="_Toc141211174"/>
      <w:bookmarkStart w:id="13" w:name="_Toc141451719"/>
      <w:bookmarkStart w:id="14" w:name="_Toc141451732"/>
      <w:bookmarkEnd w:id="11"/>
      <w:r w:rsidRPr="00300BE5">
        <w:rPr>
          <w:rFonts w:cs="Times New Roman"/>
        </w:rPr>
        <w:t>Constitutional Reform Act 2005</w:t>
      </w:r>
      <w:bookmarkEnd w:id="12"/>
      <w:bookmarkEnd w:id="13"/>
      <w:bookmarkEnd w:id="14"/>
    </w:p>
    <w:p w14:paraId="2A3A1D59" w14:textId="77777777" w:rsidR="00EE0779" w:rsidRPr="00300BE5" w:rsidRDefault="00000000" w:rsidP="00EE0779">
      <w:r w:rsidRPr="00300BE5">
        <w:t xml:space="preserve">In 2005, the </w:t>
      </w:r>
      <w:r w:rsidRPr="00A467E8">
        <w:rPr>
          <w:bCs/>
        </w:rPr>
        <w:t xml:space="preserve">United Kingdom Parliament enacted the </w:t>
      </w:r>
      <w:r w:rsidRPr="00A467E8">
        <w:rPr>
          <w:b/>
          <w:i/>
          <w:iCs/>
        </w:rPr>
        <w:t>Constitutional Reform Act</w:t>
      </w:r>
      <w:r w:rsidRPr="00A467E8">
        <w:rPr>
          <w:bCs/>
        </w:rPr>
        <w:t>, a statute that pertains to the field of UK constitutional legislation</w:t>
      </w:r>
      <w:r w:rsidRPr="00300BE5">
        <w:t xml:space="preserve"> (</w:t>
      </w:r>
      <w:proofErr w:type="spellStart"/>
      <w:r w:rsidRPr="00300BE5">
        <w:t>Tsebelis</w:t>
      </w:r>
      <w:proofErr w:type="spellEnd"/>
      <w:r w:rsidRPr="00300BE5">
        <w:t xml:space="preserve">, 2022). According to the given information, the transfer of the appeals powers of the Judicial group of the Royal Courts of Justice and the regulation Lords to a newly established supreme court of the </w:t>
      </w:r>
      <w:r w:rsidRPr="00A467E8">
        <w:rPr>
          <w:bCs/>
        </w:rPr>
        <w:t>UK is proposed</w:t>
      </w:r>
      <w:r w:rsidRPr="00300BE5">
        <w:t xml:space="preserve">. Furthermore, </w:t>
      </w:r>
      <w:r w:rsidRPr="00300BE5">
        <w:lastRenderedPageBreak/>
        <w:t>the elimination of the Chancellor's duties as the speaker of the Parliament of the Lords as well as the Judiciary Head of Wales and England is observed.</w:t>
      </w:r>
    </w:p>
    <w:p w14:paraId="1284B9D9" w14:textId="77777777" w:rsidR="00EE0779" w:rsidRDefault="00000000" w:rsidP="00EE0779">
      <w:r w:rsidRPr="00300BE5">
        <w:t xml:space="preserve">The </w:t>
      </w:r>
      <w:r w:rsidRPr="00A467E8">
        <w:t xml:space="preserve">Lord Chancellor is the highest-ranking minister among the great officers of the state (Consoc.org.uk, 2023). Under the strict guidance of the </w:t>
      </w:r>
      <w:r w:rsidRPr="00A467E8">
        <w:rPr>
          <w:b/>
          <w:bCs/>
          <w:i/>
          <w:iCs/>
        </w:rPr>
        <w:t>Constitutional Reform Act</w:t>
      </w:r>
      <w:r w:rsidRPr="00300BE5">
        <w:t>, the Lord Chancellor is responsible for ensuring the efficiency of operations of the Courts in the country. The Lord Chancellor has multiple functions among which executive functions include their responsibility to administer courts and Legal aids in the country (</w:t>
      </w:r>
      <w:r w:rsidRPr="00300BE5">
        <w:rPr>
          <w:shd w:val="clear" w:color="auto" w:fill="FFFFFF"/>
        </w:rPr>
        <w:t>Williamson, 2023</w:t>
      </w:r>
      <w:r w:rsidRPr="00300BE5">
        <w:t>). In addition to this, there are legislative functions of the Chancellor which allows them to act as the lord commissioner and perform certain actions on their behalf if the need for the same arises. In terms of ecclesiastical functions, the appointment of clergy and certain other judges can only be made before prior consultation with the Lord Chancellor.</w:t>
      </w:r>
    </w:p>
    <w:p w14:paraId="08DA7D7F" w14:textId="77777777" w:rsidR="00EE0779" w:rsidRPr="00300BE5" w:rsidRDefault="00000000" w:rsidP="00EE0779">
      <w:pPr>
        <w:pStyle w:val="Heading2"/>
        <w:rPr>
          <w:rFonts w:cs="Times New Roman"/>
        </w:rPr>
      </w:pPr>
      <w:bookmarkStart w:id="15" w:name="_Toc141451720"/>
      <w:bookmarkStart w:id="16" w:name="_Toc141451733"/>
      <w:r>
        <w:t>Supreme Court</w:t>
      </w:r>
      <w:bookmarkEnd w:id="15"/>
      <w:bookmarkEnd w:id="16"/>
    </w:p>
    <w:p w14:paraId="410D2570" w14:textId="77777777" w:rsidR="00EE0779" w:rsidRPr="00300BE5" w:rsidRDefault="00000000" w:rsidP="00EE0779">
      <w:r w:rsidRPr="00300BE5">
        <w:t xml:space="preserve">The </w:t>
      </w:r>
      <w:r w:rsidRPr="00A467E8">
        <w:rPr>
          <w:bCs/>
        </w:rPr>
        <w:t>Supreme Court is the apex court of the country which has the authority to rule over the judgements of the subordinate courts. The</w:t>
      </w:r>
      <w:r w:rsidRPr="00300BE5">
        <w:t xml:space="preserve"> Supreme Court of the UK has the power to make a declaration of incompatibility under </w:t>
      </w:r>
      <w:r w:rsidRPr="00A467E8">
        <w:rPr>
          <w:b/>
          <w:bCs/>
          <w:i/>
          <w:iCs/>
        </w:rPr>
        <w:t xml:space="preserve">Section 4 </w:t>
      </w:r>
      <w:r w:rsidRPr="00A467E8">
        <w:rPr>
          <w:b/>
          <w:bCs/>
        </w:rPr>
        <w:t>of the Human Rights Act, 1988</w:t>
      </w:r>
      <w:r w:rsidRPr="00300BE5">
        <w:t xml:space="preserve"> which allows the court to declare legislation subject to being incompatible and in contradiction with the provisions of the right provided by the European Convention on Human Rights </w:t>
      </w:r>
      <w:r w:rsidRPr="00300BE5">
        <w:rPr>
          <w:shd w:val="clear" w:color="auto" w:fill="FFFFFF"/>
        </w:rPr>
        <w:t>(Rawlings, 2022)</w:t>
      </w:r>
      <w:r w:rsidRPr="00300BE5">
        <w:t xml:space="preserve">. However, the Apex Court does not have the authority to overturn any Primary legislation as passed and enacted by the Parliament. The authority of the Supreme Court of the UK is limited to overturn judgments of its subordinate courts subjective the same being in contradiction to the legislation or constitution of the country or the same being in any form of conflict with the fundamental rights of the parties involved. </w:t>
      </w:r>
    </w:p>
    <w:p w14:paraId="30620B49" w14:textId="77777777" w:rsidR="00EE0779" w:rsidRPr="00300BE5" w:rsidRDefault="00000000" w:rsidP="00EE0779">
      <w:pPr>
        <w:rPr>
          <w:bCs/>
        </w:rPr>
      </w:pPr>
      <w:r w:rsidRPr="00300BE5">
        <w:rPr>
          <w:bCs/>
        </w:rPr>
        <w:t>The</w:t>
      </w:r>
      <w:r w:rsidRPr="00300BE5">
        <w:rPr>
          <w:b/>
        </w:rPr>
        <w:t xml:space="preserve"> Constitutional Reform Act 2005, </w:t>
      </w:r>
      <w:r w:rsidRPr="00300BE5">
        <w:rPr>
          <w:b/>
          <w:i/>
          <w:iCs/>
        </w:rPr>
        <w:t>Part 3, Section 23,</w:t>
      </w:r>
      <w:r w:rsidRPr="00300BE5">
        <w:rPr>
          <w:b/>
        </w:rPr>
        <w:t xml:space="preserve"> </w:t>
      </w:r>
      <w:r w:rsidRPr="00300BE5">
        <w:rPr>
          <w:bCs/>
        </w:rPr>
        <w:t xml:space="preserve">limits the number of judges appointed in the Supreme Court to 12, however, this section is subject to amendment thereby allowing it to remain flexible for smooth operations. </w:t>
      </w:r>
      <w:r w:rsidRPr="00300BE5">
        <w:t xml:space="preserve">Sections 25–31 of the </w:t>
      </w:r>
      <w:r w:rsidRPr="00300BE5">
        <w:rPr>
          <w:b/>
        </w:rPr>
        <w:t xml:space="preserve">Constitutional Reform Act 2005, </w:t>
      </w:r>
      <w:r w:rsidRPr="00300BE5">
        <w:t xml:space="preserve">focus on the entire procedure of the appointment of Judges of the Supreme Court </w:t>
      </w:r>
      <w:r w:rsidRPr="00300BE5">
        <w:rPr>
          <w:shd w:val="clear" w:color="auto" w:fill="FFFFFF"/>
        </w:rPr>
        <w:t>(</w:t>
      </w:r>
      <w:r w:rsidRPr="00300BE5">
        <w:t>Legislation.gov.uk, 2023</w:t>
      </w:r>
      <w:r w:rsidRPr="00300BE5">
        <w:rPr>
          <w:shd w:val="clear" w:color="auto" w:fill="FFFFFF"/>
        </w:rPr>
        <w:t>)</w:t>
      </w:r>
      <w:r w:rsidRPr="00300BE5">
        <w:t xml:space="preserve">. This Act has been highly beneficial for the management of the procedures related to the judicial system in general. Also, the initial recognition of this Act can be traced back to the establishment of the Supreme Court itself and the transfer of jurisdiction power </w:t>
      </w:r>
      <w:r w:rsidRPr="00300BE5">
        <w:lastRenderedPageBreak/>
        <w:t xml:space="preserve">to the Apex Court from the Appellate jurisdiction of the House of Lords. This was a great step towards the separation of power in the UK instigated by the </w:t>
      </w:r>
      <w:r w:rsidRPr="00300BE5">
        <w:rPr>
          <w:b/>
        </w:rPr>
        <w:t>Constitutional Reform Act</w:t>
      </w:r>
      <w:r w:rsidRPr="00300BE5">
        <w:rPr>
          <w:bCs/>
        </w:rPr>
        <w:t>.</w:t>
      </w:r>
      <w:r w:rsidRPr="00300BE5">
        <w:rPr>
          <w:b/>
        </w:rPr>
        <w:t xml:space="preserve"> </w:t>
      </w:r>
    </w:p>
    <w:p w14:paraId="3C57C1F1" w14:textId="77777777" w:rsidR="00EE0779" w:rsidRPr="00300BE5" w:rsidRDefault="00000000" w:rsidP="00EE0779">
      <w:pPr>
        <w:rPr>
          <w:b/>
        </w:rPr>
      </w:pPr>
      <w:r w:rsidRPr="00300BE5">
        <w:rPr>
          <w:b/>
        </w:rPr>
        <w:t>Further reforms that are needed</w:t>
      </w:r>
    </w:p>
    <w:p w14:paraId="0DB80CE6" w14:textId="77777777" w:rsidR="00EE0779" w:rsidRPr="00300BE5" w:rsidRDefault="00000000" w:rsidP="00EE0779">
      <w:bookmarkStart w:id="17" w:name="_Toc141211175"/>
      <w:r w:rsidRPr="00300BE5">
        <w:t xml:space="preserve">To ensure that the </w:t>
      </w:r>
      <w:r w:rsidRPr="00300BE5">
        <w:rPr>
          <w:b/>
        </w:rPr>
        <w:t xml:space="preserve">Constitutional Reform Act 2005 </w:t>
      </w:r>
      <w:r w:rsidRPr="00300BE5">
        <w:rPr>
          <w:bCs/>
        </w:rPr>
        <w:t xml:space="preserve">can fulfil its targets it is essential to understand the proper need of the state and make modifications on the basis of the same. reforms are needed to be brought in terms of separation of power to make sure that different bodies of the government are able to operate with freedom and independence. This in turn will give more control to the bodies and take decisive actions. The executives of the government need to be barred with further reforms to ensure that the decisions of the judiciary are not influenced in any manner. </w:t>
      </w:r>
    </w:p>
    <w:p w14:paraId="68D39EEE" w14:textId="77777777" w:rsidR="00EE0779" w:rsidRPr="00300BE5" w:rsidRDefault="00000000" w:rsidP="00EE0779">
      <w:r w:rsidRPr="00300BE5">
        <w:rPr>
          <w:b/>
          <w:sz w:val="28"/>
          <w:szCs w:val="28"/>
        </w:rPr>
        <w:t>Conclusion</w:t>
      </w:r>
      <w:bookmarkEnd w:id="17"/>
    </w:p>
    <w:p w14:paraId="76D90F44" w14:textId="77777777" w:rsidR="00740631" w:rsidRDefault="00740631" w:rsidP="00740631">
      <w:r w:rsidRPr="00867288">
        <w:t xml:space="preserve">The </w:t>
      </w:r>
      <w:r w:rsidRPr="00740631">
        <w:rPr>
          <w:b/>
          <w:bCs/>
        </w:rPr>
        <w:t>Constitutional Reform Act of 2005</w:t>
      </w:r>
      <w:r w:rsidRPr="00867288">
        <w:t xml:space="preserve"> aimed to modify and improve the UK constitution in response to current needs. It had an impact on the House of Lords, Lord Chancellor, and the Supreme Court. The Act outlined the procedures for selecting and appointing justices. Its significant impact on the UK constitution cannot be overstated. To keep up with changing times, authorities must adopt a dynamic approach and constantly modify and reform the rule of law and the judiciary. The emphasis is on separation of powers and increasing the impact of legislation on the country's operations.</w:t>
      </w:r>
    </w:p>
    <w:p w14:paraId="1F506D47" w14:textId="77777777" w:rsidR="00EE0779" w:rsidRPr="00300BE5" w:rsidRDefault="00000000" w:rsidP="00EE0779">
      <w:pPr>
        <w:spacing w:after="160"/>
        <w:rPr>
          <w:rFonts w:eastAsiaTheme="majorEastAsia"/>
          <w:b/>
          <w:sz w:val="28"/>
          <w:szCs w:val="28"/>
        </w:rPr>
      </w:pPr>
      <w:r w:rsidRPr="00300BE5">
        <w:rPr>
          <w:b/>
          <w:sz w:val="28"/>
          <w:szCs w:val="28"/>
        </w:rPr>
        <w:br w:type="page"/>
      </w:r>
    </w:p>
    <w:p w14:paraId="6B7D0F70" w14:textId="77777777" w:rsidR="00EE0779" w:rsidRPr="00300BE5" w:rsidRDefault="00000000" w:rsidP="00EE0779">
      <w:pPr>
        <w:pStyle w:val="Heading1"/>
        <w:rPr>
          <w:rFonts w:cs="Times New Roman"/>
          <w:b w:val="0"/>
        </w:rPr>
      </w:pPr>
      <w:bookmarkStart w:id="18" w:name="_Toc141451721"/>
      <w:bookmarkStart w:id="19" w:name="_Toc141451734"/>
      <w:r w:rsidRPr="00300BE5">
        <w:rPr>
          <w:rFonts w:cs="Times New Roman"/>
        </w:rPr>
        <w:lastRenderedPageBreak/>
        <w:t>References</w:t>
      </w:r>
      <w:bookmarkEnd w:id="18"/>
      <w:bookmarkEnd w:id="19"/>
    </w:p>
    <w:p w14:paraId="37C622F1" w14:textId="77777777" w:rsidR="00EE0779" w:rsidRPr="00300BE5" w:rsidRDefault="00000000" w:rsidP="00EE0779">
      <w:r w:rsidRPr="00300BE5">
        <w:rPr>
          <w:shd w:val="clear" w:color="auto" w:fill="FFFFFF"/>
        </w:rPr>
        <w:t>Ashe, F., 2022. Gendering constitutional change in Northern Ireland: Participation, processes and power. </w:t>
      </w:r>
      <w:r w:rsidRPr="00300BE5">
        <w:rPr>
          <w:i/>
          <w:iCs/>
          <w:shd w:val="clear" w:color="auto" w:fill="FFFFFF"/>
        </w:rPr>
        <w:t>Political Studies</w:t>
      </w:r>
      <w:r w:rsidRPr="00300BE5">
        <w:rPr>
          <w:shd w:val="clear" w:color="auto" w:fill="FFFFFF"/>
        </w:rPr>
        <w:t xml:space="preserve">, p.00323217221122372. </w:t>
      </w:r>
      <w:hyperlink r:id="rId9" w:history="1">
        <w:r w:rsidRPr="00300BE5">
          <w:rPr>
            <w:rStyle w:val="Hyperlink"/>
            <w:color w:val="000000" w:themeColor="text1"/>
          </w:rPr>
          <w:t>Gendering Constitutional Change in Northern Ireland: Participation, Processes and Power - Fidelma Ashe, 2022 (sagepub.com)</w:t>
        </w:r>
      </w:hyperlink>
    </w:p>
    <w:p w14:paraId="473736B7" w14:textId="77777777" w:rsidR="00EE0779" w:rsidRPr="00300BE5" w:rsidRDefault="00000000" w:rsidP="00EE0779">
      <w:r w:rsidRPr="00300BE5">
        <w:t xml:space="preserve">Consoc.org.uk, 2023 </w:t>
      </w:r>
      <w:r w:rsidRPr="00300BE5">
        <w:rPr>
          <w:i/>
          <w:iCs/>
        </w:rPr>
        <w:t>the constitution</w:t>
      </w:r>
      <w:r w:rsidRPr="00300BE5">
        <w:t xml:space="preserve"> Available at: </w:t>
      </w:r>
      <w:hyperlink r:id="rId10" w:history="1">
        <w:r w:rsidRPr="00300BE5">
          <w:rPr>
            <w:rStyle w:val="Hyperlink"/>
            <w:color w:val="000000" w:themeColor="text1"/>
          </w:rPr>
          <w:t>https://consoc.org.uk/</w:t>
        </w:r>
      </w:hyperlink>
      <w:r w:rsidRPr="00300BE5">
        <w:t xml:space="preserve"> [Accessed on 28.07.2023]</w:t>
      </w:r>
    </w:p>
    <w:p w14:paraId="2C3AE90B" w14:textId="77777777" w:rsidR="00EE0779" w:rsidRPr="00300BE5" w:rsidRDefault="00000000" w:rsidP="00EE0779">
      <w:r w:rsidRPr="00300BE5">
        <w:rPr>
          <w:shd w:val="clear" w:color="auto" w:fill="FFFFFF"/>
        </w:rPr>
        <w:t xml:space="preserve">Courant, D. (2021). Citizens' Assemblies for Referendums and Constitutional Reforms: Is There an “Irish Model” for Deliberative </w:t>
      </w:r>
      <w:proofErr w:type="gramStart"/>
      <w:r w:rsidRPr="00300BE5">
        <w:rPr>
          <w:shd w:val="clear" w:color="auto" w:fill="FFFFFF"/>
        </w:rPr>
        <w:t>Democracy?.</w:t>
      </w:r>
      <w:proofErr w:type="gramEnd"/>
      <w:r w:rsidRPr="00300BE5">
        <w:rPr>
          <w:shd w:val="clear" w:color="auto" w:fill="FFFFFF"/>
        </w:rPr>
        <w:t> </w:t>
      </w:r>
      <w:r w:rsidRPr="00300BE5">
        <w:rPr>
          <w:i/>
          <w:iCs/>
          <w:shd w:val="clear" w:color="auto" w:fill="FFFFFF"/>
        </w:rPr>
        <w:t>Frontiers in Political Science</w:t>
      </w:r>
      <w:r w:rsidRPr="00300BE5">
        <w:rPr>
          <w:shd w:val="clear" w:color="auto" w:fill="FFFFFF"/>
        </w:rPr>
        <w:t>, </w:t>
      </w:r>
      <w:r w:rsidRPr="00300BE5">
        <w:rPr>
          <w:i/>
          <w:iCs/>
          <w:shd w:val="clear" w:color="auto" w:fill="FFFFFF"/>
        </w:rPr>
        <w:t>2</w:t>
      </w:r>
      <w:r w:rsidRPr="00300BE5">
        <w:rPr>
          <w:shd w:val="clear" w:color="auto" w:fill="FFFFFF"/>
        </w:rPr>
        <w:t>, 591983.</w:t>
      </w:r>
    </w:p>
    <w:p w14:paraId="6B0B0750" w14:textId="77777777" w:rsidR="00EE0779" w:rsidRPr="00300BE5" w:rsidRDefault="00000000" w:rsidP="00EE0779">
      <w:r w:rsidRPr="00300BE5">
        <w:rPr>
          <w:shd w:val="clear" w:color="auto" w:fill="FFFFFF"/>
        </w:rPr>
        <w:t xml:space="preserve">GUEDDA, A. and RABAH, N., 2023. UK Models of Separation of Powers: A Comparative </w:t>
      </w:r>
      <w:proofErr w:type="spellStart"/>
      <w:r w:rsidRPr="00300BE5">
        <w:rPr>
          <w:shd w:val="clear" w:color="auto" w:fill="FFFFFF"/>
        </w:rPr>
        <w:t>Study.</w:t>
      </w:r>
      <w:hyperlink r:id="rId11" w:history="1">
        <w:r w:rsidRPr="00300BE5">
          <w:rPr>
            <w:rStyle w:val="Hyperlink"/>
            <w:color w:val="000000" w:themeColor="text1"/>
          </w:rPr>
          <w:t>University</w:t>
        </w:r>
        <w:proofErr w:type="spellEnd"/>
        <w:r w:rsidRPr="00300BE5">
          <w:rPr>
            <w:rStyle w:val="Hyperlink"/>
            <w:color w:val="000000" w:themeColor="text1"/>
          </w:rPr>
          <w:t xml:space="preserve"> of </w:t>
        </w:r>
        <w:proofErr w:type="spellStart"/>
        <w:r w:rsidRPr="00300BE5">
          <w:rPr>
            <w:rStyle w:val="Hyperlink"/>
            <w:color w:val="000000" w:themeColor="text1"/>
          </w:rPr>
          <w:t>Eloued</w:t>
        </w:r>
        <w:proofErr w:type="spellEnd"/>
        <w:r w:rsidRPr="00300BE5">
          <w:rPr>
            <w:rStyle w:val="Hyperlink"/>
            <w:color w:val="000000" w:themeColor="text1"/>
          </w:rPr>
          <w:t xml:space="preserve"> </w:t>
        </w:r>
        <w:proofErr w:type="spellStart"/>
        <w:r w:rsidRPr="00300BE5">
          <w:rPr>
            <w:rStyle w:val="Hyperlink"/>
            <w:color w:val="000000" w:themeColor="text1"/>
          </w:rPr>
          <w:t>DSpace</w:t>
        </w:r>
        <w:proofErr w:type="spellEnd"/>
        <w:r w:rsidRPr="00300BE5">
          <w:rPr>
            <w:rStyle w:val="Hyperlink"/>
            <w:color w:val="000000" w:themeColor="text1"/>
          </w:rPr>
          <w:t>: UK Models of Separation of Powers: A Comparative Study</w:t>
        </w:r>
      </w:hyperlink>
      <w:r w:rsidRPr="00300BE5">
        <w:t>.</w:t>
      </w:r>
    </w:p>
    <w:p w14:paraId="21246A5F" w14:textId="77777777" w:rsidR="00EE0779" w:rsidRPr="00300BE5" w:rsidRDefault="00000000" w:rsidP="00EE0779">
      <w:r w:rsidRPr="00300BE5">
        <w:rPr>
          <w:shd w:val="clear" w:color="auto" w:fill="FFFFFF"/>
        </w:rPr>
        <w:t>Horsley, T., 2022. Constitutional Reform by Legal Transplantation: The United Kingdom Internal Market Act 2020. </w:t>
      </w:r>
      <w:r w:rsidRPr="00300BE5">
        <w:rPr>
          <w:i/>
          <w:iCs/>
          <w:shd w:val="clear" w:color="auto" w:fill="FFFFFF"/>
        </w:rPr>
        <w:t>Oxford Journal of Legal Studies</w:t>
      </w:r>
      <w:r w:rsidRPr="00300BE5">
        <w:rPr>
          <w:shd w:val="clear" w:color="auto" w:fill="FFFFFF"/>
        </w:rPr>
        <w:t>, </w:t>
      </w:r>
      <w:r w:rsidRPr="00300BE5">
        <w:rPr>
          <w:i/>
          <w:iCs/>
          <w:shd w:val="clear" w:color="auto" w:fill="FFFFFF"/>
        </w:rPr>
        <w:t>42</w:t>
      </w:r>
      <w:r w:rsidRPr="00300BE5">
        <w:rPr>
          <w:shd w:val="clear" w:color="auto" w:fill="FFFFFF"/>
        </w:rPr>
        <w:t>(4), pp.1143-1169.</w:t>
      </w:r>
      <w:hyperlink r:id="rId12" w:history="1">
        <w:r w:rsidRPr="00300BE5">
          <w:rPr>
            <w:rStyle w:val="Hyperlink"/>
            <w:color w:val="000000" w:themeColor="text1"/>
          </w:rPr>
          <w:t>Constitutional Reform by Legal Transplantation: The United Kingdom Internal Market Act 2020 | Oxford Journal of Legal Studies | Oxford Academic (oup.com)</w:t>
        </w:r>
      </w:hyperlink>
    </w:p>
    <w:p w14:paraId="0D117DFB" w14:textId="77777777" w:rsidR="00EE0779" w:rsidRPr="00300BE5" w:rsidRDefault="00000000" w:rsidP="00EE0779">
      <w:r w:rsidRPr="00300BE5">
        <w:t xml:space="preserve">Legislation.gov.uk, 2023 </w:t>
      </w:r>
      <w:r w:rsidRPr="00300BE5">
        <w:rPr>
          <w:i/>
          <w:iCs/>
        </w:rPr>
        <w:t>browse legislation</w:t>
      </w:r>
      <w:r w:rsidRPr="00300BE5">
        <w:t xml:space="preserve"> Available at: </w:t>
      </w:r>
      <w:hyperlink r:id="rId13" w:history="1">
        <w:r w:rsidRPr="00300BE5">
          <w:rPr>
            <w:rStyle w:val="Hyperlink"/>
            <w:color w:val="000000" w:themeColor="text1"/>
          </w:rPr>
          <w:t>https://www.legislation.gov.uk/</w:t>
        </w:r>
      </w:hyperlink>
      <w:r w:rsidRPr="00300BE5">
        <w:t xml:space="preserve"> [Accessed on 28.07.2023]</w:t>
      </w:r>
    </w:p>
    <w:p w14:paraId="731AB3E3" w14:textId="77777777" w:rsidR="00EE0779" w:rsidRPr="00300BE5" w:rsidRDefault="00000000" w:rsidP="00EE0779">
      <w:pPr>
        <w:rPr>
          <w:rStyle w:val="Hyperlink"/>
          <w:color w:val="000000" w:themeColor="text1"/>
        </w:rPr>
      </w:pPr>
      <w:r w:rsidRPr="00300BE5">
        <w:rPr>
          <w:shd w:val="clear" w:color="auto" w:fill="FFFFFF"/>
        </w:rPr>
        <w:t>Rawlings, R., 2022. Wales and the United Kingdom: a territorial constitutional policy drive. </w:t>
      </w:r>
      <w:r w:rsidRPr="00300BE5">
        <w:rPr>
          <w:i/>
          <w:iCs/>
          <w:shd w:val="clear" w:color="auto" w:fill="FFFFFF"/>
        </w:rPr>
        <w:t>Territory, Politics, Governance</w:t>
      </w:r>
      <w:r w:rsidRPr="00300BE5">
        <w:rPr>
          <w:shd w:val="clear" w:color="auto" w:fill="FFFFFF"/>
        </w:rPr>
        <w:t>, </w:t>
      </w:r>
      <w:r w:rsidRPr="00300BE5">
        <w:rPr>
          <w:i/>
          <w:iCs/>
          <w:shd w:val="clear" w:color="auto" w:fill="FFFFFF"/>
        </w:rPr>
        <w:t>10</w:t>
      </w:r>
      <w:r w:rsidRPr="00300BE5">
        <w:rPr>
          <w:shd w:val="clear" w:color="auto" w:fill="FFFFFF"/>
        </w:rPr>
        <w:t xml:space="preserve">(5), pp.714-732. </w:t>
      </w:r>
      <w:hyperlink r:id="rId14" w:history="1">
        <w:r w:rsidRPr="00300BE5">
          <w:rPr>
            <w:rStyle w:val="Hyperlink"/>
            <w:color w:val="000000" w:themeColor="text1"/>
          </w:rPr>
          <w:t>Full article: Wales and the United Kingdom: a territorial constitutional policy drive (tandfonline.com)</w:t>
        </w:r>
      </w:hyperlink>
    </w:p>
    <w:p w14:paraId="62740406" w14:textId="77777777" w:rsidR="00EE0779" w:rsidRPr="00300BE5" w:rsidRDefault="00000000" w:rsidP="00EE0779">
      <w:proofErr w:type="spellStart"/>
      <w:r w:rsidRPr="00300BE5">
        <w:rPr>
          <w:shd w:val="clear" w:color="auto" w:fill="FFFFFF"/>
        </w:rPr>
        <w:t>Tsebelis</w:t>
      </w:r>
      <w:proofErr w:type="spellEnd"/>
      <w:r w:rsidRPr="00300BE5">
        <w:rPr>
          <w:shd w:val="clear" w:color="auto" w:fill="FFFFFF"/>
        </w:rPr>
        <w:t xml:space="preserve">, G., 2022. Constitutional rigidity matters: A veto </w:t>
      </w:r>
      <w:proofErr w:type="gramStart"/>
      <w:r w:rsidRPr="00300BE5">
        <w:rPr>
          <w:shd w:val="clear" w:color="auto" w:fill="FFFFFF"/>
        </w:rPr>
        <w:t>players</w:t>
      </w:r>
      <w:proofErr w:type="gramEnd"/>
      <w:r w:rsidRPr="00300BE5">
        <w:rPr>
          <w:shd w:val="clear" w:color="auto" w:fill="FFFFFF"/>
        </w:rPr>
        <w:t xml:space="preserve"> approach. </w:t>
      </w:r>
      <w:r w:rsidRPr="00300BE5">
        <w:rPr>
          <w:i/>
          <w:iCs/>
          <w:shd w:val="clear" w:color="auto" w:fill="FFFFFF"/>
        </w:rPr>
        <w:t>British Journal of Political Science</w:t>
      </w:r>
      <w:r w:rsidRPr="00300BE5">
        <w:rPr>
          <w:shd w:val="clear" w:color="auto" w:fill="FFFFFF"/>
        </w:rPr>
        <w:t>, </w:t>
      </w:r>
      <w:r w:rsidRPr="00300BE5">
        <w:rPr>
          <w:i/>
          <w:iCs/>
          <w:shd w:val="clear" w:color="auto" w:fill="FFFFFF"/>
        </w:rPr>
        <w:t>52</w:t>
      </w:r>
      <w:r w:rsidRPr="00300BE5">
        <w:rPr>
          <w:shd w:val="clear" w:color="auto" w:fill="FFFFFF"/>
        </w:rPr>
        <w:t xml:space="preserve">(1), pp.280-299. </w:t>
      </w:r>
      <w:hyperlink r:id="rId15" w:history="1">
        <w:r w:rsidRPr="00300BE5">
          <w:rPr>
            <w:rStyle w:val="Hyperlink"/>
            <w:color w:val="000000" w:themeColor="text1"/>
          </w:rPr>
          <w:t>Constitutional Rigidity Matters: A Veto Players Approach | British Journal of Political Science | Cambridge Core</w:t>
        </w:r>
      </w:hyperlink>
    </w:p>
    <w:p w14:paraId="17CB3E10" w14:textId="77777777" w:rsidR="00EE0779" w:rsidRPr="00300BE5" w:rsidRDefault="00000000" w:rsidP="00EE0779">
      <w:pPr>
        <w:rPr>
          <w:rStyle w:val="Hyperlink"/>
          <w:color w:val="000000" w:themeColor="text1"/>
        </w:rPr>
      </w:pPr>
      <w:r w:rsidRPr="00300BE5">
        <w:rPr>
          <w:shd w:val="clear" w:color="auto" w:fill="FFFFFF"/>
        </w:rPr>
        <w:t>White, S., 2022. Brexit and the future of the UK constitution. </w:t>
      </w:r>
      <w:r w:rsidRPr="00300BE5">
        <w:rPr>
          <w:i/>
          <w:iCs/>
          <w:shd w:val="clear" w:color="auto" w:fill="FFFFFF"/>
        </w:rPr>
        <w:t>International Political Science Review</w:t>
      </w:r>
      <w:r w:rsidRPr="00300BE5">
        <w:rPr>
          <w:shd w:val="clear" w:color="auto" w:fill="FFFFFF"/>
        </w:rPr>
        <w:t>, </w:t>
      </w:r>
      <w:r w:rsidRPr="00300BE5">
        <w:rPr>
          <w:i/>
          <w:iCs/>
          <w:shd w:val="clear" w:color="auto" w:fill="FFFFFF"/>
        </w:rPr>
        <w:t>43</w:t>
      </w:r>
      <w:r w:rsidRPr="00300BE5">
        <w:rPr>
          <w:shd w:val="clear" w:color="auto" w:fill="FFFFFF"/>
        </w:rPr>
        <w:t xml:space="preserve">(3), pp.359-373. </w:t>
      </w:r>
      <w:hyperlink r:id="rId16" w:history="1">
        <w:r w:rsidRPr="00300BE5">
          <w:rPr>
            <w:rStyle w:val="Hyperlink"/>
            <w:color w:val="000000" w:themeColor="text1"/>
          </w:rPr>
          <w:t>Brexit and the future of the UK constitution - Stuart White, 2022 (sagepub.com)</w:t>
        </w:r>
      </w:hyperlink>
    </w:p>
    <w:p w14:paraId="1D54181D" w14:textId="52682676" w:rsidR="00EE0779" w:rsidRPr="00EE0779" w:rsidRDefault="00000000" w:rsidP="00EE0779">
      <w:r w:rsidRPr="00300BE5">
        <w:rPr>
          <w:shd w:val="clear" w:color="auto" w:fill="FFFFFF"/>
        </w:rPr>
        <w:t>Williamson, P., 2023. The Church of England and constitutional reform: the Enabling Act in British politics and English religion, 1913–1928. </w:t>
      </w:r>
      <w:r w:rsidRPr="00300BE5">
        <w:rPr>
          <w:i/>
          <w:iCs/>
          <w:shd w:val="clear" w:color="auto" w:fill="FFFFFF"/>
        </w:rPr>
        <w:t>Journal of British Studies</w:t>
      </w:r>
      <w:r w:rsidRPr="00300BE5">
        <w:rPr>
          <w:shd w:val="clear" w:color="auto" w:fill="FFFFFF"/>
        </w:rPr>
        <w:t>, </w:t>
      </w:r>
      <w:r w:rsidRPr="00300BE5">
        <w:rPr>
          <w:i/>
          <w:iCs/>
          <w:shd w:val="clear" w:color="auto" w:fill="FFFFFF"/>
        </w:rPr>
        <w:t>62</w:t>
      </w:r>
      <w:r w:rsidRPr="00300BE5">
        <w:rPr>
          <w:shd w:val="clear" w:color="auto" w:fill="FFFFFF"/>
        </w:rPr>
        <w:t xml:space="preserve">(2), pp.445-475. </w:t>
      </w:r>
      <w:hyperlink r:id="rId17" w:history="1">
        <w:r w:rsidRPr="00300BE5">
          <w:rPr>
            <w:rStyle w:val="Hyperlink"/>
            <w:color w:val="000000" w:themeColor="text1"/>
          </w:rPr>
          <w:t>The Church of England and Constitutional Reform: The Enabling Act in British Politics and English Religion, 1913–1928 | Journal of British Studies | Cambridge Core</w:t>
        </w:r>
      </w:hyperlink>
    </w:p>
    <w:p w14:paraId="568D1667" w14:textId="77777777" w:rsidR="00EE0779" w:rsidRPr="00300BE5" w:rsidRDefault="00EE0779" w:rsidP="00EE0779"/>
    <w:p w14:paraId="7DA16141" w14:textId="77777777" w:rsidR="00EE0779" w:rsidRPr="00300BE5" w:rsidRDefault="00EE0779" w:rsidP="00EE0779"/>
    <w:p w14:paraId="6CD6FF75" w14:textId="77777777" w:rsidR="00E814D9" w:rsidRDefault="00E814D9" w:rsidP="00E814D9">
      <w:pPr>
        <w:rPr>
          <w:color w:val="222222"/>
        </w:rPr>
      </w:pPr>
    </w:p>
    <w:sectPr w:rsidR="00E814D9" w:rsidSect="00E814D9">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DC62F" w14:textId="77777777" w:rsidR="007433EB" w:rsidRDefault="007433EB">
      <w:pPr>
        <w:spacing w:after="0" w:line="240" w:lineRule="auto"/>
      </w:pPr>
      <w:r>
        <w:separator/>
      </w:r>
    </w:p>
  </w:endnote>
  <w:endnote w:type="continuationSeparator" w:id="0">
    <w:p w14:paraId="574F8931" w14:textId="77777777" w:rsidR="007433EB" w:rsidRDefault="00743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E" w14:textId="0B5B47E0" w:rsidR="00042A90"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814D9">
      <w:rPr>
        <w:noProof/>
        <w:color w:val="000000"/>
      </w:rPr>
      <w:t>2</w:t>
    </w:r>
    <w:r>
      <w:rPr>
        <w:color w:val="000000"/>
      </w:rPr>
      <w:fldChar w:fldCharType="end"/>
    </w:r>
  </w:p>
  <w:p w14:paraId="0000000F" w14:textId="77777777" w:rsidR="00042A90" w:rsidRDefault="00042A9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EC012" w14:textId="77777777" w:rsidR="007433EB" w:rsidRDefault="007433EB">
      <w:pPr>
        <w:spacing w:after="0" w:line="240" w:lineRule="auto"/>
      </w:pPr>
      <w:r>
        <w:separator/>
      </w:r>
    </w:p>
  </w:footnote>
  <w:footnote w:type="continuationSeparator" w:id="0">
    <w:p w14:paraId="7DBF917A" w14:textId="77777777" w:rsidR="007433EB" w:rsidRDefault="00743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10D6E"/>
    <w:multiLevelType w:val="multilevel"/>
    <w:tmpl w:val="D4428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2E934D8"/>
    <w:multiLevelType w:val="multilevel"/>
    <w:tmpl w:val="1FC2D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C77166"/>
    <w:multiLevelType w:val="multilevel"/>
    <w:tmpl w:val="31B20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6164336">
    <w:abstractNumId w:val="2"/>
  </w:num>
  <w:num w:numId="2" w16cid:durableId="1940943217">
    <w:abstractNumId w:val="0"/>
  </w:num>
  <w:num w:numId="3" w16cid:durableId="1486313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A90"/>
    <w:rsid w:val="00042A90"/>
    <w:rsid w:val="000B2C7F"/>
    <w:rsid w:val="00161468"/>
    <w:rsid w:val="002204DE"/>
    <w:rsid w:val="00273CDD"/>
    <w:rsid w:val="00300BE5"/>
    <w:rsid w:val="00740631"/>
    <w:rsid w:val="007433EB"/>
    <w:rsid w:val="00882136"/>
    <w:rsid w:val="009C1DFF"/>
    <w:rsid w:val="00A21E56"/>
    <w:rsid w:val="00A467E8"/>
    <w:rsid w:val="00CE36CC"/>
    <w:rsid w:val="00D105DA"/>
    <w:rsid w:val="00E814D9"/>
    <w:rsid w:val="00EE0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90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511"/>
    <w:rPr>
      <w:color w:val="000000" w:themeColor="text1"/>
    </w:rPr>
  </w:style>
  <w:style w:type="paragraph" w:styleId="Heading1">
    <w:name w:val="heading 1"/>
    <w:basedOn w:val="Normal"/>
    <w:next w:val="Normal"/>
    <w:link w:val="Heading1Char"/>
    <w:uiPriority w:val="9"/>
    <w:qFormat/>
    <w:rsid w:val="005424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82667"/>
    <w:pPr>
      <w:keepNext/>
      <w:keepLines/>
      <w:spacing w:before="200" w:after="0"/>
      <w:outlineLvl w:val="1"/>
    </w:pPr>
    <w:rPr>
      <w:rFonts w:eastAsiaTheme="majorEastAsia" w:cstheme="majorBidi"/>
      <w:b/>
      <w:bCs/>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Header">
    <w:name w:val="header"/>
    <w:basedOn w:val="Normal"/>
    <w:link w:val="HeaderChar"/>
    <w:uiPriority w:val="99"/>
    <w:unhideWhenUsed/>
    <w:rsid w:val="00030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E3B"/>
  </w:style>
  <w:style w:type="paragraph" w:styleId="Footer">
    <w:name w:val="footer"/>
    <w:basedOn w:val="Normal"/>
    <w:link w:val="FooterChar"/>
    <w:uiPriority w:val="99"/>
    <w:unhideWhenUsed/>
    <w:rsid w:val="00030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E3B"/>
  </w:style>
  <w:style w:type="character" w:customStyle="1" w:styleId="Heading1Char">
    <w:name w:val="Heading 1 Char"/>
    <w:basedOn w:val="DefaultParagraphFont"/>
    <w:link w:val="Heading1"/>
    <w:uiPriority w:val="9"/>
    <w:rsid w:val="0054245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82667"/>
    <w:rPr>
      <w:rFonts w:ascii="Times New Roman" w:eastAsiaTheme="majorEastAsia" w:hAnsi="Times New Roman" w:cstheme="majorBidi"/>
      <w:b/>
      <w:bCs/>
      <w:color w:val="000000" w:themeColor="text1"/>
      <w:sz w:val="24"/>
      <w:szCs w:val="2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ormal1">
    <w:name w:val="Normal1"/>
    <w:rsid w:val="00E814D9"/>
    <w:pPr>
      <w:spacing w:after="0" w:line="276" w:lineRule="auto"/>
      <w:jc w:val="left"/>
    </w:pPr>
    <w:rPr>
      <w:rFonts w:ascii="Arial" w:eastAsia="Arial" w:hAnsi="Arial" w:cs="Arial"/>
      <w:sz w:val="22"/>
      <w:szCs w:val="22"/>
    </w:rPr>
  </w:style>
  <w:style w:type="paragraph" w:styleId="TOC1">
    <w:name w:val="toc 1"/>
    <w:basedOn w:val="Normal"/>
    <w:next w:val="Normal"/>
    <w:autoRedefine/>
    <w:uiPriority w:val="39"/>
    <w:unhideWhenUsed/>
    <w:rsid w:val="00E814D9"/>
    <w:pPr>
      <w:spacing w:after="100"/>
    </w:pPr>
  </w:style>
  <w:style w:type="paragraph" w:styleId="TOC2">
    <w:name w:val="toc 2"/>
    <w:basedOn w:val="Normal"/>
    <w:next w:val="Normal"/>
    <w:autoRedefine/>
    <w:uiPriority w:val="39"/>
    <w:unhideWhenUsed/>
    <w:rsid w:val="00E814D9"/>
    <w:pPr>
      <w:spacing w:after="100"/>
      <w:ind w:left="240"/>
    </w:pPr>
  </w:style>
  <w:style w:type="character" w:styleId="Hyperlink">
    <w:name w:val="Hyperlink"/>
    <w:basedOn w:val="DefaultParagraphFont"/>
    <w:uiPriority w:val="99"/>
    <w:unhideWhenUsed/>
    <w:rsid w:val="00E814D9"/>
    <w:rPr>
      <w:color w:val="0000FF" w:themeColor="hyperlink"/>
      <w:u w:val="single"/>
    </w:rPr>
  </w:style>
  <w:style w:type="character" w:customStyle="1" w:styleId="TitleChar">
    <w:name w:val="Title Char"/>
    <w:basedOn w:val="DefaultParagraphFont"/>
    <w:link w:val="Title"/>
    <w:uiPriority w:val="10"/>
    <w:rsid w:val="00EE0779"/>
    <w:rPr>
      <w:b/>
      <w:color w:val="000000" w:themeColor="text1"/>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cademic.oup.com/ojls/article/42/4/1143/6701884" TargetMode="External"/><Relationship Id="rId17" Type="http://schemas.openxmlformats.org/officeDocument/2006/relationships/hyperlink" Target="https://www.cambridge.org/core/journals/journal-of-british-studies/article/church-of-england-and-constitutional-reform-the-enabling-act-in-british-politics-and-english-religion-19131928/E230430D377EFB55DE72BC124A5B4C68" TargetMode="External"/><Relationship Id="rId2" Type="http://schemas.openxmlformats.org/officeDocument/2006/relationships/customXml" Target="../customXml/item2.xml"/><Relationship Id="rId16" Type="http://schemas.openxmlformats.org/officeDocument/2006/relationships/hyperlink" Target="https://journals.sagepub.com/doi/abs/10.1177/019251212199513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space.univ-eloued.dz/handle/123456789/27191" TargetMode="External"/><Relationship Id="rId5" Type="http://schemas.openxmlformats.org/officeDocument/2006/relationships/settings" Target="settings.xml"/><Relationship Id="rId15" Type="http://schemas.openxmlformats.org/officeDocument/2006/relationships/hyperlink" Target="https://www.cambridge.org/core/journals/british-journal-of-political-science/article/constitutional-rigidity-matters-a-veto-players-approach/DA879E2A05489D8ED85C46C6715A5B6B" TargetMode="External"/><Relationship Id="rId10" Type="http://schemas.openxmlformats.org/officeDocument/2006/relationships/hyperlink" Target="https://consoc.org.uk/"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journals.sagepub.com/doi/full/10.1177/00323217221122372" TargetMode="External"/><Relationship Id="rId14" Type="http://schemas.openxmlformats.org/officeDocument/2006/relationships/hyperlink" Target="https://www.tandfonline.com/doi/full/10.1080/21622671.2022.20366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zEK0YRIRJPoAtL/oifjyTjzRbbw==">AMUW2mVz7GgHn6pucUIz01syxKbc9uN3ZFNGbw1xoI/waiK3ctmrksTnqGZsAaT3pdvmtE2eGbKa1IsRDWTpk3dGgjZBOUA147RatGuI+Gg9fJhFq+aXS0e8/mEJNJW3wCvqiVUvpmbb</go:docsCustomData>
</go:gDocsCustomXmlDataStorage>
</file>

<file path=customXml/itemProps1.xml><?xml version="1.0" encoding="utf-8"?>
<ds:datastoreItem xmlns:ds="http://schemas.openxmlformats.org/officeDocument/2006/customXml" ds:itemID="{9B9A2845-31BF-4551-9FB1-89749837707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1814</Words>
  <Characters>10342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2023-08-09T22:32:00Z</dcterms:created>
  <dcterms:modified xsi:type="dcterms:W3CDTF">2023-08-09T22:32:00Z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8c5bedde1b54456a8b39b95e2598f10c1e48e47f87b3eb6b1a731b35a9127d63</vt:lpwstr>
  </property>
</Properties>
</file>