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1C84" w:rsidRDefault="005D1C84" w:rsidP="005D1C84">
      <w:pPr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noProof/>
          <w:sz w:val="24"/>
          <w:szCs w:val="24"/>
          <w:lang w:eastAsia="en-GB"/>
        </w:rPr>
        <w:drawing>
          <wp:inline distT="0" distB="0" distL="0" distR="0" wp14:anchorId="48654862" wp14:editId="7096A320">
            <wp:extent cx="2446020" cy="1358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wtsd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6020" cy="135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1C84" w:rsidRDefault="005D1C84" w:rsidP="005D1C84">
      <w:pPr>
        <w:rPr>
          <w:rFonts w:ascii="Arial" w:hAnsi="Arial" w:cs="Arial"/>
          <w:b/>
          <w:sz w:val="24"/>
          <w:szCs w:val="24"/>
        </w:rPr>
      </w:pPr>
    </w:p>
    <w:p w:rsidR="005D1C84" w:rsidRDefault="005D1C84" w:rsidP="005D1C84">
      <w:pPr>
        <w:rPr>
          <w:rFonts w:ascii="Arial" w:hAnsi="Arial" w:cs="Arial"/>
          <w:b/>
          <w:sz w:val="24"/>
          <w:szCs w:val="24"/>
        </w:rPr>
      </w:pPr>
    </w:p>
    <w:p w:rsidR="005D1C84" w:rsidRDefault="005D1C84" w:rsidP="005D1C8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Student Name: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 xml:space="preserve">Aqsa </w:t>
      </w:r>
      <w:proofErr w:type="spellStart"/>
      <w:r>
        <w:rPr>
          <w:rFonts w:ascii="Arial" w:hAnsi="Arial" w:cs="Arial"/>
          <w:b/>
          <w:sz w:val="24"/>
          <w:szCs w:val="24"/>
        </w:rPr>
        <w:t>Shahzadi</w:t>
      </w:r>
      <w:proofErr w:type="spellEnd"/>
    </w:p>
    <w:p w:rsidR="005D1C84" w:rsidRDefault="005D1C84" w:rsidP="005D1C8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Student ID: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2426854</w:t>
      </w:r>
    </w:p>
    <w:p w:rsidR="005D1C84" w:rsidRDefault="005D1C84" w:rsidP="005D1C8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Module Name: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Pr="002C4332">
        <w:rPr>
          <w:rFonts w:ascii="Arial" w:hAnsi="Arial" w:cs="Arial"/>
          <w:b/>
          <w:sz w:val="24"/>
          <w:szCs w:val="24"/>
        </w:rPr>
        <w:t>Protecting and Supporting Families in Health &amp; Care</w:t>
      </w:r>
    </w:p>
    <w:p w:rsidR="005D1C84" w:rsidRDefault="005D1C84" w:rsidP="005D1C8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Module Code: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BMHP-5021</w:t>
      </w:r>
    </w:p>
    <w:p w:rsidR="005D1C84" w:rsidRDefault="005D1C84" w:rsidP="005D1C8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Assignment Title: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Component 1 – Reference List</w:t>
      </w:r>
    </w:p>
    <w:p w:rsidR="005D1C84" w:rsidRPr="005D1C84" w:rsidRDefault="005D1C84" w:rsidP="005D1C84">
      <w:pPr>
        <w:rPr>
          <w:rStyle w:val="Strong"/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Submission Date: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22 June 2026</w:t>
      </w:r>
      <w:r>
        <w:rPr>
          <w:rFonts w:ascii="Arial" w:hAnsi="Arial" w:cs="Arial"/>
          <w:b/>
          <w:sz w:val="24"/>
          <w:szCs w:val="24"/>
        </w:rPr>
        <w:br w:type="page"/>
      </w:r>
    </w:p>
    <w:p w:rsidR="005D1C84" w:rsidRPr="00260282" w:rsidRDefault="005D1C84" w:rsidP="005D1C84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en-GB"/>
        </w:rPr>
      </w:pPr>
      <w:r w:rsidRPr="00260282">
        <w:rPr>
          <w:rFonts w:ascii="Arial" w:eastAsia="Times New Roman" w:hAnsi="Arial" w:cs="Arial"/>
          <w:b/>
          <w:bCs/>
          <w:kern w:val="36"/>
          <w:sz w:val="24"/>
          <w:szCs w:val="24"/>
          <w:lang w:eastAsia="en-GB"/>
        </w:rPr>
        <w:lastRenderedPageBreak/>
        <w:t>Reference</w:t>
      </w:r>
    </w:p>
    <w:p w:rsidR="005D1C84" w:rsidRPr="00AB36BE" w:rsidRDefault="005D1C84" w:rsidP="005D1C84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A90424">
        <w:rPr>
          <w:rFonts w:ascii="Arial" w:eastAsia="Times New Roman" w:hAnsi="Arial" w:cs="Arial"/>
          <w:bCs/>
          <w:sz w:val="24"/>
          <w:szCs w:val="24"/>
          <w:lang w:eastAsia="en-GB"/>
        </w:rPr>
        <w:t>Ainsworth, F</w:t>
      </w:r>
      <w:r>
        <w:rPr>
          <w:rFonts w:ascii="Arial" w:eastAsia="Times New Roman" w:hAnsi="Arial" w:cs="Arial"/>
          <w:bCs/>
          <w:sz w:val="24"/>
          <w:szCs w:val="24"/>
          <w:lang w:eastAsia="en-GB"/>
        </w:rPr>
        <w:t>., and Hansen, P. (2015)</w:t>
      </w:r>
      <w:r w:rsidRPr="00A90424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 </w:t>
      </w:r>
      <w:r>
        <w:rPr>
          <w:rFonts w:ascii="Arial" w:eastAsia="Times New Roman" w:hAnsi="Arial" w:cs="Arial"/>
          <w:bCs/>
          <w:sz w:val="24"/>
          <w:szCs w:val="24"/>
          <w:lang w:eastAsia="en-GB"/>
        </w:rPr>
        <w:t>‘</w:t>
      </w:r>
      <w:r w:rsidRPr="00A90424">
        <w:rPr>
          <w:rFonts w:ascii="Arial" w:eastAsia="Times New Roman" w:hAnsi="Arial" w:cs="Arial"/>
          <w:bCs/>
          <w:sz w:val="24"/>
          <w:szCs w:val="24"/>
          <w:lang w:eastAsia="en-GB"/>
        </w:rPr>
        <w:t>The Munro Review of Child Protection: Final Report — A Child-Centred System: A Review and Commentary</w:t>
      </w:r>
      <w:r>
        <w:rPr>
          <w:rFonts w:ascii="Arial" w:eastAsia="Times New Roman" w:hAnsi="Arial" w:cs="Arial"/>
          <w:bCs/>
          <w:sz w:val="24"/>
          <w:szCs w:val="24"/>
          <w:lang w:eastAsia="en-GB"/>
        </w:rPr>
        <w:t>’,</w:t>
      </w:r>
      <w:r w:rsidRPr="00A90424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 </w:t>
      </w:r>
      <w:r w:rsidRPr="00A90424">
        <w:rPr>
          <w:rFonts w:ascii="Arial" w:eastAsia="Times New Roman" w:hAnsi="Arial" w:cs="Arial"/>
          <w:bCs/>
          <w:i/>
          <w:sz w:val="24"/>
          <w:szCs w:val="24"/>
          <w:lang w:eastAsia="en-GB"/>
        </w:rPr>
        <w:t>Children Australia</w:t>
      </w:r>
      <w:r>
        <w:rPr>
          <w:rFonts w:ascii="Arial" w:eastAsia="Times New Roman" w:hAnsi="Arial" w:cs="Arial"/>
          <w:bCs/>
          <w:sz w:val="24"/>
          <w:szCs w:val="24"/>
          <w:lang w:eastAsia="en-GB"/>
        </w:rPr>
        <w:t>,</w:t>
      </w:r>
      <w:r w:rsidRPr="00A90424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 36. 164-168. </w:t>
      </w:r>
      <w:r w:rsidRPr="00AB36BE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:rsidR="005D1C84" w:rsidRPr="00830F8E" w:rsidRDefault="005D1C84" w:rsidP="005D1C84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en-GB"/>
        </w:rPr>
      </w:pPr>
      <w:r w:rsidRPr="00830F8E">
        <w:rPr>
          <w:rFonts w:ascii="Arial" w:eastAsia="Times New Roman" w:hAnsi="Arial" w:cs="Arial"/>
          <w:bCs/>
          <w:i/>
          <w:sz w:val="24"/>
          <w:szCs w:val="24"/>
          <w:lang w:eastAsia="en-GB"/>
        </w:rPr>
        <w:t>Education Act 1996, C.56.</w:t>
      </w:r>
      <w:r w:rsidRPr="00830F8E">
        <w:rPr>
          <w:rFonts w:ascii="Arial" w:eastAsia="Times New Roman" w:hAnsi="Arial" w:cs="Arial"/>
          <w:i/>
          <w:sz w:val="24"/>
          <w:szCs w:val="24"/>
          <w:lang w:eastAsia="en-GB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Available at: </w:t>
      </w:r>
      <w:hyperlink r:id="rId6" w:history="1">
        <w:r w:rsidRPr="00A37C7D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https://www.legislation.gov.uk/ukpga/1996/56/contents</w:t>
        </w:r>
      </w:hyperlink>
      <w:r>
        <w:rPr>
          <w:rFonts w:ascii="Arial" w:eastAsia="Times New Roman" w:hAnsi="Arial" w:cs="Arial"/>
          <w:sz w:val="24"/>
          <w:szCs w:val="24"/>
          <w:lang w:eastAsia="en-GB"/>
        </w:rPr>
        <w:t xml:space="preserve"> (Accessed: 02 Jun 2026).</w:t>
      </w:r>
    </w:p>
    <w:p w:rsidR="005D1C84" w:rsidRPr="00AB36BE" w:rsidRDefault="005D1C84" w:rsidP="005D1C84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AA226D">
        <w:rPr>
          <w:rFonts w:ascii="Arial" w:eastAsia="Times New Roman" w:hAnsi="Arial" w:cs="Arial"/>
          <w:bCs/>
          <w:i/>
          <w:sz w:val="24"/>
          <w:szCs w:val="24"/>
          <w:lang w:eastAsia="en-GB"/>
        </w:rPr>
        <w:t>Education Act 2002, C.32.</w:t>
      </w:r>
      <w:r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 Available at: </w:t>
      </w:r>
      <w:hyperlink r:id="rId7" w:history="1">
        <w:r w:rsidRPr="00A37C7D">
          <w:rPr>
            <w:rStyle w:val="Hyperlink"/>
            <w:rFonts w:ascii="Arial" w:eastAsia="Times New Roman" w:hAnsi="Arial" w:cs="Arial"/>
            <w:bCs/>
            <w:sz w:val="24"/>
            <w:szCs w:val="24"/>
            <w:lang w:eastAsia="en-GB"/>
          </w:rPr>
          <w:t>https://www.legislation.gov.uk/ukpga/2002/32/section/2</w:t>
        </w:r>
      </w:hyperlink>
      <w:r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 (Accessed: 02 Jun 2026).</w:t>
      </w:r>
      <w:r w:rsidRPr="00AB36BE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:rsidR="005D1C84" w:rsidRPr="00AB36BE" w:rsidRDefault="005D1C84" w:rsidP="005D1C84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Department for Education (2026) </w:t>
      </w:r>
      <w:r w:rsidRPr="00D921EF">
        <w:rPr>
          <w:rFonts w:ascii="Arial" w:eastAsia="Times New Roman" w:hAnsi="Arial" w:cs="Arial"/>
          <w:bCs/>
          <w:i/>
          <w:sz w:val="24"/>
          <w:szCs w:val="24"/>
          <w:lang w:eastAsia="en-GB"/>
        </w:rPr>
        <w:t>Working Together to Safeguard Children.</w:t>
      </w:r>
      <w:r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 Gov.UK. Available at: </w:t>
      </w:r>
      <w:hyperlink r:id="rId8" w:history="1">
        <w:r w:rsidRPr="00A37C7D">
          <w:rPr>
            <w:rStyle w:val="Hyperlink"/>
            <w:rFonts w:ascii="Arial" w:eastAsia="Times New Roman" w:hAnsi="Arial" w:cs="Arial"/>
            <w:bCs/>
            <w:sz w:val="24"/>
            <w:szCs w:val="24"/>
            <w:lang w:eastAsia="en-GB"/>
          </w:rPr>
          <w:t>https://www.gov.uk/government/publications/working-together-to-safeguard-children--2</w:t>
        </w:r>
      </w:hyperlink>
      <w:r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en-GB"/>
        </w:rPr>
        <w:t>(Accessed: 01 Jun 2026).</w:t>
      </w:r>
      <w:r w:rsidRPr="00AB36BE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:rsidR="005D1C84" w:rsidRPr="00260282" w:rsidRDefault="005D1C84" w:rsidP="005D1C84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Herefordshire Safeguarding (2023). </w:t>
      </w:r>
      <w:r w:rsidRPr="00051738">
        <w:rPr>
          <w:rFonts w:ascii="Arial" w:eastAsia="Times New Roman" w:hAnsi="Arial" w:cs="Arial"/>
          <w:bCs/>
          <w:i/>
          <w:sz w:val="24"/>
          <w:szCs w:val="24"/>
          <w:lang w:eastAsia="en-GB"/>
        </w:rPr>
        <w:t>Child Safeguarding Practice Reviews</w:t>
      </w:r>
      <w:r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 </w:t>
      </w:r>
      <w:hyperlink r:id="rId9" w:history="1">
        <w:r w:rsidRPr="00A37C7D">
          <w:rPr>
            <w:rStyle w:val="Hyperlink"/>
            <w:rFonts w:ascii="Arial" w:eastAsia="Times New Roman" w:hAnsi="Arial" w:cs="Arial"/>
            <w:bCs/>
            <w:sz w:val="24"/>
            <w:szCs w:val="24"/>
            <w:lang w:eastAsia="en-GB"/>
          </w:rPr>
          <w:t>https://www.herefordshiresafeguardingboards.org.uk/case-reviews/child-safeguarding-practice-reviews</w:t>
        </w:r>
      </w:hyperlink>
      <w:r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en-GB"/>
        </w:rPr>
        <w:t>(Accessed: 01 Jun 2026).</w:t>
      </w:r>
    </w:p>
    <w:p w:rsidR="005D1C84" w:rsidRPr="00AB36BE" w:rsidRDefault="005D1C84" w:rsidP="005D1C84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5E2A4A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Linford, H. (2023). Safeguarding young people: risks, rights, resilience and relationships: by </w:t>
      </w:r>
      <w:proofErr w:type="spellStart"/>
      <w:r w:rsidRPr="005E2A4A">
        <w:rPr>
          <w:rFonts w:ascii="Arial" w:eastAsia="Times New Roman" w:hAnsi="Arial" w:cs="Arial"/>
          <w:bCs/>
          <w:sz w:val="24"/>
          <w:szCs w:val="24"/>
          <w:lang w:eastAsia="en-GB"/>
        </w:rPr>
        <w:t>Dez</w:t>
      </w:r>
      <w:proofErr w:type="spellEnd"/>
      <w:r w:rsidRPr="005E2A4A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 Holmes, London, Jessica Kings</w:t>
      </w:r>
      <w:r>
        <w:rPr>
          <w:rFonts w:ascii="Arial" w:eastAsia="Times New Roman" w:hAnsi="Arial" w:cs="Arial"/>
          <w:bCs/>
          <w:sz w:val="24"/>
          <w:szCs w:val="24"/>
          <w:lang w:eastAsia="en-GB"/>
        </w:rPr>
        <w:t>ley Publishers, 2022, 240 pp.</w:t>
      </w:r>
      <w:r w:rsidRPr="005E2A4A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 </w:t>
      </w:r>
      <w:r w:rsidRPr="005E2A4A">
        <w:rPr>
          <w:rFonts w:ascii="Arial" w:eastAsia="Times New Roman" w:hAnsi="Arial" w:cs="Arial"/>
          <w:bCs/>
          <w:i/>
          <w:sz w:val="24"/>
          <w:szCs w:val="24"/>
          <w:lang w:eastAsia="en-GB"/>
        </w:rPr>
        <w:t>Journal of Social Work Practice</w:t>
      </w:r>
      <w:r w:rsidRPr="005E2A4A">
        <w:rPr>
          <w:rFonts w:ascii="Arial" w:eastAsia="Times New Roman" w:hAnsi="Arial" w:cs="Arial"/>
          <w:bCs/>
          <w:sz w:val="24"/>
          <w:szCs w:val="24"/>
          <w:lang w:eastAsia="en-GB"/>
        </w:rPr>
        <w:t>, 37(3), 395–397.</w:t>
      </w:r>
      <w:r w:rsidRPr="00AB36BE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:rsidR="005D1C84" w:rsidRDefault="005D1C84" w:rsidP="005D1C84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AB36BE">
        <w:rPr>
          <w:rFonts w:ascii="Arial" w:eastAsia="Times New Roman" w:hAnsi="Arial" w:cs="Arial"/>
          <w:bCs/>
          <w:sz w:val="24"/>
          <w:szCs w:val="24"/>
          <w:lang w:eastAsia="en-GB"/>
        </w:rPr>
        <w:t>Horwath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en-GB"/>
        </w:rPr>
        <w:t>, J.</w:t>
      </w:r>
      <w:r w:rsidRPr="00AB36BE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 (2013) </w:t>
      </w:r>
      <w:r w:rsidRPr="00A753FB">
        <w:rPr>
          <w:rFonts w:ascii="Arial" w:eastAsia="Times New Roman" w:hAnsi="Arial" w:cs="Arial"/>
          <w:bCs/>
          <w:i/>
          <w:sz w:val="24"/>
          <w:szCs w:val="24"/>
          <w:lang w:eastAsia="en-GB"/>
        </w:rPr>
        <w:t>Child Neglect: Planning and Intervention</w:t>
      </w:r>
      <w:r>
        <w:rPr>
          <w:rFonts w:ascii="Arial" w:eastAsia="Times New Roman" w:hAnsi="Arial" w:cs="Arial"/>
          <w:sz w:val="24"/>
          <w:szCs w:val="24"/>
          <w:lang w:eastAsia="en-GB"/>
        </w:rPr>
        <w:t>. London: Bloomsbury Publishing.</w:t>
      </w:r>
    </w:p>
    <w:p w:rsidR="005D1C84" w:rsidRPr="00260282" w:rsidRDefault="005D1C84" w:rsidP="005D1C84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1C1654">
        <w:rPr>
          <w:rFonts w:ascii="Arial" w:eastAsia="Times New Roman" w:hAnsi="Arial" w:cs="Arial"/>
          <w:bCs/>
          <w:sz w:val="24"/>
          <w:szCs w:val="24"/>
          <w:lang w:eastAsia="en-GB"/>
        </w:rPr>
        <w:t>U</w:t>
      </w:r>
      <w:r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NICEF (2026) </w:t>
      </w:r>
      <w:r w:rsidRPr="00B729FA">
        <w:rPr>
          <w:rFonts w:ascii="Arial" w:eastAsia="Times New Roman" w:hAnsi="Arial" w:cs="Arial"/>
          <w:bCs/>
          <w:i/>
          <w:sz w:val="24"/>
          <w:szCs w:val="24"/>
          <w:lang w:eastAsia="en-GB"/>
        </w:rPr>
        <w:t>Convention on the Rights of the Child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. Available at: </w:t>
      </w:r>
      <w:hyperlink r:id="rId10" w:history="1">
        <w:r w:rsidRPr="00A37C7D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https://www.unicef.org/child-rights-convention</w:t>
        </w:r>
      </w:hyperlink>
      <w:r>
        <w:rPr>
          <w:rFonts w:ascii="Arial" w:eastAsia="Times New Roman" w:hAnsi="Arial" w:cs="Arial"/>
          <w:sz w:val="24"/>
          <w:szCs w:val="24"/>
          <w:lang w:eastAsia="en-GB"/>
        </w:rPr>
        <w:t xml:space="preserve"> (Accessed: 01 Jun 2026).</w:t>
      </w:r>
    </w:p>
    <w:p w:rsidR="00546036" w:rsidRDefault="00546036"/>
    <w:sectPr w:rsidR="00546036" w:rsidSect="005D1C84">
      <w:pgSz w:w="12240" w:h="15840"/>
      <w:pgMar w:top="1440" w:right="1440" w:bottom="1440" w:left="1440" w:header="720" w:footer="720" w:gutter="0"/>
      <w:pgBorders w:display="firstPage"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306BCB"/>
    <w:multiLevelType w:val="multilevel"/>
    <w:tmpl w:val="14487F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18A"/>
    <w:rsid w:val="00023386"/>
    <w:rsid w:val="000D35C7"/>
    <w:rsid w:val="00131537"/>
    <w:rsid w:val="00170FE2"/>
    <w:rsid w:val="001D5624"/>
    <w:rsid w:val="00376920"/>
    <w:rsid w:val="00417E4B"/>
    <w:rsid w:val="005235D7"/>
    <w:rsid w:val="00546036"/>
    <w:rsid w:val="005D1C84"/>
    <w:rsid w:val="005E75FC"/>
    <w:rsid w:val="006E3F6D"/>
    <w:rsid w:val="007B00C0"/>
    <w:rsid w:val="00831584"/>
    <w:rsid w:val="00894B62"/>
    <w:rsid w:val="00915B27"/>
    <w:rsid w:val="00A941A6"/>
    <w:rsid w:val="00B33920"/>
    <w:rsid w:val="00BA6547"/>
    <w:rsid w:val="00BF236A"/>
    <w:rsid w:val="00C8506F"/>
    <w:rsid w:val="00CF68BE"/>
    <w:rsid w:val="00D95B6E"/>
    <w:rsid w:val="00E76AD2"/>
    <w:rsid w:val="00EA618A"/>
    <w:rsid w:val="00F31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CD86BF-FFEE-4256-B74A-42D991789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D1C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5D1C84"/>
    <w:rPr>
      <w:b/>
      <w:bCs/>
    </w:rPr>
  </w:style>
  <w:style w:type="character" w:styleId="Hyperlink">
    <w:name w:val="Hyperlink"/>
    <w:basedOn w:val="DefaultParagraphFont"/>
    <w:uiPriority w:val="99"/>
    <w:unhideWhenUsed/>
    <w:rsid w:val="005D1C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1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7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working-together-to-safeguard-children--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legislation.gov.uk/ukpga/2002/32/section/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egislation.gov.uk/ukpga/1996/56/contents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www.unicef.org/child-rights-conventio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herefordshiresafeguardingboards.org.uk/case-reviews/child-safeguarding-practice-review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Aqsa Shahzadi</dc:creator>
  <cp:keywords/>
  <dc:description/>
  <cp:lastModifiedBy>Dell</cp:lastModifiedBy>
  <cp:revision>3</cp:revision>
  <dcterms:created xsi:type="dcterms:W3CDTF">2026-06-17T23:42:00Z</dcterms:created>
  <dcterms:modified xsi:type="dcterms:W3CDTF">2026-06-17T23:42:00Z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4c0e2caa-2e56-41f6-8b3e-a5358fa930b6</vt:lpwstr>
  </property>
</Properties>
</file>