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1E7A9" w14:textId="77777777" w:rsidR="008B022B" w:rsidRPr="008B022B" w:rsidRDefault="008B022B" w:rsidP="008B022B">
      <w:pPr>
        <w:rPr>
          <w:b/>
          <w:bCs/>
        </w:rPr>
      </w:pPr>
      <w:r w:rsidRPr="008B022B">
        <w:rPr>
          <w:b/>
          <w:bCs/>
        </w:rPr>
        <w:t xml:space="preserve">Essay one: </w:t>
      </w:r>
    </w:p>
    <w:p w14:paraId="27283FBC" w14:textId="77777777" w:rsidR="008B022B" w:rsidRDefault="008B022B" w:rsidP="008B022B">
      <w:r>
        <w:t xml:space="preserve">How have past instances of police malpractice and misconduct influenced modern professional policing? </w:t>
      </w:r>
    </w:p>
    <w:p w14:paraId="6450FC95" w14:textId="784917F0" w:rsidR="008B022B" w:rsidRDefault="008B022B" w:rsidP="008B022B">
      <w:r>
        <w:t xml:space="preserve">Support your answer with relevant evidence drawn from academic sources. </w:t>
      </w:r>
    </w:p>
    <w:p w14:paraId="11F6D731" w14:textId="77777777" w:rsidR="008B022B" w:rsidRDefault="008B022B" w:rsidP="008B022B">
      <w:pPr>
        <w:rPr>
          <w:b/>
          <w:bCs/>
        </w:rPr>
      </w:pPr>
      <w:r w:rsidRPr="004D196A">
        <w:rPr>
          <w:b/>
          <w:bCs/>
        </w:rPr>
        <w:t>Word limit: 1000 words.</w:t>
      </w:r>
    </w:p>
    <w:p w14:paraId="4E3C0A04" w14:textId="77777777" w:rsidR="004D196A" w:rsidRPr="004D196A" w:rsidRDefault="004D196A" w:rsidP="008B022B">
      <w:pPr>
        <w:rPr>
          <w:b/>
          <w:bCs/>
        </w:rPr>
      </w:pPr>
    </w:p>
    <w:p w14:paraId="45AA3E54" w14:textId="77777777" w:rsidR="008B022B" w:rsidRDefault="008B022B" w:rsidP="008B022B">
      <w:r>
        <w:t>Policing has always and will most likely always be a subject of controversial opinion to the public, and that is not without reason, especially in today’s age where everybody has access to mobile phones so that interactions with police can be instantly recorded and uploaded to the internet by the click of a button. Police are given a strong list of powers that enable them to prevent, detect and to bring crime to justice which range from stop and search powers, the power to arrest and the power to use force on offenders, But unfortunately there have been times throughout history where police have not used the powers in justifiable, proportionate or ethical ways which has resulted in the public turning on the police and demanding change.</w:t>
      </w:r>
    </w:p>
    <w:p w14:paraId="2F25F9F4" w14:textId="77777777" w:rsidR="008B022B" w:rsidRDefault="008B022B" w:rsidP="008B022B">
      <w:r>
        <w:t xml:space="preserve">One of the most notable moments in history of police malpractice is Operation Swamp of 1981 that sparked the Brixton Riots of 1981. Operation Swamp was enacted in early April ’81 with the goal of reducing crime in the area of Brixton which relied on a policing power known as the “sus law” to stop and search people who police suspected might be carrying out a crime (C, John, 2006). This power was believed to have been abused and was being used to discriminate against ethnic minorities in the area. It was felt by the local communities that the police were using sus law to racially profile </w:t>
      </w:r>
      <w:proofErr w:type="gramStart"/>
      <w:r>
        <w:t>them</w:t>
      </w:r>
      <w:proofErr w:type="gramEnd"/>
      <w:r>
        <w:t xml:space="preserve"> and this led to a growing disconnect between the police and the communities of Brixton until it all came to a tipping point in which rumours of police brutality against a black man resulted in the communities rioting with the police (BBC, 2021). The aftermath of the Brixton riots saw the production of the Scarman report which in turn became part of the core reasons that the PACE act, which is still used today, became the governing principles of policing (Gov.uk, 2023) in which it delivers a fair and transparent set of guidelines for police to follow which takes into consideration the rights and freedoms of the public (College </w:t>
      </w:r>
      <w:proofErr w:type="gramStart"/>
      <w:r>
        <w:t>Of</w:t>
      </w:r>
      <w:proofErr w:type="gramEnd"/>
      <w:r>
        <w:t xml:space="preserve"> Policing, 2023).</w:t>
      </w:r>
    </w:p>
    <w:p w14:paraId="5EF2CC85" w14:textId="77777777" w:rsidR="008B022B" w:rsidRDefault="008B022B" w:rsidP="008B022B">
      <w:r>
        <w:t>PACE responded to the complaints and abuse of the sus law to stop and search people. Whereas sus law allows any person to be stop and searched provided that the police suspects one may be carrying out an offence, PACE now dictates that an officer must have reasonable grounds to suspect or believe a person of being involved in an offence and that an Officer is obligated to provide you with certain information prior to commencing a search to consider it lawful. PACE not only protects the Officer, but also the individual being searched, and is a search is carried out unlawfully, there will be repercussions. An example of this is Osman V Southwark Crown Court (England and Wales High Court, 1999) whereby a search was deemed as unlawful as the officers failed to provide their name and station to the detained person. This demonstrates that PACE holds officers accountable for their actions and that the public are protected should officers fail to follow PACE.</w:t>
      </w:r>
    </w:p>
    <w:p w14:paraId="239D0414" w14:textId="77777777" w:rsidR="008B022B" w:rsidRDefault="008B022B" w:rsidP="008B022B">
      <w:r>
        <w:t xml:space="preserve">Another outcome of </w:t>
      </w:r>
      <w:proofErr w:type="spellStart"/>
      <w:r>
        <w:t>Scarmans</w:t>
      </w:r>
      <w:proofErr w:type="spellEnd"/>
      <w:r>
        <w:t xml:space="preserve"> report was that creation of the Police Complaints Authority, </w:t>
      </w:r>
      <w:proofErr w:type="gramStart"/>
      <w:r>
        <w:t>Which</w:t>
      </w:r>
      <w:proofErr w:type="gramEnd"/>
      <w:r>
        <w:t xml:space="preserve"> has gone through restructures and is now known today as the IOPC (Independent Office for Police Conduct) and is an independent body which investigates complaints against police officers (IOPC, 2020). By being independent from the Police and the government, </w:t>
      </w:r>
      <w:proofErr w:type="gramStart"/>
      <w:r>
        <w:t>It</w:t>
      </w:r>
      <w:proofErr w:type="gramEnd"/>
      <w:r>
        <w:t xml:space="preserve"> allows the public to have a stronger sense of confidence that any reports will be dealt with appropriately and not misconstrued. The reports for the IOPC are published annually and are open for public access. Their report from 1</w:t>
      </w:r>
      <w:r w:rsidRPr="00807F24">
        <w:rPr>
          <w:vertAlign w:val="superscript"/>
        </w:rPr>
        <w:t>st</w:t>
      </w:r>
      <w:r>
        <w:t xml:space="preserve"> April 2022 to 31</w:t>
      </w:r>
      <w:r w:rsidRPr="00807F24">
        <w:rPr>
          <w:vertAlign w:val="superscript"/>
        </w:rPr>
        <w:t>st</w:t>
      </w:r>
      <w:r>
        <w:t xml:space="preserve"> march </w:t>
      </w:r>
      <w:proofErr w:type="gramStart"/>
      <w:r>
        <w:t>2022  shows</w:t>
      </w:r>
      <w:proofErr w:type="gramEnd"/>
      <w:r>
        <w:t xml:space="preserve"> that of 419 investigations completed, 127 led to proceedings </w:t>
      </w:r>
      <w:r>
        <w:lastRenderedPageBreak/>
        <w:t>taken place where a further 82% of these were proven (IOPC, 2022). What these numbers show is that these complaints were dealt with accordingly and that those that were evidentially suited to lead to proceedings had an incredibly high success rate, indicating that the investigations and work being done by IOPC is in the public interest and successful.</w:t>
      </w:r>
    </w:p>
    <w:p w14:paraId="59B22D1C" w14:textId="082202D9" w:rsidR="008B022B" w:rsidRDefault="008B022B" w:rsidP="008B022B">
      <w:proofErr w:type="gramStart"/>
      <w:r>
        <w:t>Unfortunately</w:t>
      </w:r>
      <w:proofErr w:type="gramEnd"/>
      <w:r>
        <w:t xml:space="preserve"> still to this day there are instances of police malpractice and misconduct that shake the </w:t>
      </w:r>
      <w:proofErr w:type="spellStart"/>
      <w:r>
        <w:t>publics</w:t>
      </w:r>
      <w:proofErr w:type="spellEnd"/>
      <w:r>
        <w:t xml:space="preserve"> trust in police forces. On 3</w:t>
      </w:r>
      <w:r w:rsidRPr="00EA4248">
        <w:rPr>
          <w:vertAlign w:val="superscript"/>
        </w:rPr>
        <w:t>rd</w:t>
      </w:r>
      <w:r>
        <w:t xml:space="preserve"> March 2021, Wayne </w:t>
      </w:r>
      <w:proofErr w:type="spellStart"/>
      <w:r>
        <w:t>Couzens</w:t>
      </w:r>
      <w:proofErr w:type="spellEnd"/>
      <w:r>
        <w:t xml:space="preserve">, </w:t>
      </w:r>
      <w:proofErr w:type="gramStart"/>
      <w:r>
        <w:t>An</w:t>
      </w:r>
      <w:proofErr w:type="gramEnd"/>
      <w:r>
        <w:t xml:space="preserve"> off-duty police officer, deceived Sarah Everard into believing he was arresting her for breaching covid guidelines and kidnapped, raped and murdered her. The horrific incident shook the UK and caused incredible damage to the public trust in police (B, Morton, 2021). Furthermore, as enquiries continued the IOPC state they were also investigating failures to investigate a previous flashing incident by </w:t>
      </w:r>
      <w:proofErr w:type="spellStart"/>
      <w:r>
        <w:t>Couzens</w:t>
      </w:r>
      <w:proofErr w:type="spellEnd"/>
      <w:r>
        <w:t xml:space="preserve"> in 2015 and the month prior to the incident. </w:t>
      </w:r>
    </w:p>
    <w:p w14:paraId="23796DB4" w14:textId="77777777" w:rsidR="008B022B" w:rsidRDefault="008B022B" w:rsidP="008B022B">
      <w:r>
        <w:t>The MET police responded by setting out an action plan (Met police, 2021) detailing how they would appropriately respond to the incident and regain public trust by setting out measures such as focus around safeguarding women by providing increased police presence in hotspot locations, urgently reviewing all misconduct allegations against staff as well as increasing the number of investigators in the professional standards department so that they may prevent further instances of police abusing their powers of trust.</w:t>
      </w:r>
    </w:p>
    <w:p w14:paraId="047266C4" w14:textId="77777777" w:rsidR="008B022B" w:rsidRDefault="008B022B" w:rsidP="008B022B">
      <w:r>
        <w:t xml:space="preserve">This again shows how police have responded accordingly directly to the complaints and concerns about the police which had decreased public trust and set out a </w:t>
      </w:r>
      <w:proofErr w:type="gramStart"/>
      <w:r>
        <w:t>forward thinking</w:t>
      </w:r>
      <w:proofErr w:type="gramEnd"/>
      <w:r>
        <w:t xml:space="preserve"> action plan that will not only protect and safeguard the public, but also protect officers as well.</w:t>
      </w:r>
    </w:p>
    <w:p w14:paraId="33DD0E8C" w14:textId="00D50B60" w:rsidR="008B022B" w:rsidRDefault="008B022B" w:rsidP="008B022B">
      <w:r>
        <w:t>To conclude</w:t>
      </w:r>
      <w:r w:rsidR="009D549D">
        <w:t>,</w:t>
      </w:r>
      <w:r>
        <w:t xml:space="preserve"> from </w:t>
      </w:r>
      <w:r w:rsidR="009D549D">
        <w:t>this</w:t>
      </w:r>
      <w:r>
        <w:t xml:space="preserve"> research it is evident that unfortunately police malpractice and misconduct is a reality that is even still happening to this day, </w:t>
      </w:r>
      <w:proofErr w:type="gramStart"/>
      <w:r>
        <w:t>However</w:t>
      </w:r>
      <w:proofErr w:type="gramEnd"/>
      <w:r>
        <w:t xml:space="preserve"> having structured bodies and acts now introduced as a reaction to these events strengthens modern day policing as a whole and allows police to provide a better service to the public and their communities, regaining public trust. As evidenced here, the introduction of PACE has given the public more understanding of the processes and policies that police must adhere to and also gives the public more reassurance they are dealt with accordingly when being stopped search, likewise with the introduction of bodies like the IOPC, their transparent reporting and statistics show that officers are investigated accordingly for allegations by an independent body which then have led to proceedings and yielded results. </w:t>
      </w:r>
    </w:p>
    <w:p w14:paraId="7DF2CF52" w14:textId="77777777" w:rsidR="008B022B" w:rsidRDefault="008B022B" w:rsidP="000A7F92">
      <w:pPr>
        <w:rPr>
          <w:b/>
          <w:bCs/>
        </w:rPr>
      </w:pPr>
    </w:p>
    <w:p w14:paraId="4A93664A" w14:textId="77777777" w:rsidR="008B022B" w:rsidRDefault="008B022B" w:rsidP="000A7F92">
      <w:pPr>
        <w:rPr>
          <w:b/>
          <w:bCs/>
        </w:rPr>
      </w:pPr>
    </w:p>
    <w:p w14:paraId="7830CBA5" w14:textId="2109E711" w:rsidR="008B022B" w:rsidRDefault="008B022B" w:rsidP="000A7F92">
      <w:pPr>
        <w:rPr>
          <w:b/>
          <w:bCs/>
        </w:rPr>
      </w:pPr>
      <w:r>
        <w:rPr>
          <w:b/>
          <w:bCs/>
        </w:rPr>
        <w:t>Word Count: 1037</w:t>
      </w:r>
    </w:p>
    <w:p w14:paraId="6BDBE363" w14:textId="77777777" w:rsidR="008B022B" w:rsidRDefault="008B022B" w:rsidP="000A7F92">
      <w:pPr>
        <w:rPr>
          <w:b/>
          <w:bCs/>
        </w:rPr>
      </w:pPr>
    </w:p>
    <w:p w14:paraId="792D737F" w14:textId="77777777" w:rsidR="008B022B" w:rsidRDefault="008B022B" w:rsidP="000A7F92">
      <w:pPr>
        <w:rPr>
          <w:b/>
          <w:bCs/>
        </w:rPr>
      </w:pPr>
    </w:p>
    <w:p w14:paraId="36C24B82" w14:textId="77777777" w:rsidR="008B022B" w:rsidRDefault="008B022B" w:rsidP="000A7F92">
      <w:pPr>
        <w:rPr>
          <w:b/>
          <w:bCs/>
        </w:rPr>
      </w:pPr>
    </w:p>
    <w:p w14:paraId="263B8EA7" w14:textId="77777777" w:rsidR="008B022B" w:rsidRDefault="008B022B" w:rsidP="000A7F92">
      <w:pPr>
        <w:rPr>
          <w:b/>
          <w:bCs/>
        </w:rPr>
      </w:pPr>
    </w:p>
    <w:p w14:paraId="58D591F3" w14:textId="77777777" w:rsidR="008B022B" w:rsidRDefault="008B022B" w:rsidP="000A7F92">
      <w:pPr>
        <w:rPr>
          <w:b/>
          <w:bCs/>
        </w:rPr>
      </w:pPr>
    </w:p>
    <w:p w14:paraId="68B66774" w14:textId="77777777" w:rsidR="008B022B" w:rsidRDefault="008B022B" w:rsidP="000A7F92">
      <w:pPr>
        <w:rPr>
          <w:b/>
          <w:bCs/>
        </w:rPr>
      </w:pPr>
    </w:p>
    <w:p w14:paraId="2FC0F3DC" w14:textId="77777777" w:rsidR="008B022B" w:rsidRDefault="008B022B" w:rsidP="000A7F92">
      <w:pPr>
        <w:rPr>
          <w:b/>
          <w:bCs/>
        </w:rPr>
      </w:pPr>
    </w:p>
    <w:p w14:paraId="065BE6C9" w14:textId="77777777" w:rsidR="008B022B" w:rsidRDefault="008B022B" w:rsidP="000A7F92">
      <w:pPr>
        <w:rPr>
          <w:b/>
          <w:bCs/>
        </w:rPr>
      </w:pPr>
    </w:p>
    <w:p w14:paraId="74CD0FAC" w14:textId="77777777" w:rsidR="00334469" w:rsidRDefault="00334469" w:rsidP="00334469">
      <w:r w:rsidRPr="00334469">
        <w:rPr>
          <w:b/>
          <w:bCs/>
        </w:rPr>
        <w:lastRenderedPageBreak/>
        <w:t>Essay two:</w:t>
      </w:r>
    </w:p>
    <w:p w14:paraId="53547A69" w14:textId="1FEA2653" w:rsidR="00334469" w:rsidRDefault="00334469" w:rsidP="00334469">
      <w:r>
        <w:t xml:space="preserve"> How does media coverage affect policing strategies in relation to public protection incidents? Your answer must be based on academic research, but you may </w:t>
      </w:r>
      <w:proofErr w:type="gramStart"/>
      <w:r>
        <w:t>make reference</w:t>
      </w:r>
      <w:proofErr w:type="gramEnd"/>
      <w:r>
        <w:t xml:space="preserve"> to relevant case studies.</w:t>
      </w:r>
    </w:p>
    <w:p w14:paraId="018CFF85" w14:textId="77777777" w:rsidR="00334469" w:rsidRDefault="00334469" w:rsidP="00334469">
      <w:r>
        <w:rPr>
          <w:b/>
          <w:bCs/>
        </w:rPr>
        <w:t xml:space="preserve">Word limit: </w:t>
      </w:r>
      <w:r>
        <w:t>1000 words.</w:t>
      </w:r>
    </w:p>
    <w:p w14:paraId="6AE8EB21" w14:textId="77777777" w:rsidR="00334469" w:rsidRDefault="00334469" w:rsidP="00334469"/>
    <w:p w14:paraId="04913ACA" w14:textId="77777777" w:rsidR="00334469" w:rsidRDefault="00334469" w:rsidP="00334469">
      <w:r>
        <w:t xml:space="preserve">Policing by consent is a long-standing form of principles set out by Robert Peel in 1829 (Gov.uk, 2012) and seeks to enforce that the Police work co-operatively with the public and for the public. However, especially in </w:t>
      </w:r>
      <w:proofErr w:type="spellStart"/>
      <w:proofErr w:type="gramStart"/>
      <w:r>
        <w:t>todays</w:t>
      </w:r>
      <w:proofErr w:type="spellEnd"/>
      <w:proofErr w:type="gramEnd"/>
      <w:r>
        <w:t xml:space="preserve"> society with instant access to the internet, The media is arguably one of the main forms of communication between the general public and the police. The media is an important part of policing, as it allows policing to be transparent with the public by means of announcements and requesting public engagement to tackle crime and also to hold the Police accountable for incidents that may occur (College </w:t>
      </w:r>
      <w:proofErr w:type="gramStart"/>
      <w:r>
        <w:t>Of</w:t>
      </w:r>
      <w:proofErr w:type="gramEnd"/>
      <w:r>
        <w:t xml:space="preserve"> Policing, 2013).</w:t>
      </w:r>
    </w:p>
    <w:p w14:paraId="52891D24" w14:textId="77777777" w:rsidR="00334469" w:rsidRDefault="00334469" w:rsidP="00334469"/>
    <w:p w14:paraId="712FCC09" w14:textId="77777777" w:rsidR="00334469" w:rsidRDefault="00334469" w:rsidP="00334469">
      <w:r>
        <w:t>One incident which resulted in major changes to Policing is the Soham Murders of 2002. Holly wells and Jessica who were both 10 years old were the victims of murder after they disappeared on 4</w:t>
      </w:r>
      <w:r w:rsidRPr="00633FC2">
        <w:rPr>
          <w:vertAlign w:val="superscript"/>
        </w:rPr>
        <w:t>th</w:t>
      </w:r>
      <w:r>
        <w:t xml:space="preserve"> August 2002, leading to a massive search involving the public and the police to locate them, for them to be found dead thirteen days </w:t>
      </w:r>
      <w:proofErr w:type="gramStart"/>
      <w:r>
        <w:t>later on</w:t>
      </w:r>
      <w:proofErr w:type="gramEnd"/>
      <w:r>
        <w:t xml:space="preserve"> 17</w:t>
      </w:r>
      <w:r w:rsidRPr="000B4DB5">
        <w:rPr>
          <w:vertAlign w:val="superscript"/>
        </w:rPr>
        <w:t>th</w:t>
      </w:r>
      <w:r>
        <w:t xml:space="preserve"> August (Standard, 2012). From the moment the two young girls disappeared, till they were found deceased, there was large media coverage surrounding the incident which unfolded day by day, documenting actions and enquiries being completed by Police (BBC, 2002). </w:t>
      </w:r>
    </w:p>
    <w:p w14:paraId="51B36CEE" w14:textId="77777777" w:rsidR="00334469" w:rsidRDefault="00334469" w:rsidP="00334469">
      <w:r>
        <w:t>The offender was identified as Ian Huntley, who was the local college caretaker of the school that the two girls attended. It transpired that Ian, had a history of offending relating to rape and other sexual offences, yet was still able to get a role within the College. Furthermore, he had previously confessed to having sex with a girl under the legal age of consent but was not prosecuted or cautioned for the offence despite confessing to it (</w:t>
      </w:r>
      <w:proofErr w:type="gramStart"/>
      <w:r>
        <w:t>M.Bichard</w:t>
      </w:r>
      <w:proofErr w:type="gramEnd"/>
      <w:r>
        <w:t>, 2004), thus allowing him to slip through the cracks (BBC, 2004).</w:t>
      </w:r>
    </w:p>
    <w:p w14:paraId="6B66C372" w14:textId="77777777" w:rsidR="00334469" w:rsidRDefault="00334469" w:rsidP="00334469">
      <w:r>
        <w:t>Understandably, this caused large public discourse and concern regarding the polices ability to protect children and the general public, when someone with such a background was able to work within the College.</w:t>
      </w:r>
    </w:p>
    <w:p w14:paraId="6064D636" w14:textId="77777777" w:rsidR="00334469" w:rsidRDefault="00334469" w:rsidP="00334469">
      <w:r>
        <w:t>An enquiry was launched into the murders of the two girls named the Bichard enquiry. This highlighted some of the key findings and recommendations following the incident. The report identified failures within the police to geographically share information with other forces, as well as partner agencies (</w:t>
      </w:r>
      <w:proofErr w:type="gramStart"/>
      <w:r>
        <w:t>M.Bichard</w:t>
      </w:r>
      <w:proofErr w:type="gramEnd"/>
      <w:r>
        <w:t>, 2004). It also identified failures for police failing to deal with reported crimes accordingly.</w:t>
      </w:r>
    </w:p>
    <w:p w14:paraId="177AC1BE" w14:textId="77777777" w:rsidR="00334469" w:rsidRDefault="00334469" w:rsidP="00334469">
      <w:r>
        <w:t>The enquiry identified that one of the key failings were “the inability of Humberside Police and Social services to identify Huntleys behaviour pattern remotely soon enough. That was because both viewed each case in isolation and because social services failed to share information effectively with police.”</w:t>
      </w:r>
      <w:r w:rsidRPr="000F65C2">
        <w:t xml:space="preserve"> </w:t>
      </w:r>
      <w:r>
        <w:t>(</w:t>
      </w:r>
      <w:proofErr w:type="gramStart"/>
      <w:r>
        <w:t>M.Bichard</w:t>
      </w:r>
      <w:proofErr w:type="gramEnd"/>
      <w:r>
        <w:t xml:space="preserve">, 2004). </w:t>
      </w:r>
    </w:p>
    <w:p w14:paraId="5B674D9E" w14:textId="77777777" w:rsidR="00334469" w:rsidRDefault="00334469" w:rsidP="00334469">
      <w:r>
        <w:t>This provides insight into the fact that police must work in unison with partner agencies to support victims and/or vulnerable people who are most at risk. Police public protection units target these groups to offer the most appropriate and effective safeguarding whilst working with partner agencies (</w:t>
      </w:r>
      <w:r>
        <w:rPr>
          <w:rFonts w:ascii="Arial" w:hAnsi="Arial" w:cs="Arial"/>
          <w:color w:val="000000"/>
          <w:sz w:val="19"/>
          <w:szCs w:val="19"/>
          <w:shd w:val="clear" w:color="auto" w:fill="FFFFFF"/>
        </w:rPr>
        <w:t>HMICFRS, 2023)</w:t>
      </w:r>
      <w:r>
        <w:t xml:space="preserve">. Not all circumstances immediately require police presence and action, as it may </w:t>
      </w:r>
      <w:r>
        <w:lastRenderedPageBreak/>
        <w:t xml:space="preserve">not be wholly clear if a crime has happened or is about to. But with social services and partner agencies sharing information with police, </w:t>
      </w:r>
      <w:proofErr w:type="gramStart"/>
      <w:r>
        <w:t>It</w:t>
      </w:r>
      <w:proofErr w:type="gramEnd"/>
      <w:r>
        <w:t xml:space="preserve"> allows a picture to be built around those most vulnerable to deliver closer monitoring on those who may pursue criminal activity towards them.</w:t>
      </w:r>
    </w:p>
    <w:p w14:paraId="25199E10" w14:textId="77777777" w:rsidR="00334469" w:rsidRDefault="00334469" w:rsidP="00334469">
      <w:r>
        <w:t>The enquiry also identified that due to Huntleys crimes taking place outside of the force area that he was employed in, there was a failure to share that information between police forces extensively to detect or prevent any future crimes (</w:t>
      </w:r>
      <w:proofErr w:type="gramStart"/>
      <w:r>
        <w:t>M.Bichard</w:t>
      </w:r>
      <w:proofErr w:type="gramEnd"/>
      <w:r>
        <w:t>, 2004). This failure further continues when Huntley was employed by the College, and despite background checks being done, nothing was provided to suggest Huntley should not work with children.</w:t>
      </w:r>
    </w:p>
    <w:p w14:paraId="62D1825C" w14:textId="77777777" w:rsidR="00334469" w:rsidRDefault="00334469" w:rsidP="00334469">
      <w:r>
        <w:t>This shows that despite Huntley having a history of offences with one force, he has enabled himself to continue to committing offences by moving out of force area and even secured employment in an area with children, despite having previous allegations of offences relating to sexual activities with children.</w:t>
      </w:r>
    </w:p>
    <w:p w14:paraId="1A82E641" w14:textId="77777777" w:rsidR="00334469" w:rsidRDefault="00334469" w:rsidP="00334469">
      <w:r>
        <w:t>The key recommendations from the Bichard enquiry were to implement a national police system that could be used by all police forces to identify offences in other forces as well as a mandatory implement of a system to conduct backgrounds checks for any persons working with vulnerable adults or children. These two recommendations saw the introduction of the CRB check, which is system employers are able to request information from about potential employers to ensure the applicant are appropriate for the role they are applying for (</w:t>
      </w:r>
      <w:proofErr w:type="gramStart"/>
      <w:r>
        <w:t>E.Johnson</w:t>
      </w:r>
      <w:proofErr w:type="gramEnd"/>
      <w:r>
        <w:t>, 2019). It also saw the introduction of the Police National Database (PND) which saw national management of police information, allowing forces to access information about nominals from other forces to ensure public protection (</w:t>
      </w:r>
      <w:r>
        <w:rPr>
          <w:rFonts w:ascii="Arial" w:hAnsi="Arial" w:cs="Arial"/>
          <w:color w:val="000000"/>
          <w:sz w:val="19"/>
          <w:szCs w:val="19"/>
          <w:shd w:val="clear" w:color="auto" w:fill="FFFFFF"/>
        </w:rPr>
        <w:t>Edgehill University, 2022)</w:t>
      </w:r>
      <w:r>
        <w:t>.</w:t>
      </w:r>
    </w:p>
    <w:p w14:paraId="2AC8157F" w14:textId="77777777" w:rsidR="00334469" w:rsidRDefault="00334469" w:rsidP="00334469">
      <w:r>
        <w:t>From this, it is clear that appropriate change in strategy has taken place to ensure that the most vulnerable in the public are better protected from offenders by ensuring that information held on local police systems are available nationally to other forces and that the introduction of mandatory CRB checks with those working with the most vulnerable will ensure that they are appropriate for the role and will not pose a risk to those they will work with. Both implementations are effective and adequate responses to the incident of the Soham murders which, had they been in place at the time, might have prevented those crimes from occurring and served better detection to local forces and agencies of Huntleys past.</w:t>
      </w:r>
    </w:p>
    <w:p w14:paraId="58ED605C" w14:textId="77777777" w:rsidR="00334469" w:rsidRDefault="00334469" w:rsidP="00334469">
      <w:r>
        <w:t>In addition to these implementations, public protection units (PPU) also make use of a framework known as MAPPA (Multi Agency Public Protection Arrangements). MAPPA is a framework used to manage offenders who pose the most risk to the public and are managed by all partner agencies as well as the police (</w:t>
      </w:r>
      <w:proofErr w:type="gramStart"/>
      <w:r>
        <w:t>S.Lester</w:t>
      </w:r>
      <w:proofErr w:type="gramEnd"/>
      <w:r>
        <w:t xml:space="preserve"> &amp; D.Sheppard, 2015). This framework allows for tighter monitoring of offenders when they are convicted or cautioned for offences to prevent them from further causing harm to the public and those most vulnerable by monitoring them on three different stages, depending on the severity of the offence.</w:t>
      </w:r>
    </w:p>
    <w:p w14:paraId="25967E3E" w14:textId="77777777" w:rsidR="00334469" w:rsidRDefault="00334469" w:rsidP="00334469">
      <w:r>
        <w:t xml:space="preserve">An implementation such as this shows more effective partner-agency working, allowing multiple agencies to come together to devise the best way to manage serious offenders </w:t>
      </w:r>
      <w:proofErr w:type="gramStart"/>
      <w:r>
        <w:t>and also</w:t>
      </w:r>
      <w:proofErr w:type="gramEnd"/>
      <w:r>
        <w:t xml:space="preserve"> make each other aware of any changes in circumstances such as releases from prison. An implementation like this at the time of Soham Murders would have allowed partner agencies to inform one another of Huntleys presence and past activities and manage him effectively in relation to his previous offences and allegations to prevent him working in sectors involving vulnerable people such as children.</w:t>
      </w:r>
    </w:p>
    <w:p w14:paraId="1975DBAE" w14:textId="77777777" w:rsidR="00334469" w:rsidRDefault="00334469" w:rsidP="00334469"/>
    <w:p w14:paraId="7AE07153" w14:textId="18A1DA43" w:rsidR="00334469" w:rsidRPr="00334469" w:rsidRDefault="00334469" w:rsidP="000A7F92">
      <w:r w:rsidRPr="00334469">
        <w:rPr>
          <w:b/>
          <w:bCs/>
        </w:rPr>
        <w:t>Word Count:</w:t>
      </w:r>
      <w:r>
        <w:rPr>
          <w:b/>
          <w:bCs/>
        </w:rPr>
        <w:t xml:space="preserve"> 1099</w:t>
      </w:r>
    </w:p>
    <w:p w14:paraId="66DF370E" w14:textId="0EB14E97" w:rsidR="000A7F92" w:rsidRDefault="000A7F92" w:rsidP="000A7F92">
      <w:pPr>
        <w:rPr>
          <w:b/>
          <w:bCs/>
        </w:rPr>
      </w:pPr>
      <w:r>
        <w:rPr>
          <w:b/>
          <w:bCs/>
        </w:rPr>
        <w:lastRenderedPageBreak/>
        <w:t>Essay three:</w:t>
      </w:r>
    </w:p>
    <w:p w14:paraId="1C500934" w14:textId="77777777" w:rsidR="000A7F92" w:rsidRDefault="000A7F92" w:rsidP="000A7F92">
      <w:r>
        <w:t xml:space="preserve">How effective is early intervention in preventing young people from offending, or re-offending? </w:t>
      </w:r>
    </w:p>
    <w:p w14:paraId="457DBFB2" w14:textId="77777777" w:rsidR="000A7F92" w:rsidRDefault="000A7F92" w:rsidP="000A7F92">
      <w:r>
        <w:t xml:space="preserve">Your answer must be based on academic research, but you may </w:t>
      </w:r>
      <w:proofErr w:type="gramStart"/>
      <w:r>
        <w:t>make reference</w:t>
      </w:r>
      <w:proofErr w:type="gramEnd"/>
      <w:r>
        <w:t xml:space="preserve"> to relevant case studies.</w:t>
      </w:r>
    </w:p>
    <w:p w14:paraId="042FE529" w14:textId="77777777" w:rsidR="000A7F92" w:rsidRDefault="000A7F92" w:rsidP="000A7F92">
      <w:r>
        <w:rPr>
          <w:b/>
          <w:bCs/>
        </w:rPr>
        <w:t xml:space="preserve">Word limit: </w:t>
      </w:r>
      <w:r>
        <w:t>1000 words.</w:t>
      </w:r>
    </w:p>
    <w:p w14:paraId="3C771309" w14:textId="77777777" w:rsidR="000A7F92" w:rsidRDefault="000A7F92" w:rsidP="000A7F92"/>
    <w:p w14:paraId="3F222280" w14:textId="77777777" w:rsidR="000A7F92" w:rsidRDefault="000A7F92" w:rsidP="000A7F92">
      <w:r>
        <w:t xml:space="preserve">Police deal with young people on a day-to-day basis, </w:t>
      </w:r>
      <w:proofErr w:type="gramStart"/>
      <w:r>
        <w:t>Where</w:t>
      </w:r>
      <w:proofErr w:type="gramEnd"/>
      <w:r>
        <w:t xml:space="preserve"> strict rules are set out in the Police And Criminal Evidence Act (PACE) governing how we must deal with and care for these individuals (College Of Policing, 2022). When dealing with younger individuals, </w:t>
      </w:r>
      <w:proofErr w:type="gramStart"/>
      <w:r>
        <w:t>It</w:t>
      </w:r>
      <w:proofErr w:type="gramEnd"/>
      <w:r>
        <w:t xml:space="preserve"> is believed that there are certain factors that make them more inclined to offend or re-offend (K. Thompson, 2021). Additionally, offending in youth tends to increase in late teenage years from 15-19 before tapering off in their early 20s, as evidenced by Rolf Loeber (</w:t>
      </w:r>
      <w:r w:rsidRPr="0049107B">
        <w:rPr>
          <w:rFonts w:eastAsia="Times New Roman"/>
        </w:rPr>
        <w:t>Encyclopaedia of Criminology and Criminal Justice</w:t>
      </w:r>
      <w:r w:rsidRPr="0049107B">
        <w:t>,</w:t>
      </w:r>
      <w:r>
        <w:t>2018).  Early intervention is a multi-agency approach that looks to tackle this and prevent young people from being put through the criminal justice system or to prevent re-offending. (gov.uk, 2019).</w:t>
      </w:r>
    </w:p>
    <w:p w14:paraId="1B92675D" w14:textId="77777777" w:rsidR="000A7F92" w:rsidRDefault="000A7F92" w:rsidP="000A7F92">
      <w:r>
        <w:t xml:space="preserve">As mentioned, there are certain factors believed to make younger people more prone to engaging in criminal activity, </w:t>
      </w:r>
      <w:proofErr w:type="gramStart"/>
      <w:r>
        <w:t>One</w:t>
      </w:r>
      <w:proofErr w:type="gramEnd"/>
      <w:r>
        <w:t xml:space="preserve"> of which is considered the ‘individual risk factor’ more commonly referred to as ACES (verywellmind, 2022). ACES, otherwise known as adverse childhood experiences, are traumatic experiences that have a long-standing impact on a child’s mental and physical health. ACES can range from physical and emotional abuse as a child, to being raised by parents with substance abuse or being a child of divorce. These traumatic experiences do not have to be singular and can be an accumulation of ACES which will then increase the risk and probability in these young people offending. For instance, a report by Public Health Wales showed that compared to a person who had no ACEs, those with four or more ACEs were fifteen times more likely to have committed an offence in the last twelve months (Public Health Wales, 2021).</w:t>
      </w:r>
    </w:p>
    <w:p w14:paraId="5A940C9C" w14:textId="77777777" w:rsidR="000A7F92" w:rsidRDefault="000A7F92" w:rsidP="000A7F92">
      <w:r>
        <w:t>The other risk factor believed to make younger people more prone to engaging in criminal activity is the ‘environmental risk factor’ (K. Thompson, 2021). These can include factors such as living in a more deprived area, a lack of police presence in an area or a negative perception or experience with the police.</w:t>
      </w:r>
    </w:p>
    <w:p w14:paraId="7CB4B4DA" w14:textId="77777777" w:rsidR="000A7F92" w:rsidRDefault="000A7F92" w:rsidP="000A7F92">
      <w:r>
        <w:t xml:space="preserve">There are two forms of intervention. </w:t>
      </w:r>
      <w:proofErr w:type="gramStart"/>
      <w:r>
        <w:t>Firstly</w:t>
      </w:r>
      <w:proofErr w:type="gramEnd"/>
      <w:r>
        <w:t xml:space="preserve"> there are Intervention programmes introduced at the point in which a young person becomes in contact with the police due to criminal activity has proven successful. One example of this is documented in a research briefing by POST (Francesca Boyd,2019) in which a custody-based diversion programme called DIVERT showed that participants have a 7% reoffending rate, 22% lower than the average reoffending rate in Lambeth. Not only does this show success at educating and preventing youth from reoffending, but it also promotes itself as an effective way of preventing young people becoming part of the criminal justice system. Generally speaking, diversion based programmes offered either by point of contact with police or being arrested is a more suitable and effective way to deal with young people involved in minor offences, and research conducted in 2022 provides the evidence for this (centre for Justice innovation, 2022) “The research suggests that point-of-arrest youth diversion works because it avoids children feeling labelled as, and internalising the identity of a “criminal” by the justice system and because it seeks to minimise and, in many cases, eliminates children’s contact with negative peer pressure. Additionally, point-of-arrest youth diversion avoids the collateral consequences of formal processing, such as interference with education, training and employment”.</w:t>
      </w:r>
    </w:p>
    <w:p w14:paraId="3B8B1CE3" w14:textId="77777777" w:rsidR="000A7F92" w:rsidRDefault="000A7F92" w:rsidP="000A7F92">
      <w:r>
        <w:lastRenderedPageBreak/>
        <w:t>Secondly, there is early intervention or prevention, which is targeted at individuals who fit certain risk factors or are believed to be on the cusp of offending. As stated by Maggie Blyth “Prevention rather than cure is the obvious, common-sense approach to dealing with any problem” (M. Blyth, 2008). Early intervention looks to target specific persons or “problem-families” which fit into a certain criterion which may pose them at higher risk of becoming involved in criminal activities. This is a multi-agency approach which involves youth offending teams (YOTS) and social services to implement safeguarding techniques and education to decrease the risk of persons offending.</w:t>
      </w:r>
    </w:p>
    <w:p w14:paraId="62DFF685" w14:textId="77777777" w:rsidR="000A7F92" w:rsidRDefault="000A7F92" w:rsidP="000A7F92">
      <w:r>
        <w:t>Results of success from early intervention and prevention are mixed. For example, results from the YJB Youth Inclusion programme showed that a quarter of the children who had not previously been arrested prior to taking part of the programme, were arrested having completed it. But, of those who had previously been arrested, had been arrested for fewer offences following completion of the course (M. Blyth, 2008).</w:t>
      </w:r>
    </w:p>
    <w:p w14:paraId="45014626" w14:textId="77777777" w:rsidR="000A7F92" w:rsidRDefault="000A7F92" w:rsidP="000A7F92">
      <w:r>
        <w:t xml:space="preserve">Much of the scrutiny of prevention comes from </w:t>
      </w:r>
      <w:proofErr w:type="spellStart"/>
      <w:proofErr w:type="gramStart"/>
      <w:r>
        <w:t>it’s</w:t>
      </w:r>
      <w:proofErr w:type="spellEnd"/>
      <w:proofErr w:type="gramEnd"/>
      <w:r>
        <w:t xml:space="preserve"> targeted approach to preventing offending. As described by Barry Goldson, intervention is triggered without the need for an offence to take place, rather focusing on a way of life that is failing or posing as a risk, and that the intervention is triggered purely based on what someone might or mightn’t do (B. Goldson, 2015). It is argued </w:t>
      </w:r>
      <w:proofErr w:type="gramStart"/>
      <w:r>
        <w:t>that,</w:t>
      </w:r>
      <w:proofErr w:type="gramEnd"/>
      <w:r>
        <w:t xml:space="preserve"> prevention in itself, criminalises young people before they actually commit an offence. The findings of Lesley </w:t>
      </w:r>
      <w:proofErr w:type="spellStart"/>
      <w:r>
        <w:t>Mcara</w:t>
      </w:r>
      <w:proofErr w:type="spellEnd"/>
      <w:r>
        <w:t xml:space="preserve"> in her article “Youth Justice?” indicate that the key to reducing offending lie in minimal intervention and maximum diversion (Mcara,2007).</w:t>
      </w:r>
    </w:p>
    <w:p w14:paraId="5CED06FB" w14:textId="08924DDB" w:rsidR="000A7F92" w:rsidRDefault="000A7F92" w:rsidP="000A7F92">
      <w:r>
        <w:t xml:space="preserve">In Conclusion from </w:t>
      </w:r>
      <w:r w:rsidR="009D549D">
        <w:t>this</w:t>
      </w:r>
      <w:r>
        <w:t xml:space="preserve"> research, </w:t>
      </w:r>
      <w:proofErr w:type="gramStart"/>
      <w:r w:rsidR="009D549D">
        <w:t>It</w:t>
      </w:r>
      <w:proofErr w:type="gramEnd"/>
      <w:r w:rsidR="009D549D">
        <w:t xml:space="preserve"> can be interpreted</w:t>
      </w:r>
      <w:r>
        <w:t xml:space="preserve"> that intervening at the point which an individual comes into contact with the police by means of offending is the most effective way of reducing the likelihood of re-offending. Once a youth is in custody, the correct approach can be applied and an individual can be diverted through the correct channels, so that they are not criminalised by the justice system at a young age for what might be rebellious nature in their adolescence, But they are still held accountable for what they have done and are given the opportunity through diversion programmes to change their way of life and not offend again. As shown as well through the evidence given previously for the Lambeth area, this shows an effective way of dealing with re-offending. </w:t>
      </w:r>
    </w:p>
    <w:p w14:paraId="0C31A999" w14:textId="47C5E6B3" w:rsidR="000A7F92" w:rsidRDefault="000A7F92" w:rsidP="000A7F92">
      <w:r>
        <w:t xml:space="preserve">However, early intervention, from </w:t>
      </w:r>
      <w:r w:rsidR="009D549D">
        <w:t>this</w:t>
      </w:r>
      <w:r>
        <w:t xml:space="preserve"> research shows mixed results and to not be as effective as intervention at point of offending. It is also more controversial, as it relies more on an individual’s way of life or potentially those who have ACES. This targeted approach thrusts youth into being involved with multi-agency systems such as YOTS without having yet carried out an offence and may lead them to feel criminalised without engaging in any offending.</w:t>
      </w:r>
    </w:p>
    <w:p w14:paraId="684400F6" w14:textId="77777777" w:rsidR="000A7F92" w:rsidRDefault="000A7F92" w:rsidP="000A7F92">
      <w:r>
        <w:t xml:space="preserve">In summary, Intervention is effective as it is applied to youth once the factual offence has occurred, whereas prevention or early intervention is applied on the probability of offending, without offending having taken place. It is not to say that prevention should be stopped, but as Lesley </w:t>
      </w:r>
      <w:proofErr w:type="spellStart"/>
      <w:r>
        <w:t>Mcara</w:t>
      </w:r>
      <w:proofErr w:type="spellEnd"/>
      <w:r>
        <w:t xml:space="preserve"> states in her article “doing less rather than more in individual cases may mitigate against the potential for damage that system contact brings.” (</w:t>
      </w:r>
      <w:proofErr w:type="spellStart"/>
      <w:r>
        <w:t>Mcara</w:t>
      </w:r>
      <w:proofErr w:type="spellEnd"/>
      <w:r>
        <w:t>, 2007).</w:t>
      </w:r>
    </w:p>
    <w:p w14:paraId="13E5C7EB" w14:textId="77777777" w:rsidR="000A7F92" w:rsidRDefault="000A7F92" w:rsidP="000A7F92"/>
    <w:p w14:paraId="5F6FE2E8" w14:textId="4457E0B2" w:rsidR="000A7F92" w:rsidRPr="008B022B" w:rsidRDefault="008B022B">
      <w:pPr>
        <w:rPr>
          <w:b/>
          <w:bCs/>
        </w:rPr>
      </w:pPr>
      <w:r w:rsidRPr="008B022B">
        <w:rPr>
          <w:b/>
          <w:bCs/>
        </w:rPr>
        <w:t>Word Count: 1100</w:t>
      </w:r>
    </w:p>
    <w:p w14:paraId="0AD0CF42" w14:textId="77777777" w:rsidR="000A7F92" w:rsidRDefault="000A7F92"/>
    <w:p w14:paraId="63B95EDD" w14:textId="77777777" w:rsidR="000A7F92" w:rsidRDefault="000A7F92"/>
    <w:p w14:paraId="12D6F0EA" w14:textId="77777777" w:rsidR="00354F59" w:rsidRDefault="00354F59" w:rsidP="00354F59"/>
    <w:p w14:paraId="29745B68" w14:textId="466B0621" w:rsidR="00354F59" w:rsidRDefault="00354F59" w:rsidP="00354F59">
      <w:r w:rsidRPr="00B7165D">
        <w:rPr>
          <w:b/>
          <w:bCs/>
        </w:rPr>
        <w:lastRenderedPageBreak/>
        <w:t>Essay four:</w:t>
      </w:r>
    </w:p>
    <w:p w14:paraId="6FE37BB2" w14:textId="77777777" w:rsidR="00354F59" w:rsidRDefault="00354F59" w:rsidP="00354F59">
      <w:r>
        <w:t xml:space="preserve"> Are partnership approaches the most effective means of rehabilitating offenders? You must use academic research, rather than </w:t>
      </w:r>
      <w:proofErr w:type="gramStart"/>
      <w:r>
        <w:t>personal opinion</w:t>
      </w:r>
      <w:proofErr w:type="gramEnd"/>
      <w:r>
        <w:t xml:space="preserve">, to support your answer. You may </w:t>
      </w:r>
      <w:proofErr w:type="gramStart"/>
      <w:r>
        <w:t>make reference</w:t>
      </w:r>
      <w:proofErr w:type="gramEnd"/>
      <w:r>
        <w:t xml:space="preserve"> to relevant case studies. </w:t>
      </w:r>
    </w:p>
    <w:p w14:paraId="050D507B" w14:textId="77777777" w:rsidR="00354F59" w:rsidRPr="001C3F96" w:rsidRDefault="00354F59" w:rsidP="00354F59">
      <w:pPr>
        <w:rPr>
          <w:b/>
          <w:bCs/>
        </w:rPr>
      </w:pPr>
      <w:r w:rsidRPr="001C3F96">
        <w:rPr>
          <w:b/>
          <w:bCs/>
        </w:rPr>
        <w:t>Word limit: 1000 words.</w:t>
      </w:r>
    </w:p>
    <w:p w14:paraId="6AD5390D" w14:textId="77777777" w:rsidR="00354F59" w:rsidRDefault="00354F59" w:rsidP="00354F59"/>
    <w:p w14:paraId="10FA94AC" w14:textId="77777777" w:rsidR="00354F59" w:rsidRDefault="00354F59" w:rsidP="00354F59">
      <w:r>
        <w:t xml:space="preserve">When offenders are charged and prosecuted for crimes they have committed, the first thought is that they will receive a prison sentence for </w:t>
      </w:r>
      <w:proofErr w:type="gramStart"/>
      <w:r>
        <w:t>a period of time</w:t>
      </w:r>
      <w:proofErr w:type="gramEnd"/>
      <w:r>
        <w:t xml:space="preserve"> and then be back out amongst the general public, depending on the severity of the crime. Lesser thought is considered to the work that partner agencies as well as the government put in to prevent these persons from further offending. Although a custodial sentence might be a suitable punishment for a crime, it is not on </w:t>
      </w:r>
      <w:proofErr w:type="spellStart"/>
      <w:proofErr w:type="gramStart"/>
      <w:r>
        <w:t>it’s</w:t>
      </w:r>
      <w:proofErr w:type="spellEnd"/>
      <w:proofErr w:type="gramEnd"/>
      <w:r>
        <w:t xml:space="preserve"> own a solution to reduce overall and future crime, aside from of course preventing that person committing offences in the general public whilst serving a sentence and also sending a message to the wider public that offences will be dealt with. It is a common belief that those who go to prison come out worse than when they went in (</w:t>
      </w:r>
      <w:proofErr w:type="spellStart"/>
      <w:proofErr w:type="gramStart"/>
      <w:r>
        <w:t>R.Allen</w:t>
      </w:r>
      <w:proofErr w:type="spellEnd"/>
      <w:proofErr w:type="gramEnd"/>
      <w:r>
        <w:t>, 2002). That is why the Government puts emphasis on providing support to offenders to rehabilitate them to not only prevent further crime, but to re-integrate them into society which can be done whilst serving custodial or as an alternative to custodial (</w:t>
      </w:r>
      <w:proofErr w:type="spellStart"/>
      <w:r>
        <w:t>GovNet</w:t>
      </w:r>
      <w:proofErr w:type="spellEnd"/>
      <w:r>
        <w:t>, 2023).</w:t>
      </w:r>
    </w:p>
    <w:p w14:paraId="78264227" w14:textId="77777777" w:rsidR="00354F59" w:rsidRDefault="00354F59" w:rsidP="00354F59">
      <w:r>
        <w:t>One example of a partnership approach is drug interventions and treatment programmes. There has been a long standing belief that drug use can increase crime in individuals and studies into this in 2003 showed that 56% of crimes were linked to drugs (</w:t>
      </w:r>
      <w:proofErr w:type="spellStart"/>
      <w:proofErr w:type="gramStart"/>
      <w:r>
        <w:t>A.Stevens</w:t>
      </w:r>
      <w:proofErr w:type="spellEnd"/>
      <w:proofErr w:type="gramEnd"/>
      <w:r>
        <w:t xml:space="preserve">, 2015) raising the question of what can be done to break that connection and reduce the cycle of re-offending. The partnership approach of intervention programmes can be likened to the problem analysis triangle (PAT) used by police (College </w:t>
      </w:r>
      <w:proofErr w:type="gramStart"/>
      <w:r>
        <w:t>Of</w:t>
      </w:r>
      <w:proofErr w:type="gramEnd"/>
      <w:r>
        <w:t xml:space="preserve"> Policing, 2019) in that the PAT breaks down problem solving into three areas: victim, offender &amp; location. With interventions for rehabilitating offenders linked to drug misuse, this would take place of the location category. If the drug misuse is the catalyst for crimes by means of committing theft to fund </w:t>
      </w:r>
      <w:proofErr w:type="gramStart"/>
      <w:r>
        <w:t>ones</w:t>
      </w:r>
      <w:proofErr w:type="gramEnd"/>
      <w:r>
        <w:t xml:space="preserve"> drug habit, then rehabilitating the offender to not be dependant or drawn to drugs will take away their need to offend to fund their drug habit.</w:t>
      </w:r>
    </w:p>
    <w:p w14:paraId="6EC4D0CB" w14:textId="77777777" w:rsidR="00354F59" w:rsidRDefault="00354F59" w:rsidP="00354F59">
      <w:r>
        <w:t>Research has shown that drug rehabilitation as a means of preventing further offences shows somewhat mixed but overall positive results, due to the agencies involved having different interpretations of success. The results of which Probation look to achieve are reduction of re-offending whereas the drugs intervention teams results are whether the offender is now abstaining from the drugs they were misusing (</w:t>
      </w:r>
      <w:proofErr w:type="spellStart"/>
      <w:proofErr w:type="gramStart"/>
      <w:r>
        <w:t>M.Tiquet</w:t>
      </w:r>
      <w:proofErr w:type="spellEnd"/>
      <w:proofErr w:type="gramEnd"/>
      <w:r>
        <w:t>, 2019). Research conducted in 2000 showed that of those offenders who were part of a drug rehabilitation programme and successfully completed, only 8% were reimprisoned (</w:t>
      </w:r>
      <w:proofErr w:type="spellStart"/>
      <w:proofErr w:type="gramStart"/>
      <w:r>
        <w:t>C.Martin</w:t>
      </w:r>
      <w:proofErr w:type="spellEnd"/>
      <w:proofErr w:type="gramEnd"/>
      <w:r>
        <w:t xml:space="preserve">, 2000). Other research reviewed by Charlotte Gill (2016) shows that again, completion of the programme does show that there is a link between drug rehabilitation and crime reduction, even if that were not the main outcome set to be achieved by partner agencies. </w:t>
      </w:r>
    </w:p>
    <w:p w14:paraId="0F8AFB0D" w14:textId="77777777" w:rsidR="00354F59" w:rsidRDefault="00354F59" w:rsidP="00354F59"/>
    <w:p w14:paraId="61CDEC93" w14:textId="77777777" w:rsidR="00354F59" w:rsidRDefault="00354F59" w:rsidP="00354F59">
      <w:r>
        <w:t xml:space="preserve">Another example of a partnership approach is community intervention or sentence. Comparing again to PAT, </w:t>
      </w:r>
      <w:proofErr w:type="gramStart"/>
      <w:r>
        <w:t>This</w:t>
      </w:r>
      <w:proofErr w:type="gramEnd"/>
      <w:r>
        <w:t xml:space="preserve"> method looks to tackle the location by allowing the offender to be out within the community but to be guided and have rules implemented to ensure they do not offend. This method focuses more on re-integrating the offender into the community and using social economics and norms to reduce re-offending (</w:t>
      </w:r>
      <w:proofErr w:type="spellStart"/>
      <w:proofErr w:type="gramStart"/>
      <w:r>
        <w:t>C.Gill</w:t>
      </w:r>
      <w:proofErr w:type="spellEnd"/>
      <w:proofErr w:type="gramEnd"/>
      <w:r>
        <w:t xml:space="preserve">, 2016). Means of implementation vary to each offenders </w:t>
      </w:r>
      <w:r>
        <w:lastRenderedPageBreak/>
        <w:t>personal needs and can come in the form of electronic tag monitoring, probation officer mentoring and meetings &amp; employment programmes (</w:t>
      </w:r>
      <w:proofErr w:type="spellStart"/>
      <w:proofErr w:type="gramStart"/>
      <w:r>
        <w:t>C.Gill</w:t>
      </w:r>
      <w:proofErr w:type="spellEnd"/>
      <w:proofErr w:type="gramEnd"/>
      <w:r>
        <w:t>, 2016).</w:t>
      </w:r>
    </w:p>
    <w:p w14:paraId="33F9AEDA" w14:textId="77777777" w:rsidR="00354F59" w:rsidRDefault="00354F59" w:rsidP="00354F59">
      <w:r>
        <w:t>Results from research carried out by Charlotte Gill (2016) concluded that community interventions are an effective form of reducing re-offending to rehabilitate offenders into the community. Community interventions allow offenders to re-integrate into society gradually in a safe way.</w:t>
      </w:r>
    </w:p>
    <w:p w14:paraId="0CB5A6CF" w14:textId="77777777" w:rsidR="00354F59" w:rsidRDefault="00354F59" w:rsidP="00354F59">
      <w:r>
        <w:t xml:space="preserve">From the above research into two examples of rehabilitation programmes available to offenders, </w:t>
      </w:r>
      <w:proofErr w:type="gramStart"/>
      <w:r>
        <w:t>It</w:t>
      </w:r>
      <w:proofErr w:type="gramEnd"/>
      <w:r>
        <w:t xml:space="preserve"> is evident that partnership-agency support and involvement is an essential practice to reintegrate offenders back into society and to prevent them conducting further crimes. This conclusion is drawn from the fact that a custodial sentence alone will not bring about the needed changes in an individual to assist them in re-offending. Instead, a culmination of different strategies from different agencies will increase the likelihood of rehabilitating an offender successfully. Each offender will have their own unique needs and ways of responding to support and this is not something the police and probation service can do alone. Dedicated teams such as the drugs intervention team who specialise in their respective field are best suited in tackling and assisting the offender to abstain from drugs. Though health services may differ in view from the criminal justice system in what they perceive to be as success as mentioned by their focus being more on the </w:t>
      </w:r>
      <w:proofErr w:type="gramStart"/>
      <w:r>
        <w:t>offenders</w:t>
      </w:r>
      <w:proofErr w:type="gramEnd"/>
      <w:r>
        <w:t xml:space="preserve"> physical health and drug use, It is still a service that in turn will provide a better quality of life for the offender and in some cases, reduce their risk of re-offending.</w:t>
      </w:r>
    </w:p>
    <w:p w14:paraId="2FCCFCDC" w14:textId="77777777" w:rsidR="00354F59" w:rsidRDefault="00354F59" w:rsidP="00354F59">
      <w:r>
        <w:t xml:space="preserve">For those cases in which the abstinence of drugs is not enough to prevent them from committing criminal offences, that is when again the assistance of partner agencies will greatly assist in ways such as offering a </w:t>
      </w:r>
      <w:proofErr w:type="gramStart"/>
      <w:r>
        <w:t>community based</w:t>
      </w:r>
      <w:proofErr w:type="gramEnd"/>
      <w:r>
        <w:t xml:space="preserve"> intervention adjacent to the drug intervention programme. This way, the agency specialised in providing results by way of </w:t>
      </w:r>
      <w:proofErr w:type="gramStart"/>
      <w:r>
        <w:t>community based</w:t>
      </w:r>
      <w:proofErr w:type="gramEnd"/>
      <w:r>
        <w:t xml:space="preserve"> intervention are able to implement what tools that they have to further rehabilitate the offender.</w:t>
      </w:r>
    </w:p>
    <w:p w14:paraId="660D5D76" w14:textId="77777777" w:rsidR="00354F59" w:rsidRDefault="00354F59" w:rsidP="00354F59">
      <w:r>
        <w:t xml:space="preserve">By multiple agencies working in unison and communicating with one another to deliver results in each of their respective fields, the likelihood of </w:t>
      </w:r>
      <w:proofErr w:type="gramStart"/>
      <w:r>
        <w:t>a</w:t>
      </w:r>
      <w:proofErr w:type="gramEnd"/>
      <w:r>
        <w:t xml:space="preserve"> offender being rehabilitated effectively and no longer posing a risk to the public will be greatly increased. Whereas, if each agency worked separately, offenders would solely be dealt with by the criminal justice system, increasing the likelihood of falling into the trap of what is known as the revolving door (Full Fact Team, 2013).</w:t>
      </w:r>
    </w:p>
    <w:p w14:paraId="29C75408" w14:textId="77777777" w:rsidR="00354F59" w:rsidRDefault="00354F59" w:rsidP="00354F59"/>
    <w:p w14:paraId="5EEF7A6A" w14:textId="77777777" w:rsidR="00354F59" w:rsidRPr="001C3F96" w:rsidRDefault="00354F59" w:rsidP="00354F59">
      <w:pPr>
        <w:rPr>
          <w:b/>
          <w:bCs/>
        </w:rPr>
      </w:pPr>
      <w:r>
        <w:rPr>
          <w:b/>
          <w:bCs/>
        </w:rPr>
        <w:t>Word Count: 965</w:t>
      </w:r>
    </w:p>
    <w:p w14:paraId="7FDC0393" w14:textId="77777777" w:rsidR="00354F59" w:rsidRDefault="00354F59"/>
    <w:p w14:paraId="3867176F" w14:textId="77777777" w:rsidR="00354F59" w:rsidRDefault="00354F59"/>
    <w:p w14:paraId="61B5E818" w14:textId="77777777" w:rsidR="00354F59" w:rsidRDefault="00354F59"/>
    <w:p w14:paraId="7F871612" w14:textId="77777777" w:rsidR="00354F59" w:rsidRDefault="00354F59"/>
    <w:p w14:paraId="1D80FF57" w14:textId="77777777" w:rsidR="00354F59" w:rsidRDefault="00354F59"/>
    <w:p w14:paraId="701673DD" w14:textId="77777777" w:rsidR="00354F59" w:rsidRDefault="00354F59"/>
    <w:p w14:paraId="4BD45AB3" w14:textId="77777777" w:rsidR="00354F59" w:rsidRDefault="00354F59"/>
    <w:p w14:paraId="0B3553BC" w14:textId="77777777" w:rsidR="00354F59" w:rsidRDefault="00354F59"/>
    <w:p w14:paraId="24D20E1E" w14:textId="77777777" w:rsidR="00354F59" w:rsidRDefault="00354F59"/>
    <w:p w14:paraId="62F546F1" w14:textId="5D88C57D" w:rsidR="000A7F92" w:rsidRDefault="000A7F92">
      <w:r>
        <w:lastRenderedPageBreak/>
        <w:t>References:</w:t>
      </w:r>
    </w:p>
    <w:p w14:paraId="7A93C757" w14:textId="77777777" w:rsidR="008B022B" w:rsidRDefault="008B022B" w:rsidP="008B022B">
      <w:pPr>
        <w:rPr>
          <w:rFonts w:ascii="Times New Roman" w:eastAsia="Times New Roman" w:hAnsi="Times New Roman"/>
          <w:kern w:val="0"/>
        </w:rPr>
      </w:pPr>
      <w:r>
        <w:rPr>
          <w:rFonts w:eastAsia="Times New Roman"/>
        </w:rPr>
        <w:t xml:space="preserve">BBC (2021) </w:t>
      </w:r>
      <w:r>
        <w:rPr>
          <w:rFonts w:eastAsia="Times New Roman"/>
          <w:i/>
          <w:iCs/>
        </w:rPr>
        <w:t xml:space="preserve">The legacy of the Brixton riots, </w:t>
      </w:r>
      <w:r>
        <w:rPr>
          <w:rFonts w:eastAsia="Times New Roman"/>
        </w:rPr>
        <w:t xml:space="preserve">Available at: </w:t>
      </w:r>
      <w:r>
        <w:rPr>
          <w:rFonts w:eastAsia="Times New Roman"/>
          <w:i/>
          <w:iCs/>
          <w:u w:val="single"/>
        </w:rPr>
        <w:t>https://www.bbc.co.uk/newsround/50035769</w:t>
      </w:r>
      <w:r>
        <w:rPr>
          <w:rFonts w:eastAsia="Times New Roman"/>
        </w:rPr>
        <w:t xml:space="preserve"> (Accessed: 23 April 2023).</w:t>
      </w:r>
      <w:r>
        <w:rPr>
          <w:rFonts w:eastAsia="Times New Roman"/>
        </w:rPr>
        <w:br/>
        <w:t xml:space="preserve">Becky Morton (2021) </w:t>
      </w:r>
      <w:r>
        <w:rPr>
          <w:rFonts w:eastAsia="Times New Roman"/>
          <w:i/>
          <w:iCs/>
        </w:rPr>
        <w:t xml:space="preserve">Sarah Everard: How Wayne </w:t>
      </w:r>
      <w:proofErr w:type="spellStart"/>
      <w:r>
        <w:rPr>
          <w:rFonts w:eastAsia="Times New Roman"/>
          <w:i/>
          <w:iCs/>
        </w:rPr>
        <w:t>Couzens</w:t>
      </w:r>
      <w:proofErr w:type="spellEnd"/>
      <w:r>
        <w:rPr>
          <w:rFonts w:eastAsia="Times New Roman"/>
          <w:i/>
          <w:iCs/>
        </w:rPr>
        <w:t xml:space="preserve"> planned her murder, </w:t>
      </w:r>
      <w:r>
        <w:rPr>
          <w:rFonts w:eastAsia="Times New Roman"/>
        </w:rPr>
        <w:t xml:space="preserve">Available at: </w:t>
      </w:r>
      <w:r>
        <w:rPr>
          <w:rFonts w:eastAsia="Times New Roman"/>
          <w:i/>
          <w:iCs/>
          <w:u w:val="single"/>
        </w:rPr>
        <w:t>https://www.bbc.co.uk/news/uk-58746108</w:t>
      </w:r>
      <w:r>
        <w:rPr>
          <w:rFonts w:eastAsia="Times New Roman"/>
        </w:rPr>
        <w:t xml:space="preserve"> (Accessed: 24 April 2023).</w:t>
      </w:r>
      <w:r>
        <w:rPr>
          <w:rFonts w:eastAsia="Times New Roman"/>
        </w:rPr>
        <w:br/>
        <w:t xml:space="preserve">Cindi John (2006) </w:t>
      </w:r>
      <w:r>
        <w:rPr>
          <w:rFonts w:eastAsia="Times New Roman"/>
          <w:i/>
          <w:iCs/>
        </w:rPr>
        <w:t xml:space="preserve">The legacy of the Brixton riots, </w:t>
      </w:r>
      <w:r>
        <w:rPr>
          <w:rFonts w:eastAsia="Times New Roman"/>
        </w:rPr>
        <w:t xml:space="preserve">Available at: </w:t>
      </w:r>
      <w:r>
        <w:rPr>
          <w:rFonts w:eastAsia="Times New Roman"/>
          <w:i/>
          <w:iCs/>
          <w:u w:val="single"/>
        </w:rPr>
        <w:t>https://http://news.bbc.co.uk/1/hi/uk/4854556.stm</w:t>
      </w:r>
      <w:r>
        <w:rPr>
          <w:rFonts w:eastAsia="Times New Roman"/>
        </w:rPr>
        <w:t xml:space="preserve"> (Accessed: 23 April 2023).</w:t>
      </w:r>
      <w:r>
        <w:rPr>
          <w:rFonts w:eastAsia="Times New Roman"/>
        </w:rPr>
        <w:br/>
        <w:t xml:space="preserve">College Of Policing (2023) </w:t>
      </w:r>
      <w:r>
        <w:rPr>
          <w:rFonts w:eastAsia="Times New Roman"/>
          <w:i/>
          <w:iCs/>
        </w:rPr>
        <w:t xml:space="preserve">Investigation introduction, </w:t>
      </w:r>
      <w:r>
        <w:rPr>
          <w:rFonts w:eastAsia="Times New Roman"/>
        </w:rPr>
        <w:t xml:space="preserve">Available at: </w:t>
      </w:r>
      <w:r>
        <w:rPr>
          <w:rFonts w:eastAsia="Times New Roman"/>
          <w:i/>
          <w:iCs/>
          <w:u w:val="single"/>
        </w:rPr>
        <w:t>https://www.college.police.uk/app/investigation/investigation-introduction?highlight=cpia</w:t>
      </w:r>
      <w:r>
        <w:rPr>
          <w:rFonts w:eastAsia="Times New Roman"/>
        </w:rPr>
        <w:t xml:space="preserve"> (Accessed: 23 April 2023).</w:t>
      </w:r>
      <w:r>
        <w:rPr>
          <w:rFonts w:eastAsia="Times New Roman"/>
        </w:rPr>
        <w:br/>
        <w:t xml:space="preserve">England and Wales High Court (1999) </w:t>
      </w:r>
      <w:r>
        <w:rPr>
          <w:rFonts w:eastAsia="Times New Roman"/>
          <w:i/>
          <w:iCs/>
        </w:rPr>
        <w:t>Osman V Southwark Crown Court</w:t>
      </w:r>
      <w:r>
        <w:rPr>
          <w:rFonts w:eastAsia="Times New Roman"/>
        </w:rPr>
        <w:t xml:space="preserve">, https://www.casemine.com/judgement/uk/5a8ff8ce60d03e7f57ecda54: </w:t>
      </w:r>
      <w:proofErr w:type="spellStart"/>
      <w:r>
        <w:rPr>
          <w:rFonts w:eastAsia="Times New Roman"/>
        </w:rPr>
        <w:t>Casemine</w:t>
      </w:r>
      <w:proofErr w:type="spellEnd"/>
      <w:r>
        <w:rPr>
          <w:rFonts w:eastAsia="Times New Roman"/>
        </w:rPr>
        <w:t>.</w:t>
      </w:r>
      <w:r>
        <w:rPr>
          <w:rFonts w:eastAsia="Times New Roman"/>
        </w:rPr>
        <w:br/>
        <w:t xml:space="preserve">Gov.uk (2023) </w:t>
      </w:r>
      <w:r>
        <w:rPr>
          <w:rFonts w:eastAsia="Times New Roman"/>
          <w:i/>
          <w:iCs/>
        </w:rPr>
        <w:t xml:space="preserve">Police and Criminal Evidence Act 1984 (PACE) codes of practice, </w:t>
      </w:r>
      <w:r>
        <w:rPr>
          <w:rFonts w:eastAsia="Times New Roman"/>
        </w:rPr>
        <w:t xml:space="preserve">Available at: </w:t>
      </w:r>
      <w:r>
        <w:rPr>
          <w:rFonts w:eastAsia="Times New Roman"/>
          <w:i/>
          <w:iCs/>
          <w:u w:val="single"/>
        </w:rPr>
        <w:t>https://www.gov.uk/guidance/police-and-criminal-evidence-act-1984-pace-codes-of-practice</w:t>
      </w:r>
      <w:r>
        <w:rPr>
          <w:rFonts w:eastAsia="Times New Roman"/>
        </w:rPr>
        <w:t xml:space="preserve"> (Accessed: 23 April 2023).</w:t>
      </w:r>
      <w:r>
        <w:rPr>
          <w:rFonts w:eastAsia="Times New Roman"/>
        </w:rPr>
        <w:br/>
        <w:t xml:space="preserve">Independent Office for Police Conduct (2020) </w:t>
      </w:r>
      <w:r>
        <w:rPr>
          <w:rFonts w:eastAsia="Times New Roman"/>
          <w:i/>
          <w:iCs/>
        </w:rPr>
        <w:t xml:space="preserve">Who We Are, </w:t>
      </w:r>
      <w:r>
        <w:rPr>
          <w:rFonts w:eastAsia="Times New Roman"/>
        </w:rPr>
        <w:t xml:space="preserve">Available at: </w:t>
      </w:r>
      <w:r>
        <w:rPr>
          <w:rFonts w:eastAsia="Times New Roman"/>
          <w:i/>
          <w:iCs/>
          <w:u w:val="single"/>
        </w:rPr>
        <w:t>https://www.policeconduct.gov.uk/who-we-are</w:t>
      </w:r>
      <w:r>
        <w:rPr>
          <w:rFonts w:eastAsia="Times New Roman"/>
        </w:rPr>
        <w:t xml:space="preserve"> (Accessed: 23 April 2023).</w:t>
      </w:r>
      <w:r>
        <w:rPr>
          <w:rFonts w:eastAsia="Times New Roman"/>
        </w:rPr>
        <w:br/>
        <w:t xml:space="preserve">IOPC (2022) </w:t>
      </w:r>
      <w:r>
        <w:rPr>
          <w:rFonts w:eastAsia="Times New Roman"/>
          <w:i/>
          <w:iCs/>
        </w:rPr>
        <w:t>Outcomes following IOPC independent investigations 2021/22</w:t>
      </w:r>
      <w:r>
        <w:rPr>
          <w:rFonts w:eastAsia="Times New Roman"/>
        </w:rPr>
        <w:t>, https://www.policeconduct.gov.uk/sites/default/files/Documents/statistics/Outcomes_report_21_22_final.pdf: IOPC.</w:t>
      </w:r>
      <w:r>
        <w:rPr>
          <w:rFonts w:eastAsia="Times New Roman"/>
        </w:rPr>
        <w:br/>
        <w:t xml:space="preserve">Met Police (2021) </w:t>
      </w:r>
      <w:r>
        <w:rPr>
          <w:rFonts w:eastAsia="Times New Roman"/>
          <w:i/>
          <w:iCs/>
        </w:rPr>
        <w:t xml:space="preserve">Our response to issues raised by the crimes of Wayne </w:t>
      </w:r>
      <w:proofErr w:type="spellStart"/>
      <w:r>
        <w:rPr>
          <w:rFonts w:eastAsia="Times New Roman"/>
          <w:i/>
          <w:iCs/>
        </w:rPr>
        <w:t>Couzens</w:t>
      </w:r>
      <w:proofErr w:type="spellEnd"/>
      <w:r>
        <w:rPr>
          <w:rFonts w:eastAsia="Times New Roman"/>
          <w:i/>
          <w:iCs/>
        </w:rPr>
        <w:t xml:space="preserve">, </w:t>
      </w:r>
      <w:r>
        <w:rPr>
          <w:rFonts w:eastAsia="Times New Roman"/>
        </w:rPr>
        <w:t xml:space="preserve">Available at: </w:t>
      </w:r>
      <w:r>
        <w:rPr>
          <w:rFonts w:eastAsia="Times New Roman"/>
          <w:i/>
          <w:iCs/>
          <w:u w:val="single"/>
        </w:rPr>
        <w:t>https://www.met.police.uk/notices/met/our-response-to-issues-raised-by-the-crimes-of-wayne-couzens/</w:t>
      </w:r>
      <w:r>
        <w:rPr>
          <w:rFonts w:eastAsia="Times New Roman"/>
        </w:rPr>
        <w:t xml:space="preserve"> (Accessed: 24 April 2023).</w:t>
      </w:r>
    </w:p>
    <w:p w14:paraId="0375D25C" w14:textId="77777777" w:rsidR="008B022B" w:rsidRDefault="008B022B" w:rsidP="000A7F92">
      <w:pPr>
        <w:rPr>
          <w:rFonts w:eastAsia="Times New Roman"/>
        </w:rPr>
      </w:pPr>
    </w:p>
    <w:p w14:paraId="719ADFCE" w14:textId="77777777" w:rsidR="00334469" w:rsidRDefault="00334469" w:rsidP="00334469">
      <w:pPr>
        <w:rPr>
          <w:rFonts w:ascii="Times New Roman" w:eastAsia="Times New Roman" w:hAnsi="Times New Roman"/>
          <w:kern w:val="0"/>
        </w:rPr>
      </w:pPr>
      <w:r>
        <w:rPr>
          <w:rFonts w:eastAsia="Times New Roman"/>
        </w:rPr>
        <w:t xml:space="preserve">BBC (2002) </w:t>
      </w:r>
      <w:r>
        <w:rPr>
          <w:rFonts w:eastAsia="Times New Roman"/>
          <w:i/>
          <w:iCs/>
        </w:rPr>
        <w:t xml:space="preserve">Missing girls: Police statements in full, </w:t>
      </w:r>
      <w:r>
        <w:rPr>
          <w:rFonts w:eastAsia="Times New Roman"/>
        </w:rPr>
        <w:t xml:space="preserve">Available at: </w:t>
      </w:r>
      <w:r>
        <w:rPr>
          <w:rFonts w:eastAsia="Times New Roman"/>
          <w:i/>
          <w:iCs/>
          <w:u w:val="single"/>
        </w:rPr>
        <w:t>http://news.bbc.co.uk/1/hi/england/2191793.stm</w:t>
      </w:r>
      <w:r>
        <w:rPr>
          <w:rFonts w:eastAsia="Times New Roman"/>
        </w:rPr>
        <w:t xml:space="preserve"> (Accessed: 28/04/23).</w:t>
      </w:r>
      <w:r>
        <w:rPr>
          <w:rFonts w:eastAsia="Times New Roman"/>
        </w:rPr>
        <w:br/>
        <w:t xml:space="preserve">BBC (2004) </w:t>
      </w:r>
      <w:r>
        <w:rPr>
          <w:rFonts w:eastAsia="Times New Roman"/>
          <w:i/>
          <w:iCs/>
        </w:rPr>
        <w:t xml:space="preserve">http://news.bbc.co.uk/1/hi/uk/3826355.stm, </w:t>
      </w:r>
      <w:r>
        <w:rPr>
          <w:rFonts w:eastAsia="Times New Roman"/>
        </w:rPr>
        <w:t xml:space="preserve">Available at: </w:t>
      </w:r>
      <w:r>
        <w:rPr>
          <w:rFonts w:eastAsia="Times New Roman"/>
          <w:i/>
          <w:iCs/>
          <w:u w:val="single"/>
        </w:rPr>
        <w:t>http://news.bbc.co.uk/1/hi/uk/3826355.stm</w:t>
      </w:r>
      <w:r>
        <w:rPr>
          <w:rFonts w:eastAsia="Times New Roman"/>
        </w:rPr>
        <w:t xml:space="preserve"> (Accessed: 01/05/23).</w:t>
      </w:r>
      <w:r>
        <w:rPr>
          <w:rFonts w:eastAsia="Times New Roman"/>
        </w:rPr>
        <w:br/>
        <w:t xml:space="preserve">College Of Policing (2013) </w:t>
      </w:r>
      <w:r>
        <w:rPr>
          <w:rFonts w:eastAsia="Times New Roman"/>
          <w:i/>
          <w:iCs/>
        </w:rPr>
        <w:t>https://npcc.police.uk/documents/reports/2013/201305-cop-media-rels.pdf</w:t>
      </w:r>
      <w:r>
        <w:rPr>
          <w:rFonts w:eastAsia="Times New Roman"/>
        </w:rPr>
        <w:t>, https://npcc.police.uk/documents/reports/2013/201305-cop-media-rels.pdf: NPCC.</w:t>
      </w:r>
      <w:r>
        <w:rPr>
          <w:rFonts w:eastAsia="Times New Roman"/>
        </w:rPr>
        <w:br/>
        <w:t xml:space="preserve">Edgehill University (2022) </w:t>
      </w:r>
      <w:r>
        <w:rPr>
          <w:rFonts w:eastAsia="Times New Roman"/>
          <w:i/>
          <w:iCs/>
        </w:rPr>
        <w:t xml:space="preserve">Edge Hill researcher assists police in improving the use of a national system to tackle crime, </w:t>
      </w:r>
      <w:r>
        <w:rPr>
          <w:rFonts w:eastAsia="Times New Roman"/>
        </w:rPr>
        <w:t xml:space="preserve">Available at: </w:t>
      </w:r>
      <w:r>
        <w:rPr>
          <w:rFonts w:eastAsia="Times New Roman"/>
          <w:i/>
          <w:iCs/>
          <w:u w:val="single"/>
        </w:rPr>
        <w:t>https://www.edgehill.ac.uk/researcher-assists-police-in-improving-national-system-to-tackle-crime/</w:t>
      </w:r>
      <w:r>
        <w:rPr>
          <w:rFonts w:eastAsia="Times New Roman"/>
        </w:rPr>
        <w:t xml:space="preserve"> (Accessed: 04/05/23).</w:t>
      </w:r>
      <w:r>
        <w:rPr>
          <w:rFonts w:eastAsia="Times New Roman"/>
        </w:rPr>
        <w:br/>
        <w:t xml:space="preserve">Eve Johnson (2019) 'Why is it so important to complete DBS checks?', </w:t>
      </w:r>
      <w:r>
        <w:rPr>
          <w:rFonts w:eastAsia="Times New Roman"/>
          <w:i/>
          <w:iCs/>
        </w:rPr>
        <w:t xml:space="preserve">, </w:t>
      </w:r>
      <w:r>
        <w:rPr>
          <w:rFonts w:eastAsia="Times New Roman"/>
        </w:rPr>
        <w:t xml:space="preserve">(), pp. [Online]. Available at: </w:t>
      </w:r>
      <w:r>
        <w:rPr>
          <w:rFonts w:eastAsia="Times New Roman"/>
          <w:i/>
          <w:iCs/>
          <w:u w:val="single"/>
        </w:rPr>
        <w:t>https://cpdonline.co.uk/knowledge-base/safeguarding/importance-of-dbs-checks/#the-soham-murders</w:t>
      </w:r>
      <w:r>
        <w:rPr>
          <w:rFonts w:eastAsia="Times New Roman"/>
        </w:rPr>
        <w:t xml:space="preserve"> (Accessed: 04/05/2023).</w:t>
      </w:r>
      <w:r>
        <w:rPr>
          <w:rFonts w:eastAsia="Times New Roman"/>
        </w:rPr>
        <w:br/>
        <w:t xml:space="preserve">Gov.uk (2012) </w:t>
      </w:r>
      <w:r>
        <w:rPr>
          <w:rFonts w:eastAsia="Times New Roman"/>
          <w:i/>
          <w:iCs/>
        </w:rPr>
        <w:t xml:space="preserve">https://www.gov.uk/government/publications/policing-by-consent/definition-of-policing-by-consent, </w:t>
      </w:r>
      <w:r>
        <w:rPr>
          <w:rFonts w:eastAsia="Times New Roman"/>
        </w:rPr>
        <w:t xml:space="preserve">Available at: </w:t>
      </w:r>
      <w:r>
        <w:rPr>
          <w:rFonts w:eastAsia="Times New Roman"/>
          <w:i/>
          <w:iCs/>
          <w:u w:val="single"/>
        </w:rPr>
        <w:t>https://www.gov.uk/government/publications/policing-by-consent/definition-of-policing-by-consent</w:t>
      </w:r>
      <w:r>
        <w:rPr>
          <w:rFonts w:eastAsia="Times New Roman"/>
        </w:rPr>
        <w:t xml:space="preserve"> (Accessed: 28/04/23).</w:t>
      </w:r>
      <w:r>
        <w:rPr>
          <w:rFonts w:eastAsia="Times New Roman"/>
        </w:rPr>
        <w:br/>
        <w:t xml:space="preserve">HMICFRS (2023) </w:t>
      </w:r>
      <w:r>
        <w:rPr>
          <w:rFonts w:eastAsia="Times New Roman"/>
          <w:i/>
          <w:iCs/>
        </w:rPr>
        <w:t xml:space="preserve">Public Protection Unit, </w:t>
      </w:r>
      <w:r>
        <w:rPr>
          <w:rFonts w:eastAsia="Times New Roman"/>
        </w:rPr>
        <w:t xml:space="preserve">Available at: </w:t>
      </w:r>
      <w:r>
        <w:rPr>
          <w:rFonts w:eastAsia="Times New Roman"/>
          <w:i/>
          <w:iCs/>
          <w:u w:val="single"/>
        </w:rPr>
        <w:t>https://www.justiceinspectorates.gov.uk/hmicfrs/glossary/public-protection-unit/</w:t>
      </w:r>
      <w:r>
        <w:rPr>
          <w:rFonts w:eastAsia="Times New Roman"/>
        </w:rPr>
        <w:t xml:space="preserve"> (Accessed: 01/05/23).</w:t>
      </w:r>
      <w:r>
        <w:rPr>
          <w:rFonts w:eastAsia="Times New Roman"/>
        </w:rPr>
        <w:br/>
        <w:t xml:space="preserve">Michael Bichard (2004) </w:t>
      </w:r>
      <w:r>
        <w:rPr>
          <w:rFonts w:eastAsia="Times New Roman"/>
          <w:i/>
          <w:iCs/>
        </w:rPr>
        <w:t>The Bichard Inquiry Report</w:t>
      </w:r>
      <w:r>
        <w:rPr>
          <w:rFonts w:eastAsia="Times New Roman"/>
        </w:rPr>
        <w:t>, https://dera.ioe.ac.uk/id/eprint/6394/1/report.pdf: Bichard Inquiry.</w:t>
      </w:r>
      <w:r>
        <w:rPr>
          <w:rFonts w:eastAsia="Times New Roman"/>
        </w:rPr>
        <w:br/>
        <w:t xml:space="preserve">Sally Lester and Duncan Sheppard (2015) 'Multi Agency Public Protection </w:t>
      </w:r>
      <w:proofErr w:type="spellStart"/>
      <w:r>
        <w:rPr>
          <w:rFonts w:eastAsia="Times New Roman"/>
        </w:rPr>
        <w:t>Arrangments</w:t>
      </w:r>
      <w:proofErr w:type="spellEnd"/>
      <w:r>
        <w:rPr>
          <w:rFonts w:eastAsia="Times New Roman"/>
        </w:rPr>
        <w:t xml:space="preserve">', in Russell Wate (ed.) </w:t>
      </w:r>
      <w:r>
        <w:rPr>
          <w:rFonts w:eastAsia="Times New Roman"/>
          <w:i/>
          <w:iCs/>
        </w:rPr>
        <w:t xml:space="preserve">Multi-agency Safeguarding in a Public Protection World. </w:t>
      </w:r>
      <w:r>
        <w:rPr>
          <w:rFonts w:eastAsia="Times New Roman"/>
        </w:rPr>
        <w:t xml:space="preserve">: </w:t>
      </w:r>
      <w:proofErr w:type="spellStart"/>
      <w:r>
        <w:rPr>
          <w:rFonts w:eastAsia="Times New Roman"/>
        </w:rPr>
        <w:t>Pavillion</w:t>
      </w:r>
      <w:proofErr w:type="spellEnd"/>
      <w:r>
        <w:rPr>
          <w:rFonts w:eastAsia="Times New Roman"/>
        </w:rPr>
        <w:t xml:space="preserve"> Publishing, pp. 123.</w:t>
      </w:r>
      <w:r>
        <w:rPr>
          <w:rFonts w:eastAsia="Times New Roman"/>
        </w:rPr>
        <w:br/>
        <w:t xml:space="preserve">Standard (2012) </w:t>
      </w:r>
      <w:r>
        <w:rPr>
          <w:rFonts w:eastAsia="Times New Roman"/>
          <w:i/>
          <w:iCs/>
        </w:rPr>
        <w:t xml:space="preserve">Soham Murders: Timeline, </w:t>
      </w:r>
      <w:r>
        <w:rPr>
          <w:rFonts w:eastAsia="Times New Roman"/>
        </w:rPr>
        <w:t xml:space="preserve">Available at: </w:t>
      </w:r>
      <w:r>
        <w:rPr>
          <w:rFonts w:eastAsia="Times New Roman"/>
          <w:i/>
          <w:iCs/>
          <w:u w:val="single"/>
        </w:rPr>
        <w:lastRenderedPageBreak/>
        <w:t>https://www.standard.co.uk/news/crime/soham-murders-timeline-8045799.html</w:t>
      </w:r>
      <w:r>
        <w:rPr>
          <w:rFonts w:eastAsia="Times New Roman"/>
        </w:rPr>
        <w:t xml:space="preserve"> (Accessed: 28/04/23).</w:t>
      </w:r>
    </w:p>
    <w:p w14:paraId="4F042544" w14:textId="77777777" w:rsidR="00334469" w:rsidRDefault="00334469" w:rsidP="000A7F92">
      <w:pPr>
        <w:rPr>
          <w:rFonts w:eastAsia="Times New Roman"/>
        </w:rPr>
      </w:pPr>
    </w:p>
    <w:p w14:paraId="1E1806EB" w14:textId="77777777" w:rsidR="008B022B" w:rsidRDefault="008B022B" w:rsidP="000A7F92">
      <w:pPr>
        <w:rPr>
          <w:rFonts w:eastAsia="Times New Roman"/>
        </w:rPr>
      </w:pPr>
    </w:p>
    <w:p w14:paraId="556955DD" w14:textId="4E21D85A" w:rsidR="000A7F92" w:rsidRDefault="000A7F92" w:rsidP="000A7F92">
      <w:pPr>
        <w:rPr>
          <w:rFonts w:eastAsia="Times New Roman"/>
          <w:sz w:val="24"/>
          <w:szCs w:val="24"/>
        </w:rPr>
      </w:pPr>
      <w:r>
        <w:rPr>
          <w:rFonts w:eastAsia="Times New Roman"/>
        </w:rPr>
        <w:t xml:space="preserve">Barry Goldson (2015) 'Child criminalisation and the mistake of early intervention', </w:t>
      </w:r>
      <w:r>
        <w:rPr>
          <w:rFonts w:eastAsia="Times New Roman"/>
          <w:i/>
          <w:iCs/>
        </w:rPr>
        <w:t xml:space="preserve">Child criminalisation and the mistake of early intervention, </w:t>
      </w:r>
      <w:r>
        <w:rPr>
          <w:rFonts w:eastAsia="Times New Roman"/>
        </w:rPr>
        <w:t xml:space="preserve">CJM 102(69), pp. 27 [Online]. Available at: </w:t>
      </w:r>
      <w:r>
        <w:rPr>
          <w:rFonts w:eastAsia="Times New Roman"/>
          <w:i/>
          <w:iCs/>
          <w:u w:val="single"/>
        </w:rPr>
        <w:t>https://www.crimeandjustice.org.uk/sites/crimeandjustice.org.uk/files/09627251.2015.1143632.pdf</w:t>
      </w:r>
      <w:r>
        <w:rPr>
          <w:rFonts w:eastAsia="Times New Roman"/>
        </w:rPr>
        <w:t xml:space="preserve"> (Accessed: 12/04/2023).</w:t>
      </w:r>
      <w:r>
        <w:rPr>
          <w:rFonts w:eastAsia="Times New Roman"/>
        </w:rPr>
        <w:br/>
        <w:t xml:space="preserve">Centre for Justice Innovation (2022) </w:t>
      </w:r>
      <w:r>
        <w:rPr>
          <w:rFonts w:eastAsia="Times New Roman"/>
          <w:i/>
          <w:iCs/>
        </w:rPr>
        <w:t>effective point-of arrest diversion for children and young people</w:t>
      </w:r>
      <w:r>
        <w:rPr>
          <w:rFonts w:eastAsia="Times New Roman"/>
        </w:rPr>
        <w:t>, https://www.clinks.org/sites/default/files/2022-12/clinks_el_diversion_for_children_and_young_people_0.pdf: Clinks.</w:t>
      </w:r>
      <w:r>
        <w:rPr>
          <w:rFonts w:eastAsia="Times New Roman"/>
        </w:rPr>
        <w:br/>
        <w:t xml:space="preserve">College of Policing (28 June 2022 ) </w:t>
      </w:r>
      <w:r>
        <w:rPr>
          <w:rFonts w:eastAsia="Times New Roman"/>
          <w:i/>
          <w:iCs/>
        </w:rPr>
        <w:t xml:space="preserve">Children and Young Persons, </w:t>
      </w:r>
      <w:r>
        <w:rPr>
          <w:rFonts w:eastAsia="Times New Roman"/>
        </w:rPr>
        <w:t xml:space="preserve">Available at: </w:t>
      </w:r>
      <w:r>
        <w:rPr>
          <w:rFonts w:eastAsia="Times New Roman"/>
          <w:i/>
          <w:iCs/>
          <w:u w:val="single"/>
        </w:rPr>
        <w:t>https://www.college.police.uk/app/detention-and-custody/detainee-care/children-and-young-persons</w:t>
      </w:r>
      <w:r>
        <w:rPr>
          <w:rFonts w:eastAsia="Times New Roman"/>
        </w:rPr>
        <w:t xml:space="preserve"> (Accessed: 03 March 2023).</w:t>
      </w:r>
      <w:r>
        <w:rPr>
          <w:rFonts w:eastAsia="Times New Roman"/>
        </w:rPr>
        <w:br/>
        <w:t xml:space="preserve">Dr Rowena Bermingham (April 2019) 'Early Interventions to Reduce Violent Crime', </w:t>
      </w:r>
      <w:r>
        <w:rPr>
          <w:rFonts w:eastAsia="Times New Roman"/>
          <w:i/>
          <w:iCs/>
        </w:rPr>
        <w:t xml:space="preserve">, </w:t>
      </w:r>
      <w:r>
        <w:rPr>
          <w:rFonts w:eastAsia="Times New Roman"/>
        </w:rPr>
        <w:t xml:space="preserve">(599), pp. [Online]. Available at: </w:t>
      </w:r>
      <w:r>
        <w:rPr>
          <w:rFonts w:eastAsia="Times New Roman"/>
          <w:i/>
          <w:iCs/>
          <w:u w:val="single"/>
        </w:rPr>
        <w:t>https://researchbriefings.files.parliament.uk/documents/POST-PN-0599/POST-PN-0599.pdf</w:t>
      </w:r>
      <w:r>
        <w:rPr>
          <w:rFonts w:eastAsia="Times New Roman"/>
        </w:rPr>
        <w:t xml:space="preserve"> (Accessed: 03 March 2023).</w:t>
      </w:r>
      <w:r>
        <w:rPr>
          <w:rFonts w:eastAsia="Times New Roman"/>
        </w:rPr>
        <w:br/>
      </w:r>
      <w:proofErr w:type="spellStart"/>
      <w:r>
        <w:rPr>
          <w:rFonts w:eastAsia="Times New Roman"/>
        </w:rPr>
        <w:t>Franseca</w:t>
      </w:r>
      <w:proofErr w:type="spellEnd"/>
      <w:r>
        <w:rPr>
          <w:rFonts w:eastAsia="Times New Roman"/>
        </w:rPr>
        <w:t xml:space="preserve"> Boyd, Rowena Bermingham (2019) </w:t>
      </w:r>
      <w:r>
        <w:rPr>
          <w:rFonts w:eastAsia="Times New Roman"/>
          <w:i/>
          <w:iCs/>
        </w:rPr>
        <w:t>Early Interventions to Reduce Violent Crime</w:t>
      </w:r>
      <w:r>
        <w:rPr>
          <w:rFonts w:eastAsia="Times New Roman"/>
        </w:rPr>
        <w:t>, https://researchbriefings.files.parliament.uk/documents/POST-PN-0599/POST-PN-0599.pdf: POST.Parliment.uk.</w:t>
      </w:r>
      <w:r>
        <w:rPr>
          <w:rFonts w:eastAsia="Times New Roman"/>
        </w:rPr>
        <w:br/>
        <w:t>Karl Thompson (26 May 2021) 'How successful are early interventions in reducing violent crime?'</w:t>
      </w:r>
      <w:proofErr w:type="gramStart"/>
      <w:r>
        <w:rPr>
          <w:rFonts w:eastAsia="Times New Roman"/>
        </w:rPr>
        <w:t xml:space="preserve">, </w:t>
      </w:r>
      <w:r>
        <w:rPr>
          <w:rFonts w:eastAsia="Times New Roman"/>
          <w:i/>
          <w:iCs/>
        </w:rPr>
        <w:t>,</w:t>
      </w:r>
      <w:proofErr w:type="gramEnd"/>
      <w:r>
        <w:rPr>
          <w:rFonts w:eastAsia="Times New Roman"/>
          <w:i/>
          <w:iCs/>
        </w:rPr>
        <w:t xml:space="preserve"> </w:t>
      </w:r>
      <w:r>
        <w:rPr>
          <w:rFonts w:eastAsia="Times New Roman"/>
        </w:rPr>
        <w:t xml:space="preserve">(), pp. [Online]. Available at: </w:t>
      </w:r>
      <w:r>
        <w:rPr>
          <w:rFonts w:eastAsia="Times New Roman"/>
          <w:i/>
          <w:iCs/>
          <w:u w:val="single"/>
        </w:rPr>
        <w:t>https://revisesociology.com/2021/05/26/how-successful-are-early-interventions-in-reducing-violent-crime/</w:t>
      </w:r>
      <w:r>
        <w:rPr>
          <w:rFonts w:eastAsia="Times New Roman"/>
        </w:rPr>
        <w:t xml:space="preserve"> (Accessed: 03 March 2023).</w:t>
      </w:r>
      <w:r>
        <w:rPr>
          <w:rFonts w:eastAsia="Times New Roman"/>
        </w:rPr>
        <w:br/>
        <w:t xml:space="preserve">Lesley </w:t>
      </w:r>
      <w:proofErr w:type="spellStart"/>
      <w:r>
        <w:rPr>
          <w:rFonts w:eastAsia="Times New Roman"/>
        </w:rPr>
        <w:t>Mcara</w:t>
      </w:r>
      <w:proofErr w:type="spellEnd"/>
      <w:r>
        <w:rPr>
          <w:rFonts w:eastAsia="Times New Roman"/>
        </w:rPr>
        <w:t xml:space="preserve">, Susan </w:t>
      </w:r>
      <w:proofErr w:type="spellStart"/>
      <w:r>
        <w:rPr>
          <w:rFonts w:eastAsia="Times New Roman"/>
        </w:rPr>
        <w:t>Mcvie</w:t>
      </w:r>
      <w:proofErr w:type="spellEnd"/>
      <w:r>
        <w:rPr>
          <w:rFonts w:eastAsia="Times New Roman"/>
        </w:rPr>
        <w:t xml:space="preserve"> (2007) 'Youth Justice?', </w:t>
      </w:r>
      <w:r>
        <w:rPr>
          <w:rFonts w:eastAsia="Times New Roman"/>
          <w:i/>
          <w:iCs/>
        </w:rPr>
        <w:t xml:space="preserve">The Impact of System contact on Patterns of Desistance from Offending, </w:t>
      </w:r>
      <w:r>
        <w:rPr>
          <w:rFonts w:eastAsia="Times New Roman"/>
        </w:rPr>
        <w:t>(1477-3708), pp. 336.</w:t>
      </w:r>
      <w:r>
        <w:rPr>
          <w:rFonts w:eastAsia="Times New Roman"/>
        </w:rPr>
        <w:br/>
        <w:t xml:space="preserve">Loeber, R., Farrington, D.P. (27 November 2018) </w:t>
      </w:r>
      <w:proofErr w:type="spellStart"/>
      <w:r>
        <w:rPr>
          <w:rFonts w:eastAsia="Times New Roman"/>
          <w:i/>
          <w:iCs/>
        </w:rPr>
        <w:t>Encyclopedia</w:t>
      </w:r>
      <w:proofErr w:type="spellEnd"/>
      <w:r>
        <w:rPr>
          <w:rFonts w:eastAsia="Times New Roman"/>
          <w:i/>
          <w:iCs/>
        </w:rPr>
        <w:t xml:space="preserve"> of Criminology and Criminal Justice. 978-1-4614-5690-2</w:t>
      </w:r>
      <w:r>
        <w:rPr>
          <w:rFonts w:eastAsia="Times New Roman"/>
        </w:rPr>
        <w:t xml:space="preserve"> [Online]. Available at: </w:t>
      </w:r>
      <w:r>
        <w:rPr>
          <w:rFonts w:eastAsia="Times New Roman"/>
          <w:i/>
          <w:iCs/>
          <w:u w:val="single"/>
        </w:rPr>
        <w:t>https://doi.org/10.1007/978-1-4614-5690-2_474</w:t>
      </w:r>
      <w:r>
        <w:rPr>
          <w:rFonts w:eastAsia="Times New Roman"/>
        </w:rPr>
        <w:t xml:space="preserve"> (Accessed: 03 March 2023).</w:t>
      </w:r>
      <w:r>
        <w:rPr>
          <w:rFonts w:eastAsia="Times New Roman"/>
        </w:rPr>
        <w:br/>
        <w:t xml:space="preserve">Maggie Blyth, Solomon </w:t>
      </w:r>
      <w:proofErr w:type="spellStart"/>
      <w:r>
        <w:rPr>
          <w:rFonts w:eastAsia="Times New Roman"/>
        </w:rPr>
        <w:t>Enver</w:t>
      </w:r>
      <w:proofErr w:type="spellEnd"/>
      <w:r>
        <w:rPr>
          <w:rFonts w:eastAsia="Times New Roman"/>
        </w:rPr>
        <w:t xml:space="preserve"> (2008) 'Introduction', in Maggie Blyth, Solomon </w:t>
      </w:r>
      <w:proofErr w:type="spellStart"/>
      <w:r>
        <w:rPr>
          <w:rFonts w:eastAsia="Times New Roman"/>
        </w:rPr>
        <w:t>Enver</w:t>
      </w:r>
      <w:proofErr w:type="spellEnd"/>
      <w:r>
        <w:rPr>
          <w:rFonts w:eastAsia="Times New Roman"/>
        </w:rPr>
        <w:t xml:space="preserve"> (ed.) </w:t>
      </w:r>
      <w:r>
        <w:rPr>
          <w:rFonts w:eastAsia="Times New Roman"/>
          <w:i/>
          <w:iCs/>
        </w:rPr>
        <w:t xml:space="preserve">Prevention and Youth Crime Is Early Intervention </w:t>
      </w:r>
      <w:proofErr w:type="gramStart"/>
      <w:r>
        <w:rPr>
          <w:rFonts w:eastAsia="Times New Roman"/>
          <w:i/>
          <w:iCs/>
        </w:rPr>
        <w:t>Working?.</w:t>
      </w:r>
      <w:proofErr w:type="gramEnd"/>
      <w:r>
        <w:rPr>
          <w:rFonts w:eastAsia="Times New Roman"/>
          <w:i/>
          <w:iCs/>
        </w:rPr>
        <w:t xml:space="preserve"> </w:t>
      </w:r>
      <w:r>
        <w:rPr>
          <w:rFonts w:eastAsia="Times New Roman"/>
        </w:rPr>
        <w:t>9781847422637: Policy Press, pp. 1.</w:t>
      </w:r>
      <w:r>
        <w:rPr>
          <w:rFonts w:eastAsia="Times New Roman"/>
        </w:rPr>
        <w:br/>
        <w:t xml:space="preserve">Maggie Blyth, Solomon </w:t>
      </w:r>
      <w:proofErr w:type="spellStart"/>
      <w:r>
        <w:rPr>
          <w:rFonts w:eastAsia="Times New Roman"/>
        </w:rPr>
        <w:t>Enver</w:t>
      </w:r>
      <w:proofErr w:type="spellEnd"/>
      <w:r>
        <w:rPr>
          <w:rFonts w:eastAsia="Times New Roman"/>
        </w:rPr>
        <w:t xml:space="preserve"> (2008) 'Introduction', in Maggie Blyth, Solomon </w:t>
      </w:r>
      <w:proofErr w:type="spellStart"/>
      <w:r>
        <w:rPr>
          <w:rFonts w:eastAsia="Times New Roman"/>
        </w:rPr>
        <w:t>Enver</w:t>
      </w:r>
      <w:proofErr w:type="spellEnd"/>
      <w:r>
        <w:rPr>
          <w:rFonts w:eastAsia="Times New Roman"/>
        </w:rPr>
        <w:t xml:space="preserve"> (ed.) </w:t>
      </w:r>
      <w:r>
        <w:rPr>
          <w:rFonts w:eastAsia="Times New Roman"/>
          <w:i/>
          <w:iCs/>
        </w:rPr>
        <w:t xml:space="preserve">Prevention and Youth Crime Is Early Intervention </w:t>
      </w:r>
      <w:proofErr w:type="gramStart"/>
      <w:r>
        <w:rPr>
          <w:rFonts w:eastAsia="Times New Roman"/>
          <w:i/>
          <w:iCs/>
        </w:rPr>
        <w:t>Working?.</w:t>
      </w:r>
      <w:proofErr w:type="gramEnd"/>
      <w:r>
        <w:rPr>
          <w:rFonts w:eastAsia="Times New Roman"/>
          <w:i/>
          <w:iCs/>
        </w:rPr>
        <w:t xml:space="preserve"> </w:t>
      </w:r>
      <w:r>
        <w:rPr>
          <w:rFonts w:eastAsia="Times New Roman"/>
        </w:rPr>
        <w:t>9781847422637: Policy Press, pp. 4.</w:t>
      </w:r>
      <w:r>
        <w:rPr>
          <w:rFonts w:eastAsia="Times New Roman"/>
        </w:rPr>
        <w:br/>
        <w:t xml:space="preserve">Public Health England (2019) </w:t>
      </w:r>
      <w:r>
        <w:rPr>
          <w:rFonts w:eastAsia="Times New Roman"/>
          <w:i/>
          <w:iCs/>
        </w:rPr>
        <w:t xml:space="preserve">Collaborative approaches to preventing offending and re-offending by children (CAPRICORN): summary, </w:t>
      </w:r>
      <w:r>
        <w:rPr>
          <w:rFonts w:eastAsia="Times New Roman"/>
        </w:rPr>
        <w:t xml:space="preserve">Available at: </w:t>
      </w:r>
      <w:r>
        <w:rPr>
          <w:rFonts w:eastAsia="Times New Roman"/>
          <w:i/>
          <w:iCs/>
          <w:u w:val="single"/>
        </w:rPr>
        <w:t>https://www.gov.uk/government/publications/preventing-offending-and-re-offending-by-children/collaborative-approaches-to-preventing-offending-and-re-offending-by-children-capricorn-summary</w:t>
      </w:r>
      <w:r>
        <w:rPr>
          <w:rFonts w:eastAsia="Times New Roman"/>
        </w:rPr>
        <w:t xml:space="preserve"> (Accessed: 26 March 2023).</w:t>
      </w:r>
      <w:r>
        <w:rPr>
          <w:rFonts w:eastAsia="Times New Roman"/>
        </w:rPr>
        <w:br/>
        <w:t xml:space="preserve">Public Health Wales (2021) </w:t>
      </w:r>
      <w:r>
        <w:rPr>
          <w:rFonts w:eastAsia="Times New Roman"/>
          <w:i/>
          <w:iCs/>
        </w:rPr>
        <w:t>Review of Adverse Childhood Experiences (ACE) policy: report</w:t>
      </w:r>
      <w:r>
        <w:rPr>
          <w:rFonts w:eastAsia="Times New Roman"/>
        </w:rPr>
        <w:t>, https://www.gov.wales/review-adverse-childhood-experiences-ace-policy-report-html#64147: Welsh Government.</w:t>
      </w:r>
      <w:r>
        <w:rPr>
          <w:rFonts w:eastAsia="Times New Roman"/>
        </w:rPr>
        <w:br/>
        <w:t xml:space="preserve">Turner, D., Wolf, A.J., Barra, S. et al. (02 August 2020) 'The association between adverse childhood experiences and mental health problems in young offenders', </w:t>
      </w:r>
      <w:r>
        <w:rPr>
          <w:rFonts w:eastAsia="Times New Roman"/>
          <w:i/>
          <w:iCs/>
        </w:rPr>
        <w:t xml:space="preserve">, </w:t>
      </w:r>
      <w:r>
        <w:rPr>
          <w:rFonts w:eastAsia="Times New Roman"/>
        </w:rPr>
        <w:t xml:space="preserve">(1195â€“1207 (2021)), pp. [Online]. Available at: </w:t>
      </w:r>
      <w:r>
        <w:rPr>
          <w:rFonts w:eastAsia="Times New Roman"/>
          <w:i/>
          <w:iCs/>
          <w:u w:val="single"/>
        </w:rPr>
        <w:t>https://doi.org/10.1007/s00787-020-01608-2</w:t>
      </w:r>
      <w:r>
        <w:rPr>
          <w:rFonts w:eastAsia="Times New Roman"/>
        </w:rPr>
        <w:t xml:space="preserve"> (Accessed: 03 March 2023).</w:t>
      </w:r>
      <w:r>
        <w:rPr>
          <w:rFonts w:eastAsia="Times New Roman"/>
        </w:rPr>
        <w:br/>
        <w:t xml:space="preserve">Wendy Wisner (24 February </w:t>
      </w:r>
      <w:proofErr w:type="gramStart"/>
      <w:r>
        <w:rPr>
          <w:rFonts w:eastAsia="Times New Roman"/>
        </w:rPr>
        <w:t>2022 )</w:t>
      </w:r>
      <w:proofErr w:type="gramEnd"/>
      <w:r>
        <w:rPr>
          <w:rFonts w:eastAsia="Times New Roman"/>
        </w:rPr>
        <w:t xml:space="preserve"> </w:t>
      </w:r>
      <w:r>
        <w:rPr>
          <w:rFonts w:eastAsia="Times New Roman"/>
          <w:i/>
          <w:iCs/>
        </w:rPr>
        <w:t xml:space="preserve">What Are Adverse Childhood Experiences (ACEs)?, </w:t>
      </w:r>
      <w:r>
        <w:rPr>
          <w:rFonts w:eastAsia="Times New Roman"/>
        </w:rPr>
        <w:t xml:space="preserve">Available at: </w:t>
      </w:r>
      <w:r>
        <w:rPr>
          <w:rFonts w:eastAsia="Times New Roman"/>
          <w:i/>
          <w:iCs/>
          <w:u w:val="single"/>
        </w:rPr>
        <w:t>https://www.verywellmind.com/what-are-aces-adverse-childhood-experiences-5219030</w:t>
      </w:r>
      <w:r>
        <w:rPr>
          <w:rFonts w:eastAsia="Times New Roman"/>
        </w:rPr>
        <w:t xml:space="preserve"> (Accessed: 03 March 2023).</w:t>
      </w:r>
    </w:p>
    <w:p w14:paraId="20E07566" w14:textId="77777777" w:rsidR="00CB10D5" w:rsidRDefault="00CB10D5" w:rsidP="00CB10D5">
      <w:pPr>
        <w:rPr>
          <w:rFonts w:ascii="Times New Roman" w:eastAsia="Times New Roman" w:hAnsi="Times New Roman"/>
          <w:kern w:val="0"/>
        </w:rPr>
      </w:pPr>
      <w:r>
        <w:rPr>
          <w:rFonts w:eastAsia="Times New Roman"/>
        </w:rPr>
        <w:lastRenderedPageBreak/>
        <w:t>Alex Stevens (2015) 'Are drugs to blame?'</w:t>
      </w:r>
      <w:proofErr w:type="gramStart"/>
      <w:r>
        <w:rPr>
          <w:rFonts w:eastAsia="Times New Roman"/>
        </w:rPr>
        <w:t xml:space="preserve">, </w:t>
      </w:r>
      <w:r>
        <w:rPr>
          <w:rFonts w:eastAsia="Times New Roman"/>
          <w:i/>
          <w:iCs/>
        </w:rPr>
        <w:t>,</w:t>
      </w:r>
      <w:proofErr w:type="gramEnd"/>
      <w:r>
        <w:rPr>
          <w:rFonts w:eastAsia="Times New Roman"/>
          <w:i/>
          <w:iCs/>
        </w:rPr>
        <w:t xml:space="preserve"> </w:t>
      </w:r>
      <w:r>
        <w:rPr>
          <w:rFonts w:eastAsia="Times New Roman"/>
        </w:rPr>
        <w:t xml:space="preserve">83(CJM 102), pp. [Online]. Available at: </w:t>
      </w:r>
      <w:r>
        <w:rPr>
          <w:rFonts w:eastAsia="Times New Roman"/>
          <w:i/>
          <w:iCs/>
          <w:u w:val="single"/>
        </w:rPr>
        <w:t>https://blog.insidegovernment.co.uk/criminal-justice/rehabilitation-strategies-in-the-criminal-justice-system</w:t>
      </w:r>
      <w:r>
        <w:rPr>
          <w:rFonts w:eastAsia="Times New Roman"/>
        </w:rPr>
        <w:t xml:space="preserve"> (Accessed: 04/05/2023).</w:t>
      </w:r>
      <w:r>
        <w:rPr>
          <w:rFonts w:eastAsia="Times New Roman"/>
        </w:rPr>
        <w:br/>
        <w:t xml:space="preserve">Carol Martin (2000) 'Interpreting Programme Effectiveness', in Carol Martin, Elaine Player (ed.) </w:t>
      </w:r>
      <w:r>
        <w:rPr>
          <w:rFonts w:eastAsia="Times New Roman"/>
          <w:i/>
          <w:iCs/>
        </w:rPr>
        <w:t xml:space="preserve">Drug Treatment in Prison: An Evaluation of the </w:t>
      </w:r>
      <w:proofErr w:type="spellStart"/>
      <w:r>
        <w:rPr>
          <w:rFonts w:eastAsia="Times New Roman"/>
          <w:i/>
          <w:iCs/>
        </w:rPr>
        <w:t>RAPt</w:t>
      </w:r>
      <w:proofErr w:type="spellEnd"/>
      <w:r>
        <w:rPr>
          <w:rFonts w:eastAsia="Times New Roman"/>
          <w:i/>
          <w:iCs/>
        </w:rPr>
        <w:t xml:space="preserve"> Treatment Programme. </w:t>
      </w:r>
      <w:r>
        <w:rPr>
          <w:rFonts w:eastAsia="Times New Roman"/>
        </w:rPr>
        <w:t>9781872870267: Waterside Press, pp. 74.</w:t>
      </w:r>
      <w:r>
        <w:rPr>
          <w:rFonts w:eastAsia="Times New Roman"/>
        </w:rPr>
        <w:br/>
        <w:t xml:space="preserve">Charlotte Gill (2016) 'Community Interventions', in David Weisburd, David P. Farrington, and Charlotte Gill (ed.) </w:t>
      </w:r>
      <w:r>
        <w:rPr>
          <w:rFonts w:eastAsia="Times New Roman"/>
          <w:i/>
          <w:iCs/>
        </w:rPr>
        <w:t xml:space="preserve">David Weisburd, David P. Farrington, and Charlotte Gill. </w:t>
      </w:r>
      <w:r>
        <w:rPr>
          <w:rFonts w:eastAsia="Times New Roman"/>
        </w:rPr>
        <w:t>9781493934775: Springer New York, pp. 78.</w:t>
      </w:r>
      <w:r>
        <w:rPr>
          <w:rFonts w:eastAsia="Times New Roman"/>
        </w:rPr>
        <w:br/>
        <w:t xml:space="preserve">Charlotte Gill (2016) 'Community Interventions', in David Weisburd, David P. Farrington, and Charlotte Gill (ed.) </w:t>
      </w:r>
      <w:r>
        <w:rPr>
          <w:rFonts w:eastAsia="Times New Roman"/>
          <w:i/>
          <w:iCs/>
        </w:rPr>
        <w:t xml:space="preserve">David Weisburd, David P. Farrington, and Charlotte Gill. </w:t>
      </w:r>
      <w:r>
        <w:rPr>
          <w:rFonts w:eastAsia="Times New Roman"/>
        </w:rPr>
        <w:t>9781493934775: Springer New York, pp. 95.</w:t>
      </w:r>
      <w:r>
        <w:rPr>
          <w:rFonts w:eastAsia="Times New Roman"/>
        </w:rPr>
        <w:br/>
        <w:t xml:space="preserve">Charlotte Gill (2016) 'Interpreting Programme Effectiveness', in David Weisburd, David P. Farrington, and Charlotte Gill (ed.) </w:t>
      </w:r>
      <w:r>
        <w:rPr>
          <w:rFonts w:eastAsia="Times New Roman"/>
          <w:i/>
          <w:iCs/>
        </w:rPr>
        <w:t xml:space="preserve">What Works in Crime Prevention and </w:t>
      </w:r>
      <w:proofErr w:type="gramStart"/>
      <w:r>
        <w:rPr>
          <w:rFonts w:eastAsia="Times New Roman"/>
          <w:i/>
          <w:iCs/>
        </w:rPr>
        <w:t>Rehabilitation :</w:t>
      </w:r>
      <w:proofErr w:type="gramEnd"/>
      <w:r>
        <w:rPr>
          <w:rFonts w:eastAsia="Times New Roman"/>
          <w:i/>
          <w:iCs/>
        </w:rPr>
        <w:t xml:space="preserve"> Lessons from Systematic Reviews. </w:t>
      </w:r>
      <w:r>
        <w:rPr>
          <w:rFonts w:eastAsia="Times New Roman"/>
        </w:rPr>
        <w:t>https://ebookcentral.proquest.com/lib/trinity/detail.action?docID=4505302: Springer New York, pp. 104.</w:t>
      </w:r>
      <w:r>
        <w:rPr>
          <w:rFonts w:eastAsia="Times New Roman"/>
        </w:rPr>
        <w:br/>
        <w:t xml:space="preserve">Charlotte Gill (2016) 'Interpreting Programme Effectiveness', in David Weisburd, David P. Farrington, and Charlotte Gill (ed.) </w:t>
      </w:r>
      <w:r>
        <w:rPr>
          <w:rFonts w:eastAsia="Times New Roman"/>
          <w:i/>
          <w:iCs/>
        </w:rPr>
        <w:t xml:space="preserve">What Works in Crime Prevention and </w:t>
      </w:r>
      <w:proofErr w:type="gramStart"/>
      <w:r>
        <w:rPr>
          <w:rFonts w:eastAsia="Times New Roman"/>
          <w:i/>
          <w:iCs/>
        </w:rPr>
        <w:t>Rehabilitation :</w:t>
      </w:r>
      <w:proofErr w:type="gramEnd"/>
      <w:r>
        <w:rPr>
          <w:rFonts w:eastAsia="Times New Roman"/>
          <w:i/>
          <w:iCs/>
        </w:rPr>
        <w:t xml:space="preserve"> Lessons from Systematic Reviews. </w:t>
      </w:r>
      <w:r>
        <w:rPr>
          <w:rFonts w:eastAsia="Times New Roman"/>
        </w:rPr>
        <w:t>https://ebookcentral.proquest.com/lib/trinity/detail.action?docID=4505302: Springer New York, pp. 235.</w:t>
      </w:r>
      <w:r>
        <w:rPr>
          <w:rFonts w:eastAsia="Times New Roman"/>
        </w:rPr>
        <w:br/>
        <w:t xml:space="preserve">College Of Policing (2019) </w:t>
      </w:r>
      <w:r>
        <w:rPr>
          <w:rFonts w:eastAsia="Times New Roman"/>
          <w:i/>
          <w:iCs/>
        </w:rPr>
        <w:t xml:space="preserve">Analysis, </w:t>
      </w:r>
      <w:r>
        <w:rPr>
          <w:rFonts w:eastAsia="Times New Roman"/>
        </w:rPr>
        <w:t xml:space="preserve">Available at: </w:t>
      </w:r>
      <w:r>
        <w:rPr>
          <w:rFonts w:eastAsia="Times New Roman"/>
          <w:i/>
          <w:iCs/>
          <w:u w:val="single"/>
        </w:rPr>
        <w:t>https://www.college.police.uk/app/intelligence-management/analysis/analysis</w:t>
      </w:r>
      <w:r>
        <w:rPr>
          <w:rFonts w:eastAsia="Times New Roman"/>
        </w:rPr>
        <w:t xml:space="preserve"> (Accessed: 04/05/23).</w:t>
      </w:r>
      <w:r>
        <w:rPr>
          <w:rFonts w:eastAsia="Times New Roman"/>
        </w:rPr>
        <w:br/>
        <w:t xml:space="preserve">Full Fact Team (2013) </w:t>
      </w:r>
      <w:r>
        <w:rPr>
          <w:rFonts w:eastAsia="Times New Roman"/>
          <w:i/>
          <w:iCs/>
        </w:rPr>
        <w:t xml:space="preserve">Prisoners and reoffending: caught in the revolving door?, </w:t>
      </w:r>
      <w:r>
        <w:rPr>
          <w:rFonts w:eastAsia="Times New Roman"/>
        </w:rPr>
        <w:t xml:space="preserve">Available at: </w:t>
      </w:r>
      <w:r>
        <w:rPr>
          <w:rFonts w:eastAsia="Times New Roman"/>
          <w:i/>
          <w:iCs/>
          <w:u w:val="single"/>
        </w:rPr>
        <w:t>https://fullfact.org/crime/prisoners-and-reoffending-caught-revolving-door/</w:t>
      </w:r>
      <w:r>
        <w:rPr>
          <w:rFonts w:eastAsia="Times New Roman"/>
        </w:rPr>
        <w:t xml:space="preserve"> (Accessed: 04/05/23).</w:t>
      </w:r>
      <w:r>
        <w:rPr>
          <w:rFonts w:eastAsia="Times New Roman"/>
        </w:rPr>
        <w:br/>
      </w:r>
      <w:proofErr w:type="spellStart"/>
      <w:r>
        <w:rPr>
          <w:rFonts w:eastAsia="Times New Roman"/>
        </w:rPr>
        <w:t>GovNet</w:t>
      </w:r>
      <w:proofErr w:type="spellEnd"/>
      <w:r>
        <w:rPr>
          <w:rFonts w:eastAsia="Times New Roman"/>
        </w:rPr>
        <w:t xml:space="preserve"> (2023) 'https://blog.insidegovernment.co.uk/criminal-justice/rehabilitation-strategies-in-the-criminal-justice-system', </w:t>
      </w:r>
      <w:r>
        <w:rPr>
          <w:rFonts w:eastAsia="Times New Roman"/>
          <w:i/>
          <w:iCs/>
        </w:rPr>
        <w:t xml:space="preserve">, </w:t>
      </w:r>
      <w:r>
        <w:rPr>
          <w:rFonts w:eastAsia="Times New Roman"/>
        </w:rPr>
        <w:t xml:space="preserve">(), pp. [Online]. Available at: </w:t>
      </w:r>
      <w:r>
        <w:rPr>
          <w:rFonts w:eastAsia="Times New Roman"/>
          <w:i/>
          <w:iCs/>
          <w:u w:val="single"/>
        </w:rPr>
        <w:t>https://blog.insidegovernment.co.uk/criminal-justice/rehabilitation-strategies-in-the-criminal-justice-system</w:t>
      </w:r>
      <w:r>
        <w:rPr>
          <w:rFonts w:eastAsia="Times New Roman"/>
        </w:rPr>
        <w:t xml:space="preserve"> (Accessed: 04/05/2023).</w:t>
      </w:r>
      <w:r>
        <w:rPr>
          <w:rFonts w:eastAsia="Times New Roman"/>
        </w:rPr>
        <w:br/>
        <w:t xml:space="preserve">Marie-Edith </w:t>
      </w:r>
      <w:proofErr w:type="spellStart"/>
      <w:r>
        <w:rPr>
          <w:rFonts w:eastAsia="Times New Roman"/>
        </w:rPr>
        <w:t>Tiquet</w:t>
      </w:r>
      <w:proofErr w:type="spellEnd"/>
      <w:r>
        <w:rPr>
          <w:rFonts w:eastAsia="Times New Roman"/>
        </w:rPr>
        <w:t xml:space="preserve"> (2019) 'Enforcement and rehabilitation: challenges to partnership working with substance using offenders', in Aaron </w:t>
      </w:r>
      <w:proofErr w:type="spellStart"/>
      <w:r>
        <w:rPr>
          <w:rFonts w:eastAsia="Times New Roman"/>
        </w:rPr>
        <w:t>Pycroft</w:t>
      </w:r>
      <w:proofErr w:type="spellEnd"/>
      <w:r>
        <w:rPr>
          <w:rFonts w:eastAsia="Times New Roman"/>
        </w:rPr>
        <w:t xml:space="preserve">, Dennis Gough (ed.) </w:t>
      </w:r>
      <w:r>
        <w:rPr>
          <w:rFonts w:eastAsia="Times New Roman"/>
          <w:i/>
          <w:iCs/>
        </w:rPr>
        <w:t xml:space="preserve">Multi-Agency Working in Criminal Justice 2e: Theory, Policy and Practice. </w:t>
      </w:r>
      <w:r>
        <w:rPr>
          <w:rFonts w:eastAsia="Times New Roman"/>
        </w:rPr>
        <w:t>https://www-jstor-org.ezproxy.uwtsd.ac.uk/stable/j.ctvq4c0j8.21: Bristol University Press, pp. 258.</w:t>
      </w:r>
      <w:r>
        <w:rPr>
          <w:rFonts w:eastAsia="Times New Roman"/>
        </w:rPr>
        <w:br/>
        <w:t xml:space="preserve">Rob Allen (2002) </w:t>
      </w:r>
      <w:r>
        <w:rPr>
          <w:rFonts w:eastAsia="Times New Roman"/>
          <w:i/>
          <w:iCs/>
        </w:rPr>
        <w:t xml:space="preserve">What Does the Public Think about </w:t>
      </w:r>
      <w:proofErr w:type="gramStart"/>
      <w:r>
        <w:rPr>
          <w:rFonts w:eastAsia="Times New Roman"/>
          <w:i/>
          <w:iCs/>
        </w:rPr>
        <w:t>Prison?</w:t>
      </w:r>
      <w:r>
        <w:rPr>
          <w:rFonts w:eastAsia="Times New Roman"/>
        </w:rPr>
        <w:t>,</w:t>
      </w:r>
      <w:proofErr w:type="gramEnd"/>
      <w:r>
        <w:rPr>
          <w:rFonts w:eastAsia="Times New Roman"/>
        </w:rPr>
        <w:t xml:space="preserve"> https://www.crimeandjustice.org.uk/sites/crimeandjustice.org.uk/files/09627250208553484.pdf#:~:text=Most%20people%20agree%20that%20prison%20has%20a%20negative,A%20quarter%20don%27t%20know%20or%20have%20no%20opinion.: Crime and Justice.</w:t>
      </w:r>
    </w:p>
    <w:p w14:paraId="0A00A291" w14:textId="77777777" w:rsidR="000A7F92" w:rsidRDefault="000A7F92"/>
    <w:sectPr w:rsidR="000A7F92">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F92"/>
    <w:rsid w:val="000A7F92"/>
    <w:rsid w:val="0024025C"/>
    <w:rsid w:val="00334469"/>
    <w:rsid w:val="00354F59"/>
    <w:rsid w:val="004D196A"/>
    <w:rsid w:val="008B022B"/>
    <w:rsid w:val="009D549D"/>
    <w:rsid w:val="00CB1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D64C6"/>
  <w15:chartTrackingRefBased/>
  <w15:docId w15:val="{1F82790E-0983-4EFD-8448-298E73A22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469"/>
    <w:pPr>
      <w:suppressAutoHyphens/>
      <w:autoSpaceDN w:val="0"/>
      <w:spacing w:line="256" w:lineRule="auto"/>
    </w:pPr>
    <w:rPr>
      <w:rFonts w:ascii="Calibri" w:eastAsia="Calibri" w:hAnsi="Calibri" w:cs="Times New Roman"/>
      <w:kern w:val="3"/>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554922">
      <w:bodyDiv w:val="1"/>
      <w:marLeft w:val="0"/>
      <w:marRight w:val="0"/>
      <w:marTop w:val="0"/>
      <w:marBottom w:val="0"/>
      <w:divBdr>
        <w:top w:val="none" w:sz="0" w:space="0" w:color="auto"/>
        <w:left w:val="none" w:sz="0" w:space="0" w:color="auto"/>
        <w:bottom w:val="none" w:sz="0" w:space="0" w:color="auto"/>
        <w:right w:val="none" w:sz="0" w:space="0" w:color="auto"/>
      </w:divBdr>
    </w:div>
    <w:div w:id="653607048">
      <w:bodyDiv w:val="1"/>
      <w:marLeft w:val="0"/>
      <w:marRight w:val="0"/>
      <w:marTop w:val="0"/>
      <w:marBottom w:val="0"/>
      <w:divBdr>
        <w:top w:val="none" w:sz="0" w:space="0" w:color="auto"/>
        <w:left w:val="none" w:sz="0" w:space="0" w:color="auto"/>
        <w:bottom w:val="none" w:sz="0" w:space="0" w:color="auto"/>
        <w:right w:val="none" w:sz="0" w:space="0" w:color="auto"/>
      </w:divBdr>
    </w:div>
    <w:div w:id="1400514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5436</Words>
  <Characters>30989</Characters>
  <Application>Microsoft Office Word</Application>
  <DocSecurity>0</DocSecurity>
  <Lines>258</Lines>
  <Paragraphs>72</Paragraphs>
  <ScaleCrop>false</ScaleCrop>
  <Company/>
  <LinksUpToDate>false</LinksUpToDate>
  <CharactersWithSpaces>36353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Kandhai</dc:creator>
  <cp:keywords/>
  <dc:description/>
  <cp:lastModifiedBy>Tim Kandhai</cp:lastModifiedBy>
  <cp:revision>3</cp:revision>
  <dcterms:created xsi:type="dcterms:W3CDTF">2023-05-08T17:02:00Z</dcterms:created>
  <dcterms:modified xsi:type="dcterms:W3CDTF">2023-05-08T17:03:00Z</dcterms:modified>
</cp:coreProperties>
</file>