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A960B" w14:textId="77777777" w:rsidR="00464277" w:rsidRDefault="00464277">
      <w:pPr>
        <w:spacing w:line="259" w:lineRule="auto"/>
        <w:jc w:val="center"/>
        <w:rPr>
          <w:b/>
          <w:sz w:val="32"/>
          <w:szCs w:val="32"/>
        </w:rPr>
      </w:pPr>
    </w:p>
    <w:p w14:paraId="516A960C" w14:textId="77777777" w:rsidR="00464277" w:rsidRDefault="00000000">
      <w:pPr>
        <w:spacing w:line="259" w:lineRule="auto"/>
        <w:jc w:val="center"/>
        <w:rPr>
          <w:b/>
          <w:sz w:val="32"/>
          <w:szCs w:val="32"/>
        </w:rPr>
      </w:pPr>
      <w:r>
        <w:rPr>
          <w:b/>
          <w:sz w:val="32"/>
          <w:szCs w:val="32"/>
        </w:rPr>
        <w:t>BA International Hotel Management</w:t>
      </w:r>
    </w:p>
    <w:p w14:paraId="516A960D" w14:textId="77777777" w:rsidR="00464277" w:rsidRDefault="00464277">
      <w:pPr>
        <w:spacing w:line="259" w:lineRule="auto"/>
        <w:jc w:val="center"/>
        <w:rPr>
          <w:b/>
          <w:sz w:val="32"/>
          <w:szCs w:val="32"/>
        </w:rPr>
      </w:pPr>
    </w:p>
    <w:p w14:paraId="516A960E" w14:textId="77777777" w:rsidR="00464277" w:rsidRDefault="00000000">
      <w:pPr>
        <w:spacing w:line="259" w:lineRule="auto"/>
        <w:jc w:val="center"/>
        <w:rPr>
          <w:b/>
          <w:sz w:val="32"/>
          <w:szCs w:val="32"/>
        </w:rPr>
      </w:pPr>
      <w:r>
        <w:rPr>
          <w:b/>
          <w:sz w:val="32"/>
          <w:szCs w:val="32"/>
        </w:rPr>
        <w:t>BMIH6002</w:t>
      </w:r>
    </w:p>
    <w:p w14:paraId="516A960F" w14:textId="77777777" w:rsidR="00464277" w:rsidRDefault="00464277">
      <w:pPr>
        <w:spacing w:line="259" w:lineRule="auto"/>
        <w:jc w:val="center"/>
        <w:rPr>
          <w:b/>
          <w:sz w:val="44"/>
          <w:szCs w:val="44"/>
        </w:rPr>
      </w:pPr>
    </w:p>
    <w:p w14:paraId="516A9610" w14:textId="77777777" w:rsidR="00464277" w:rsidRDefault="00464277">
      <w:pPr>
        <w:spacing w:line="259" w:lineRule="auto"/>
        <w:jc w:val="center"/>
        <w:rPr>
          <w:b/>
          <w:sz w:val="44"/>
          <w:szCs w:val="44"/>
        </w:rPr>
      </w:pPr>
    </w:p>
    <w:p w14:paraId="516A9611" w14:textId="77777777" w:rsidR="00464277" w:rsidRDefault="00464277">
      <w:pPr>
        <w:spacing w:line="259" w:lineRule="auto"/>
        <w:jc w:val="center"/>
        <w:rPr>
          <w:b/>
          <w:sz w:val="44"/>
          <w:szCs w:val="44"/>
        </w:rPr>
      </w:pPr>
    </w:p>
    <w:p w14:paraId="516A9612" w14:textId="77777777" w:rsidR="00464277" w:rsidRDefault="00000000">
      <w:pPr>
        <w:shd w:val="clear" w:color="auto" w:fill="BDD7EE"/>
        <w:spacing w:line="259" w:lineRule="auto"/>
        <w:jc w:val="center"/>
        <w:rPr>
          <w:b/>
          <w:sz w:val="44"/>
          <w:szCs w:val="44"/>
        </w:rPr>
      </w:pPr>
      <w:r>
        <w:rPr>
          <w:b/>
          <w:sz w:val="44"/>
          <w:szCs w:val="44"/>
        </w:rPr>
        <w:t>Hotel Placement – Managing Food and Beverage Operations</w:t>
      </w:r>
    </w:p>
    <w:p w14:paraId="516A9613" w14:textId="77777777" w:rsidR="00464277" w:rsidRDefault="00464277">
      <w:pPr>
        <w:spacing w:line="259" w:lineRule="auto"/>
        <w:jc w:val="center"/>
      </w:pPr>
    </w:p>
    <w:p w14:paraId="516A9614" w14:textId="77777777" w:rsidR="00464277" w:rsidRDefault="00464277">
      <w:pPr>
        <w:spacing w:line="259" w:lineRule="auto"/>
        <w:jc w:val="center"/>
      </w:pPr>
    </w:p>
    <w:p w14:paraId="516A9615" w14:textId="77777777" w:rsidR="00464277" w:rsidRDefault="00464277">
      <w:pPr>
        <w:spacing w:line="259" w:lineRule="auto"/>
        <w:jc w:val="center"/>
      </w:pPr>
    </w:p>
    <w:p w14:paraId="516A9616" w14:textId="77777777" w:rsidR="00464277" w:rsidRDefault="00464277">
      <w:pPr>
        <w:spacing w:line="259" w:lineRule="auto"/>
        <w:jc w:val="center"/>
      </w:pPr>
    </w:p>
    <w:p w14:paraId="516A9617" w14:textId="77777777" w:rsidR="00464277" w:rsidRDefault="00464277">
      <w:pPr>
        <w:spacing w:line="259" w:lineRule="auto"/>
        <w:jc w:val="center"/>
      </w:pPr>
    </w:p>
    <w:p w14:paraId="516A9618" w14:textId="77777777" w:rsidR="00464277" w:rsidRDefault="00464277">
      <w:pPr>
        <w:spacing w:line="259" w:lineRule="auto"/>
        <w:jc w:val="center"/>
      </w:pPr>
    </w:p>
    <w:p w14:paraId="516A9619" w14:textId="77777777" w:rsidR="00464277" w:rsidRDefault="00464277">
      <w:pPr>
        <w:spacing w:line="259" w:lineRule="auto"/>
        <w:jc w:val="center"/>
      </w:pPr>
    </w:p>
    <w:p w14:paraId="516A961A" w14:textId="77777777" w:rsidR="00464277" w:rsidRDefault="00464277">
      <w:pPr>
        <w:spacing w:line="259" w:lineRule="auto"/>
        <w:jc w:val="center"/>
      </w:pPr>
    </w:p>
    <w:p w14:paraId="516A961B" w14:textId="77777777" w:rsidR="00464277" w:rsidRDefault="00464277">
      <w:pPr>
        <w:spacing w:line="259" w:lineRule="auto"/>
        <w:jc w:val="center"/>
      </w:pPr>
    </w:p>
    <w:p w14:paraId="516A961C" w14:textId="77777777" w:rsidR="00464277" w:rsidRDefault="00464277">
      <w:pPr>
        <w:spacing w:line="259" w:lineRule="auto"/>
        <w:jc w:val="center"/>
      </w:pPr>
    </w:p>
    <w:p w14:paraId="516A961D" w14:textId="77777777" w:rsidR="00464277" w:rsidRDefault="00464277">
      <w:pPr>
        <w:spacing w:line="259" w:lineRule="auto"/>
        <w:jc w:val="center"/>
      </w:pPr>
    </w:p>
    <w:p w14:paraId="516A961E" w14:textId="431CE618" w:rsidR="00464277" w:rsidRDefault="00000000">
      <w:pPr>
        <w:spacing w:line="259" w:lineRule="auto"/>
        <w:jc w:val="center"/>
      </w:pPr>
      <w:r>
        <w:t>Student’s Name:</w:t>
      </w:r>
      <w:r w:rsidR="000A1411">
        <w:t xml:space="preserve"> Mirela Mihaela Motohoi</w:t>
      </w:r>
    </w:p>
    <w:p w14:paraId="516A961F" w14:textId="6F760DDD" w:rsidR="00464277" w:rsidRDefault="00000000">
      <w:pPr>
        <w:spacing w:line="259" w:lineRule="auto"/>
        <w:jc w:val="center"/>
        <w:rPr>
          <w:b/>
          <w:color w:val="2F5496"/>
        </w:rPr>
      </w:pPr>
      <w:r>
        <w:t>Student ID</w:t>
      </w:r>
      <w:r w:rsidR="000A1411">
        <w:t xml:space="preserve"> number: 2206</w:t>
      </w:r>
      <w:r w:rsidR="00F97641">
        <w:t>811</w:t>
      </w:r>
      <w:r>
        <w:br w:type="page"/>
      </w:r>
    </w:p>
    <w:p w14:paraId="516A9620" w14:textId="77777777" w:rsidR="00464277" w:rsidRDefault="00000000">
      <w:pPr>
        <w:keepNext/>
        <w:keepLines/>
        <w:pBdr>
          <w:top w:val="nil"/>
          <w:left w:val="nil"/>
          <w:bottom w:val="nil"/>
          <w:right w:val="nil"/>
          <w:between w:val="nil"/>
        </w:pBdr>
        <w:spacing w:before="240" w:after="0" w:line="259" w:lineRule="auto"/>
        <w:jc w:val="center"/>
        <w:rPr>
          <w:b/>
          <w:color w:val="2F5496"/>
          <w:sz w:val="32"/>
          <w:szCs w:val="32"/>
        </w:rPr>
      </w:pPr>
      <w:r>
        <w:rPr>
          <w:b/>
          <w:color w:val="2F5496"/>
          <w:sz w:val="32"/>
          <w:szCs w:val="32"/>
        </w:rPr>
        <w:lastRenderedPageBreak/>
        <w:t>Table of Contents</w:t>
      </w:r>
    </w:p>
    <w:sdt>
      <w:sdtPr>
        <w:id w:val="-2046426181"/>
        <w:docPartObj>
          <w:docPartGallery w:val="Table of Contents"/>
          <w:docPartUnique/>
        </w:docPartObj>
      </w:sdtPr>
      <w:sdtContent>
        <w:p w14:paraId="516A9621" w14:textId="77777777" w:rsidR="00464277" w:rsidRDefault="00000000">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14:paraId="516A9622" w14:textId="77777777" w:rsidR="00464277" w:rsidRDefault="00000000">
          <w:pPr>
            <w:pBdr>
              <w:top w:val="nil"/>
              <w:left w:val="nil"/>
              <w:bottom w:val="nil"/>
              <w:right w:val="nil"/>
              <w:between w:val="nil"/>
            </w:pBdr>
            <w:tabs>
              <w:tab w:val="right" w:leader="dot" w:pos="9016"/>
            </w:tabs>
            <w:spacing w:after="100"/>
            <w:rPr>
              <w:color w:val="000000"/>
            </w:rPr>
          </w:pPr>
          <w:hyperlink w:anchor="_heading=h.30j0zll">
            <w:r>
              <w:rPr>
                <w:color w:val="000000"/>
              </w:rPr>
              <w:t>Section 1: Reflection on Experience and Personal Development</w:t>
            </w:r>
            <w:r>
              <w:rPr>
                <w:color w:val="000000"/>
              </w:rPr>
              <w:tab/>
              <w:t>3</w:t>
            </w:r>
          </w:hyperlink>
        </w:p>
        <w:p w14:paraId="516A9623" w14:textId="77777777" w:rsidR="00464277" w:rsidRDefault="00000000">
          <w:pPr>
            <w:pBdr>
              <w:top w:val="nil"/>
              <w:left w:val="nil"/>
              <w:bottom w:val="nil"/>
              <w:right w:val="nil"/>
              <w:between w:val="nil"/>
            </w:pBdr>
            <w:tabs>
              <w:tab w:val="right" w:leader="dot" w:pos="9016"/>
            </w:tabs>
            <w:spacing w:after="100"/>
            <w:rPr>
              <w:color w:val="000000"/>
            </w:rPr>
          </w:pPr>
          <w:hyperlink w:anchor="_heading=h.1fob9te">
            <w:r>
              <w:rPr>
                <w:color w:val="000000"/>
              </w:rPr>
              <w:t>Section 2: Critical Analysis of Work-Based Skills and Technical Knowledge</w:t>
            </w:r>
            <w:r>
              <w:rPr>
                <w:color w:val="000000"/>
              </w:rPr>
              <w:tab/>
              <w:t>4</w:t>
            </w:r>
          </w:hyperlink>
        </w:p>
        <w:p w14:paraId="516A9624" w14:textId="77777777" w:rsidR="00464277" w:rsidRDefault="00000000">
          <w:pPr>
            <w:pBdr>
              <w:top w:val="nil"/>
              <w:left w:val="nil"/>
              <w:bottom w:val="nil"/>
              <w:right w:val="nil"/>
              <w:between w:val="nil"/>
            </w:pBdr>
            <w:tabs>
              <w:tab w:val="right" w:leader="dot" w:pos="9016"/>
            </w:tabs>
            <w:spacing w:after="100"/>
            <w:rPr>
              <w:color w:val="000000"/>
            </w:rPr>
          </w:pPr>
          <w:hyperlink w:anchor="_heading=h.3znysh7">
            <w:r>
              <w:rPr>
                <w:color w:val="000000"/>
              </w:rPr>
              <w:t>Section 3: Reflection on Organisational Issues</w:t>
            </w:r>
            <w:r>
              <w:rPr>
                <w:color w:val="000000"/>
              </w:rPr>
              <w:tab/>
              <w:t>5</w:t>
            </w:r>
          </w:hyperlink>
        </w:p>
        <w:p w14:paraId="516A9625" w14:textId="77777777" w:rsidR="00464277" w:rsidRDefault="00000000">
          <w:pPr>
            <w:pBdr>
              <w:top w:val="nil"/>
              <w:left w:val="nil"/>
              <w:bottom w:val="nil"/>
              <w:right w:val="nil"/>
              <w:between w:val="nil"/>
            </w:pBdr>
            <w:tabs>
              <w:tab w:val="right" w:leader="dot" w:pos="9016"/>
            </w:tabs>
            <w:spacing w:after="100"/>
            <w:rPr>
              <w:color w:val="000000"/>
            </w:rPr>
          </w:pPr>
          <w:hyperlink w:anchor="_heading=h.2et92p0">
            <w:r>
              <w:rPr>
                <w:color w:val="000000"/>
              </w:rPr>
              <w:t>Conclusion and Action Plan</w:t>
            </w:r>
            <w:r>
              <w:rPr>
                <w:color w:val="000000"/>
              </w:rPr>
              <w:tab/>
              <w:t>6</w:t>
            </w:r>
          </w:hyperlink>
        </w:p>
        <w:p w14:paraId="516A9626" w14:textId="77777777" w:rsidR="00464277" w:rsidRDefault="00000000">
          <w:pPr>
            <w:pBdr>
              <w:top w:val="nil"/>
              <w:left w:val="nil"/>
              <w:bottom w:val="nil"/>
              <w:right w:val="nil"/>
              <w:between w:val="nil"/>
            </w:pBdr>
            <w:tabs>
              <w:tab w:val="right" w:leader="dot" w:pos="9016"/>
            </w:tabs>
            <w:spacing w:after="100"/>
            <w:rPr>
              <w:color w:val="000000"/>
            </w:rPr>
          </w:pPr>
          <w:hyperlink w:anchor="_heading=h.tyjcwt">
            <w:r>
              <w:rPr>
                <w:color w:val="000000"/>
              </w:rPr>
              <w:t>References</w:t>
            </w:r>
            <w:r>
              <w:rPr>
                <w:color w:val="000000"/>
              </w:rPr>
              <w:tab/>
              <w:t>8</w:t>
            </w:r>
          </w:hyperlink>
        </w:p>
        <w:p w14:paraId="516A9627" w14:textId="77777777" w:rsidR="00464277" w:rsidRDefault="00000000">
          <w:r>
            <w:fldChar w:fldCharType="end"/>
          </w:r>
        </w:p>
      </w:sdtContent>
    </w:sdt>
    <w:p w14:paraId="516A9628" w14:textId="77777777" w:rsidR="00464277" w:rsidRDefault="00000000">
      <w:pPr>
        <w:spacing w:line="259" w:lineRule="auto"/>
        <w:jc w:val="left"/>
        <w:rPr>
          <w:b/>
          <w:color w:val="2F5496"/>
        </w:rPr>
      </w:pPr>
      <w:r>
        <w:br w:type="page"/>
      </w:r>
    </w:p>
    <w:p w14:paraId="516A9629" w14:textId="77777777" w:rsidR="00464277" w:rsidRDefault="00000000">
      <w:pPr>
        <w:pStyle w:val="Heading1"/>
        <w:shd w:val="clear" w:color="auto" w:fill="BDD7EE"/>
        <w:ind w:firstLine="0"/>
        <w:jc w:val="both"/>
      </w:pPr>
      <w:bookmarkStart w:id="0" w:name="_heading=h.gjdgxs" w:colFirst="0" w:colLast="0"/>
      <w:bookmarkEnd w:id="0"/>
      <w:r>
        <w:lastRenderedPageBreak/>
        <w:t xml:space="preserve">Introduction </w:t>
      </w:r>
    </w:p>
    <w:p w14:paraId="516A962A" w14:textId="77777777" w:rsidR="00464277" w:rsidRDefault="00000000">
      <w:r>
        <w:t>Coldra Court Hotel in Newport, UK, possesses a well-organised Food and Beverage (F&amp;B) operation, at the center of which is The Rib Smokehouse &amp; Grill with Southern-style cuisine and wood-smoked dishes. Court Bar offers an informal atmosphere where people can relax with a drink or snack. High standards of service are assured by the hotel in responding to guests' various needs (Coldra Court Hotel, 2025).</w:t>
      </w:r>
    </w:p>
    <w:p w14:paraId="516A962B" w14:textId="77777777" w:rsidR="00464277" w:rsidRDefault="00000000">
      <w:pPr>
        <w:jc w:val="center"/>
      </w:pPr>
      <w:r>
        <w:rPr>
          <w:noProof/>
        </w:rPr>
        <w:drawing>
          <wp:inline distT="0" distB="0" distL="0" distR="0" wp14:anchorId="516A9671" wp14:editId="516A9672">
            <wp:extent cx="4903342" cy="3271429"/>
            <wp:effectExtent l="0" t="0" r="0" b="0"/>
            <wp:docPr id="677020507" name="image1.jpg" descr="Coldra Court Hotel by Celtic Manor, Newport (updated prices 2025)"/>
            <wp:cNvGraphicFramePr/>
            <a:graphic xmlns:a="http://schemas.openxmlformats.org/drawingml/2006/main">
              <a:graphicData uri="http://schemas.openxmlformats.org/drawingml/2006/picture">
                <pic:pic xmlns:pic="http://schemas.openxmlformats.org/drawingml/2006/picture">
                  <pic:nvPicPr>
                    <pic:cNvPr id="0" name="image1.jpg" descr="Coldra Court Hotel by Celtic Manor, Newport (updated prices 2025)"/>
                    <pic:cNvPicPr preferRelativeResize="0"/>
                  </pic:nvPicPr>
                  <pic:blipFill>
                    <a:blip r:embed="rId8"/>
                    <a:srcRect/>
                    <a:stretch>
                      <a:fillRect/>
                    </a:stretch>
                  </pic:blipFill>
                  <pic:spPr>
                    <a:xfrm>
                      <a:off x="0" y="0"/>
                      <a:ext cx="4903342" cy="3271429"/>
                    </a:xfrm>
                    <a:prstGeom prst="rect">
                      <a:avLst/>
                    </a:prstGeom>
                    <a:ln/>
                  </pic:spPr>
                </pic:pic>
              </a:graphicData>
            </a:graphic>
          </wp:inline>
        </w:drawing>
      </w:r>
    </w:p>
    <w:p w14:paraId="516A962C" w14:textId="77777777" w:rsidR="00464277" w:rsidRDefault="00000000">
      <w:pPr>
        <w:rPr>
          <w:b/>
          <w:i/>
        </w:rPr>
      </w:pPr>
      <w:r>
        <w:rPr>
          <w:b/>
          <w:i/>
        </w:rPr>
        <w:t>Learning Objectives</w:t>
      </w:r>
    </w:p>
    <w:p w14:paraId="516A962D" w14:textId="77777777" w:rsidR="00464277" w:rsidRDefault="00000000">
      <w:pPr>
        <w:numPr>
          <w:ilvl w:val="0"/>
          <w:numId w:val="1"/>
        </w:numPr>
        <w:pBdr>
          <w:top w:val="nil"/>
          <w:left w:val="nil"/>
          <w:bottom w:val="nil"/>
          <w:right w:val="nil"/>
          <w:between w:val="nil"/>
        </w:pBdr>
        <w:spacing w:after="0"/>
        <w:rPr>
          <w:color w:val="000000"/>
        </w:rPr>
      </w:pPr>
      <w:r>
        <w:rPr>
          <w:color w:val="000000"/>
        </w:rPr>
        <w:t>Transfer supervisory skills in F&amp;B operations.</w:t>
      </w:r>
    </w:p>
    <w:p w14:paraId="516A962E" w14:textId="77777777" w:rsidR="00464277" w:rsidRDefault="00000000">
      <w:pPr>
        <w:numPr>
          <w:ilvl w:val="0"/>
          <w:numId w:val="1"/>
        </w:numPr>
        <w:pBdr>
          <w:top w:val="nil"/>
          <w:left w:val="nil"/>
          <w:bottom w:val="nil"/>
          <w:right w:val="nil"/>
          <w:between w:val="nil"/>
        </w:pBdr>
        <w:spacing w:after="0"/>
        <w:rPr>
          <w:color w:val="000000"/>
        </w:rPr>
      </w:pPr>
      <w:r>
        <w:rPr>
          <w:color w:val="000000"/>
        </w:rPr>
        <w:t>Develop team-working and communication skills.</w:t>
      </w:r>
    </w:p>
    <w:p w14:paraId="516A962F" w14:textId="77777777" w:rsidR="00464277" w:rsidRDefault="00000000">
      <w:pPr>
        <w:numPr>
          <w:ilvl w:val="0"/>
          <w:numId w:val="1"/>
        </w:numPr>
        <w:pBdr>
          <w:top w:val="nil"/>
          <w:left w:val="nil"/>
          <w:bottom w:val="nil"/>
          <w:right w:val="nil"/>
          <w:between w:val="nil"/>
        </w:pBdr>
        <w:spacing w:after="0"/>
        <w:rPr>
          <w:color w:val="000000"/>
        </w:rPr>
      </w:pPr>
      <w:r>
        <w:rPr>
          <w:color w:val="000000"/>
        </w:rPr>
        <w:t>Learn customer expectations and guest service standards.</w:t>
      </w:r>
    </w:p>
    <w:p w14:paraId="516A9630" w14:textId="77777777" w:rsidR="00464277" w:rsidRDefault="00000000">
      <w:pPr>
        <w:numPr>
          <w:ilvl w:val="0"/>
          <w:numId w:val="1"/>
        </w:numPr>
        <w:pBdr>
          <w:top w:val="nil"/>
          <w:left w:val="nil"/>
          <w:bottom w:val="nil"/>
          <w:right w:val="nil"/>
          <w:between w:val="nil"/>
        </w:pBdr>
        <w:spacing w:after="0"/>
        <w:rPr>
          <w:color w:val="000000"/>
        </w:rPr>
      </w:pPr>
      <w:r>
        <w:rPr>
          <w:color w:val="000000"/>
        </w:rPr>
        <w:t>Acquire practical experience in food service and preparation.</w:t>
      </w:r>
    </w:p>
    <w:p w14:paraId="516A9631" w14:textId="77777777" w:rsidR="00464277" w:rsidRDefault="00000000">
      <w:pPr>
        <w:numPr>
          <w:ilvl w:val="0"/>
          <w:numId w:val="1"/>
        </w:numPr>
        <w:pBdr>
          <w:top w:val="nil"/>
          <w:left w:val="nil"/>
          <w:bottom w:val="nil"/>
          <w:right w:val="nil"/>
          <w:between w:val="nil"/>
        </w:pBdr>
        <w:rPr>
          <w:color w:val="000000"/>
        </w:rPr>
      </w:pPr>
      <w:r>
        <w:rPr>
          <w:color w:val="000000"/>
        </w:rPr>
        <w:t>Learn operational issues and propose solutions.</w:t>
      </w:r>
    </w:p>
    <w:p w14:paraId="516A9632" w14:textId="77777777" w:rsidR="00464277" w:rsidRDefault="00000000">
      <w:pPr>
        <w:pStyle w:val="Heading1"/>
        <w:shd w:val="clear" w:color="auto" w:fill="BDD7EE"/>
        <w:ind w:firstLine="0"/>
        <w:jc w:val="both"/>
      </w:pPr>
      <w:bookmarkStart w:id="1" w:name="_heading=h.30j0zll" w:colFirst="0" w:colLast="0"/>
      <w:bookmarkEnd w:id="1"/>
      <w:r>
        <w:t xml:space="preserve">Section 1: Reflection on Experience and Personal Development </w:t>
      </w:r>
    </w:p>
    <w:p w14:paraId="516A9633" w14:textId="77777777" w:rsidR="00464277" w:rsidRDefault="00000000">
      <w:r>
        <w:t xml:space="preserve">Throughout my placement as a supervisor of team coordination and guest service management within Coldra Court Hotel's Food and Beverage (F&amp;B) department, I was able to shadow a supervisory position and watch day-to-day operations, team coordination, and guest service management. The experience brought to the forefront work-based competencies like communication, problem-solving, and flexibility as key </w:t>
      </w:r>
      <w:r>
        <w:lastRenderedPageBreak/>
        <w:t>to high standards of guest service. Through participative learning, I acquired technical competencies in food preparation, service procedures, and health and safety law.</w:t>
      </w:r>
    </w:p>
    <w:p w14:paraId="516A9634" w14:textId="77777777" w:rsidR="00464277" w:rsidRDefault="00000000">
      <w:r>
        <w:t>Based on Kolb's Learning Cycle, my learning experience can be divided into four phases:</w:t>
      </w:r>
    </w:p>
    <w:p w14:paraId="516A9635" w14:textId="77777777" w:rsidR="00464277" w:rsidRDefault="00000000">
      <w:pPr>
        <w:jc w:val="center"/>
      </w:pPr>
      <w:r>
        <w:rPr>
          <w:noProof/>
        </w:rPr>
        <w:drawing>
          <wp:inline distT="0" distB="0" distL="0" distR="0" wp14:anchorId="516A9673" wp14:editId="516A9674">
            <wp:extent cx="3692705" cy="3630520"/>
            <wp:effectExtent l="38100" t="38100" r="38100" b="38100"/>
            <wp:docPr id="677020508" name="image2.jpg" descr="Kolb's Learning Styles &amp; Experiential Learning Cycle"/>
            <wp:cNvGraphicFramePr/>
            <a:graphic xmlns:a="http://schemas.openxmlformats.org/drawingml/2006/main">
              <a:graphicData uri="http://schemas.openxmlformats.org/drawingml/2006/picture">
                <pic:pic xmlns:pic="http://schemas.openxmlformats.org/drawingml/2006/picture">
                  <pic:nvPicPr>
                    <pic:cNvPr id="0" name="image2.jpg" descr="Kolb's Learning Styles &amp; Experiential Learning Cycle"/>
                    <pic:cNvPicPr preferRelativeResize="0"/>
                  </pic:nvPicPr>
                  <pic:blipFill>
                    <a:blip r:embed="rId9"/>
                    <a:srcRect/>
                    <a:stretch>
                      <a:fillRect/>
                    </a:stretch>
                  </pic:blipFill>
                  <pic:spPr>
                    <a:xfrm>
                      <a:off x="0" y="0"/>
                      <a:ext cx="3692705" cy="3630520"/>
                    </a:xfrm>
                    <a:prstGeom prst="rect">
                      <a:avLst/>
                    </a:prstGeom>
                    <a:ln w="38100">
                      <a:solidFill>
                        <a:srgbClr val="000000"/>
                      </a:solidFill>
                      <a:prstDash val="solid"/>
                    </a:ln>
                  </pic:spPr>
                </pic:pic>
              </a:graphicData>
            </a:graphic>
          </wp:inline>
        </w:drawing>
      </w:r>
    </w:p>
    <w:p w14:paraId="516A9636" w14:textId="77777777" w:rsidR="00464277" w:rsidRDefault="00000000">
      <w:pPr>
        <w:jc w:val="center"/>
        <w:rPr>
          <w:b/>
        </w:rPr>
      </w:pPr>
      <w:r>
        <w:rPr>
          <w:b/>
        </w:rPr>
        <w:t>Figure 1: Kolb's Learning Cycle</w:t>
      </w:r>
    </w:p>
    <w:p w14:paraId="516A9637" w14:textId="77777777" w:rsidR="00464277" w:rsidRDefault="00000000">
      <w:pPr>
        <w:jc w:val="center"/>
      </w:pPr>
      <w:r>
        <w:t>(Source: Vince, 2022)</w:t>
      </w:r>
    </w:p>
    <w:p w14:paraId="516A9638" w14:textId="77777777" w:rsidR="00464277" w:rsidRDefault="00000000">
      <w:pPr>
        <w:rPr>
          <w:b/>
        </w:rPr>
      </w:pPr>
      <w:r>
        <w:rPr>
          <w:b/>
        </w:rPr>
        <w:t>Concrete Experience</w:t>
      </w:r>
    </w:p>
    <w:p w14:paraId="516A9639" w14:textId="77777777" w:rsidR="00464277" w:rsidRDefault="00000000">
      <w:r>
        <w:t>I was directly engaged in different supervisory duties, including staff coordination, customer complaint handling, and provision of seamless services at The Rib Smokehouse &amp; Grill. I learned by observing and learning from decision-making and leadership styles of senior supervisors.</w:t>
      </w:r>
    </w:p>
    <w:p w14:paraId="516A963A" w14:textId="77777777" w:rsidR="00464277" w:rsidRDefault="00000000">
      <w:pPr>
        <w:rPr>
          <w:b/>
        </w:rPr>
      </w:pPr>
      <w:r>
        <w:rPr>
          <w:b/>
        </w:rPr>
        <w:t>Reflective Observation</w:t>
      </w:r>
    </w:p>
    <w:p w14:paraId="516A963B" w14:textId="77777777" w:rsidR="00464277" w:rsidRDefault="00000000">
      <w:r>
        <w:t>At the end of every shift, I would reflect on how various challenges were addressed, especially in handling peak hours and customer complaints. I observed the importance of effective communication and collaboration in providing efficient service delivery.</w:t>
      </w:r>
    </w:p>
    <w:p w14:paraId="516A963C" w14:textId="77777777" w:rsidR="00464277" w:rsidRDefault="00000000">
      <w:pPr>
        <w:rPr>
          <w:b/>
        </w:rPr>
      </w:pPr>
      <w:r>
        <w:rPr>
          <w:b/>
        </w:rPr>
        <w:t>Abstract Conceptualisation</w:t>
      </w:r>
    </w:p>
    <w:p w14:paraId="516A963D" w14:textId="77777777" w:rsidR="00464277" w:rsidRDefault="00000000">
      <w:r>
        <w:lastRenderedPageBreak/>
        <w:t>Applying my experience to theoretical knowledge, I understood the relevance of leadership qualities and customer service concepts in F&amp;B service operations. My hospitality management studies provided me with the knowledge about the need for operational efficiency, employee motivation, and guest satisfaction initiatives (ASET 2017).</w:t>
      </w:r>
    </w:p>
    <w:p w14:paraId="516A963E" w14:textId="77777777" w:rsidR="00464277" w:rsidRDefault="00000000">
      <w:pPr>
        <w:rPr>
          <w:b/>
        </w:rPr>
      </w:pPr>
      <w:r>
        <w:rPr>
          <w:b/>
        </w:rPr>
        <w:t>Active Experimentation</w:t>
      </w:r>
    </w:p>
    <w:p w14:paraId="516A963F" w14:textId="77777777" w:rsidR="00464277" w:rsidRDefault="00000000">
      <w:r>
        <w:t>Applying my learning, I actively assisted junior staff, maintained good quality table arrangements, and suggested improvements in workflow. This built my confidence in carrying out duties independently.</w:t>
      </w:r>
    </w:p>
    <w:p w14:paraId="516A9640" w14:textId="77777777" w:rsidR="00464277" w:rsidRDefault="00000000">
      <w:pPr>
        <w:pStyle w:val="Heading1"/>
        <w:shd w:val="clear" w:color="auto" w:fill="BDD7EE"/>
        <w:ind w:firstLine="0"/>
        <w:jc w:val="both"/>
      </w:pPr>
      <w:bookmarkStart w:id="2" w:name="_heading=h.1fob9te" w:colFirst="0" w:colLast="0"/>
      <w:bookmarkEnd w:id="2"/>
      <w:r>
        <w:t xml:space="preserve">Section 2: Critical Analysis of Work-Based Skills and Technical Knowledge </w:t>
      </w:r>
    </w:p>
    <w:p w14:paraId="516A9641" w14:textId="77777777" w:rsidR="00464277" w:rsidRDefault="00000000">
      <w:pPr>
        <w:rPr>
          <w:b/>
        </w:rPr>
      </w:pPr>
      <w:r>
        <w:rPr>
          <w:b/>
        </w:rPr>
        <w:t>Concrete Experience</w:t>
      </w:r>
    </w:p>
    <w:p w14:paraId="516A9642" w14:textId="77777777" w:rsidR="00464277" w:rsidRDefault="00000000">
      <w:r>
        <w:t>In my placement at Coldra Court Hotel, I participated actively in food service, during which I shadowed supervisors, took orders, and monitored guest satisfaction. I saw directly how teamwork, time management, and communication have an immediate effect on service efficiency. Dealing with customer complaints and learning menu information improved my technical understanding of food preparation and presentation (Fallon and Rutherford, 2010; Hagg, 2013).</w:t>
      </w:r>
    </w:p>
    <w:p w14:paraId="516A9643" w14:textId="77777777" w:rsidR="00464277" w:rsidRDefault="00000000">
      <w:pPr>
        <w:rPr>
          <w:b/>
        </w:rPr>
      </w:pPr>
      <w:r>
        <w:rPr>
          <w:b/>
        </w:rPr>
        <w:t>Reflective Observation</w:t>
      </w:r>
    </w:p>
    <w:p w14:paraId="516A9644" w14:textId="77777777" w:rsidR="00464277" w:rsidRDefault="00000000">
      <w:r>
        <w:t>In retrospect, I witnessed the significance of multi-tasking in a high-traffic setting. Communication between service and kitchen staff was essential to avoid delays (Johnston, Clark and Shulver, 2012; Vallen, and Vallen, Jerome, 2014). I witnessed the impact of guest interaction on service quality, specifically in order customisation and expectation management. I witnessed supervisors utilising delegation to optimise workflow efficiency, critical for smooth operations.</w:t>
      </w:r>
    </w:p>
    <w:p w14:paraId="516A9645" w14:textId="77777777" w:rsidR="00464277" w:rsidRDefault="00000000">
      <w:pPr>
        <w:rPr>
          <w:b/>
        </w:rPr>
      </w:pPr>
      <w:r>
        <w:rPr>
          <w:b/>
        </w:rPr>
        <w:t>Abstract Conceptualisation</w:t>
      </w:r>
    </w:p>
    <w:p w14:paraId="516A9646" w14:textId="77777777" w:rsidR="00464277" w:rsidRDefault="00000000">
      <w:r>
        <w:t xml:space="preserve">During this phase, I related my experience to theoretical knowledge of my area of study. For instance, I used service quality management theory to comprehend that rigorous service standards enhance guest retention. I also realised how leadership styles play a crucial role in influencing employees. The significance of health and safety legislation, such as food hygiene and allergen control, was also clear as I </w:t>
      </w:r>
      <w:r>
        <w:lastRenderedPageBreak/>
        <w:t xml:space="preserve">observed how it was implemented </w:t>
      </w:r>
      <w:proofErr w:type="gramStart"/>
      <w:r>
        <w:t>on a daily basis</w:t>
      </w:r>
      <w:proofErr w:type="gramEnd"/>
      <w:r>
        <w:t xml:space="preserve"> (Walker, 2021; Cousins and Weekes, 2020).</w:t>
      </w:r>
    </w:p>
    <w:p w14:paraId="516A9647" w14:textId="77777777" w:rsidR="00464277" w:rsidRDefault="00000000">
      <w:pPr>
        <w:rPr>
          <w:b/>
        </w:rPr>
      </w:pPr>
      <w:r>
        <w:rPr>
          <w:b/>
        </w:rPr>
        <w:t>Active Experimentation</w:t>
      </w:r>
    </w:p>
    <w:p w14:paraId="516A9648" w14:textId="77777777" w:rsidR="00464277" w:rsidRDefault="00000000">
      <w:r>
        <w:t>Applying these learnings, I changed my service practice by managing time better, assisting others more actively, and communicating better with guests. I also added better problem-solving abilities, such as managing guest complaints in a professional manner. These will be vital in future hospitality employment, where I can provide improved service while streamlining F&amp;B operations.</w:t>
      </w:r>
    </w:p>
    <w:p w14:paraId="516A9649" w14:textId="77777777" w:rsidR="00464277" w:rsidRDefault="00000000">
      <w:pPr>
        <w:pStyle w:val="Heading1"/>
        <w:shd w:val="clear" w:color="auto" w:fill="BDD7EE"/>
        <w:ind w:firstLine="0"/>
        <w:jc w:val="both"/>
      </w:pPr>
      <w:bookmarkStart w:id="3" w:name="_heading=h.3znysh7" w:colFirst="0" w:colLast="0"/>
      <w:bookmarkEnd w:id="3"/>
      <w:r>
        <w:t>Section 3: Reflection on Organisational Issues</w:t>
      </w:r>
    </w:p>
    <w:p w14:paraId="516A964A" w14:textId="77777777" w:rsidR="00464277" w:rsidRDefault="00000000">
      <w:r>
        <w:t>During my placement within the Food and Beverage (F&amp;B) department of Coldra Court Hotel, I witnessed an organisational problem of staff shortages during busy service times. This was resulting in delays in serving food, undue stress to staff, and intermittent drop-in guest service standards (Fanthorne, 2004; Martin, 2020; Wood, 2013). I analysed this experience formally through Kolb's Learning Cycle (1984).</w:t>
      </w:r>
    </w:p>
    <w:p w14:paraId="516A964B" w14:textId="77777777" w:rsidR="00464277" w:rsidRDefault="00000000">
      <w:pPr>
        <w:rPr>
          <w:b/>
        </w:rPr>
      </w:pPr>
      <w:r>
        <w:rPr>
          <w:b/>
        </w:rPr>
        <w:t>Concrete Experience</w:t>
      </w:r>
    </w:p>
    <w:p w14:paraId="516A964C" w14:textId="77777777" w:rsidR="00464277" w:rsidRDefault="00000000">
      <w:r>
        <w:t>During peak dinner hours, the restaurant was typically under-staffed, resulting in long waiting times for patrons and overloads for staff. This problem impacted front-of-house and kitchen staff, causing frustration among staff and patrons (Ntwakumba, 2022).</w:t>
      </w:r>
    </w:p>
    <w:p w14:paraId="516A964D" w14:textId="77777777" w:rsidR="00464277" w:rsidRDefault="00000000">
      <w:pPr>
        <w:rPr>
          <w:b/>
        </w:rPr>
      </w:pPr>
      <w:r>
        <w:rPr>
          <w:b/>
        </w:rPr>
        <w:t>Reflective Observation</w:t>
      </w:r>
    </w:p>
    <w:p w14:paraId="516A964E" w14:textId="77777777" w:rsidR="00464277" w:rsidRDefault="00000000">
      <w:r>
        <w:t xml:space="preserve">When I observed the situation, I found that customers got agitated because food and beverages took a long time to </w:t>
      </w:r>
      <w:proofErr w:type="gramStart"/>
      <w:r>
        <w:t>arrive,</w:t>
      </w:r>
      <w:proofErr w:type="gramEnd"/>
      <w:r>
        <w:t xml:space="preserve"> at times leading to complaints. Employees, including servers and chefs, felt fatigued, which also </w:t>
      </w:r>
      <w:proofErr w:type="gramStart"/>
      <w:r>
        <w:t>had an effect on</w:t>
      </w:r>
      <w:proofErr w:type="gramEnd"/>
      <w:r>
        <w:t xml:space="preserve"> the quality of service (Guzowski, 2021). Poor workforce planning caused inconsistency in the quality of service.</w:t>
      </w:r>
    </w:p>
    <w:p w14:paraId="516A964F" w14:textId="77777777" w:rsidR="00464277" w:rsidRDefault="00000000">
      <w:pPr>
        <w:rPr>
          <w:b/>
        </w:rPr>
      </w:pPr>
      <w:r>
        <w:rPr>
          <w:b/>
        </w:rPr>
        <w:t>Abstract Conceptualisation</w:t>
      </w:r>
    </w:p>
    <w:p w14:paraId="516A9650" w14:textId="77777777" w:rsidR="00464277" w:rsidRDefault="00000000">
      <w:r>
        <w:t xml:space="preserve">Herzberg's Two-Factor Theory (1959) indicates that dissatisfaction is usually the outcome of poorer work environments, which may include work overloads. Queuing Theory also states that efficient management of service flow is crucial in hospitality. Inefficient workflow was a consequence of inefficient manpower, leading to utmost </w:t>
      </w:r>
      <w:r>
        <w:lastRenderedPageBreak/>
        <w:t>inefficiencies. Effective manpower management, like anticipating busy hours and handling accordingly, would avoid this problem.</w:t>
      </w:r>
    </w:p>
    <w:p w14:paraId="516A9651" w14:textId="77777777" w:rsidR="00464277" w:rsidRDefault="00000000">
      <w:pPr>
        <w:rPr>
          <w:b/>
        </w:rPr>
      </w:pPr>
      <w:r>
        <w:rPr>
          <w:b/>
        </w:rPr>
        <w:t>Active Experimentation</w:t>
      </w:r>
    </w:p>
    <w:p w14:paraId="516A9652" w14:textId="77777777" w:rsidR="00464277" w:rsidRDefault="00000000">
      <w:r>
        <w:t>To tackle this problem, I propose cross-training employees to perform various tasks during peak hours, adopting a dynamic shift scheduling platform based on past booking patterns, and drawing on guest feedback data to forecast peak hours. Incentive programs might also motivate workers to work overtime, enhancing morale and retention.</w:t>
      </w:r>
    </w:p>
    <w:p w14:paraId="516A9653" w14:textId="77777777" w:rsidR="00464277" w:rsidRDefault="00000000">
      <w:pPr>
        <w:pStyle w:val="Heading1"/>
        <w:shd w:val="clear" w:color="auto" w:fill="BDD7EE"/>
        <w:ind w:firstLine="0"/>
        <w:jc w:val="both"/>
      </w:pPr>
      <w:bookmarkStart w:id="4" w:name="_heading=h.2et92p0" w:colFirst="0" w:colLast="0"/>
      <w:bookmarkEnd w:id="4"/>
      <w:r>
        <w:t xml:space="preserve">Conclusion and Action Plan </w:t>
      </w:r>
    </w:p>
    <w:p w14:paraId="516A9654" w14:textId="77777777" w:rsidR="00464277" w:rsidRDefault="00000000">
      <w:r>
        <w:t xml:space="preserve">During my placement at the F&amp;B department of Coldra Court Hotel, I had eye-opening exposure to the intricacies of running food service businesses. Shadowing the experience gave me direct exposure to some of the most important aspects of restaurant operations, such as guest service, teamwork, problem-solving, and operational efficiency. Through the direct involvement in the day-to-day operations, I acquired work competencies such as time management, flexibility, and customer relations that are fundamental in running a hospitality business. </w:t>
      </w:r>
    </w:p>
    <w:p w14:paraId="516A9655" w14:textId="77777777" w:rsidR="00464277" w:rsidRDefault="00000000">
      <w:r>
        <w:t>One of the most important things that I took with me from the experience was the appreciation of technical details in food and beverage operations. Watching and helping supervisors provided an insight into how inventory management, food safety levels, and service procedures are carried out to allow the restaurant to function more efficiently. I also had a grasp of how important good communication and coordination are to sustaining high standards of guest service. Acquiring the skills to coordinate between kitchen and service personnel, resolve customer complaints promptly, and handle high-pressure situations were critical aspects of my learning.</w:t>
      </w:r>
    </w:p>
    <w:p w14:paraId="516A9656" w14:textId="77777777" w:rsidR="00464277" w:rsidRDefault="00000000">
      <w:r>
        <w:t>Additionally, the placement gave a real sense of guest service levels. Delivery of food is not only about good quality service but also about making a good guest experience through professional behavior, attention to detail, and interaction with the guests. I have seen how small delays in service can really affect guest satisfaction and how effective training staff can reverse a negative experience into a positive one.</w:t>
      </w:r>
    </w:p>
    <w:p w14:paraId="516A9657" w14:textId="77777777" w:rsidR="00464277" w:rsidRDefault="00000000">
      <w:pPr>
        <w:rPr>
          <w:b/>
          <w:i/>
        </w:rPr>
      </w:pPr>
      <w:r>
        <w:rPr>
          <w:b/>
          <w:i/>
        </w:rPr>
        <w:t>Value of Personal and Vocational Development</w:t>
      </w:r>
    </w:p>
    <w:p w14:paraId="516A9658" w14:textId="77777777" w:rsidR="00464277" w:rsidRDefault="00000000">
      <w:r>
        <w:lastRenderedPageBreak/>
        <w:t>The internship position was instrumental in defining my career goals in the F&amp;B sector. Besides technical knowledge, I was able to develop critical thinking and leadership skills that are essential for career development. The exposure reinforced my passion for hospitality management and enhanced the capability to solve real-life problems in a time-limited environment.</w:t>
      </w:r>
    </w:p>
    <w:p w14:paraId="516A9659" w14:textId="77777777" w:rsidR="00464277" w:rsidRDefault="00000000">
      <w:r>
        <w:t xml:space="preserve">I also had a better insight into organisational problems like shortage of staff and operational inefficiencies. To solve these problems, I had to use problem-solving capability and the capacity for initiating practical solutions, which are fundamental skills for future hospitality managers. </w:t>
      </w:r>
    </w:p>
    <w:p w14:paraId="516A965A" w14:textId="77777777" w:rsidR="00464277" w:rsidRDefault="00000000">
      <w:pPr>
        <w:rPr>
          <w:b/>
          <w:i/>
        </w:rPr>
      </w:pPr>
      <w:r>
        <w:rPr>
          <w:b/>
          <w:i/>
        </w:rPr>
        <w:t>Action Plan for Skill Development</w:t>
      </w:r>
    </w:p>
    <w:p w14:paraId="516A965B" w14:textId="77777777" w:rsidR="00464277" w:rsidRDefault="00000000">
      <w:r>
        <w:t>To develop my skills further and increase my career prospects in the F&amp;B sector, I intend to:</w:t>
      </w:r>
    </w:p>
    <w:p w14:paraId="516A965C" w14:textId="77777777" w:rsidR="00464277" w:rsidRDefault="00000000">
      <w:pPr>
        <w:numPr>
          <w:ilvl w:val="0"/>
          <w:numId w:val="2"/>
        </w:numPr>
        <w:pBdr>
          <w:top w:val="nil"/>
          <w:left w:val="nil"/>
          <w:bottom w:val="nil"/>
          <w:right w:val="nil"/>
          <w:between w:val="nil"/>
        </w:pBdr>
        <w:spacing w:after="0"/>
        <w:rPr>
          <w:color w:val="000000"/>
        </w:rPr>
      </w:pPr>
      <w:r>
        <w:rPr>
          <w:b/>
          <w:color w:val="000000"/>
        </w:rPr>
        <w:t>Develop Leadership Skills:</w:t>
      </w:r>
      <w:r>
        <w:rPr>
          <w:color w:val="000000"/>
        </w:rPr>
        <w:t xml:space="preserve"> Take leadership development courses to enhance my capability to lead people effectively (Ntwakumba, 2022).</w:t>
      </w:r>
    </w:p>
    <w:p w14:paraId="516A965D" w14:textId="77777777" w:rsidR="00464277" w:rsidRDefault="00000000">
      <w:pPr>
        <w:numPr>
          <w:ilvl w:val="0"/>
          <w:numId w:val="2"/>
        </w:numPr>
        <w:pBdr>
          <w:top w:val="nil"/>
          <w:left w:val="nil"/>
          <w:bottom w:val="nil"/>
          <w:right w:val="nil"/>
          <w:between w:val="nil"/>
        </w:pBdr>
        <w:spacing w:after="0"/>
        <w:rPr>
          <w:color w:val="000000"/>
        </w:rPr>
      </w:pPr>
      <w:r>
        <w:rPr>
          <w:b/>
          <w:color w:val="000000"/>
        </w:rPr>
        <w:t>Upgrade Technical Skills:</w:t>
      </w:r>
      <w:r>
        <w:rPr>
          <w:color w:val="000000"/>
        </w:rPr>
        <w:t xml:space="preserve"> Obtain certification in food safety management, inventory management, and cost control to upgrade my skills (Fanthorne, 2004).</w:t>
      </w:r>
    </w:p>
    <w:p w14:paraId="516A965E" w14:textId="77777777" w:rsidR="00464277" w:rsidRDefault="00000000">
      <w:pPr>
        <w:numPr>
          <w:ilvl w:val="0"/>
          <w:numId w:val="2"/>
        </w:numPr>
        <w:pBdr>
          <w:top w:val="nil"/>
          <w:left w:val="nil"/>
          <w:bottom w:val="nil"/>
          <w:right w:val="nil"/>
          <w:between w:val="nil"/>
        </w:pBdr>
        <w:spacing w:after="0"/>
        <w:rPr>
          <w:color w:val="000000"/>
        </w:rPr>
      </w:pPr>
      <w:r>
        <w:rPr>
          <w:b/>
          <w:color w:val="000000"/>
        </w:rPr>
        <w:t>Upgrade Customer Service Skills:</w:t>
      </w:r>
      <w:r>
        <w:rPr>
          <w:color w:val="000000"/>
        </w:rPr>
        <w:t xml:space="preserve"> Take conflict management, guest relations, and complaints handling courses to provide better quality services.</w:t>
      </w:r>
    </w:p>
    <w:p w14:paraId="516A965F" w14:textId="77777777" w:rsidR="00464277" w:rsidRDefault="00000000">
      <w:pPr>
        <w:numPr>
          <w:ilvl w:val="0"/>
          <w:numId w:val="2"/>
        </w:numPr>
        <w:pBdr>
          <w:top w:val="nil"/>
          <w:left w:val="nil"/>
          <w:bottom w:val="nil"/>
          <w:right w:val="nil"/>
          <w:between w:val="nil"/>
        </w:pBdr>
        <w:spacing w:after="0"/>
        <w:rPr>
          <w:color w:val="000000"/>
        </w:rPr>
      </w:pPr>
      <w:r>
        <w:rPr>
          <w:b/>
          <w:color w:val="000000"/>
        </w:rPr>
        <w:t>Acquire Multi-Tasking Skills:</w:t>
      </w:r>
      <w:r>
        <w:rPr>
          <w:color w:val="000000"/>
        </w:rPr>
        <w:t xml:space="preserve"> Enhance my multi-tasking skills by cross-training in various F&amp;B operations (Martin, 2020).</w:t>
      </w:r>
    </w:p>
    <w:p w14:paraId="516A9660" w14:textId="77777777" w:rsidR="00464277" w:rsidRDefault="00000000">
      <w:pPr>
        <w:numPr>
          <w:ilvl w:val="0"/>
          <w:numId w:val="2"/>
        </w:numPr>
        <w:pBdr>
          <w:top w:val="nil"/>
          <w:left w:val="nil"/>
          <w:bottom w:val="nil"/>
          <w:right w:val="nil"/>
          <w:between w:val="nil"/>
        </w:pBdr>
        <w:rPr>
          <w:color w:val="000000"/>
        </w:rPr>
      </w:pPr>
      <w:r>
        <w:rPr>
          <w:b/>
          <w:color w:val="000000"/>
        </w:rPr>
        <w:t>Stay Current with Industry Trends:</w:t>
      </w:r>
      <w:r>
        <w:rPr>
          <w:color w:val="000000"/>
        </w:rPr>
        <w:t xml:space="preserve"> Read hospitality journals and attend industry conferences to stay current with changing trends in F&amp;B management and service (Martin, 2020).</w:t>
      </w:r>
    </w:p>
    <w:p w14:paraId="516A9661" w14:textId="77777777" w:rsidR="00464277" w:rsidRDefault="00000000">
      <w:pPr>
        <w:spacing w:line="259" w:lineRule="auto"/>
        <w:jc w:val="left"/>
        <w:rPr>
          <w:b/>
          <w:color w:val="2F5496"/>
        </w:rPr>
      </w:pPr>
      <w:r>
        <w:br w:type="page"/>
      </w:r>
    </w:p>
    <w:p w14:paraId="516A9662" w14:textId="77777777" w:rsidR="00464277" w:rsidRDefault="00000000">
      <w:pPr>
        <w:pStyle w:val="Heading1"/>
        <w:shd w:val="clear" w:color="auto" w:fill="BDD7EE"/>
        <w:ind w:firstLine="0"/>
        <w:jc w:val="both"/>
      </w:pPr>
      <w:bookmarkStart w:id="5" w:name="_heading=h.tyjcwt" w:colFirst="0" w:colLast="0"/>
      <w:bookmarkEnd w:id="5"/>
      <w:r>
        <w:lastRenderedPageBreak/>
        <w:t xml:space="preserve">References </w:t>
      </w:r>
    </w:p>
    <w:p w14:paraId="516A9663" w14:textId="77777777" w:rsidR="00464277" w:rsidRDefault="00000000">
      <w:r>
        <w:t>ASET (2017) Good Practice Guide for Workbased and Placement Learning in Higher Education. Sheffield: ASET.</w:t>
      </w:r>
    </w:p>
    <w:p w14:paraId="516A9664" w14:textId="77777777" w:rsidR="00464277" w:rsidRDefault="00000000">
      <w:r>
        <w:t>Coldra Court Hotel. (2025). </w:t>
      </w:r>
      <w:r>
        <w:rPr>
          <w:i/>
        </w:rPr>
        <w:t>Home</w:t>
      </w:r>
      <w:r>
        <w:t xml:space="preserve">. [online] Available at: </w:t>
      </w:r>
      <w:hyperlink r:id="rId10">
        <w:r>
          <w:rPr>
            <w:color w:val="0563C1"/>
            <w:u w:val="single"/>
          </w:rPr>
          <w:t>https://www.coldra-court.com/</w:t>
        </w:r>
      </w:hyperlink>
      <w:r>
        <w:t>. [Accessed Date: 1</w:t>
      </w:r>
      <w:r>
        <w:rPr>
          <w:vertAlign w:val="superscript"/>
        </w:rPr>
        <w:t>st</w:t>
      </w:r>
      <w:r>
        <w:t xml:space="preserve"> </w:t>
      </w:r>
      <w:proofErr w:type="gramStart"/>
      <w:r>
        <w:t>March,</w:t>
      </w:r>
      <w:proofErr w:type="gramEnd"/>
      <w:r>
        <w:t xml:space="preserve"> 2025] </w:t>
      </w:r>
    </w:p>
    <w:p w14:paraId="516A9665" w14:textId="77777777" w:rsidR="00464277" w:rsidRDefault="00000000">
      <w:r>
        <w:t>Cousins, J. and Weekes, S. (2020) Food and Beverage Service. 10th Ed. London: Hodder Education.</w:t>
      </w:r>
    </w:p>
    <w:p w14:paraId="516A9666" w14:textId="77777777" w:rsidR="00464277" w:rsidRDefault="00000000">
      <w:r>
        <w:t>Fallon, M. and Rutherford, D. (2010) Hotel Management and Operations. London: Wiley.</w:t>
      </w:r>
    </w:p>
    <w:p w14:paraId="516A9667" w14:textId="77777777" w:rsidR="00464277" w:rsidRDefault="00000000">
      <w:r>
        <w:t>Fanthorne, C. (2004) Work Placements – Survival Guide for Students. Basingstoke: Macmillan.</w:t>
      </w:r>
    </w:p>
    <w:p w14:paraId="516A9668" w14:textId="77777777" w:rsidR="00464277" w:rsidRDefault="00000000">
      <w:r>
        <w:t>Guzowski, T., (2021). </w:t>
      </w:r>
      <w:r>
        <w:rPr>
          <w:i/>
        </w:rPr>
        <w:t>Fatigue among restaurant workers</w:t>
      </w:r>
      <w:r>
        <w:t> (</w:t>
      </w:r>
      <w:proofErr w:type="gramStart"/>
      <w:r>
        <w:t>Master's</w:t>
      </w:r>
      <w:proofErr w:type="gramEnd"/>
      <w:r>
        <w:t xml:space="preserve"> thesis, The University of Iowa).</w:t>
      </w:r>
    </w:p>
    <w:p w14:paraId="516A9669" w14:textId="77777777" w:rsidR="00464277" w:rsidRDefault="00000000">
      <w:r>
        <w:t>Hagg, E. (2013) Internship Guide: Work Placements Step by Step. 5th Ed. The Hague: Eleven International Publishing.</w:t>
      </w:r>
    </w:p>
    <w:p w14:paraId="516A966A" w14:textId="77777777" w:rsidR="00464277" w:rsidRDefault="00000000">
      <w:r>
        <w:t>Johnston, R., Clark, G. and Shulver, M. (2012) Service Operations Management: Improving Service Delivery. 5th Ed. London: Pearson.</w:t>
      </w:r>
    </w:p>
    <w:p w14:paraId="516A966B" w14:textId="77777777" w:rsidR="00464277" w:rsidRDefault="00000000">
      <w:r>
        <w:t>Martin, A. (2020) The Practical Guide to Understanding and Raising Hotel Profitability. Abingdon: Routledge.</w:t>
      </w:r>
    </w:p>
    <w:p w14:paraId="516A966C" w14:textId="77777777" w:rsidR="00464277" w:rsidRDefault="00000000">
      <w:r>
        <w:t>Ntwakumba, A., (2022). Staff turnover within restaurant kitchens in Cape Town central business district.</w:t>
      </w:r>
    </w:p>
    <w:p w14:paraId="516A966D" w14:textId="77777777" w:rsidR="00464277" w:rsidRDefault="00000000">
      <w:r>
        <w:t>Vallen, G.K. and Vallen, Jerome J. (2014) Check-In Check Out: Managing Hotel Operations. 9th Ed. Harlow: Pearson Education Limited.</w:t>
      </w:r>
    </w:p>
    <w:p w14:paraId="516A966E" w14:textId="77777777" w:rsidR="00464277" w:rsidRDefault="00000000">
      <w:r>
        <w:t>Vince, R., (2022). Reflections on “behind and beyond Kolb’s learning cycle”. </w:t>
      </w:r>
      <w:r>
        <w:rPr>
          <w:i/>
        </w:rPr>
        <w:t>Journal of Management Education</w:t>
      </w:r>
      <w:r>
        <w:t>, </w:t>
      </w:r>
      <w:r>
        <w:rPr>
          <w:i/>
        </w:rPr>
        <w:t>46</w:t>
      </w:r>
      <w:r>
        <w:t>(6), pp.983-989.</w:t>
      </w:r>
    </w:p>
    <w:p w14:paraId="516A966F" w14:textId="77777777" w:rsidR="00464277" w:rsidRDefault="00000000">
      <w:r>
        <w:t>Walker, J.C. (2021) Introduction to Hospitality. 8th Ed. Harlow: Pearson Education Limited.</w:t>
      </w:r>
    </w:p>
    <w:p w14:paraId="516A9670" w14:textId="77777777" w:rsidR="00464277" w:rsidRDefault="00000000">
      <w:r>
        <w:t>Wood, R.C. (2013) Key Concepts in Hospitality Management. London: SAGE Publications Ltd.</w:t>
      </w:r>
    </w:p>
    <w:sectPr w:rsidR="00464277">
      <w:footerReference w:type="default" r:id="rId11"/>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53F14" w14:textId="77777777" w:rsidR="001E6B88" w:rsidRDefault="001E6B88">
      <w:pPr>
        <w:spacing w:after="0" w:line="240" w:lineRule="auto"/>
      </w:pPr>
      <w:r>
        <w:separator/>
      </w:r>
    </w:p>
  </w:endnote>
  <w:endnote w:type="continuationSeparator" w:id="0">
    <w:p w14:paraId="4DE252DD" w14:textId="77777777" w:rsidR="001E6B88" w:rsidRDefault="001E6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B6349E54-8863-43FB-AB71-68CFD653E0D1}"/>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3A8B4661-E08A-44FF-8127-43E7242A9081}"/>
    <w:embedItalic r:id="rId3" w:fontKey="{9F12E4EA-F482-49B2-920E-A674EFEAE024}"/>
  </w:font>
  <w:font w:name="Calibri Light">
    <w:panose1 w:val="020F0302020204030204"/>
    <w:charset w:val="00"/>
    <w:family w:val="swiss"/>
    <w:pitch w:val="variable"/>
    <w:sig w:usb0="E4002EFF" w:usb1="C200247B" w:usb2="00000009" w:usb3="00000000" w:csb0="000001FF" w:csb1="00000000"/>
    <w:embedRegular r:id="rId4" w:fontKey="{261843D5-3E35-4CF9-BBF7-D90A3B2C164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6A9675" w14:textId="72243D72" w:rsidR="00464277"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0A1411">
      <w:rPr>
        <w:noProof/>
        <w:color w:val="000000"/>
      </w:rPr>
      <w:t>2</w:t>
    </w:r>
    <w:r>
      <w:rPr>
        <w:color w:val="000000"/>
      </w:rPr>
      <w:fldChar w:fldCharType="end"/>
    </w:r>
    <w:r>
      <w:rPr>
        <w:color w:val="000000"/>
      </w:rPr>
      <w:t xml:space="preserve"> </w:t>
    </w:r>
  </w:p>
  <w:p w14:paraId="516A9676" w14:textId="77777777" w:rsidR="00464277" w:rsidRDefault="004642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B53A9" w14:textId="77777777" w:rsidR="001E6B88" w:rsidRDefault="001E6B88">
      <w:pPr>
        <w:spacing w:after="0" w:line="240" w:lineRule="auto"/>
      </w:pPr>
      <w:r>
        <w:separator/>
      </w:r>
    </w:p>
  </w:footnote>
  <w:footnote w:type="continuationSeparator" w:id="0">
    <w:p w14:paraId="1C39FD5F" w14:textId="77777777" w:rsidR="001E6B88" w:rsidRDefault="001E6B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B1E81"/>
    <w:multiLevelType w:val="multilevel"/>
    <w:tmpl w:val="F98C2F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563468C"/>
    <w:multiLevelType w:val="multilevel"/>
    <w:tmpl w:val="371ECA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00479244">
    <w:abstractNumId w:val="0"/>
  </w:num>
  <w:num w:numId="2" w16cid:durableId="1369995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4277"/>
    <w:rsid w:val="000A1411"/>
    <w:rsid w:val="001E6B88"/>
    <w:rsid w:val="00464277"/>
    <w:rsid w:val="009E6AAA"/>
    <w:rsid w:val="00F97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A960B"/>
  <w15:docId w15:val="{552022CF-CA2B-49C7-B0B4-E778E55C6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44E"/>
  </w:style>
  <w:style w:type="paragraph" w:styleId="Heading1">
    <w:name w:val="heading 1"/>
    <w:basedOn w:val="Normal"/>
    <w:next w:val="Normal"/>
    <w:link w:val="Heading1Char"/>
    <w:uiPriority w:val="9"/>
    <w:qFormat/>
    <w:rsid w:val="000B3A86"/>
    <w:pPr>
      <w:keepNext/>
      <w:keepLines/>
      <w:widowControl w:val="0"/>
      <w:autoSpaceDE w:val="0"/>
      <w:autoSpaceDN w:val="0"/>
      <w:spacing w:before="120" w:after="0"/>
      <w:ind w:firstLine="720"/>
      <w:jc w:val="center"/>
      <w:outlineLvl w:val="0"/>
    </w:pPr>
    <w:rPr>
      <w:rFonts w:eastAsiaTheme="majorEastAsia" w:cstheme="majorBidi"/>
      <w:b/>
      <w:color w:val="2F5496" w:themeColor="accent1" w:themeShade="BF"/>
      <w:szCs w:val="32"/>
      <w:lang w:val="en-US"/>
    </w:rPr>
  </w:style>
  <w:style w:type="paragraph" w:styleId="Heading2">
    <w:name w:val="heading 2"/>
    <w:basedOn w:val="Normal"/>
    <w:next w:val="Normal"/>
    <w:link w:val="Heading2Char"/>
    <w:uiPriority w:val="9"/>
    <w:semiHidden/>
    <w:unhideWhenUsed/>
    <w:qFormat/>
    <w:rsid w:val="000B3A86"/>
    <w:pPr>
      <w:keepNext/>
      <w:keepLines/>
      <w:widowControl w:val="0"/>
      <w:autoSpaceDE w:val="0"/>
      <w:autoSpaceDN w:val="0"/>
      <w:spacing w:after="0"/>
      <w:jc w:val="left"/>
      <w:outlineLvl w:val="1"/>
    </w:pPr>
    <w:rPr>
      <w:rFonts w:eastAsiaTheme="majorEastAsia" w:cstheme="majorBidi"/>
      <w:b/>
      <w:color w:val="538135" w:themeColor="accent6" w:themeShade="BF"/>
      <w:szCs w:val="26"/>
      <w:lang w:val="en-US"/>
    </w:rPr>
  </w:style>
  <w:style w:type="paragraph" w:styleId="Heading3">
    <w:name w:val="heading 3"/>
    <w:basedOn w:val="Normal"/>
    <w:next w:val="Normal"/>
    <w:link w:val="Heading3Char"/>
    <w:uiPriority w:val="9"/>
    <w:semiHidden/>
    <w:unhideWhenUsed/>
    <w:qFormat/>
    <w:rsid w:val="003D019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019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D019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D019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D019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D019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D019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D01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B3A86"/>
    <w:rPr>
      <w:rFonts w:ascii="Arial" w:eastAsiaTheme="majorEastAsia" w:hAnsi="Arial" w:cstheme="majorBidi"/>
      <w:b/>
      <w:color w:val="2F5496" w:themeColor="accent1" w:themeShade="BF"/>
      <w:kern w:val="0"/>
      <w:sz w:val="24"/>
      <w:szCs w:val="32"/>
      <w:lang w:val="en-US"/>
    </w:rPr>
  </w:style>
  <w:style w:type="character" w:customStyle="1" w:styleId="Heading2Char">
    <w:name w:val="Heading 2 Char"/>
    <w:basedOn w:val="DefaultParagraphFont"/>
    <w:link w:val="Heading2"/>
    <w:uiPriority w:val="9"/>
    <w:rsid w:val="000B3A86"/>
    <w:rPr>
      <w:rFonts w:ascii="Arial" w:eastAsiaTheme="majorEastAsia" w:hAnsi="Arial" w:cstheme="majorBidi"/>
      <w:b/>
      <w:color w:val="538135" w:themeColor="accent6" w:themeShade="BF"/>
      <w:kern w:val="0"/>
      <w:sz w:val="24"/>
      <w:szCs w:val="26"/>
      <w:lang w:val="en-US"/>
    </w:rPr>
  </w:style>
  <w:style w:type="character" w:customStyle="1" w:styleId="Heading3Char">
    <w:name w:val="Heading 3 Char"/>
    <w:basedOn w:val="DefaultParagraphFont"/>
    <w:link w:val="Heading3"/>
    <w:uiPriority w:val="9"/>
    <w:semiHidden/>
    <w:rsid w:val="003D0197"/>
    <w:rPr>
      <w:rFonts w:eastAsiaTheme="majorEastAsia" w:cstheme="majorBidi"/>
      <w:color w:val="2F5496" w:themeColor="accent1" w:themeShade="BF"/>
      <w:kern w:val="0"/>
      <w:sz w:val="28"/>
      <w:szCs w:val="28"/>
    </w:rPr>
  </w:style>
  <w:style w:type="character" w:customStyle="1" w:styleId="Heading4Char">
    <w:name w:val="Heading 4 Char"/>
    <w:basedOn w:val="DefaultParagraphFont"/>
    <w:link w:val="Heading4"/>
    <w:uiPriority w:val="9"/>
    <w:semiHidden/>
    <w:rsid w:val="003D0197"/>
    <w:rPr>
      <w:rFonts w:eastAsiaTheme="majorEastAsia" w:cstheme="majorBidi"/>
      <w:i/>
      <w:iCs/>
      <w:color w:val="2F5496" w:themeColor="accent1" w:themeShade="BF"/>
      <w:kern w:val="0"/>
      <w:sz w:val="24"/>
    </w:rPr>
  </w:style>
  <w:style w:type="character" w:customStyle="1" w:styleId="Heading5Char">
    <w:name w:val="Heading 5 Char"/>
    <w:basedOn w:val="DefaultParagraphFont"/>
    <w:link w:val="Heading5"/>
    <w:uiPriority w:val="9"/>
    <w:semiHidden/>
    <w:rsid w:val="003D0197"/>
    <w:rPr>
      <w:rFonts w:eastAsiaTheme="majorEastAsia" w:cstheme="majorBidi"/>
      <w:color w:val="2F5496" w:themeColor="accent1" w:themeShade="BF"/>
      <w:kern w:val="0"/>
      <w:sz w:val="24"/>
    </w:rPr>
  </w:style>
  <w:style w:type="character" w:customStyle="1" w:styleId="Heading6Char">
    <w:name w:val="Heading 6 Char"/>
    <w:basedOn w:val="DefaultParagraphFont"/>
    <w:link w:val="Heading6"/>
    <w:uiPriority w:val="9"/>
    <w:semiHidden/>
    <w:rsid w:val="003D0197"/>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3D0197"/>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3D0197"/>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3D0197"/>
    <w:rPr>
      <w:rFonts w:eastAsiaTheme="majorEastAsia" w:cstheme="majorBidi"/>
      <w:color w:val="272727" w:themeColor="text1" w:themeTint="D8"/>
      <w:kern w:val="0"/>
      <w:sz w:val="24"/>
    </w:rPr>
  </w:style>
  <w:style w:type="character" w:customStyle="1" w:styleId="TitleChar">
    <w:name w:val="Title Char"/>
    <w:basedOn w:val="DefaultParagraphFont"/>
    <w:link w:val="Title"/>
    <w:uiPriority w:val="10"/>
    <w:rsid w:val="003D01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rFonts w:ascii="Calibri" w:eastAsia="Calibri" w:hAnsi="Calibri" w:cs="Calibri"/>
      <w:color w:val="595959"/>
      <w:sz w:val="28"/>
      <w:szCs w:val="28"/>
    </w:rPr>
  </w:style>
  <w:style w:type="character" w:customStyle="1" w:styleId="SubtitleChar">
    <w:name w:val="Subtitle Char"/>
    <w:basedOn w:val="DefaultParagraphFont"/>
    <w:link w:val="Subtitle"/>
    <w:uiPriority w:val="11"/>
    <w:rsid w:val="003D0197"/>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3D0197"/>
    <w:pPr>
      <w:spacing w:before="160"/>
      <w:jc w:val="center"/>
    </w:pPr>
    <w:rPr>
      <w:i/>
      <w:iCs/>
      <w:color w:val="404040" w:themeColor="text1" w:themeTint="BF"/>
    </w:rPr>
  </w:style>
  <w:style w:type="character" w:customStyle="1" w:styleId="QuoteChar">
    <w:name w:val="Quote Char"/>
    <w:basedOn w:val="DefaultParagraphFont"/>
    <w:link w:val="Quote"/>
    <w:uiPriority w:val="29"/>
    <w:rsid w:val="003D0197"/>
    <w:rPr>
      <w:rFonts w:ascii="Arial" w:hAnsi="Arial"/>
      <w:i/>
      <w:iCs/>
      <w:color w:val="404040" w:themeColor="text1" w:themeTint="BF"/>
      <w:kern w:val="0"/>
      <w:sz w:val="24"/>
    </w:rPr>
  </w:style>
  <w:style w:type="paragraph" w:styleId="ListParagraph">
    <w:name w:val="List Paragraph"/>
    <w:basedOn w:val="Normal"/>
    <w:uiPriority w:val="34"/>
    <w:qFormat/>
    <w:rsid w:val="003D0197"/>
    <w:pPr>
      <w:ind w:left="720"/>
      <w:contextualSpacing/>
    </w:pPr>
  </w:style>
  <w:style w:type="character" w:styleId="IntenseEmphasis">
    <w:name w:val="Intense Emphasis"/>
    <w:basedOn w:val="DefaultParagraphFont"/>
    <w:uiPriority w:val="21"/>
    <w:qFormat/>
    <w:rsid w:val="003D0197"/>
    <w:rPr>
      <w:i/>
      <w:iCs/>
      <w:color w:val="2F5496" w:themeColor="accent1" w:themeShade="BF"/>
    </w:rPr>
  </w:style>
  <w:style w:type="paragraph" w:styleId="IntenseQuote">
    <w:name w:val="Intense Quote"/>
    <w:basedOn w:val="Normal"/>
    <w:next w:val="Normal"/>
    <w:link w:val="IntenseQuoteChar"/>
    <w:uiPriority w:val="30"/>
    <w:qFormat/>
    <w:rsid w:val="003D01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0197"/>
    <w:rPr>
      <w:rFonts w:ascii="Arial" w:hAnsi="Arial"/>
      <w:i/>
      <w:iCs/>
      <w:color w:val="2F5496" w:themeColor="accent1" w:themeShade="BF"/>
      <w:kern w:val="0"/>
      <w:sz w:val="24"/>
    </w:rPr>
  </w:style>
  <w:style w:type="character" w:styleId="IntenseReference">
    <w:name w:val="Intense Reference"/>
    <w:basedOn w:val="DefaultParagraphFont"/>
    <w:uiPriority w:val="32"/>
    <w:qFormat/>
    <w:rsid w:val="003D0197"/>
    <w:rPr>
      <w:b/>
      <w:bCs/>
      <w:smallCaps/>
      <w:color w:val="2F5496" w:themeColor="accent1" w:themeShade="BF"/>
      <w:spacing w:val="5"/>
    </w:rPr>
  </w:style>
  <w:style w:type="paragraph" w:styleId="Header">
    <w:name w:val="header"/>
    <w:basedOn w:val="Normal"/>
    <w:link w:val="HeaderChar"/>
    <w:uiPriority w:val="99"/>
    <w:unhideWhenUsed/>
    <w:rsid w:val="004F69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978"/>
    <w:rPr>
      <w:rFonts w:ascii="Arial" w:hAnsi="Arial"/>
      <w:kern w:val="0"/>
      <w:sz w:val="24"/>
    </w:rPr>
  </w:style>
  <w:style w:type="paragraph" w:styleId="Footer">
    <w:name w:val="footer"/>
    <w:basedOn w:val="Normal"/>
    <w:link w:val="FooterChar"/>
    <w:uiPriority w:val="99"/>
    <w:unhideWhenUsed/>
    <w:rsid w:val="004F6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978"/>
    <w:rPr>
      <w:rFonts w:ascii="Arial" w:hAnsi="Arial"/>
      <w:kern w:val="0"/>
      <w:sz w:val="24"/>
    </w:rPr>
  </w:style>
  <w:style w:type="character" w:styleId="Hyperlink">
    <w:name w:val="Hyperlink"/>
    <w:basedOn w:val="DefaultParagraphFont"/>
    <w:uiPriority w:val="99"/>
    <w:unhideWhenUsed/>
    <w:rsid w:val="00A1456E"/>
    <w:rPr>
      <w:color w:val="0563C1" w:themeColor="hyperlink"/>
      <w:u w:val="single"/>
    </w:rPr>
  </w:style>
  <w:style w:type="character" w:styleId="UnresolvedMention">
    <w:name w:val="Unresolved Mention"/>
    <w:basedOn w:val="DefaultParagraphFont"/>
    <w:uiPriority w:val="99"/>
    <w:semiHidden/>
    <w:unhideWhenUsed/>
    <w:rsid w:val="00A1456E"/>
    <w:rPr>
      <w:color w:val="605E5C"/>
      <w:shd w:val="clear" w:color="auto" w:fill="E1DFDD"/>
    </w:rPr>
  </w:style>
  <w:style w:type="paragraph" w:styleId="TOCHeading">
    <w:name w:val="TOC Heading"/>
    <w:basedOn w:val="Heading1"/>
    <w:next w:val="Normal"/>
    <w:uiPriority w:val="39"/>
    <w:unhideWhenUsed/>
    <w:qFormat/>
    <w:rsid w:val="00491AAA"/>
    <w:pPr>
      <w:widowControl/>
      <w:autoSpaceDE/>
      <w:autoSpaceDN/>
      <w:spacing w:before="240" w:line="259" w:lineRule="auto"/>
      <w:ind w:firstLine="0"/>
      <w:jc w:val="left"/>
      <w:outlineLvl w:val="9"/>
    </w:pPr>
    <w:rPr>
      <w:rFonts w:asciiTheme="majorHAnsi" w:hAnsiTheme="majorHAnsi"/>
      <w:b w:val="0"/>
      <w:sz w:val="32"/>
    </w:rPr>
  </w:style>
  <w:style w:type="paragraph" w:styleId="TOC1">
    <w:name w:val="toc 1"/>
    <w:basedOn w:val="Normal"/>
    <w:next w:val="Normal"/>
    <w:autoRedefine/>
    <w:uiPriority w:val="39"/>
    <w:unhideWhenUsed/>
    <w:rsid w:val="00491AA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oldra-court.com/" TargetMode="External"/><Relationship Id="rId4" Type="http://schemas.openxmlformats.org/officeDocument/2006/relationships/settings" Target="settings.xml"/><Relationship Id="rId9" Type="http://schemas.openxmlformats.org/officeDocument/2006/relationships/image" Target="media/image2.jp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928EPoEbgGcTmU/i9JsftsWaqA==">CgMxLjAyCGguZ2pkZ3hzMgloLjMwajB6bGwyCWguMWZvYjl0ZTIJaC4zem55c2g3MgloLjJldDkycDAyCGgudHlqY3d0OAByITFZVDlkT3BYa2lKVWVFaFF3MmdrUDdGV0hoWE9Zbnl1VA==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1808</Words>
  <Characters>10311</Characters>
  <Application>Microsoft Office Word</Application>
  <DocSecurity>0</DocSecurity>
  <Lines>85</Lines>
  <Paragraphs>24</Paragraphs>
  <ScaleCrop>false</ScaleCrop>
  <Company/>
  <LinksUpToDate>false</LinksUpToDate>
  <CharactersWithSpaces>12095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Mirela-Mihaela Motohoi</cp:lastModifiedBy>
  <cp:revision>3</cp:revision>
  <dcterms:created xsi:type="dcterms:W3CDTF">2025-03-01T06:16:00Z</dcterms:created>
  <dcterms:modified xsi:type="dcterms:W3CDTF">2025-03-07T13:32:00Z</dcterms:modified>
</cp:coreProperties>
</file>