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F6D93" w14:textId="77777777" w:rsidR="00DF20C8" w:rsidRPr="00B4710B" w:rsidRDefault="00DF20C8" w:rsidP="00DF20C8">
      <w:pPr>
        <w:spacing w:after="0" w:line="240" w:lineRule="auto"/>
        <w:ind w:left="426"/>
        <w:rPr>
          <w:rFonts w:ascii="Trebuchet MS" w:eastAsia="Arial" w:hAnsi="Trebuchet MS" w:cs="Arial"/>
          <w:b/>
          <w:bCs/>
          <w:color w:val="4472C4" w:themeColor="accent1"/>
          <w:sz w:val="24"/>
          <w:szCs w:val="24"/>
        </w:rPr>
      </w:pPr>
      <w:r w:rsidRPr="00B4710B">
        <w:rPr>
          <w:rFonts w:ascii="Trebuchet MS" w:eastAsia="Arial" w:hAnsi="Trebuchet MS" w:cs="Arial"/>
          <w:b/>
          <w:bCs/>
          <w:color w:val="4472C4" w:themeColor="accent1"/>
          <w:sz w:val="24"/>
          <w:szCs w:val="24"/>
        </w:rPr>
        <w:t>AC 1.1</w:t>
      </w:r>
    </w:p>
    <w:p w14:paraId="1C7B6AA9" w14:textId="77777777" w:rsidR="00DF20C8" w:rsidRPr="00DF20C8" w:rsidRDefault="00DF20C8" w:rsidP="00DF20C8">
      <w:pPr>
        <w:spacing w:after="0" w:line="240" w:lineRule="auto"/>
        <w:ind w:left="426"/>
        <w:rPr>
          <w:rFonts w:ascii="Trebuchet MS" w:eastAsia="Arial" w:hAnsi="Trebuchet MS" w:cs="Arial"/>
        </w:rPr>
      </w:pPr>
    </w:p>
    <w:p w14:paraId="45B78918" w14:textId="77777777" w:rsidR="00DF20C8" w:rsidRPr="00DF20C8" w:rsidRDefault="00DF20C8" w:rsidP="004E35D4">
      <w:pPr>
        <w:spacing w:after="0" w:line="240" w:lineRule="auto"/>
        <w:ind w:left="426"/>
        <w:jc w:val="both"/>
        <w:rPr>
          <w:rFonts w:ascii="Trebuchet MS" w:eastAsia="Arial" w:hAnsi="Trebuchet MS" w:cs="Arial"/>
        </w:rPr>
      </w:pPr>
      <w:r w:rsidRPr="00DF20C8">
        <w:rPr>
          <w:rFonts w:ascii="Trebuchet MS" w:eastAsia="Arial" w:hAnsi="Trebuchet MS" w:cs="Arial"/>
        </w:rPr>
        <w:t xml:space="preserve">A People Professional is defined as an individual who applies specialist knowledge, skills, and behaviours to manage and develop people within an organisation, ensuring that work practices are principles-led, evidence-based, and outcomes-driven (CIPD, 2023). This definition aligns with the CIPD Profession Map, which sets global standards for the profession and positions people professionals as key actors in shaping good work and working lives by influencing organisational strategy, supporting employee well-being, and driving positive change (CIPD, 2023; </w:t>
      </w:r>
      <w:proofErr w:type="spellStart"/>
      <w:r w:rsidRPr="00DF20C8">
        <w:rPr>
          <w:rFonts w:ascii="Trebuchet MS" w:eastAsia="Arial" w:hAnsi="Trebuchet MS" w:cs="Arial"/>
        </w:rPr>
        <w:t>Syrigou</w:t>
      </w:r>
      <w:proofErr w:type="spellEnd"/>
      <w:r w:rsidRPr="00DF20C8">
        <w:rPr>
          <w:rFonts w:ascii="Trebuchet MS" w:eastAsia="Arial" w:hAnsi="Trebuchet MS" w:cs="Arial"/>
        </w:rPr>
        <w:t xml:space="preserve"> and Williams, 2023).</w:t>
      </w:r>
    </w:p>
    <w:p w14:paraId="2D13444C" w14:textId="77777777" w:rsidR="00DF20C8" w:rsidRPr="00DF20C8" w:rsidRDefault="00DF20C8" w:rsidP="004E35D4">
      <w:pPr>
        <w:spacing w:after="0" w:line="240" w:lineRule="auto"/>
        <w:ind w:left="426"/>
        <w:jc w:val="both"/>
        <w:rPr>
          <w:rFonts w:ascii="Trebuchet MS" w:eastAsia="Arial" w:hAnsi="Trebuchet MS" w:cs="Arial"/>
        </w:rPr>
      </w:pPr>
    </w:p>
    <w:p w14:paraId="572FE4A2" w14:textId="77777777" w:rsidR="00DF20C8" w:rsidRPr="00DF20C8" w:rsidRDefault="00DF20C8" w:rsidP="004E35D4">
      <w:pPr>
        <w:spacing w:after="0" w:line="240" w:lineRule="auto"/>
        <w:ind w:left="426"/>
        <w:jc w:val="both"/>
        <w:rPr>
          <w:rFonts w:ascii="Trebuchet MS" w:eastAsia="Arial" w:hAnsi="Trebuchet MS" w:cs="Arial"/>
        </w:rPr>
      </w:pPr>
      <w:r w:rsidRPr="00DF20C8">
        <w:rPr>
          <w:rFonts w:ascii="Trebuchet MS" w:eastAsia="Arial" w:hAnsi="Trebuchet MS" w:cs="Arial"/>
        </w:rPr>
        <w:t>The CIPD Profession Map also outlines key behaviours such as ethical practice, inclusivity, valuing people, and professional courage, which are essential for building trust and credibility in the workplace.</w:t>
      </w:r>
    </w:p>
    <w:p w14:paraId="63631090" w14:textId="77777777" w:rsidR="00DF20C8" w:rsidRPr="00DF20C8" w:rsidRDefault="00DF20C8" w:rsidP="004E35D4">
      <w:pPr>
        <w:spacing w:after="0" w:line="240" w:lineRule="auto"/>
        <w:ind w:left="426"/>
        <w:jc w:val="both"/>
        <w:rPr>
          <w:rFonts w:ascii="Trebuchet MS" w:eastAsia="Arial" w:hAnsi="Trebuchet MS" w:cs="Arial"/>
        </w:rPr>
      </w:pPr>
    </w:p>
    <w:p w14:paraId="6A7F4BDC" w14:textId="77777777" w:rsidR="00DF20C8" w:rsidRPr="00DF20C8" w:rsidRDefault="00DF20C8" w:rsidP="004E35D4">
      <w:pPr>
        <w:spacing w:after="0" w:line="240" w:lineRule="auto"/>
        <w:ind w:left="426"/>
        <w:jc w:val="both"/>
        <w:rPr>
          <w:rFonts w:ascii="Trebuchet MS" w:eastAsia="Arial" w:hAnsi="Trebuchet MS" w:cs="Arial"/>
        </w:rPr>
      </w:pPr>
      <w:r w:rsidRPr="00DF20C8">
        <w:rPr>
          <w:rFonts w:ascii="Trebuchet MS" w:eastAsia="Arial" w:hAnsi="Trebuchet MS" w:cs="Arial"/>
        </w:rPr>
        <w:t xml:space="preserve">The rapid and organic growth of </w:t>
      </w:r>
      <w:proofErr w:type="spellStart"/>
      <w:r w:rsidRPr="00DF20C8">
        <w:rPr>
          <w:rFonts w:ascii="Trebuchet MS" w:eastAsia="Arial" w:hAnsi="Trebuchet MS" w:cs="Arial"/>
        </w:rPr>
        <w:t>Nexxobyte</w:t>
      </w:r>
      <w:proofErr w:type="spellEnd"/>
      <w:r w:rsidRPr="00DF20C8">
        <w:rPr>
          <w:rFonts w:ascii="Trebuchet MS" w:eastAsia="Arial" w:hAnsi="Trebuchet MS" w:cs="Arial"/>
        </w:rPr>
        <w:t xml:space="preserve"> has resulted in structural inconsistencies, informal management practices, and a lack of standardised procedures, all of which pose risks to employee engagement and organisational performance. A People Professional can make a positive contribution in a number of ways. This could begin with implementing formal HR policies and procedures to ensure fairness, compliance, and consistency across teams, thereby reducing grievances and improving trust (</w:t>
      </w:r>
      <w:proofErr w:type="spellStart"/>
      <w:r w:rsidRPr="00DF20C8">
        <w:rPr>
          <w:rFonts w:ascii="Trebuchet MS" w:eastAsia="Arial" w:hAnsi="Trebuchet MS" w:cs="Arial"/>
        </w:rPr>
        <w:t>Olade</w:t>
      </w:r>
      <w:proofErr w:type="spellEnd"/>
      <w:r w:rsidRPr="00DF20C8">
        <w:rPr>
          <w:rFonts w:ascii="Trebuchet MS" w:eastAsia="Arial" w:hAnsi="Trebuchet MS" w:cs="Arial"/>
        </w:rPr>
        <w:t xml:space="preserve"> Consulting, 2024). </w:t>
      </w:r>
    </w:p>
    <w:p w14:paraId="308E382D" w14:textId="77777777" w:rsidR="00DF20C8" w:rsidRPr="00DF20C8" w:rsidRDefault="00DF20C8" w:rsidP="004E35D4">
      <w:pPr>
        <w:spacing w:after="0" w:line="240" w:lineRule="auto"/>
        <w:ind w:left="426"/>
        <w:jc w:val="both"/>
        <w:rPr>
          <w:rFonts w:ascii="Trebuchet MS" w:eastAsia="Arial" w:hAnsi="Trebuchet MS" w:cs="Arial"/>
        </w:rPr>
      </w:pPr>
    </w:p>
    <w:p w14:paraId="5B0DD67C" w14:textId="77777777" w:rsidR="00DF20C8" w:rsidRPr="00DF20C8" w:rsidRDefault="00DF20C8" w:rsidP="004E35D4">
      <w:pPr>
        <w:spacing w:after="0" w:line="240" w:lineRule="auto"/>
        <w:ind w:left="426"/>
        <w:jc w:val="both"/>
        <w:rPr>
          <w:rFonts w:ascii="Trebuchet MS" w:eastAsia="Arial" w:hAnsi="Trebuchet MS" w:cs="Arial"/>
        </w:rPr>
      </w:pPr>
      <w:r w:rsidRPr="00DF20C8">
        <w:rPr>
          <w:rFonts w:ascii="Trebuchet MS" w:eastAsia="Arial" w:hAnsi="Trebuchet MS" w:cs="Arial"/>
        </w:rPr>
        <w:t>Standardisation of recruitment, onboarding, and learning and development (L&amp;D) would help create equitable access to opportunities and mitigate the current disparities in working arrangements and training provision (MSI, 2024).</w:t>
      </w:r>
    </w:p>
    <w:p w14:paraId="3CEA3F78" w14:textId="77777777" w:rsidR="00DF20C8" w:rsidRPr="00DF20C8" w:rsidRDefault="00DF20C8" w:rsidP="004E35D4">
      <w:pPr>
        <w:spacing w:after="0" w:line="240" w:lineRule="auto"/>
        <w:ind w:left="426"/>
        <w:jc w:val="both"/>
        <w:rPr>
          <w:rFonts w:ascii="Trebuchet MS" w:eastAsia="Arial" w:hAnsi="Trebuchet MS" w:cs="Arial"/>
        </w:rPr>
      </w:pPr>
    </w:p>
    <w:p w14:paraId="0191B211" w14:textId="77777777" w:rsidR="00DF20C8" w:rsidRPr="00DF20C8" w:rsidRDefault="00DF20C8" w:rsidP="004E35D4">
      <w:pPr>
        <w:spacing w:after="0" w:line="240" w:lineRule="auto"/>
        <w:ind w:left="426"/>
        <w:jc w:val="both"/>
        <w:rPr>
          <w:rFonts w:ascii="Trebuchet MS" w:eastAsia="Arial" w:hAnsi="Trebuchet MS" w:cs="Arial"/>
        </w:rPr>
      </w:pPr>
      <w:r w:rsidRPr="00DF20C8">
        <w:rPr>
          <w:rFonts w:ascii="Trebuchet MS" w:eastAsia="Arial" w:hAnsi="Trebuchet MS" w:cs="Arial"/>
        </w:rPr>
        <w:t>In addition, the People Professional can lead management capability development, recognising that the three team leaders lack prior experience or training. Through targeted interventions such as coaching, leadership development programmes, and structured performance management systems, they can build managerial competence and confidence (</w:t>
      </w:r>
      <w:proofErr w:type="spellStart"/>
      <w:r w:rsidRPr="00DF20C8">
        <w:rPr>
          <w:rFonts w:ascii="Trebuchet MS" w:eastAsia="Arial" w:hAnsi="Trebuchet MS" w:cs="Arial"/>
        </w:rPr>
        <w:t>Pimplapure</w:t>
      </w:r>
      <w:proofErr w:type="spellEnd"/>
      <w:r w:rsidRPr="00DF20C8">
        <w:rPr>
          <w:rFonts w:ascii="Trebuchet MS" w:eastAsia="Arial" w:hAnsi="Trebuchet MS" w:cs="Arial"/>
        </w:rPr>
        <w:t xml:space="preserve"> et al., 2024). This aligns with CIPD guidance on organisational development, which emphasises planned and systematic approaches to improving capability and culture (CIPD, 2025). </w:t>
      </w:r>
    </w:p>
    <w:p w14:paraId="4D68F6FD" w14:textId="77777777" w:rsidR="00DF20C8" w:rsidRPr="00DF20C8" w:rsidRDefault="00DF20C8" w:rsidP="004E35D4">
      <w:pPr>
        <w:spacing w:after="0" w:line="240" w:lineRule="auto"/>
        <w:ind w:left="426"/>
        <w:jc w:val="both"/>
        <w:rPr>
          <w:rFonts w:ascii="Trebuchet MS" w:eastAsia="Arial" w:hAnsi="Trebuchet MS" w:cs="Arial"/>
        </w:rPr>
      </w:pPr>
    </w:p>
    <w:p w14:paraId="4ED82652" w14:textId="77777777" w:rsidR="00DF20C8" w:rsidRPr="00DF20C8" w:rsidRDefault="00DF20C8" w:rsidP="004E35D4">
      <w:pPr>
        <w:spacing w:after="0" w:line="240" w:lineRule="auto"/>
        <w:ind w:left="426"/>
        <w:jc w:val="both"/>
        <w:rPr>
          <w:rFonts w:ascii="Trebuchet MS" w:eastAsia="Arial" w:hAnsi="Trebuchet MS" w:cs="Arial"/>
        </w:rPr>
      </w:pPr>
      <w:r w:rsidRPr="00DF20C8">
        <w:rPr>
          <w:rFonts w:ascii="Trebuchet MS" w:eastAsia="Arial" w:hAnsi="Trebuchet MS" w:cs="Arial"/>
        </w:rPr>
        <w:t xml:space="preserve">The People Professional could act as a business partner, advising directors on workforce planning and talent management to support sustainable growth. This includes introducing workforce analytics to identify skills gaps and inform L&amp;D priorities, ensuring that </w:t>
      </w:r>
      <w:proofErr w:type="spellStart"/>
      <w:r w:rsidRPr="00DF20C8">
        <w:rPr>
          <w:rFonts w:ascii="Trebuchet MS" w:eastAsia="Arial" w:hAnsi="Trebuchet MS" w:cs="Arial"/>
        </w:rPr>
        <w:t>Nexxobyte</w:t>
      </w:r>
      <w:proofErr w:type="spellEnd"/>
      <w:r w:rsidRPr="00DF20C8">
        <w:rPr>
          <w:rFonts w:ascii="Trebuchet MS" w:eastAsia="Arial" w:hAnsi="Trebuchet MS" w:cs="Arial"/>
        </w:rPr>
        <w:t xml:space="preserve"> remains competitive in a rapidly evolving technology sector (</w:t>
      </w:r>
      <w:proofErr w:type="spellStart"/>
      <w:r w:rsidRPr="00DF20C8">
        <w:rPr>
          <w:rFonts w:ascii="Trebuchet MS" w:eastAsia="Arial" w:hAnsi="Trebuchet MS" w:cs="Arial"/>
        </w:rPr>
        <w:t>Akinoso</w:t>
      </w:r>
      <w:proofErr w:type="spellEnd"/>
      <w:r w:rsidRPr="00DF20C8">
        <w:rPr>
          <w:rFonts w:ascii="Trebuchet MS" w:eastAsia="Arial" w:hAnsi="Trebuchet MS" w:cs="Arial"/>
        </w:rPr>
        <w:t xml:space="preserve"> et al., 2024; </w:t>
      </w:r>
      <w:proofErr w:type="spellStart"/>
      <w:r w:rsidRPr="00DF20C8">
        <w:rPr>
          <w:rFonts w:ascii="Trebuchet MS" w:eastAsia="Arial" w:hAnsi="Trebuchet MS" w:cs="Arial"/>
        </w:rPr>
        <w:t>Nastase</w:t>
      </w:r>
      <w:proofErr w:type="spellEnd"/>
      <w:r w:rsidRPr="00DF20C8">
        <w:rPr>
          <w:rFonts w:ascii="Trebuchet MS" w:eastAsia="Arial" w:hAnsi="Trebuchet MS" w:cs="Arial"/>
        </w:rPr>
        <w:t xml:space="preserve"> et al., 2025). </w:t>
      </w:r>
    </w:p>
    <w:p w14:paraId="5542F7FF" w14:textId="77777777" w:rsidR="00DF20C8" w:rsidRPr="00DF20C8" w:rsidRDefault="00DF20C8" w:rsidP="004E35D4">
      <w:pPr>
        <w:spacing w:after="0" w:line="240" w:lineRule="auto"/>
        <w:ind w:left="426"/>
        <w:jc w:val="both"/>
        <w:rPr>
          <w:rFonts w:ascii="Trebuchet MS" w:eastAsia="Arial" w:hAnsi="Trebuchet MS" w:cs="Arial"/>
        </w:rPr>
      </w:pPr>
    </w:p>
    <w:p w14:paraId="0530D42C" w14:textId="77777777" w:rsidR="00DF20C8" w:rsidRPr="00DF20C8" w:rsidRDefault="00DF20C8" w:rsidP="004E35D4">
      <w:pPr>
        <w:spacing w:after="0" w:line="240" w:lineRule="auto"/>
        <w:ind w:left="426"/>
        <w:jc w:val="both"/>
        <w:rPr>
          <w:rFonts w:ascii="Trebuchet MS" w:eastAsia="Arial" w:hAnsi="Trebuchet MS" w:cs="Arial"/>
        </w:rPr>
      </w:pPr>
      <w:r w:rsidRPr="00DF20C8">
        <w:rPr>
          <w:rFonts w:ascii="Trebuchet MS" w:eastAsia="Arial" w:hAnsi="Trebuchet MS" w:cs="Arial"/>
        </w:rPr>
        <w:t>Finally, people professionals play a vital role in shaping organisational culture. By fostering inclusivity, encouraging feedback, and addressing employee concerns proactively, they can help create a positive and engaging work environment and they can also enhance employee engagement and retention, addressing the recent loss of valuable staff (Deloitte, 2025).</w:t>
      </w:r>
    </w:p>
    <w:p w14:paraId="3D4849FE" w14:textId="77777777" w:rsidR="00DF20C8" w:rsidRPr="00DF20C8" w:rsidRDefault="00DF20C8" w:rsidP="004E35D4">
      <w:pPr>
        <w:spacing w:after="0" w:line="240" w:lineRule="auto"/>
        <w:ind w:left="426"/>
        <w:jc w:val="both"/>
        <w:rPr>
          <w:rFonts w:ascii="Trebuchet MS" w:eastAsia="Arial" w:hAnsi="Trebuchet MS" w:cs="Arial"/>
        </w:rPr>
      </w:pPr>
    </w:p>
    <w:p w14:paraId="194B5CFC" w14:textId="77777777" w:rsidR="00DF20C8" w:rsidRDefault="00DF20C8" w:rsidP="004E35D4">
      <w:pPr>
        <w:spacing w:after="0" w:line="240" w:lineRule="auto"/>
        <w:ind w:left="426"/>
        <w:jc w:val="both"/>
        <w:rPr>
          <w:rFonts w:ascii="Trebuchet MS" w:eastAsia="Arial" w:hAnsi="Trebuchet MS" w:cs="Arial"/>
        </w:rPr>
      </w:pPr>
      <w:r w:rsidRPr="00DF20C8">
        <w:rPr>
          <w:rFonts w:ascii="Trebuchet MS" w:eastAsia="Arial" w:hAnsi="Trebuchet MS" w:cs="Arial"/>
        </w:rPr>
        <w:t>As HR Grapevine (2014) notes, HR is central to organisational development, aligning strategy, people, and systems to support sustainable change.</w:t>
      </w:r>
    </w:p>
    <w:p w14:paraId="44FCE9A7" w14:textId="77777777" w:rsidR="005A6CA6" w:rsidRDefault="005A6CA6" w:rsidP="004E35D4">
      <w:pPr>
        <w:spacing w:after="0" w:line="240" w:lineRule="auto"/>
        <w:ind w:left="426"/>
        <w:jc w:val="both"/>
        <w:rPr>
          <w:rFonts w:ascii="Trebuchet MS" w:eastAsia="Arial" w:hAnsi="Trebuchet MS" w:cs="Arial"/>
        </w:rPr>
      </w:pPr>
    </w:p>
    <w:p w14:paraId="4E703848" w14:textId="77777777" w:rsidR="005A6CA6" w:rsidRDefault="005A6CA6" w:rsidP="004E35D4">
      <w:pPr>
        <w:spacing w:after="0" w:line="240" w:lineRule="auto"/>
        <w:ind w:left="426"/>
        <w:jc w:val="both"/>
        <w:rPr>
          <w:rFonts w:ascii="Trebuchet MS" w:eastAsia="Arial" w:hAnsi="Trebuchet MS" w:cs="Arial"/>
        </w:rPr>
      </w:pPr>
    </w:p>
    <w:p w14:paraId="2BDF7DC7" w14:textId="77777777" w:rsidR="005A6CA6" w:rsidRDefault="005A6CA6" w:rsidP="004E35D4">
      <w:pPr>
        <w:spacing w:after="0" w:line="240" w:lineRule="auto"/>
        <w:ind w:left="426"/>
        <w:jc w:val="both"/>
        <w:rPr>
          <w:rFonts w:ascii="Trebuchet MS" w:eastAsia="Arial" w:hAnsi="Trebuchet MS" w:cs="Arial"/>
        </w:rPr>
      </w:pPr>
    </w:p>
    <w:p w14:paraId="002DB572" w14:textId="77777777" w:rsidR="005A6CA6" w:rsidRDefault="005A6CA6" w:rsidP="004E35D4">
      <w:pPr>
        <w:spacing w:after="0" w:line="240" w:lineRule="auto"/>
        <w:ind w:left="426"/>
        <w:jc w:val="both"/>
        <w:rPr>
          <w:rFonts w:ascii="Trebuchet MS" w:eastAsia="Arial" w:hAnsi="Trebuchet MS" w:cs="Arial"/>
        </w:rPr>
      </w:pPr>
    </w:p>
    <w:p w14:paraId="4F7C72C2" w14:textId="77777777" w:rsidR="005A6CA6" w:rsidRDefault="005A6CA6" w:rsidP="004E35D4">
      <w:pPr>
        <w:spacing w:after="0" w:line="240" w:lineRule="auto"/>
        <w:ind w:left="426"/>
        <w:jc w:val="both"/>
        <w:rPr>
          <w:rFonts w:ascii="Trebuchet MS" w:eastAsia="Arial" w:hAnsi="Trebuchet MS" w:cs="Arial"/>
        </w:rPr>
      </w:pPr>
    </w:p>
    <w:p w14:paraId="09E7AB57" w14:textId="77777777" w:rsidR="005A6CA6" w:rsidRDefault="005A6CA6" w:rsidP="004E35D4">
      <w:pPr>
        <w:spacing w:after="0" w:line="240" w:lineRule="auto"/>
        <w:ind w:left="426"/>
        <w:jc w:val="both"/>
        <w:rPr>
          <w:rFonts w:ascii="Trebuchet MS" w:eastAsia="Arial" w:hAnsi="Trebuchet MS" w:cs="Arial"/>
        </w:rPr>
      </w:pPr>
    </w:p>
    <w:p w14:paraId="566FABBF" w14:textId="77777777" w:rsidR="005A6CA6" w:rsidRPr="005A6CA6" w:rsidRDefault="005A6CA6" w:rsidP="005A6CA6">
      <w:pPr>
        <w:spacing w:before="100" w:beforeAutospacing="1" w:after="100" w:afterAutospacing="1" w:line="240" w:lineRule="auto"/>
        <w:rPr>
          <w:rFonts w:ascii="Trebuchet MS" w:eastAsia="Times New Roman" w:hAnsi="Trebuchet MS" w:cs="Times New Roman"/>
          <w:b/>
          <w:bCs/>
          <w:color w:val="4472C4" w:themeColor="accent1"/>
          <w:sz w:val="24"/>
          <w:szCs w:val="24"/>
          <w:lang w:eastAsia="en-GB"/>
        </w:rPr>
      </w:pPr>
      <w:r w:rsidRPr="005A6CA6">
        <w:rPr>
          <w:rFonts w:ascii="Trebuchet MS" w:eastAsia="Times New Roman" w:hAnsi="Trebuchet MS" w:cs="Times New Roman"/>
          <w:b/>
          <w:bCs/>
          <w:color w:val="4472C4" w:themeColor="accent1"/>
          <w:sz w:val="24"/>
          <w:szCs w:val="24"/>
          <w:lang w:eastAsia="en-GB"/>
        </w:rPr>
        <w:lastRenderedPageBreak/>
        <w:t>AC 1.2</w:t>
      </w:r>
    </w:p>
    <w:p w14:paraId="151CA8CA" w14:textId="77777777" w:rsidR="005A6CA6" w:rsidRPr="005A6CA6" w:rsidRDefault="005A6CA6" w:rsidP="00DC643D">
      <w:pPr>
        <w:spacing w:before="100" w:beforeAutospacing="1" w:after="100" w:afterAutospacing="1" w:line="240" w:lineRule="auto"/>
        <w:jc w:val="both"/>
        <w:rPr>
          <w:rFonts w:ascii="Trebuchet MS" w:eastAsia="Times New Roman" w:hAnsi="Trebuchet MS" w:cs="Times New Roman"/>
          <w:lang w:eastAsia="en-GB"/>
        </w:rPr>
      </w:pPr>
      <w:r w:rsidRPr="005A6CA6">
        <w:rPr>
          <w:rFonts w:ascii="Trebuchet MS" w:eastAsia="Times New Roman" w:hAnsi="Trebuchet MS" w:cs="Times New Roman"/>
          <w:lang w:eastAsia="en-GB"/>
        </w:rPr>
        <w:t xml:space="preserve">Two personal and ethical values that will support the HR/L&amp;D Adviser in their role at </w:t>
      </w:r>
      <w:proofErr w:type="spellStart"/>
      <w:r w:rsidRPr="005A6CA6">
        <w:rPr>
          <w:rFonts w:ascii="Trebuchet MS" w:eastAsia="Times New Roman" w:hAnsi="Trebuchet MS" w:cs="Times New Roman"/>
          <w:lang w:eastAsia="en-GB"/>
        </w:rPr>
        <w:t>Nexxobyte</w:t>
      </w:r>
      <w:proofErr w:type="spellEnd"/>
      <w:r w:rsidRPr="005A6CA6">
        <w:rPr>
          <w:rFonts w:ascii="Trebuchet MS" w:eastAsia="Times New Roman" w:hAnsi="Trebuchet MS" w:cs="Times New Roman"/>
          <w:lang w:eastAsia="en-GB"/>
        </w:rPr>
        <w:t xml:space="preserve"> are fairness and professional integrity. Fairness ensures that all employees are treated equitably regardless of team, role, or background. Fairness relates to treating individuals equitably and making impartial decisions. In HR and people practice, fairness underpins recruitment, performance management, and reward systems. It helps prevent discrimination, promotes inclusivity, and supports employee well-being. Fair treatment enhances organisational reputation and fosters a positive work environment, which contributes to productivity and retention.</w:t>
      </w:r>
    </w:p>
    <w:p w14:paraId="0783FE2A" w14:textId="77777777" w:rsidR="005A6CA6" w:rsidRPr="005A6CA6" w:rsidRDefault="005A6CA6" w:rsidP="00DC643D">
      <w:pPr>
        <w:spacing w:before="100" w:beforeAutospacing="1" w:after="100" w:afterAutospacing="1" w:line="240" w:lineRule="auto"/>
        <w:jc w:val="both"/>
        <w:rPr>
          <w:rFonts w:ascii="Trebuchet MS" w:eastAsia="Times New Roman" w:hAnsi="Trebuchet MS" w:cs="Times New Roman"/>
          <w:lang w:eastAsia="en-GB"/>
        </w:rPr>
      </w:pPr>
      <w:r w:rsidRPr="005A6CA6">
        <w:rPr>
          <w:rFonts w:ascii="Trebuchet MS" w:eastAsia="Times New Roman" w:hAnsi="Trebuchet MS" w:cs="Times New Roman"/>
          <w:lang w:eastAsia="en-GB"/>
        </w:rPr>
        <w:t xml:space="preserve">This is particularly significant at </w:t>
      </w:r>
      <w:proofErr w:type="spellStart"/>
      <w:r w:rsidRPr="005A6CA6">
        <w:rPr>
          <w:rFonts w:ascii="Trebuchet MS" w:eastAsia="Times New Roman" w:hAnsi="Trebuchet MS" w:cs="Times New Roman"/>
          <w:lang w:eastAsia="en-GB"/>
        </w:rPr>
        <w:t>Nexxobyte</w:t>
      </w:r>
      <w:proofErr w:type="spellEnd"/>
      <w:r w:rsidRPr="005A6CA6">
        <w:rPr>
          <w:rFonts w:ascii="Trebuchet MS" w:eastAsia="Times New Roman" w:hAnsi="Trebuchet MS" w:cs="Times New Roman"/>
          <w:lang w:eastAsia="en-GB"/>
        </w:rPr>
        <w:t>, where inconsistent management practices have resulted in unequal access to learning and development opportunities and varying working arrangements. By consistently applying fairness in policy development and decision-making, the Adviser can foster a culture of transparency and inclusion. Research by Lucy et al. (2023) highlights that perceived fairness within organisational life contributes to employee motivation, trust, and retention, making it both an ethical and strategic imperative.</w:t>
      </w:r>
    </w:p>
    <w:p w14:paraId="6DBA4E3F" w14:textId="77777777" w:rsidR="005A6CA6" w:rsidRPr="005A6CA6" w:rsidRDefault="005A6CA6" w:rsidP="00DC643D">
      <w:pPr>
        <w:spacing w:before="100" w:beforeAutospacing="1" w:after="100" w:afterAutospacing="1" w:line="240" w:lineRule="auto"/>
        <w:jc w:val="both"/>
        <w:rPr>
          <w:rFonts w:ascii="Trebuchet MS" w:eastAsia="Times New Roman" w:hAnsi="Trebuchet MS" w:cs="Times New Roman"/>
          <w:lang w:eastAsia="en-GB"/>
        </w:rPr>
      </w:pPr>
      <w:r w:rsidRPr="005A6CA6">
        <w:rPr>
          <w:rFonts w:ascii="Trebuchet MS" w:eastAsia="Times New Roman" w:hAnsi="Trebuchet MS" w:cs="Times New Roman"/>
          <w:lang w:eastAsia="en-GB"/>
        </w:rPr>
        <w:t xml:space="preserve">Professional integrity is equally vital, as it underpins ethical decision-making and builds credibility within the people function. Acting with integrity involves honesty, transparency, and accountability in all aspects of work, from advising managers to handling sensitive employee issues. According to the CIPD (2021), ethical practice is a core behaviour for people professionals, requiring them to role-model values and apply principles consistently in decision-making. Integrity also supports the development of a values-driven culture, which is essential for long-term organisational success. </w:t>
      </w:r>
      <w:proofErr w:type="spellStart"/>
      <w:r w:rsidRPr="005A6CA6">
        <w:rPr>
          <w:rFonts w:ascii="Trebuchet MS" w:eastAsia="Times New Roman" w:hAnsi="Trebuchet MS" w:cs="Times New Roman"/>
          <w:lang w:eastAsia="en-GB"/>
        </w:rPr>
        <w:t>Luhar</w:t>
      </w:r>
      <w:proofErr w:type="spellEnd"/>
      <w:r w:rsidRPr="005A6CA6">
        <w:rPr>
          <w:rFonts w:ascii="Trebuchet MS" w:eastAsia="Times New Roman" w:hAnsi="Trebuchet MS" w:cs="Times New Roman"/>
          <w:lang w:eastAsia="en-GB"/>
        </w:rPr>
        <w:t xml:space="preserve"> and </w:t>
      </w:r>
      <w:proofErr w:type="spellStart"/>
      <w:r w:rsidRPr="005A6CA6">
        <w:rPr>
          <w:rFonts w:ascii="Trebuchet MS" w:eastAsia="Times New Roman" w:hAnsi="Trebuchet MS" w:cs="Times New Roman"/>
          <w:lang w:eastAsia="en-GB"/>
        </w:rPr>
        <w:t>Kurhade</w:t>
      </w:r>
      <w:proofErr w:type="spellEnd"/>
      <w:r w:rsidRPr="005A6CA6">
        <w:rPr>
          <w:rFonts w:ascii="Trebuchet MS" w:eastAsia="Times New Roman" w:hAnsi="Trebuchet MS" w:cs="Times New Roman"/>
          <w:lang w:eastAsia="en-GB"/>
        </w:rPr>
        <w:t xml:space="preserve"> (2025) argue that ethical leadership, grounded in integrity and fairness, can transform HR practices and foster a culture of trust and engagement. </w:t>
      </w:r>
    </w:p>
    <w:p w14:paraId="1F58C18C" w14:textId="77777777" w:rsidR="005A6CA6" w:rsidRPr="005A6CA6" w:rsidRDefault="005A6CA6" w:rsidP="00DC643D">
      <w:pPr>
        <w:spacing w:before="100" w:beforeAutospacing="1" w:after="100" w:afterAutospacing="1" w:line="240" w:lineRule="auto"/>
        <w:jc w:val="both"/>
        <w:rPr>
          <w:rFonts w:ascii="Trebuchet MS" w:eastAsia="Times New Roman" w:hAnsi="Trebuchet MS" w:cs="Times New Roman"/>
          <w:lang w:eastAsia="en-GB"/>
        </w:rPr>
      </w:pPr>
      <w:r w:rsidRPr="005A6CA6">
        <w:rPr>
          <w:rFonts w:ascii="Trebuchet MS" w:eastAsia="Times New Roman" w:hAnsi="Trebuchet MS" w:cs="Times New Roman"/>
          <w:lang w:eastAsia="en-GB"/>
        </w:rPr>
        <w:t xml:space="preserve">Professional integrity is particularly important for a People Professional working at </w:t>
      </w:r>
      <w:proofErr w:type="spellStart"/>
      <w:r w:rsidRPr="005A6CA6">
        <w:rPr>
          <w:rFonts w:ascii="Trebuchet MS" w:eastAsia="Times New Roman" w:hAnsi="Trebuchet MS" w:cs="Times New Roman"/>
          <w:lang w:eastAsia="en-GB"/>
        </w:rPr>
        <w:t>Nexxobyte</w:t>
      </w:r>
      <w:proofErr w:type="spellEnd"/>
      <w:r w:rsidRPr="005A6CA6">
        <w:rPr>
          <w:rFonts w:ascii="Trebuchet MS" w:eastAsia="Times New Roman" w:hAnsi="Trebuchet MS" w:cs="Times New Roman"/>
          <w:lang w:eastAsia="en-GB"/>
        </w:rPr>
        <w:t xml:space="preserve"> because of the organisation’s current challenges and growth stage. </w:t>
      </w:r>
      <w:proofErr w:type="spellStart"/>
      <w:r w:rsidRPr="005A6CA6">
        <w:rPr>
          <w:rFonts w:ascii="Trebuchet MS" w:eastAsia="Times New Roman" w:hAnsi="Trebuchet MS" w:cs="Times New Roman"/>
          <w:lang w:eastAsia="en-GB"/>
        </w:rPr>
        <w:t>Nexxobyte</w:t>
      </w:r>
      <w:proofErr w:type="spellEnd"/>
      <w:r w:rsidRPr="005A6CA6">
        <w:rPr>
          <w:rFonts w:ascii="Trebuchet MS" w:eastAsia="Times New Roman" w:hAnsi="Trebuchet MS" w:cs="Times New Roman"/>
          <w:lang w:eastAsia="en-GB"/>
        </w:rPr>
        <w:t xml:space="preserve"> has experienced rapid expansion without formal HR structures, resulting in inconsistent management practices, unequal access to learning opportunities, and employee complaints. In such an environment, the HR/L&amp;D Adviser will be responsible for introducing policies, mediating disputes, and advising on sensitive issues. Acting with integrity ensures that decisions are perceived as fair and unbiased, which is critical for rebuilding trust among employees and managers (CIPD, 2021).</w:t>
      </w:r>
    </w:p>
    <w:p w14:paraId="2B05D8AD" w14:textId="77777777" w:rsidR="005A6CA6" w:rsidRDefault="005A6CA6" w:rsidP="00DC643D">
      <w:pPr>
        <w:spacing w:before="100" w:beforeAutospacing="1" w:after="100" w:afterAutospacing="1" w:line="240" w:lineRule="auto"/>
        <w:jc w:val="both"/>
        <w:rPr>
          <w:rFonts w:ascii="Trebuchet MS" w:eastAsia="Times New Roman" w:hAnsi="Trebuchet MS" w:cs="Times New Roman"/>
          <w:lang w:eastAsia="en-GB"/>
        </w:rPr>
      </w:pPr>
      <w:r w:rsidRPr="005A6CA6">
        <w:rPr>
          <w:rFonts w:ascii="Trebuchet MS" w:eastAsia="Times New Roman" w:hAnsi="Trebuchet MS" w:cs="Times New Roman"/>
          <w:lang w:eastAsia="en-GB"/>
        </w:rPr>
        <w:t>Moreover, professional integrity strengthens credibility when influencing senior leaders and implementing change. Research shows that ethical leadership fosters trust and engagement, which are essential for stabilising a growing organisation (</w:t>
      </w:r>
      <w:proofErr w:type="spellStart"/>
      <w:r w:rsidRPr="005A6CA6">
        <w:rPr>
          <w:rFonts w:ascii="Trebuchet MS" w:eastAsia="Times New Roman" w:hAnsi="Trebuchet MS" w:cs="Times New Roman"/>
          <w:lang w:eastAsia="en-GB"/>
        </w:rPr>
        <w:t>Luhar</w:t>
      </w:r>
      <w:proofErr w:type="spellEnd"/>
      <w:r w:rsidRPr="005A6CA6">
        <w:rPr>
          <w:rFonts w:ascii="Trebuchet MS" w:eastAsia="Times New Roman" w:hAnsi="Trebuchet MS" w:cs="Times New Roman"/>
          <w:lang w:eastAsia="en-GB"/>
        </w:rPr>
        <w:t xml:space="preserve"> and </w:t>
      </w:r>
      <w:proofErr w:type="spellStart"/>
      <w:r w:rsidRPr="005A6CA6">
        <w:rPr>
          <w:rFonts w:ascii="Trebuchet MS" w:eastAsia="Times New Roman" w:hAnsi="Trebuchet MS" w:cs="Times New Roman"/>
          <w:lang w:eastAsia="en-GB"/>
        </w:rPr>
        <w:t>Kurhade</w:t>
      </w:r>
      <w:proofErr w:type="spellEnd"/>
      <w:r w:rsidRPr="005A6CA6">
        <w:rPr>
          <w:rFonts w:ascii="Trebuchet MS" w:eastAsia="Times New Roman" w:hAnsi="Trebuchet MS" w:cs="Times New Roman"/>
          <w:lang w:eastAsia="en-GB"/>
        </w:rPr>
        <w:t xml:space="preserve">, 2025). Without integrity, attempts to standardise processes or resolve conflicts could be viewed as partial or self-serving, undermining the HR function’s authority. </w:t>
      </w:r>
      <w:proofErr w:type="spellStart"/>
      <w:r w:rsidRPr="005A6CA6">
        <w:rPr>
          <w:rFonts w:ascii="Trebuchet MS" w:eastAsia="Times New Roman" w:hAnsi="Trebuchet MS" w:cs="Times New Roman"/>
          <w:lang w:eastAsia="en-GB"/>
        </w:rPr>
        <w:t>Bogale</w:t>
      </w:r>
      <w:proofErr w:type="spellEnd"/>
      <w:r w:rsidRPr="005A6CA6">
        <w:rPr>
          <w:rFonts w:ascii="Trebuchet MS" w:eastAsia="Times New Roman" w:hAnsi="Trebuchet MS" w:cs="Times New Roman"/>
          <w:lang w:eastAsia="en-GB"/>
        </w:rPr>
        <w:t xml:space="preserve"> and </w:t>
      </w:r>
      <w:proofErr w:type="spellStart"/>
      <w:r w:rsidRPr="005A6CA6">
        <w:rPr>
          <w:rFonts w:ascii="Trebuchet MS" w:eastAsia="Times New Roman" w:hAnsi="Trebuchet MS" w:cs="Times New Roman"/>
          <w:lang w:eastAsia="en-GB"/>
        </w:rPr>
        <w:t>Birbirsa</w:t>
      </w:r>
      <w:proofErr w:type="spellEnd"/>
      <w:r w:rsidRPr="005A6CA6">
        <w:rPr>
          <w:rFonts w:ascii="Trebuchet MS" w:eastAsia="Times New Roman" w:hAnsi="Trebuchet MS" w:cs="Times New Roman"/>
          <w:lang w:eastAsia="en-GB"/>
        </w:rPr>
        <w:t xml:space="preserve"> (2023) further argue that HR systems designed without ethical considerations lead to dissatisfaction and poor performance. Therefore, integrity is not only an ethical requirement but also a strategic asset for creating a values-driven culture and supporting sustainable growth at </w:t>
      </w:r>
      <w:proofErr w:type="spellStart"/>
      <w:r w:rsidRPr="005A6CA6">
        <w:rPr>
          <w:rFonts w:ascii="Trebuchet MS" w:eastAsia="Times New Roman" w:hAnsi="Trebuchet MS" w:cs="Times New Roman"/>
          <w:lang w:eastAsia="en-GB"/>
        </w:rPr>
        <w:t>Nexxobyte</w:t>
      </w:r>
      <w:proofErr w:type="spellEnd"/>
      <w:r w:rsidRPr="005A6CA6">
        <w:rPr>
          <w:rFonts w:ascii="Trebuchet MS" w:eastAsia="Times New Roman" w:hAnsi="Trebuchet MS" w:cs="Times New Roman"/>
          <w:lang w:eastAsia="en-GB"/>
        </w:rPr>
        <w:t>.</w:t>
      </w:r>
    </w:p>
    <w:p w14:paraId="48D8CE19" w14:textId="77777777" w:rsidR="006412F2" w:rsidRDefault="006412F2" w:rsidP="00DC643D">
      <w:pPr>
        <w:spacing w:before="100" w:beforeAutospacing="1" w:after="100" w:afterAutospacing="1" w:line="240" w:lineRule="auto"/>
        <w:jc w:val="both"/>
        <w:rPr>
          <w:rFonts w:ascii="Trebuchet MS" w:eastAsia="Times New Roman" w:hAnsi="Trebuchet MS" w:cs="Times New Roman"/>
          <w:lang w:eastAsia="en-GB"/>
        </w:rPr>
      </w:pPr>
    </w:p>
    <w:p w14:paraId="5B9E3F54" w14:textId="77777777" w:rsidR="006412F2" w:rsidRDefault="006412F2" w:rsidP="00DC643D">
      <w:pPr>
        <w:spacing w:before="100" w:beforeAutospacing="1" w:after="100" w:afterAutospacing="1" w:line="240" w:lineRule="auto"/>
        <w:jc w:val="both"/>
        <w:rPr>
          <w:rFonts w:ascii="Trebuchet MS" w:eastAsia="Times New Roman" w:hAnsi="Trebuchet MS" w:cs="Times New Roman"/>
          <w:lang w:eastAsia="en-GB"/>
        </w:rPr>
      </w:pPr>
    </w:p>
    <w:p w14:paraId="7E617FBC" w14:textId="77777777" w:rsidR="006412F2" w:rsidRDefault="006412F2" w:rsidP="00DC643D">
      <w:pPr>
        <w:spacing w:before="100" w:beforeAutospacing="1" w:after="100" w:afterAutospacing="1" w:line="240" w:lineRule="auto"/>
        <w:jc w:val="both"/>
        <w:rPr>
          <w:rFonts w:ascii="Trebuchet MS" w:eastAsia="Times New Roman" w:hAnsi="Trebuchet MS" w:cs="Times New Roman"/>
          <w:lang w:eastAsia="en-GB"/>
        </w:rPr>
      </w:pPr>
    </w:p>
    <w:p w14:paraId="4A52EFC2" w14:textId="3D40E056" w:rsidR="00B22AAC" w:rsidRPr="00B22AAC" w:rsidRDefault="00B22AAC" w:rsidP="006412F2">
      <w:pPr>
        <w:spacing w:after="0" w:line="240" w:lineRule="auto"/>
        <w:ind w:left="426"/>
        <w:rPr>
          <w:rFonts w:ascii="Trebuchet MS" w:eastAsia="Arial" w:hAnsi="Trebuchet MS" w:cs="Arial"/>
          <w:b/>
          <w:bCs/>
          <w:color w:val="4472C4" w:themeColor="accent1"/>
          <w:sz w:val="24"/>
          <w:szCs w:val="24"/>
        </w:rPr>
      </w:pPr>
      <w:r w:rsidRPr="00B22AAC">
        <w:rPr>
          <w:rFonts w:ascii="Trebuchet MS" w:eastAsia="Arial" w:hAnsi="Trebuchet MS" w:cs="Arial"/>
          <w:b/>
          <w:bCs/>
          <w:color w:val="4472C4" w:themeColor="accent1"/>
          <w:sz w:val="24"/>
          <w:szCs w:val="24"/>
        </w:rPr>
        <w:lastRenderedPageBreak/>
        <w:t>AC 1.3</w:t>
      </w:r>
    </w:p>
    <w:p w14:paraId="1BFFF4AA" w14:textId="77777777" w:rsidR="00B22AAC" w:rsidRDefault="00B22AAC" w:rsidP="006412F2">
      <w:pPr>
        <w:spacing w:after="0" w:line="240" w:lineRule="auto"/>
        <w:ind w:left="426"/>
        <w:rPr>
          <w:rFonts w:ascii="Trebuchet MS" w:eastAsia="Arial" w:hAnsi="Trebuchet MS" w:cs="Arial"/>
          <w:color w:val="000000"/>
        </w:rPr>
      </w:pPr>
    </w:p>
    <w:p w14:paraId="497DA45E" w14:textId="6AC4D3D8" w:rsidR="006412F2" w:rsidRPr="006412F2" w:rsidRDefault="006412F2" w:rsidP="00B22AAC">
      <w:pPr>
        <w:spacing w:after="0" w:line="240" w:lineRule="auto"/>
        <w:ind w:left="426"/>
        <w:jc w:val="both"/>
        <w:rPr>
          <w:rFonts w:ascii="Trebuchet MS" w:eastAsia="Arial" w:hAnsi="Trebuchet MS" w:cs="Arial"/>
          <w:color w:val="000000"/>
        </w:rPr>
      </w:pPr>
      <w:r w:rsidRPr="006412F2">
        <w:rPr>
          <w:rFonts w:ascii="Trebuchet MS" w:eastAsia="Arial" w:hAnsi="Trebuchet MS" w:cs="Arial"/>
          <w:color w:val="000000"/>
        </w:rPr>
        <w:t xml:space="preserve">Strong communication skills are essential for people professionals because they directly affect how satisfied employees feel and how well the organisation performs. </w:t>
      </w:r>
      <w:proofErr w:type="spellStart"/>
      <w:r w:rsidRPr="006412F2">
        <w:rPr>
          <w:rFonts w:ascii="Trebuchet MS" w:eastAsia="Arial" w:hAnsi="Trebuchet MS" w:cs="Arial"/>
          <w:color w:val="000000"/>
        </w:rPr>
        <w:t>Kotamena</w:t>
      </w:r>
      <w:proofErr w:type="spellEnd"/>
      <w:r w:rsidRPr="006412F2">
        <w:rPr>
          <w:rFonts w:ascii="Trebuchet MS" w:eastAsia="Arial" w:hAnsi="Trebuchet MS" w:cs="Arial"/>
          <w:color w:val="000000"/>
        </w:rPr>
        <w:t xml:space="preserve"> et al. (2020) argue that while technical competence is important, communication exerts a stronger influence on employee outcomes, particularly satisfaction, which drives improved performance. This positions communication as a strategic capability rather than a mere soft skill.</w:t>
      </w:r>
    </w:p>
    <w:p w14:paraId="74178DCD" w14:textId="77777777" w:rsidR="006412F2" w:rsidRPr="006412F2" w:rsidRDefault="006412F2" w:rsidP="00B22AAC">
      <w:pPr>
        <w:spacing w:after="0" w:line="240" w:lineRule="auto"/>
        <w:ind w:left="426"/>
        <w:jc w:val="both"/>
        <w:rPr>
          <w:rFonts w:ascii="Trebuchet MS" w:eastAsia="Arial" w:hAnsi="Trebuchet MS" w:cs="Arial"/>
          <w:color w:val="000000"/>
        </w:rPr>
      </w:pPr>
    </w:p>
    <w:p w14:paraId="46A7E1A4" w14:textId="77777777" w:rsidR="006412F2" w:rsidRPr="006412F2" w:rsidRDefault="006412F2" w:rsidP="00B22AAC">
      <w:pPr>
        <w:spacing w:after="0" w:line="240" w:lineRule="auto"/>
        <w:ind w:left="426"/>
        <w:jc w:val="both"/>
        <w:rPr>
          <w:rFonts w:ascii="Trebuchet MS" w:eastAsia="Arial" w:hAnsi="Trebuchet MS" w:cs="Arial"/>
          <w:color w:val="000000"/>
        </w:rPr>
      </w:pPr>
      <w:r w:rsidRPr="006412F2">
        <w:rPr>
          <w:rFonts w:ascii="Trebuchet MS" w:eastAsia="Arial" w:hAnsi="Trebuchet MS" w:cs="Arial"/>
          <w:color w:val="000000"/>
        </w:rPr>
        <w:t xml:space="preserve">Research consistently demonstrates that effective communication enhances organisational performance. </w:t>
      </w:r>
      <w:proofErr w:type="spellStart"/>
      <w:r w:rsidRPr="006412F2">
        <w:rPr>
          <w:rFonts w:ascii="Trebuchet MS" w:eastAsia="Arial" w:hAnsi="Trebuchet MS" w:cs="Arial"/>
          <w:color w:val="000000"/>
        </w:rPr>
        <w:t>Musheke</w:t>
      </w:r>
      <w:proofErr w:type="spellEnd"/>
      <w:r w:rsidRPr="006412F2">
        <w:rPr>
          <w:rFonts w:ascii="Trebuchet MS" w:eastAsia="Arial" w:hAnsi="Trebuchet MS" w:cs="Arial"/>
          <w:color w:val="000000"/>
        </w:rPr>
        <w:t xml:space="preserve"> and Phiri (2021) found a positive correlation between effective communication and organisational performance, noting its role in fostering collaboration and informed decision-making. Similarly, </w:t>
      </w:r>
      <w:proofErr w:type="spellStart"/>
      <w:r w:rsidRPr="006412F2">
        <w:rPr>
          <w:rFonts w:ascii="Trebuchet MS" w:eastAsia="Arial" w:hAnsi="Trebuchet MS" w:cs="Arial"/>
          <w:color w:val="000000"/>
        </w:rPr>
        <w:t>Shonubi</w:t>
      </w:r>
      <w:proofErr w:type="spellEnd"/>
      <w:r w:rsidRPr="006412F2">
        <w:rPr>
          <w:rFonts w:ascii="Trebuchet MS" w:eastAsia="Arial" w:hAnsi="Trebuchet MS" w:cs="Arial"/>
          <w:color w:val="000000"/>
        </w:rPr>
        <w:t xml:space="preserve"> (2016) emphasises that clarity, feedback mechanisms, and active listening significantly improve efficiency and financial outcomes. </w:t>
      </w:r>
      <w:proofErr w:type="spellStart"/>
      <w:r w:rsidRPr="006412F2">
        <w:rPr>
          <w:rFonts w:ascii="Trebuchet MS" w:eastAsia="Arial" w:hAnsi="Trebuchet MS" w:cs="Arial"/>
          <w:color w:val="000000"/>
        </w:rPr>
        <w:t>Jerab</w:t>
      </w:r>
      <w:proofErr w:type="spellEnd"/>
      <w:r w:rsidRPr="006412F2">
        <w:rPr>
          <w:rFonts w:ascii="Trebuchet MS" w:eastAsia="Arial" w:hAnsi="Trebuchet MS" w:cs="Arial"/>
          <w:color w:val="000000"/>
        </w:rPr>
        <w:t xml:space="preserve"> (2023) further highlights that clear communication promotes alignment, engagement, and trust, reducing errors and boosting productivity. These findings underscore that communication impacts not only employee morale but also tangible metrics such as productivity, profitability, and customer satisfaction.</w:t>
      </w:r>
    </w:p>
    <w:p w14:paraId="31882745" w14:textId="77777777" w:rsidR="006412F2" w:rsidRPr="006412F2" w:rsidRDefault="006412F2" w:rsidP="00B22AAC">
      <w:pPr>
        <w:spacing w:after="0" w:line="240" w:lineRule="auto"/>
        <w:ind w:left="426"/>
        <w:jc w:val="both"/>
        <w:rPr>
          <w:rFonts w:ascii="Trebuchet MS" w:eastAsia="Arial" w:hAnsi="Trebuchet MS" w:cs="Arial"/>
          <w:color w:val="000000"/>
        </w:rPr>
      </w:pPr>
    </w:p>
    <w:p w14:paraId="4F5761F9" w14:textId="77777777" w:rsidR="006412F2" w:rsidRPr="006412F2" w:rsidRDefault="006412F2" w:rsidP="00B22AAC">
      <w:pPr>
        <w:spacing w:after="0" w:line="240" w:lineRule="auto"/>
        <w:ind w:left="426"/>
        <w:jc w:val="both"/>
        <w:rPr>
          <w:rFonts w:ascii="Trebuchet MS" w:eastAsia="Arial" w:hAnsi="Trebuchet MS" w:cs="Arial"/>
          <w:color w:val="000000"/>
        </w:rPr>
      </w:pPr>
      <w:r w:rsidRPr="006412F2">
        <w:rPr>
          <w:rFonts w:ascii="Trebuchet MS" w:eastAsia="Arial" w:hAnsi="Trebuchet MS" w:cs="Arial"/>
          <w:color w:val="000000"/>
        </w:rPr>
        <w:t xml:space="preserve">Effective communication underpins core HR functions—recruitment, onboarding, performance management, and conflict resolution. Without clarity, misunderstandings can lead to disengagement and inefficiencies (Nexus HR Consultancy, 2024). Transparent, two-way communication fosters trust and engagement, which are critical for retention and productivity (Carter, 2024). </w:t>
      </w:r>
    </w:p>
    <w:p w14:paraId="66567A7A" w14:textId="77777777" w:rsidR="006412F2" w:rsidRPr="006412F2" w:rsidRDefault="006412F2" w:rsidP="00B22AAC">
      <w:pPr>
        <w:spacing w:after="0" w:line="240" w:lineRule="auto"/>
        <w:ind w:left="426"/>
        <w:jc w:val="both"/>
        <w:rPr>
          <w:rFonts w:ascii="Trebuchet MS" w:eastAsia="Arial" w:hAnsi="Trebuchet MS" w:cs="Arial"/>
          <w:color w:val="000000"/>
        </w:rPr>
      </w:pPr>
    </w:p>
    <w:p w14:paraId="1EA57F2D" w14:textId="77777777" w:rsidR="006412F2" w:rsidRPr="006412F2" w:rsidRDefault="006412F2" w:rsidP="00B22AAC">
      <w:pPr>
        <w:spacing w:after="0" w:line="240" w:lineRule="auto"/>
        <w:ind w:left="426"/>
        <w:jc w:val="both"/>
        <w:rPr>
          <w:rFonts w:ascii="Trebuchet MS" w:eastAsia="Arial" w:hAnsi="Trebuchet MS" w:cs="Arial"/>
          <w:color w:val="000000"/>
        </w:rPr>
      </w:pPr>
      <w:r w:rsidRPr="006412F2">
        <w:rPr>
          <w:rFonts w:ascii="Trebuchet MS" w:eastAsia="Arial" w:hAnsi="Trebuchet MS" w:cs="Arial"/>
          <w:color w:val="000000"/>
        </w:rPr>
        <w:t>CIPD (2024) evidence reviews confirm that communication strategies, including multi-directional dialogue and employee voice mechanisms, enhance inclusion and organisational outcomes. Moreover, communication styles directly influence collaboration and job performance; assertive and empathetic approaches reduce conflict and promote teamwork (</w:t>
      </w:r>
      <w:proofErr w:type="spellStart"/>
      <w:r w:rsidRPr="006412F2">
        <w:rPr>
          <w:rFonts w:ascii="Trebuchet MS" w:eastAsia="Arial" w:hAnsi="Trebuchet MS" w:cs="Arial"/>
          <w:color w:val="000000"/>
        </w:rPr>
        <w:t>Eresanara</w:t>
      </w:r>
      <w:proofErr w:type="spellEnd"/>
      <w:r w:rsidRPr="006412F2">
        <w:rPr>
          <w:rFonts w:ascii="Trebuchet MS" w:eastAsia="Arial" w:hAnsi="Trebuchet MS" w:cs="Arial"/>
          <w:color w:val="000000"/>
        </w:rPr>
        <w:t xml:space="preserve"> and Frank, 2024; HR Magazine, 2024).</w:t>
      </w:r>
    </w:p>
    <w:p w14:paraId="4E0CA78E" w14:textId="77777777" w:rsidR="006412F2" w:rsidRPr="006412F2" w:rsidRDefault="006412F2" w:rsidP="00B22AAC">
      <w:pPr>
        <w:spacing w:after="0" w:line="240" w:lineRule="auto"/>
        <w:ind w:left="426"/>
        <w:jc w:val="both"/>
        <w:rPr>
          <w:rFonts w:ascii="Trebuchet MS" w:eastAsia="Arial" w:hAnsi="Trebuchet MS" w:cs="Arial"/>
          <w:color w:val="000000"/>
        </w:rPr>
      </w:pPr>
    </w:p>
    <w:p w14:paraId="5684D3FE" w14:textId="77777777" w:rsidR="006412F2" w:rsidRPr="006412F2" w:rsidRDefault="006412F2" w:rsidP="00B22AAC">
      <w:pPr>
        <w:spacing w:after="0" w:line="240" w:lineRule="auto"/>
        <w:ind w:left="426"/>
        <w:jc w:val="both"/>
        <w:rPr>
          <w:rFonts w:ascii="Trebuchet MS" w:eastAsia="Arial" w:hAnsi="Trebuchet MS" w:cs="Arial"/>
          <w:color w:val="000000"/>
        </w:rPr>
      </w:pPr>
      <w:r w:rsidRPr="006412F2">
        <w:rPr>
          <w:rFonts w:ascii="Trebuchet MS" w:eastAsia="Arial" w:hAnsi="Trebuchet MS" w:cs="Arial"/>
          <w:color w:val="000000"/>
        </w:rPr>
        <w:t>As HR evolves into a strategic function, communication becomes integrative, supporting initiatives such as change management, diversity, and organisational development (</w:t>
      </w:r>
      <w:proofErr w:type="spellStart"/>
      <w:r w:rsidRPr="006412F2">
        <w:rPr>
          <w:rFonts w:ascii="Trebuchet MS" w:eastAsia="Arial" w:hAnsi="Trebuchet MS" w:cs="Arial"/>
          <w:color w:val="000000"/>
        </w:rPr>
        <w:t>Asuelimen</w:t>
      </w:r>
      <w:proofErr w:type="spellEnd"/>
      <w:r w:rsidRPr="006412F2">
        <w:rPr>
          <w:rFonts w:ascii="Trebuchet MS" w:eastAsia="Arial" w:hAnsi="Trebuchet MS" w:cs="Arial"/>
          <w:color w:val="000000"/>
        </w:rPr>
        <w:t xml:space="preserve"> and </w:t>
      </w:r>
      <w:proofErr w:type="spellStart"/>
      <w:r w:rsidRPr="006412F2">
        <w:rPr>
          <w:rFonts w:ascii="Trebuchet MS" w:eastAsia="Arial" w:hAnsi="Trebuchet MS" w:cs="Arial"/>
          <w:color w:val="000000"/>
        </w:rPr>
        <w:t>Omohimi</w:t>
      </w:r>
      <w:proofErr w:type="spellEnd"/>
      <w:r w:rsidRPr="006412F2">
        <w:rPr>
          <w:rFonts w:ascii="Trebuchet MS" w:eastAsia="Arial" w:hAnsi="Trebuchet MS" w:cs="Arial"/>
          <w:color w:val="000000"/>
        </w:rPr>
        <w:t>, 2019; ICS Learn, 2025). Men (2014) links strategic internal communication to employee trust, engagement, and alignment with organisational goals, noting that transformational leadership and rich communication channels significantly improve relational satisfaction. These outcomes are vital for fast-growing firms where agility and cohesion are essential.</w:t>
      </w:r>
    </w:p>
    <w:p w14:paraId="40C59635" w14:textId="77777777" w:rsidR="006412F2" w:rsidRPr="006412F2" w:rsidRDefault="006412F2" w:rsidP="00B22AAC">
      <w:pPr>
        <w:spacing w:after="0" w:line="240" w:lineRule="auto"/>
        <w:ind w:left="426"/>
        <w:jc w:val="both"/>
        <w:rPr>
          <w:rFonts w:ascii="Trebuchet MS" w:eastAsia="Arial" w:hAnsi="Trebuchet MS" w:cs="Arial"/>
          <w:color w:val="000000"/>
        </w:rPr>
      </w:pPr>
    </w:p>
    <w:p w14:paraId="77204E69" w14:textId="77777777" w:rsidR="006412F2" w:rsidRPr="006412F2" w:rsidRDefault="006412F2" w:rsidP="00B22AAC">
      <w:pPr>
        <w:spacing w:after="0" w:line="240" w:lineRule="auto"/>
        <w:ind w:left="426"/>
        <w:jc w:val="both"/>
        <w:rPr>
          <w:rFonts w:ascii="Trebuchet MS" w:eastAsia="Arial" w:hAnsi="Trebuchet MS" w:cs="Arial"/>
          <w:color w:val="000000"/>
        </w:rPr>
      </w:pPr>
      <w:r w:rsidRPr="006412F2">
        <w:rPr>
          <w:rFonts w:ascii="Trebuchet MS" w:eastAsia="Arial" w:hAnsi="Trebuchet MS" w:cs="Arial"/>
          <w:color w:val="000000"/>
        </w:rPr>
        <w:t>For individuals, poor communication can result in diminished influence within management teams, causing recommendations to be overlooked and limiting impact on areas such as employee experience and organisational culture. For organisations, the consequences are greater: without a strong HR voice, issues like high turnover, dissatisfaction, and fragmented cultures may persist. Ulrich et al. (2012) argue that HR professionals must act as credible activists—combining expertise with influence—to navigate change and build sustainable performance.</w:t>
      </w:r>
    </w:p>
    <w:p w14:paraId="2D6D0636" w14:textId="77777777" w:rsidR="006412F2" w:rsidRPr="006412F2" w:rsidRDefault="006412F2" w:rsidP="00B22AAC">
      <w:pPr>
        <w:spacing w:after="0" w:line="240" w:lineRule="auto"/>
        <w:ind w:left="426"/>
        <w:jc w:val="both"/>
        <w:rPr>
          <w:rFonts w:ascii="Trebuchet MS" w:eastAsia="Arial" w:hAnsi="Trebuchet MS" w:cs="Arial"/>
          <w:color w:val="000000"/>
        </w:rPr>
      </w:pPr>
    </w:p>
    <w:p w14:paraId="4A940707" w14:textId="77777777" w:rsidR="006412F2" w:rsidRPr="006412F2" w:rsidRDefault="006412F2" w:rsidP="00B22AAC">
      <w:pPr>
        <w:spacing w:after="0" w:line="240" w:lineRule="auto"/>
        <w:ind w:left="426"/>
        <w:jc w:val="both"/>
        <w:rPr>
          <w:rFonts w:ascii="Trebuchet MS" w:eastAsia="Arial" w:hAnsi="Trebuchet MS" w:cs="Arial"/>
          <w:color w:val="000000"/>
        </w:rPr>
      </w:pPr>
      <w:r w:rsidRPr="006412F2">
        <w:rPr>
          <w:rFonts w:ascii="Trebuchet MS" w:eastAsia="Arial" w:hAnsi="Trebuchet MS" w:cs="Arial"/>
          <w:color w:val="000000"/>
        </w:rPr>
        <w:t>Collectively, these findings demonstrate that communication is not merely transactional but a strategic enabler of organisational success. Developing and consistently applying strong communication skills is essential for HR professionals to establish credibility, influence decision-making, and drive long-term performance.</w:t>
      </w:r>
    </w:p>
    <w:p w14:paraId="0DC13E3F" w14:textId="77777777" w:rsidR="006412F2" w:rsidRPr="005A6CA6" w:rsidRDefault="006412F2" w:rsidP="00DC643D">
      <w:pPr>
        <w:spacing w:before="100" w:beforeAutospacing="1" w:after="100" w:afterAutospacing="1" w:line="240" w:lineRule="auto"/>
        <w:jc w:val="both"/>
        <w:rPr>
          <w:rFonts w:ascii="Trebuchet MS" w:eastAsia="Times New Roman" w:hAnsi="Trebuchet MS" w:cs="Times New Roman"/>
          <w:lang w:eastAsia="en-GB"/>
        </w:rPr>
      </w:pPr>
    </w:p>
    <w:p w14:paraId="4B62BBE7" w14:textId="5AE97F5C" w:rsidR="00C00D35" w:rsidRPr="00C00D35" w:rsidRDefault="00C00D35" w:rsidP="003C161A">
      <w:pPr>
        <w:spacing w:after="0"/>
        <w:ind w:left="426"/>
        <w:contextualSpacing/>
        <w:rPr>
          <w:rFonts w:ascii="Trebuchet MS" w:eastAsia="Arial" w:hAnsi="Trebuchet MS" w:cs="Arial"/>
          <w:b/>
          <w:bCs/>
          <w:color w:val="4472C4" w:themeColor="accent1"/>
          <w:sz w:val="24"/>
          <w:szCs w:val="24"/>
        </w:rPr>
      </w:pPr>
      <w:r w:rsidRPr="00C00D35">
        <w:rPr>
          <w:rFonts w:ascii="Trebuchet MS" w:eastAsia="Arial" w:hAnsi="Trebuchet MS" w:cs="Arial"/>
          <w:b/>
          <w:bCs/>
          <w:color w:val="4472C4" w:themeColor="accent1"/>
          <w:sz w:val="24"/>
          <w:szCs w:val="24"/>
        </w:rPr>
        <w:lastRenderedPageBreak/>
        <w:t>AC 1.4</w:t>
      </w:r>
    </w:p>
    <w:p w14:paraId="209A72AB" w14:textId="77777777" w:rsidR="00C00D35" w:rsidRDefault="00C00D35" w:rsidP="003C161A">
      <w:pPr>
        <w:spacing w:after="0"/>
        <w:ind w:left="426"/>
        <w:contextualSpacing/>
        <w:rPr>
          <w:rFonts w:ascii="Trebuchet MS" w:eastAsia="Arial" w:hAnsi="Trebuchet MS" w:cs="Arial"/>
          <w:color w:val="000000"/>
          <w:szCs w:val="24"/>
        </w:rPr>
      </w:pPr>
    </w:p>
    <w:p w14:paraId="5B82112D" w14:textId="25CF6676" w:rsidR="003C161A" w:rsidRDefault="003C161A" w:rsidP="00BF1321">
      <w:pPr>
        <w:spacing w:after="0"/>
        <w:ind w:left="426"/>
        <w:contextualSpacing/>
        <w:jc w:val="both"/>
        <w:rPr>
          <w:rFonts w:ascii="Trebuchet MS" w:eastAsia="Arial" w:hAnsi="Trebuchet MS" w:cs="Arial"/>
          <w:color w:val="000000"/>
          <w:szCs w:val="24"/>
        </w:rPr>
      </w:pPr>
      <w:r w:rsidRPr="003C161A">
        <w:rPr>
          <w:rFonts w:ascii="Trebuchet MS" w:eastAsia="Arial" w:hAnsi="Trebuchet MS" w:cs="Arial"/>
          <w:color w:val="000000"/>
          <w:szCs w:val="24"/>
        </w:rPr>
        <w:t xml:space="preserve">If the HR/L&amp;D Adviser at </w:t>
      </w:r>
      <w:proofErr w:type="spellStart"/>
      <w:r w:rsidRPr="003C161A">
        <w:rPr>
          <w:rFonts w:ascii="Trebuchet MS" w:eastAsia="Arial" w:hAnsi="Trebuchet MS" w:cs="Arial"/>
          <w:color w:val="000000"/>
          <w:szCs w:val="24"/>
        </w:rPr>
        <w:t>Nexxobyte</w:t>
      </w:r>
      <w:proofErr w:type="spellEnd"/>
      <w:r w:rsidRPr="003C161A">
        <w:rPr>
          <w:rFonts w:ascii="Trebuchet MS" w:eastAsia="Arial" w:hAnsi="Trebuchet MS" w:cs="Arial"/>
          <w:color w:val="000000"/>
          <w:szCs w:val="24"/>
        </w:rPr>
        <w:t xml:space="preserve"> had been aware of unethical favouritism in training approvals and illegal use of company resources, they would have acted with professionalism, discretion, and a commitment to ethical practice. Ethical behaviour is a core requirement for people professionals, as outlined by the CIPD (2021), which stresses integrity, fairness, and adherence to legal and professional standards.</w:t>
      </w:r>
    </w:p>
    <w:p w14:paraId="7362F50E" w14:textId="77777777" w:rsidR="00BF1321" w:rsidRPr="003C161A" w:rsidRDefault="00BF1321" w:rsidP="00BF1321">
      <w:pPr>
        <w:spacing w:after="0"/>
        <w:ind w:left="426"/>
        <w:contextualSpacing/>
        <w:jc w:val="both"/>
        <w:rPr>
          <w:rFonts w:ascii="Trebuchet MS" w:eastAsia="Arial" w:hAnsi="Trebuchet MS" w:cs="Arial"/>
          <w:color w:val="000000"/>
          <w:szCs w:val="24"/>
        </w:rPr>
      </w:pPr>
    </w:p>
    <w:p w14:paraId="27D9C663" w14:textId="77777777" w:rsidR="003C161A" w:rsidRDefault="003C161A" w:rsidP="00BF1321">
      <w:pPr>
        <w:spacing w:after="0"/>
        <w:ind w:left="426"/>
        <w:contextualSpacing/>
        <w:jc w:val="both"/>
        <w:rPr>
          <w:rFonts w:ascii="Trebuchet MS" w:eastAsia="Arial" w:hAnsi="Trebuchet MS" w:cs="Arial"/>
          <w:color w:val="000000"/>
          <w:szCs w:val="24"/>
        </w:rPr>
      </w:pPr>
      <w:r w:rsidRPr="003C161A">
        <w:rPr>
          <w:rFonts w:ascii="Trebuchet MS" w:eastAsia="Arial" w:hAnsi="Trebuchet MS" w:cs="Arial"/>
          <w:color w:val="000000"/>
          <w:szCs w:val="24"/>
        </w:rPr>
        <w:t>Favouritism undermines fairness, damages morale, and can lead to grievances or legal claims, particularly where protected characteristics are involved (</w:t>
      </w:r>
      <w:proofErr w:type="spellStart"/>
      <w:r w:rsidRPr="003C161A">
        <w:rPr>
          <w:rFonts w:ascii="Trebuchet MS" w:eastAsia="Arial" w:hAnsi="Trebuchet MS" w:cs="Arial"/>
          <w:color w:val="000000"/>
          <w:szCs w:val="24"/>
        </w:rPr>
        <w:t>DavidsonMorris</w:t>
      </w:r>
      <w:proofErr w:type="spellEnd"/>
      <w:r w:rsidRPr="003C161A">
        <w:rPr>
          <w:rFonts w:ascii="Trebuchet MS" w:eastAsia="Arial" w:hAnsi="Trebuchet MS" w:cs="Arial"/>
          <w:color w:val="000000"/>
          <w:szCs w:val="24"/>
        </w:rPr>
        <w:t>, 2025). The CIPD Code of Conduct requires HR professionals to challenge unfairness and uphold equality and inclusion (CIPD, 2023). Addressing such issues begins with gathering objective evidence, such as training approval records or employee feedback, to ensure concerns are fact-based (Kingfisher Professional Services, 2025). A confidential discussion with the manager should follow, focusing on the impact on morale and organisational culture while promoting transparency and merit-based decisions (HR Team, 2024). If unresolved, escalation to senior leadership and recommendations for policy review and management training are essential. Research highlights that mitigating favouritism requires clear processes, equal access to opportunities, and leadership accountability to foster trust and fairness (</w:t>
      </w:r>
      <w:proofErr w:type="spellStart"/>
      <w:r w:rsidRPr="003C161A">
        <w:rPr>
          <w:rFonts w:ascii="Trebuchet MS" w:eastAsia="Arial" w:hAnsi="Trebuchet MS" w:cs="Arial"/>
          <w:color w:val="000000"/>
          <w:szCs w:val="24"/>
        </w:rPr>
        <w:t>Yusoff</w:t>
      </w:r>
      <w:proofErr w:type="spellEnd"/>
      <w:r w:rsidRPr="003C161A">
        <w:rPr>
          <w:rFonts w:ascii="Trebuchet MS" w:eastAsia="Arial" w:hAnsi="Trebuchet MS" w:cs="Arial"/>
          <w:color w:val="000000"/>
          <w:szCs w:val="24"/>
        </w:rPr>
        <w:t>, 2025).</w:t>
      </w:r>
    </w:p>
    <w:p w14:paraId="3E08BFD2" w14:textId="77777777" w:rsidR="00237836" w:rsidRPr="003C161A" w:rsidRDefault="00237836" w:rsidP="00BF1321">
      <w:pPr>
        <w:spacing w:after="0"/>
        <w:ind w:left="426"/>
        <w:contextualSpacing/>
        <w:jc w:val="both"/>
        <w:rPr>
          <w:rFonts w:ascii="Trebuchet MS" w:eastAsia="Arial" w:hAnsi="Trebuchet MS" w:cs="Arial"/>
          <w:color w:val="000000"/>
          <w:szCs w:val="24"/>
        </w:rPr>
      </w:pPr>
    </w:p>
    <w:p w14:paraId="689C920A" w14:textId="77777777" w:rsidR="003C161A" w:rsidRDefault="003C161A" w:rsidP="00BF1321">
      <w:pPr>
        <w:spacing w:after="0"/>
        <w:ind w:left="426"/>
        <w:contextualSpacing/>
        <w:jc w:val="both"/>
        <w:rPr>
          <w:rFonts w:ascii="Trebuchet MS" w:eastAsia="Arial" w:hAnsi="Trebuchet MS" w:cs="Arial"/>
          <w:color w:val="000000"/>
          <w:szCs w:val="24"/>
        </w:rPr>
      </w:pPr>
      <w:r w:rsidRPr="003C161A">
        <w:rPr>
          <w:rFonts w:ascii="Trebuchet MS" w:eastAsia="Arial" w:hAnsi="Trebuchet MS" w:cs="Arial"/>
          <w:color w:val="000000"/>
          <w:szCs w:val="24"/>
        </w:rPr>
        <w:t xml:space="preserve">Misuse of company resources for personal business constitutes a serious breach of organisational policy and may amount to gross misconduct under UK employment law (Safe Workers UK, 2025). The CIPD Code of Conduct emphasises integrity and accountability in addressing such behaviour (CIPD, 2023). The Adviser should gather clear evidence, such as system logs or witness statements, before escalating the matter through the disciplinary procedure in line with the </w:t>
      </w:r>
      <w:proofErr w:type="spellStart"/>
      <w:r w:rsidRPr="003C161A">
        <w:rPr>
          <w:rFonts w:ascii="Trebuchet MS" w:eastAsia="Arial" w:hAnsi="Trebuchet MS" w:cs="Arial"/>
          <w:color w:val="000000"/>
          <w:szCs w:val="24"/>
        </w:rPr>
        <w:t>Acas</w:t>
      </w:r>
      <w:proofErr w:type="spellEnd"/>
      <w:r w:rsidRPr="003C161A">
        <w:rPr>
          <w:rFonts w:ascii="Trebuchet MS" w:eastAsia="Arial" w:hAnsi="Trebuchet MS" w:cs="Arial"/>
          <w:color w:val="000000"/>
          <w:szCs w:val="24"/>
        </w:rPr>
        <w:t xml:space="preserve"> Code of Practice (</w:t>
      </w:r>
      <w:proofErr w:type="spellStart"/>
      <w:r w:rsidRPr="003C161A">
        <w:rPr>
          <w:rFonts w:ascii="Trebuchet MS" w:eastAsia="Arial" w:hAnsi="Trebuchet MS" w:cs="Arial"/>
          <w:color w:val="000000"/>
          <w:szCs w:val="24"/>
        </w:rPr>
        <w:t>Acas</w:t>
      </w:r>
      <w:proofErr w:type="spellEnd"/>
      <w:r w:rsidRPr="003C161A">
        <w:rPr>
          <w:rFonts w:ascii="Trebuchet MS" w:eastAsia="Arial" w:hAnsi="Trebuchet MS" w:cs="Arial"/>
          <w:color w:val="000000"/>
          <w:szCs w:val="24"/>
        </w:rPr>
        <w:t>, 2025). This process includes investigation, a formal hearing, and an opportunity for the employee to respond before deciding on sanctions, which may range from warnings to dismissal for gross misconduct (Kingfisher Professional Services, 2025). Policies on acceptable use should also be reinforced to prevent recurrence (CIPD, 2025).</w:t>
      </w:r>
    </w:p>
    <w:p w14:paraId="3A609757" w14:textId="77777777" w:rsidR="00237836" w:rsidRPr="003C161A" w:rsidRDefault="00237836" w:rsidP="00BF1321">
      <w:pPr>
        <w:spacing w:after="0"/>
        <w:ind w:left="426"/>
        <w:contextualSpacing/>
        <w:jc w:val="both"/>
        <w:rPr>
          <w:rFonts w:ascii="Trebuchet MS" w:eastAsia="Arial" w:hAnsi="Trebuchet MS" w:cs="Arial"/>
          <w:color w:val="000000"/>
          <w:szCs w:val="24"/>
        </w:rPr>
      </w:pPr>
    </w:p>
    <w:p w14:paraId="599B6DD0" w14:textId="77777777" w:rsidR="003C161A" w:rsidRPr="003C161A" w:rsidRDefault="003C161A" w:rsidP="00BF1321">
      <w:pPr>
        <w:spacing w:after="0"/>
        <w:ind w:left="426"/>
        <w:contextualSpacing/>
        <w:jc w:val="both"/>
        <w:rPr>
          <w:rFonts w:ascii="Trebuchet MS" w:eastAsia="Arial" w:hAnsi="Trebuchet MS" w:cs="Arial"/>
          <w:color w:val="000000"/>
          <w:szCs w:val="24"/>
        </w:rPr>
      </w:pPr>
      <w:r w:rsidRPr="003C161A">
        <w:rPr>
          <w:rFonts w:ascii="Trebuchet MS" w:eastAsia="Arial" w:hAnsi="Trebuchet MS" w:cs="Arial"/>
          <w:color w:val="000000"/>
          <w:szCs w:val="24"/>
        </w:rPr>
        <w:t xml:space="preserve">Failure to address unethical behaviour can damage reputation, expose the organisation to legal risk, and erode employee trust. HR professionals must act as credible activists—combining expertise with the courage to challenge misconduct and influence change (Ulrich et al., 2012). </w:t>
      </w:r>
      <w:proofErr w:type="spellStart"/>
      <w:r w:rsidRPr="003C161A">
        <w:rPr>
          <w:rFonts w:ascii="Trebuchet MS" w:eastAsia="Arial" w:hAnsi="Trebuchet MS" w:cs="Arial"/>
          <w:color w:val="000000"/>
          <w:szCs w:val="24"/>
        </w:rPr>
        <w:t>Bogale</w:t>
      </w:r>
      <w:proofErr w:type="spellEnd"/>
      <w:r w:rsidRPr="003C161A">
        <w:rPr>
          <w:rFonts w:ascii="Trebuchet MS" w:eastAsia="Arial" w:hAnsi="Trebuchet MS" w:cs="Arial"/>
          <w:color w:val="000000"/>
          <w:szCs w:val="24"/>
        </w:rPr>
        <w:t xml:space="preserve"> and </w:t>
      </w:r>
      <w:proofErr w:type="spellStart"/>
      <w:r w:rsidRPr="003C161A">
        <w:rPr>
          <w:rFonts w:ascii="Trebuchet MS" w:eastAsia="Arial" w:hAnsi="Trebuchet MS" w:cs="Arial"/>
          <w:color w:val="000000"/>
          <w:szCs w:val="24"/>
        </w:rPr>
        <w:t>Birbirsa</w:t>
      </w:r>
      <w:proofErr w:type="spellEnd"/>
      <w:r w:rsidRPr="003C161A">
        <w:rPr>
          <w:rFonts w:ascii="Trebuchet MS" w:eastAsia="Arial" w:hAnsi="Trebuchet MS" w:cs="Arial"/>
          <w:color w:val="000000"/>
          <w:szCs w:val="24"/>
        </w:rPr>
        <w:t xml:space="preserve"> (2023) emphasise that vigilance and decisive action are essential to protect organisational integrity and performance. By consistently applying ethical principles, the Adviser would help foster a culture of fairness, accountability, and trust at </w:t>
      </w:r>
      <w:proofErr w:type="spellStart"/>
      <w:r w:rsidRPr="003C161A">
        <w:rPr>
          <w:rFonts w:ascii="Trebuchet MS" w:eastAsia="Arial" w:hAnsi="Trebuchet MS" w:cs="Arial"/>
          <w:color w:val="000000"/>
          <w:szCs w:val="24"/>
        </w:rPr>
        <w:t>Nexxobyte</w:t>
      </w:r>
      <w:proofErr w:type="spellEnd"/>
      <w:r w:rsidRPr="003C161A">
        <w:rPr>
          <w:rFonts w:ascii="Trebuchet MS" w:eastAsia="Arial" w:hAnsi="Trebuchet MS" w:cs="Arial"/>
          <w:color w:val="000000"/>
          <w:szCs w:val="24"/>
        </w:rPr>
        <w:t>.</w:t>
      </w:r>
    </w:p>
    <w:p w14:paraId="2DC0BF17" w14:textId="77777777" w:rsidR="005A6CA6" w:rsidRDefault="005A6CA6" w:rsidP="00BF1321">
      <w:pPr>
        <w:spacing w:after="0" w:line="240" w:lineRule="auto"/>
        <w:ind w:left="426"/>
        <w:jc w:val="both"/>
        <w:rPr>
          <w:rFonts w:ascii="Trebuchet MS" w:eastAsia="Arial" w:hAnsi="Trebuchet MS" w:cs="Arial"/>
        </w:rPr>
      </w:pPr>
    </w:p>
    <w:p w14:paraId="490A3B59" w14:textId="77777777" w:rsidR="00AA2E69" w:rsidRDefault="00AA2E69" w:rsidP="004E35D4">
      <w:pPr>
        <w:spacing w:after="0" w:line="240" w:lineRule="auto"/>
        <w:ind w:left="426"/>
        <w:jc w:val="both"/>
        <w:rPr>
          <w:rFonts w:ascii="Trebuchet MS" w:eastAsia="Arial" w:hAnsi="Trebuchet MS" w:cs="Arial"/>
        </w:rPr>
      </w:pPr>
    </w:p>
    <w:p w14:paraId="4481934F" w14:textId="77777777" w:rsidR="00AA2E69" w:rsidRDefault="00AA2E69" w:rsidP="004E35D4">
      <w:pPr>
        <w:spacing w:after="0" w:line="240" w:lineRule="auto"/>
        <w:ind w:left="426"/>
        <w:jc w:val="both"/>
        <w:rPr>
          <w:rFonts w:ascii="Trebuchet MS" w:eastAsia="Arial" w:hAnsi="Trebuchet MS" w:cs="Arial"/>
        </w:rPr>
      </w:pPr>
    </w:p>
    <w:p w14:paraId="3D1B1F34" w14:textId="77777777" w:rsidR="00AA2E69" w:rsidRDefault="00AA2E69" w:rsidP="004E35D4">
      <w:pPr>
        <w:spacing w:after="0" w:line="240" w:lineRule="auto"/>
        <w:ind w:left="426"/>
        <w:jc w:val="both"/>
        <w:rPr>
          <w:rFonts w:ascii="Trebuchet MS" w:eastAsia="Arial" w:hAnsi="Trebuchet MS" w:cs="Arial"/>
        </w:rPr>
      </w:pPr>
    </w:p>
    <w:p w14:paraId="211DDA67" w14:textId="77777777" w:rsidR="00AA2E69" w:rsidRDefault="00AA2E69" w:rsidP="004E35D4">
      <w:pPr>
        <w:spacing w:after="0" w:line="240" w:lineRule="auto"/>
        <w:ind w:left="426"/>
        <w:jc w:val="both"/>
        <w:rPr>
          <w:rFonts w:ascii="Trebuchet MS" w:eastAsia="Arial" w:hAnsi="Trebuchet MS" w:cs="Arial"/>
        </w:rPr>
      </w:pPr>
    </w:p>
    <w:p w14:paraId="562B34F1" w14:textId="77777777" w:rsidR="00AA2E69" w:rsidRDefault="00AA2E69" w:rsidP="004E35D4">
      <w:pPr>
        <w:spacing w:after="0" w:line="240" w:lineRule="auto"/>
        <w:ind w:left="426"/>
        <w:jc w:val="both"/>
        <w:rPr>
          <w:rFonts w:ascii="Trebuchet MS" w:eastAsia="Arial" w:hAnsi="Trebuchet MS" w:cs="Arial"/>
        </w:rPr>
      </w:pPr>
    </w:p>
    <w:p w14:paraId="72D66226" w14:textId="77777777" w:rsidR="00842D16" w:rsidRDefault="00842D16" w:rsidP="004E35D4">
      <w:pPr>
        <w:spacing w:after="0" w:line="240" w:lineRule="auto"/>
        <w:ind w:left="426"/>
        <w:jc w:val="both"/>
        <w:rPr>
          <w:rFonts w:ascii="Trebuchet MS" w:eastAsia="Arial" w:hAnsi="Trebuchet MS" w:cs="Arial"/>
        </w:rPr>
        <w:sectPr w:rsidR="00842D16">
          <w:footerReference w:type="default" r:id="rId6"/>
          <w:pgSz w:w="11906" w:h="16838"/>
          <w:pgMar w:top="1440" w:right="1440" w:bottom="1440" w:left="1440" w:header="708" w:footer="708" w:gutter="0"/>
          <w:cols w:space="708"/>
          <w:docGrid w:linePitch="360"/>
        </w:sectPr>
      </w:pPr>
    </w:p>
    <w:p w14:paraId="191BB201" w14:textId="38472ACA" w:rsidR="00237836" w:rsidRDefault="0061207B" w:rsidP="004E35D4">
      <w:pPr>
        <w:spacing w:after="0" w:line="240" w:lineRule="auto"/>
        <w:ind w:left="426"/>
        <w:jc w:val="both"/>
        <w:rPr>
          <w:rFonts w:ascii="Trebuchet MS" w:eastAsia="Arial" w:hAnsi="Trebuchet MS" w:cs="Arial"/>
          <w:b/>
          <w:bCs/>
          <w:color w:val="4472C4" w:themeColor="accent1"/>
          <w:sz w:val="24"/>
          <w:szCs w:val="24"/>
        </w:rPr>
      </w:pPr>
      <w:r>
        <w:rPr>
          <w:rFonts w:ascii="Trebuchet MS" w:eastAsia="Arial" w:hAnsi="Trebuchet MS" w:cs="Arial"/>
          <w:b/>
          <w:bCs/>
          <w:color w:val="4472C4" w:themeColor="accent1"/>
          <w:sz w:val="24"/>
          <w:szCs w:val="24"/>
        </w:rPr>
        <w:lastRenderedPageBreak/>
        <w:t>AC 1.5</w:t>
      </w:r>
    </w:p>
    <w:p w14:paraId="6C814450" w14:textId="77777777" w:rsidR="0061207B" w:rsidRDefault="0061207B" w:rsidP="004E35D4">
      <w:pPr>
        <w:spacing w:after="0" w:line="240" w:lineRule="auto"/>
        <w:ind w:left="426"/>
        <w:jc w:val="both"/>
        <w:rPr>
          <w:rFonts w:ascii="Trebuchet MS" w:eastAsia="Arial" w:hAnsi="Trebuchet MS" w:cs="Arial"/>
          <w:b/>
          <w:bCs/>
          <w:color w:val="4472C4" w:themeColor="accent1"/>
          <w:sz w:val="24"/>
          <w:szCs w:val="24"/>
        </w:rPr>
      </w:pPr>
    </w:p>
    <w:p w14:paraId="53DE2E99" w14:textId="77777777" w:rsidR="0061207B" w:rsidRDefault="0061207B" w:rsidP="00723590">
      <w:pPr>
        <w:spacing w:after="0"/>
        <w:ind w:left="426"/>
        <w:contextualSpacing/>
        <w:jc w:val="both"/>
        <w:rPr>
          <w:rFonts w:ascii="Trebuchet MS" w:eastAsia="Arial" w:hAnsi="Trebuchet MS" w:cs="Arial"/>
          <w:color w:val="000000"/>
          <w:szCs w:val="24"/>
        </w:rPr>
      </w:pPr>
      <w:r w:rsidRPr="0061207B">
        <w:rPr>
          <w:rFonts w:ascii="Trebuchet MS" w:eastAsia="Arial" w:hAnsi="Trebuchet MS" w:cs="Arial"/>
          <w:color w:val="000000"/>
          <w:szCs w:val="24"/>
        </w:rPr>
        <w:t>Sustainable organisational success depends not only on financial performance but also on employee wellbeing, engagement, and retention. Research consistently shows that when employees feel included, valued, and treated fairly, they are more engaged, productive, and committed to the organisation (Harvard Business Review, 2020). The notion that reducing protections increases effort contradicts evidence demonstrating that inclusion and fairness foster psychological safety—a state where individuals feel safe to express ideas and take risks without fear of negative consequences (Edmondson, 2018). Psychological safety is linked to higher collaboration and innovation, which are critical for organisational resilience.</w:t>
      </w:r>
    </w:p>
    <w:p w14:paraId="34771F0B" w14:textId="77777777" w:rsidR="00723590" w:rsidRPr="0061207B" w:rsidRDefault="00723590" w:rsidP="00723590">
      <w:pPr>
        <w:spacing w:after="0"/>
        <w:ind w:left="426"/>
        <w:contextualSpacing/>
        <w:jc w:val="both"/>
        <w:rPr>
          <w:rFonts w:ascii="Trebuchet MS" w:eastAsia="Arial" w:hAnsi="Trebuchet MS" w:cs="Arial"/>
          <w:color w:val="000000"/>
          <w:szCs w:val="24"/>
        </w:rPr>
      </w:pPr>
    </w:p>
    <w:p w14:paraId="0DAE77BB" w14:textId="77777777" w:rsidR="0061207B" w:rsidRDefault="0061207B" w:rsidP="00723590">
      <w:pPr>
        <w:spacing w:after="0"/>
        <w:ind w:left="426"/>
        <w:contextualSpacing/>
        <w:jc w:val="both"/>
        <w:rPr>
          <w:rFonts w:ascii="Trebuchet MS" w:eastAsia="Arial" w:hAnsi="Trebuchet MS" w:cs="Arial"/>
          <w:color w:val="000000"/>
          <w:szCs w:val="24"/>
        </w:rPr>
      </w:pPr>
      <w:r w:rsidRPr="0061207B">
        <w:rPr>
          <w:rFonts w:ascii="Trebuchet MS" w:eastAsia="Arial" w:hAnsi="Trebuchet MS" w:cs="Arial"/>
          <w:color w:val="000000"/>
          <w:szCs w:val="24"/>
        </w:rPr>
        <w:t xml:space="preserve">From a human perspective, inclusion and fairness significantly influence emotional commitment and loyalty. </w:t>
      </w:r>
      <w:proofErr w:type="spellStart"/>
      <w:r w:rsidRPr="0061207B">
        <w:rPr>
          <w:rFonts w:ascii="Trebuchet MS" w:eastAsia="Arial" w:hAnsi="Trebuchet MS" w:cs="Arial"/>
          <w:color w:val="000000"/>
          <w:szCs w:val="24"/>
        </w:rPr>
        <w:t>Pinho</w:t>
      </w:r>
      <w:proofErr w:type="spellEnd"/>
      <w:r w:rsidRPr="0061207B">
        <w:rPr>
          <w:rFonts w:ascii="Trebuchet MS" w:eastAsia="Arial" w:hAnsi="Trebuchet MS" w:cs="Arial"/>
          <w:color w:val="000000"/>
          <w:szCs w:val="24"/>
        </w:rPr>
        <w:t xml:space="preserve"> and Colston (2024) found that perceptions of fairness and psychological safety enhance engagement and discretionary effort. Social Identity Theory (Tajfel &amp; Turner, 1979) and Organisational Justice Theory (Greenberg, 1987) further explain that fairness and belonging directly affect motivation and performance. When employees perceive inequity or exclusion, outcomes such as disengagement, conflict, and attrition often follow—issues that are costly for any organisation.</w:t>
      </w:r>
    </w:p>
    <w:p w14:paraId="5AC69CA3" w14:textId="77777777" w:rsidR="00723590" w:rsidRPr="0061207B" w:rsidRDefault="00723590" w:rsidP="00723590">
      <w:pPr>
        <w:spacing w:after="0"/>
        <w:ind w:left="426"/>
        <w:contextualSpacing/>
        <w:jc w:val="both"/>
        <w:rPr>
          <w:rFonts w:ascii="Trebuchet MS" w:eastAsia="Arial" w:hAnsi="Trebuchet MS" w:cs="Arial"/>
          <w:color w:val="000000"/>
          <w:szCs w:val="24"/>
        </w:rPr>
      </w:pPr>
    </w:p>
    <w:p w14:paraId="7933F3BB" w14:textId="77777777" w:rsidR="0061207B" w:rsidRDefault="0061207B" w:rsidP="00723590">
      <w:pPr>
        <w:spacing w:after="0"/>
        <w:ind w:left="426"/>
        <w:contextualSpacing/>
        <w:jc w:val="both"/>
        <w:rPr>
          <w:rFonts w:ascii="Trebuchet MS" w:eastAsia="Arial" w:hAnsi="Trebuchet MS" w:cs="Arial"/>
          <w:color w:val="000000"/>
          <w:szCs w:val="24"/>
        </w:rPr>
      </w:pPr>
      <w:r w:rsidRPr="0061207B">
        <w:rPr>
          <w:rFonts w:ascii="Trebuchet MS" w:eastAsia="Arial" w:hAnsi="Trebuchet MS" w:cs="Arial"/>
          <w:color w:val="000000"/>
          <w:szCs w:val="24"/>
        </w:rPr>
        <w:t>From a business standpoint, the benefits of inclusion are compelling. Organisations with highly engaged employees achieve up to 23% higher profitability and 18% greater productivity compared to those with disengaged teams (Harvard Business Review, 2020). Inclusion also drives innovation, as diverse teams bring varied perspectives and problem-solving approaches (</w:t>
      </w:r>
      <w:proofErr w:type="spellStart"/>
      <w:r w:rsidRPr="0061207B">
        <w:rPr>
          <w:rFonts w:ascii="Trebuchet MS" w:eastAsia="Arial" w:hAnsi="Trebuchet MS" w:cs="Arial"/>
          <w:color w:val="000000"/>
          <w:szCs w:val="24"/>
        </w:rPr>
        <w:t>Ayoko</w:t>
      </w:r>
      <w:proofErr w:type="spellEnd"/>
      <w:r w:rsidRPr="0061207B">
        <w:rPr>
          <w:rFonts w:ascii="Trebuchet MS" w:eastAsia="Arial" w:hAnsi="Trebuchet MS" w:cs="Arial"/>
          <w:color w:val="000000"/>
          <w:szCs w:val="24"/>
        </w:rPr>
        <w:t xml:space="preserve"> &amp; Fujimoto, 2024). </w:t>
      </w:r>
      <w:proofErr w:type="spellStart"/>
      <w:r w:rsidRPr="0061207B">
        <w:rPr>
          <w:rFonts w:ascii="Trebuchet MS" w:eastAsia="Arial" w:hAnsi="Trebuchet MS" w:cs="Arial"/>
          <w:color w:val="000000"/>
          <w:szCs w:val="24"/>
        </w:rPr>
        <w:t>Bohnet</w:t>
      </w:r>
      <w:proofErr w:type="spellEnd"/>
      <w:r w:rsidRPr="0061207B">
        <w:rPr>
          <w:rFonts w:ascii="Trebuchet MS" w:eastAsia="Arial" w:hAnsi="Trebuchet MS" w:cs="Arial"/>
          <w:color w:val="000000"/>
          <w:szCs w:val="24"/>
        </w:rPr>
        <w:t xml:space="preserve"> and </w:t>
      </w:r>
      <w:proofErr w:type="spellStart"/>
      <w:r w:rsidRPr="0061207B">
        <w:rPr>
          <w:rFonts w:ascii="Trebuchet MS" w:eastAsia="Arial" w:hAnsi="Trebuchet MS" w:cs="Arial"/>
          <w:color w:val="000000"/>
          <w:szCs w:val="24"/>
        </w:rPr>
        <w:t>Chilazi</w:t>
      </w:r>
      <w:proofErr w:type="spellEnd"/>
      <w:r w:rsidRPr="0061207B">
        <w:rPr>
          <w:rFonts w:ascii="Trebuchet MS" w:eastAsia="Arial" w:hAnsi="Trebuchet MS" w:cs="Arial"/>
          <w:color w:val="000000"/>
          <w:szCs w:val="24"/>
        </w:rPr>
        <w:t xml:space="preserve"> (2025) highlight that fairness in systems, such as access to development opportunities, improves cohesion and reduces turnover. McKinsey’s research reinforces this, showing that gender-diverse leadership teams are 25% more likely to outperform financially, while ethnically diverse teams are 36% more likely to achieve superior results (Hunt et al., 2015; McKinsey, 2024).</w:t>
      </w:r>
    </w:p>
    <w:p w14:paraId="4D3A1AFF" w14:textId="77777777" w:rsidR="00723590" w:rsidRPr="0061207B" w:rsidRDefault="00723590" w:rsidP="00723590">
      <w:pPr>
        <w:spacing w:after="0"/>
        <w:ind w:left="426"/>
        <w:contextualSpacing/>
        <w:jc w:val="both"/>
        <w:rPr>
          <w:rFonts w:ascii="Trebuchet MS" w:eastAsia="Arial" w:hAnsi="Trebuchet MS" w:cs="Arial"/>
          <w:color w:val="000000"/>
          <w:szCs w:val="24"/>
        </w:rPr>
      </w:pPr>
    </w:p>
    <w:p w14:paraId="591A52FB" w14:textId="77777777" w:rsidR="0061207B" w:rsidRDefault="0061207B" w:rsidP="00723590">
      <w:pPr>
        <w:spacing w:after="0"/>
        <w:ind w:left="426"/>
        <w:contextualSpacing/>
        <w:jc w:val="both"/>
        <w:rPr>
          <w:rFonts w:ascii="Trebuchet MS" w:eastAsia="Arial" w:hAnsi="Trebuchet MS" w:cs="Arial"/>
          <w:color w:val="000000"/>
          <w:szCs w:val="24"/>
        </w:rPr>
      </w:pPr>
      <w:r w:rsidRPr="0061207B">
        <w:rPr>
          <w:rFonts w:ascii="Trebuchet MS" w:eastAsia="Arial" w:hAnsi="Trebuchet MS" w:cs="Arial"/>
          <w:color w:val="000000"/>
          <w:szCs w:val="24"/>
        </w:rPr>
        <w:t>Inclusive practices also strengthen employer branding and talent attraction. Glassdoor (2025) reports that 76% of job seekers consider diversity, equity, and inclusion (DEI) initiatives essential when evaluating employers. Furthermore, fair treatment mitigates risks of discrimination claims and reputational damage, ensuring compliance with legal standards (</w:t>
      </w:r>
      <w:proofErr w:type="spellStart"/>
      <w:r w:rsidRPr="0061207B">
        <w:rPr>
          <w:rFonts w:ascii="Trebuchet MS" w:eastAsia="Arial" w:hAnsi="Trebuchet MS" w:cs="Arial"/>
          <w:color w:val="000000"/>
          <w:szCs w:val="24"/>
        </w:rPr>
        <w:t>Praslova</w:t>
      </w:r>
      <w:proofErr w:type="spellEnd"/>
      <w:r w:rsidRPr="0061207B">
        <w:rPr>
          <w:rFonts w:ascii="Trebuchet MS" w:eastAsia="Arial" w:hAnsi="Trebuchet MS" w:cs="Arial"/>
          <w:color w:val="000000"/>
          <w:szCs w:val="24"/>
        </w:rPr>
        <w:t>, 2022).</w:t>
      </w:r>
    </w:p>
    <w:p w14:paraId="7F550E8F" w14:textId="77777777" w:rsidR="00723590" w:rsidRPr="0061207B" w:rsidRDefault="00723590" w:rsidP="00723590">
      <w:pPr>
        <w:spacing w:after="0"/>
        <w:ind w:left="426"/>
        <w:contextualSpacing/>
        <w:jc w:val="both"/>
        <w:rPr>
          <w:rFonts w:ascii="Trebuchet MS" w:eastAsia="Arial" w:hAnsi="Trebuchet MS" w:cs="Arial"/>
          <w:color w:val="000000"/>
          <w:szCs w:val="24"/>
        </w:rPr>
      </w:pPr>
    </w:p>
    <w:p w14:paraId="036BA679" w14:textId="7D1C7011" w:rsidR="0061207B" w:rsidRDefault="0061207B" w:rsidP="00723590">
      <w:pPr>
        <w:spacing w:after="0" w:line="240" w:lineRule="auto"/>
        <w:ind w:left="426"/>
        <w:jc w:val="both"/>
        <w:rPr>
          <w:rFonts w:ascii="Trebuchet MS" w:eastAsia="Arial" w:hAnsi="Trebuchet MS" w:cs="Arial"/>
          <w:b/>
          <w:bCs/>
          <w:color w:val="4472C4" w:themeColor="accent1"/>
          <w:sz w:val="24"/>
          <w:szCs w:val="24"/>
        </w:rPr>
      </w:pPr>
      <w:r w:rsidRPr="00A46F78">
        <w:rPr>
          <w:rFonts w:ascii="Trebuchet MS" w:eastAsia="Arial" w:hAnsi="Trebuchet MS" w:cs="Arial"/>
          <w:color w:val="000000"/>
          <w:szCs w:val="24"/>
        </w:rPr>
        <w:t xml:space="preserve">In conclusion, embedding inclusive and fair people practices is not about creating “feel-good” policies—it is a strategic imperative. Inclusion and fairness enhance psychological safety, engagement, and innovation, while delivering measurable business benefits such as improved financial performance and reduced risk. For </w:t>
      </w:r>
      <w:proofErr w:type="spellStart"/>
      <w:r w:rsidRPr="00A46F78">
        <w:rPr>
          <w:rFonts w:ascii="Trebuchet MS" w:eastAsia="Arial" w:hAnsi="Trebuchet MS" w:cs="Arial"/>
          <w:color w:val="000000"/>
          <w:szCs w:val="24"/>
        </w:rPr>
        <w:t>Nexxobyte</w:t>
      </w:r>
      <w:proofErr w:type="spellEnd"/>
      <w:r w:rsidRPr="00A46F78">
        <w:rPr>
          <w:rFonts w:ascii="Trebuchet MS" w:eastAsia="Arial" w:hAnsi="Trebuchet MS" w:cs="Arial"/>
          <w:color w:val="000000"/>
          <w:szCs w:val="24"/>
        </w:rPr>
        <w:t>, prioritising these principles will build a resilient, high-performing organisation where people thrive and contribute their best</w:t>
      </w:r>
      <w:r w:rsidR="00723590">
        <w:rPr>
          <w:rFonts w:ascii="Trebuchet MS" w:eastAsia="Arial" w:hAnsi="Trebuchet MS" w:cs="Arial"/>
          <w:color w:val="000000"/>
          <w:szCs w:val="24"/>
        </w:rPr>
        <w:t>.</w:t>
      </w:r>
    </w:p>
    <w:p w14:paraId="4E9E1C1F" w14:textId="77777777" w:rsidR="00237836" w:rsidRDefault="00237836" w:rsidP="004E35D4">
      <w:pPr>
        <w:spacing w:after="0" w:line="240" w:lineRule="auto"/>
        <w:ind w:left="426"/>
        <w:jc w:val="both"/>
        <w:rPr>
          <w:rFonts w:ascii="Trebuchet MS" w:eastAsia="Arial" w:hAnsi="Trebuchet MS" w:cs="Arial"/>
          <w:b/>
          <w:bCs/>
          <w:color w:val="4472C4" w:themeColor="accent1"/>
          <w:sz w:val="24"/>
          <w:szCs w:val="24"/>
        </w:rPr>
      </w:pPr>
    </w:p>
    <w:p w14:paraId="62C80E19" w14:textId="77777777" w:rsidR="00237836" w:rsidRDefault="00237836" w:rsidP="004E35D4">
      <w:pPr>
        <w:spacing w:after="0" w:line="240" w:lineRule="auto"/>
        <w:ind w:left="426"/>
        <w:jc w:val="both"/>
        <w:rPr>
          <w:rFonts w:ascii="Trebuchet MS" w:eastAsia="Arial" w:hAnsi="Trebuchet MS" w:cs="Arial"/>
          <w:b/>
          <w:bCs/>
          <w:color w:val="4472C4" w:themeColor="accent1"/>
          <w:sz w:val="24"/>
          <w:szCs w:val="24"/>
        </w:rPr>
      </w:pPr>
    </w:p>
    <w:p w14:paraId="1C134FAF" w14:textId="77777777" w:rsidR="00237836" w:rsidRDefault="00237836" w:rsidP="004E35D4">
      <w:pPr>
        <w:spacing w:after="0" w:line="240" w:lineRule="auto"/>
        <w:ind w:left="426"/>
        <w:jc w:val="both"/>
        <w:rPr>
          <w:rFonts w:ascii="Trebuchet MS" w:eastAsia="Arial" w:hAnsi="Trebuchet MS" w:cs="Arial"/>
          <w:b/>
          <w:bCs/>
          <w:color w:val="4472C4" w:themeColor="accent1"/>
          <w:sz w:val="24"/>
          <w:szCs w:val="24"/>
        </w:rPr>
      </w:pPr>
    </w:p>
    <w:p w14:paraId="7C86A845" w14:textId="77777777" w:rsidR="00237836" w:rsidRDefault="00237836" w:rsidP="004E35D4">
      <w:pPr>
        <w:spacing w:after="0" w:line="240" w:lineRule="auto"/>
        <w:ind w:left="426"/>
        <w:jc w:val="both"/>
        <w:rPr>
          <w:rFonts w:ascii="Trebuchet MS" w:eastAsia="Arial" w:hAnsi="Trebuchet MS" w:cs="Arial"/>
          <w:b/>
          <w:bCs/>
          <w:color w:val="4472C4" w:themeColor="accent1"/>
          <w:sz w:val="24"/>
          <w:szCs w:val="24"/>
        </w:rPr>
      </w:pPr>
    </w:p>
    <w:p w14:paraId="72741DD8" w14:textId="77777777" w:rsidR="00237836" w:rsidRDefault="00237836" w:rsidP="004E35D4">
      <w:pPr>
        <w:spacing w:after="0" w:line="240" w:lineRule="auto"/>
        <w:ind w:left="426"/>
        <w:jc w:val="both"/>
        <w:rPr>
          <w:rFonts w:ascii="Trebuchet MS" w:eastAsia="Arial" w:hAnsi="Trebuchet MS" w:cs="Arial"/>
          <w:b/>
          <w:bCs/>
          <w:color w:val="4472C4" w:themeColor="accent1"/>
          <w:sz w:val="24"/>
          <w:szCs w:val="24"/>
        </w:rPr>
      </w:pPr>
    </w:p>
    <w:p w14:paraId="6DAE3FE2" w14:textId="77777777" w:rsidR="00237836" w:rsidRDefault="00237836" w:rsidP="004E35D4">
      <w:pPr>
        <w:spacing w:after="0" w:line="240" w:lineRule="auto"/>
        <w:ind w:left="426"/>
        <w:jc w:val="both"/>
        <w:rPr>
          <w:rFonts w:ascii="Trebuchet MS" w:eastAsia="Arial" w:hAnsi="Trebuchet MS" w:cs="Arial"/>
          <w:b/>
          <w:bCs/>
          <w:color w:val="4472C4" w:themeColor="accent1"/>
          <w:sz w:val="24"/>
          <w:szCs w:val="24"/>
        </w:rPr>
      </w:pPr>
    </w:p>
    <w:p w14:paraId="33EF98E0" w14:textId="77777777" w:rsidR="00237836" w:rsidRDefault="00237836" w:rsidP="004E35D4">
      <w:pPr>
        <w:spacing w:after="0" w:line="240" w:lineRule="auto"/>
        <w:ind w:left="426"/>
        <w:jc w:val="both"/>
        <w:rPr>
          <w:rFonts w:ascii="Trebuchet MS" w:eastAsia="Arial" w:hAnsi="Trebuchet MS" w:cs="Arial"/>
          <w:b/>
          <w:bCs/>
          <w:color w:val="4472C4" w:themeColor="accent1"/>
          <w:sz w:val="24"/>
          <w:szCs w:val="24"/>
        </w:rPr>
      </w:pPr>
    </w:p>
    <w:p w14:paraId="713E65BF" w14:textId="7D2C3B1B" w:rsidR="00237836" w:rsidRDefault="00847F58" w:rsidP="004E35D4">
      <w:pPr>
        <w:spacing w:after="0" w:line="240" w:lineRule="auto"/>
        <w:ind w:left="426"/>
        <w:jc w:val="both"/>
        <w:rPr>
          <w:rFonts w:ascii="Trebuchet MS" w:eastAsia="Arial" w:hAnsi="Trebuchet MS" w:cs="Arial"/>
          <w:b/>
          <w:bCs/>
          <w:color w:val="4472C4" w:themeColor="accent1"/>
          <w:sz w:val="24"/>
          <w:szCs w:val="24"/>
        </w:rPr>
      </w:pPr>
      <w:r>
        <w:rPr>
          <w:rFonts w:ascii="Trebuchet MS" w:eastAsia="Arial" w:hAnsi="Trebuchet MS" w:cs="Arial"/>
          <w:b/>
          <w:bCs/>
          <w:color w:val="4472C4" w:themeColor="accent1"/>
          <w:sz w:val="24"/>
          <w:szCs w:val="24"/>
        </w:rPr>
        <w:lastRenderedPageBreak/>
        <w:t>AC 1.6</w:t>
      </w:r>
    </w:p>
    <w:p w14:paraId="6BEE383B" w14:textId="77777777" w:rsidR="00847F58" w:rsidRDefault="00847F58" w:rsidP="004E35D4">
      <w:pPr>
        <w:spacing w:after="0" w:line="240" w:lineRule="auto"/>
        <w:ind w:left="426"/>
        <w:jc w:val="both"/>
        <w:rPr>
          <w:rFonts w:ascii="Trebuchet MS" w:eastAsia="Arial" w:hAnsi="Trebuchet MS" w:cs="Arial"/>
          <w:b/>
          <w:bCs/>
          <w:color w:val="4472C4" w:themeColor="accent1"/>
          <w:sz w:val="24"/>
          <w:szCs w:val="24"/>
        </w:rPr>
      </w:pPr>
    </w:p>
    <w:p w14:paraId="782AA6CD" w14:textId="77777777" w:rsidR="00847F58" w:rsidRDefault="00847F58" w:rsidP="006615E6">
      <w:pPr>
        <w:spacing w:after="0" w:line="240" w:lineRule="auto"/>
        <w:ind w:left="426"/>
        <w:jc w:val="both"/>
        <w:rPr>
          <w:rFonts w:ascii="Trebuchet MS" w:eastAsia="Arial" w:hAnsi="Trebuchet MS" w:cs="Arial"/>
          <w:color w:val="000000"/>
        </w:rPr>
      </w:pPr>
      <w:r w:rsidRPr="00847F58">
        <w:rPr>
          <w:rFonts w:ascii="Trebuchet MS" w:eastAsia="Arial" w:hAnsi="Trebuchet MS" w:cs="Arial"/>
          <w:color w:val="000000"/>
        </w:rPr>
        <w:t>Developing a fair and inclusive Learning and Development (L&amp;D) policy is essential for promoting equity, engagement, and organisational success. Current practices perceived as unfair can undermine trust and limit access to growth opportunities, making a structured, evidence-based approach critical (CIPD, 2025).</w:t>
      </w:r>
    </w:p>
    <w:p w14:paraId="3F5B7F68" w14:textId="77777777" w:rsidR="006615E6" w:rsidRPr="00847F58" w:rsidRDefault="006615E6" w:rsidP="006615E6">
      <w:pPr>
        <w:spacing w:after="0" w:line="240" w:lineRule="auto"/>
        <w:ind w:left="426"/>
        <w:jc w:val="both"/>
        <w:rPr>
          <w:rFonts w:ascii="Trebuchet MS" w:eastAsia="Arial" w:hAnsi="Trebuchet MS" w:cs="Arial"/>
          <w:color w:val="000000"/>
        </w:rPr>
      </w:pPr>
    </w:p>
    <w:p w14:paraId="174DFF56" w14:textId="77777777" w:rsidR="00847F58" w:rsidRDefault="00847F58" w:rsidP="006615E6">
      <w:pPr>
        <w:spacing w:after="0" w:line="240" w:lineRule="auto"/>
        <w:ind w:left="426"/>
        <w:jc w:val="both"/>
        <w:rPr>
          <w:rFonts w:ascii="Trebuchet MS" w:eastAsia="Arial" w:hAnsi="Trebuchet MS" w:cs="Arial"/>
          <w:color w:val="000000"/>
        </w:rPr>
      </w:pPr>
      <w:r w:rsidRPr="00847F58">
        <w:rPr>
          <w:rFonts w:ascii="Trebuchet MS" w:eastAsia="Arial" w:hAnsi="Trebuchet MS" w:cs="Arial"/>
          <w:color w:val="000000"/>
        </w:rPr>
        <w:t>The first step is conducting a policy audit and training needs analysis to identify gaps in fairness and accessibility. This process should align development opportunities with organisational goals and employee aspirations while incorporating demographic data and feedback to uncover barriers (</w:t>
      </w:r>
      <w:proofErr w:type="spellStart"/>
      <w:r w:rsidRPr="00847F58">
        <w:rPr>
          <w:rFonts w:ascii="Trebuchet MS" w:eastAsia="Arial" w:hAnsi="Trebuchet MS" w:cs="Arial"/>
          <w:color w:val="000000"/>
        </w:rPr>
        <w:t>DavidsonMorris</w:t>
      </w:r>
      <w:proofErr w:type="spellEnd"/>
      <w:r w:rsidRPr="00847F58">
        <w:rPr>
          <w:rFonts w:ascii="Trebuchet MS" w:eastAsia="Arial" w:hAnsi="Trebuchet MS" w:cs="Arial"/>
          <w:color w:val="000000"/>
        </w:rPr>
        <w:t>, 2025; CIPD, 2025). Engaging stakeholders through surveys and focus groups ensures the policy reflects diverse perspectives and learning needs, fostering trust and ownership (Jones, 2023).</w:t>
      </w:r>
    </w:p>
    <w:p w14:paraId="37AF84E7" w14:textId="77777777" w:rsidR="006615E6" w:rsidRPr="00847F58" w:rsidRDefault="006615E6" w:rsidP="006615E6">
      <w:pPr>
        <w:spacing w:after="0" w:line="240" w:lineRule="auto"/>
        <w:ind w:left="426"/>
        <w:jc w:val="both"/>
        <w:rPr>
          <w:rFonts w:ascii="Trebuchet MS" w:eastAsia="Arial" w:hAnsi="Trebuchet MS" w:cs="Arial"/>
          <w:color w:val="000000"/>
        </w:rPr>
      </w:pPr>
    </w:p>
    <w:p w14:paraId="26493945" w14:textId="77777777" w:rsidR="00847F58" w:rsidRDefault="00847F58" w:rsidP="006615E6">
      <w:pPr>
        <w:spacing w:after="0" w:line="240" w:lineRule="auto"/>
        <w:ind w:left="426"/>
        <w:jc w:val="both"/>
        <w:rPr>
          <w:rFonts w:ascii="Trebuchet MS" w:eastAsia="Arial" w:hAnsi="Trebuchet MS" w:cs="Arial"/>
          <w:color w:val="000000"/>
        </w:rPr>
      </w:pPr>
      <w:r w:rsidRPr="00847F58">
        <w:rPr>
          <w:rFonts w:ascii="Trebuchet MS" w:eastAsia="Arial" w:hAnsi="Trebuchet MS" w:cs="Arial"/>
          <w:color w:val="000000"/>
        </w:rPr>
        <w:t>Embedding Diversity, Equity, and Inclusion (DEI) principles is central to policy design. This involves guaranteeing equal access to training regardless of role, location, or background, and ensuring unbiased content and representation of diverse voices in learning materials (</w:t>
      </w:r>
      <w:proofErr w:type="spellStart"/>
      <w:r w:rsidRPr="00847F58">
        <w:rPr>
          <w:rFonts w:ascii="Trebuchet MS" w:eastAsia="Arial" w:hAnsi="Trebuchet MS" w:cs="Arial"/>
          <w:color w:val="000000"/>
        </w:rPr>
        <w:t>Tulsiani</w:t>
      </w:r>
      <w:proofErr w:type="spellEnd"/>
      <w:r w:rsidRPr="00847F58">
        <w:rPr>
          <w:rFonts w:ascii="Trebuchet MS" w:eastAsia="Arial" w:hAnsi="Trebuchet MS" w:cs="Arial"/>
          <w:color w:val="000000"/>
        </w:rPr>
        <w:t xml:space="preserve">, 2024). Incorporating cultural competence and bias-awareness training further supports inclusivity (Training Journal, 2024). Research by </w:t>
      </w:r>
      <w:proofErr w:type="spellStart"/>
      <w:r w:rsidRPr="00847F58">
        <w:rPr>
          <w:rFonts w:ascii="Trebuchet MS" w:eastAsia="Arial" w:hAnsi="Trebuchet MS" w:cs="Arial"/>
          <w:color w:val="000000"/>
        </w:rPr>
        <w:t>Bohnet</w:t>
      </w:r>
      <w:proofErr w:type="spellEnd"/>
      <w:r w:rsidRPr="00847F58">
        <w:rPr>
          <w:rFonts w:ascii="Trebuchet MS" w:eastAsia="Arial" w:hAnsi="Trebuchet MS" w:cs="Arial"/>
          <w:color w:val="000000"/>
        </w:rPr>
        <w:t xml:space="preserve"> and </w:t>
      </w:r>
      <w:proofErr w:type="spellStart"/>
      <w:r w:rsidRPr="00847F58">
        <w:rPr>
          <w:rFonts w:ascii="Trebuchet MS" w:eastAsia="Arial" w:hAnsi="Trebuchet MS" w:cs="Arial"/>
          <w:color w:val="000000"/>
        </w:rPr>
        <w:t>Chilazi</w:t>
      </w:r>
      <w:proofErr w:type="spellEnd"/>
      <w:r w:rsidRPr="00847F58">
        <w:rPr>
          <w:rFonts w:ascii="Trebuchet MS" w:eastAsia="Arial" w:hAnsi="Trebuchet MS" w:cs="Arial"/>
          <w:color w:val="000000"/>
        </w:rPr>
        <w:t xml:space="preserve"> (2025) emphasises that fairness in workplace systems—particularly in access to development—improves engagement and reduces bias.</w:t>
      </w:r>
    </w:p>
    <w:p w14:paraId="343A1FFB" w14:textId="77777777" w:rsidR="006615E6" w:rsidRPr="00847F58" w:rsidRDefault="006615E6" w:rsidP="006615E6">
      <w:pPr>
        <w:spacing w:after="0" w:line="240" w:lineRule="auto"/>
        <w:ind w:left="426"/>
        <w:jc w:val="both"/>
        <w:rPr>
          <w:rFonts w:ascii="Trebuchet MS" w:eastAsia="Arial" w:hAnsi="Trebuchet MS" w:cs="Arial"/>
          <w:color w:val="000000"/>
        </w:rPr>
      </w:pPr>
    </w:p>
    <w:p w14:paraId="6226DA4A" w14:textId="77777777" w:rsidR="00847F58" w:rsidRDefault="00847F58" w:rsidP="006615E6">
      <w:pPr>
        <w:spacing w:after="0" w:line="240" w:lineRule="auto"/>
        <w:ind w:left="426"/>
        <w:jc w:val="both"/>
        <w:rPr>
          <w:rFonts w:ascii="Trebuchet MS" w:eastAsia="Arial" w:hAnsi="Trebuchet MS" w:cs="Arial"/>
          <w:color w:val="000000"/>
        </w:rPr>
      </w:pPr>
      <w:r w:rsidRPr="00847F58">
        <w:rPr>
          <w:rFonts w:ascii="Trebuchet MS" w:eastAsia="Arial" w:hAnsi="Trebuchet MS" w:cs="Arial"/>
          <w:color w:val="000000"/>
        </w:rPr>
        <w:t xml:space="preserve">Accessibility and flexibility are also key. Inclusive policies should accommodate different learning styles and abilities by offering multiple formats such as virtual sessions, microlearning, and accessible materials. Universal Design for Learning principles can guide this process, ensuring participation for employees with disabilities or varying schedules (SHRM, 2024; van </w:t>
      </w:r>
      <w:proofErr w:type="spellStart"/>
      <w:r w:rsidRPr="00847F58">
        <w:rPr>
          <w:rFonts w:ascii="Trebuchet MS" w:eastAsia="Arial" w:hAnsi="Trebuchet MS" w:cs="Arial"/>
          <w:color w:val="000000"/>
        </w:rPr>
        <w:t>Luyn</w:t>
      </w:r>
      <w:proofErr w:type="spellEnd"/>
      <w:r w:rsidRPr="00847F58">
        <w:rPr>
          <w:rFonts w:ascii="Trebuchet MS" w:eastAsia="Arial" w:hAnsi="Trebuchet MS" w:cs="Arial"/>
          <w:color w:val="000000"/>
        </w:rPr>
        <w:t>, 2025).</w:t>
      </w:r>
    </w:p>
    <w:p w14:paraId="0613A409" w14:textId="77777777" w:rsidR="006615E6" w:rsidRPr="00847F58" w:rsidRDefault="006615E6" w:rsidP="006615E6">
      <w:pPr>
        <w:spacing w:after="0" w:line="240" w:lineRule="auto"/>
        <w:ind w:left="426"/>
        <w:jc w:val="both"/>
        <w:rPr>
          <w:rFonts w:ascii="Trebuchet MS" w:eastAsia="Arial" w:hAnsi="Trebuchet MS" w:cs="Arial"/>
          <w:color w:val="000000"/>
        </w:rPr>
      </w:pPr>
    </w:p>
    <w:p w14:paraId="07913B01" w14:textId="77777777" w:rsidR="00847F58" w:rsidRDefault="00847F58" w:rsidP="006615E6">
      <w:pPr>
        <w:spacing w:after="0" w:line="240" w:lineRule="auto"/>
        <w:ind w:left="426"/>
        <w:jc w:val="both"/>
        <w:rPr>
          <w:rFonts w:ascii="Trebuchet MS" w:eastAsia="Arial" w:hAnsi="Trebuchet MS" w:cs="Arial"/>
          <w:color w:val="000000"/>
        </w:rPr>
      </w:pPr>
      <w:r w:rsidRPr="00847F58">
        <w:rPr>
          <w:rFonts w:ascii="Trebuchet MS" w:eastAsia="Arial" w:hAnsi="Trebuchet MS" w:cs="Arial"/>
          <w:color w:val="000000"/>
        </w:rPr>
        <w:t>Transparent communication is vital to avoid perceptions of favouritism. Publishing eligibility criteria and providing clear guidance on accessing opportunities reinforces fairness and consistency (Santhosh, 2024). Managers should be trained to apply the policy uniformly, as inconsistent application can erode trust and engagement.</w:t>
      </w:r>
    </w:p>
    <w:p w14:paraId="276EA6D8" w14:textId="77777777" w:rsidR="006615E6" w:rsidRPr="00847F58" w:rsidRDefault="006615E6" w:rsidP="006615E6">
      <w:pPr>
        <w:spacing w:after="0" w:line="240" w:lineRule="auto"/>
        <w:ind w:left="426"/>
        <w:jc w:val="both"/>
        <w:rPr>
          <w:rFonts w:ascii="Trebuchet MS" w:eastAsia="Arial" w:hAnsi="Trebuchet MS" w:cs="Arial"/>
          <w:color w:val="000000"/>
        </w:rPr>
      </w:pPr>
    </w:p>
    <w:p w14:paraId="69913AFA" w14:textId="1868371A" w:rsidR="00847F58" w:rsidRDefault="00847F58" w:rsidP="006615E6">
      <w:pPr>
        <w:spacing w:after="0" w:line="240" w:lineRule="auto"/>
        <w:ind w:left="426"/>
        <w:jc w:val="both"/>
        <w:rPr>
          <w:rFonts w:ascii="Trebuchet MS" w:eastAsia="Arial" w:hAnsi="Trebuchet MS" w:cs="Arial"/>
          <w:color w:val="000000"/>
        </w:rPr>
      </w:pPr>
      <w:r w:rsidRPr="00847F58">
        <w:rPr>
          <w:rFonts w:ascii="Trebuchet MS" w:eastAsia="Arial" w:hAnsi="Trebuchet MS" w:cs="Arial"/>
          <w:color w:val="000000"/>
        </w:rPr>
        <w:t>To ensure the policy remains inclusive, impact measurement should combine quantitative and qualitative methods. Key metrics include participation rates across departments, roles, and demographics to identify disparities in access. Surveys and focus groups can capture employee perceptions of fairness, accessibility, and relevance (CIPD, 2023). Tracking outcomes such as engagement scores, retention rates, and performance improvements provides insight into the policy’s effectiveness. Benchmarking these results against organisational DEI objectives ensures alignment with strategic goals. Regular reviews and feedback loops enable iterative improvements, reinforcing accountability and inclusivity (Kingfisher Professional Services, 2025).</w:t>
      </w:r>
    </w:p>
    <w:p w14:paraId="0DAAEE94" w14:textId="77777777" w:rsidR="006615E6" w:rsidRPr="00847F58" w:rsidRDefault="006615E6" w:rsidP="006615E6">
      <w:pPr>
        <w:spacing w:after="0" w:line="240" w:lineRule="auto"/>
        <w:ind w:left="426"/>
        <w:jc w:val="both"/>
        <w:rPr>
          <w:rFonts w:ascii="Trebuchet MS" w:eastAsia="Arial" w:hAnsi="Trebuchet MS" w:cs="Arial"/>
          <w:color w:val="000000"/>
        </w:rPr>
      </w:pPr>
    </w:p>
    <w:p w14:paraId="039069B5" w14:textId="77777777" w:rsidR="00847F58" w:rsidRPr="00847F58" w:rsidRDefault="00847F58" w:rsidP="006615E6">
      <w:pPr>
        <w:spacing w:after="0" w:line="240" w:lineRule="auto"/>
        <w:ind w:left="426"/>
        <w:jc w:val="both"/>
        <w:rPr>
          <w:rFonts w:ascii="Trebuchet MS" w:eastAsia="Arial" w:hAnsi="Trebuchet MS" w:cs="Arial"/>
          <w:color w:val="000000"/>
        </w:rPr>
      </w:pPr>
      <w:r w:rsidRPr="00847F58">
        <w:rPr>
          <w:rFonts w:ascii="Trebuchet MS" w:eastAsia="Arial" w:hAnsi="Trebuchet MS" w:cs="Arial"/>
          <w:color w:val="000000"/>
        </w:rPr>
        <w:t>In conclusion, a fair and inclusive L&amp;D policy enhances engagement, retention, and innovation by ensuring equitable access to development opportunities. By embedding DEI principles, ensuring accessibility, maintaining transparency, and measuring impact, people professionals can transform L&amp;D into a strategic driver of organisational success.</w:t>
      </w:r>
    </w:p>
    <w:p w14:paraId="145ABDA9" w14:textId="77777777" w:rsidR="00847F58" w:rsidRDefault="00847F58" w:rsidP="004E35D4">
      <w:pPr>
        <w:spacing w:after="0" w:line="240" w:lineRule="auto"/>
        <w:ind w:left="426"/>
        <w:jc w:val="both"/>
        <w:rPr>
          <w:rFonts w:ascii="Trebuchet MS" w:eastAsia="Arial" w:hAnsi="Trebuchet MS" w:cs="Arial"/>
          <w:b/>
          <w:bCs/>
          <w:color w:val="4472C4" w:themeColor="accent1"/>
          <w:sz w:val="24"/>
          <w:szCs w:val="24"/>
        </w:rPr>
      </w:pPr>
    </w:p>
    <w:p w14:paraId="78069517" w14:textId="77777777" w:rsidR="00237836" w:rsidRDefault="00237836" w:rsidP="004E35D4">
      <w:pPr>
        <w:spacing w:after="0" w:line="240" w:lineRule="auto"/>
        <w:ind w:left="426"/>
        <w:jc w:val="both"/>
        <w:rPr>
          <w:rFonts w:ascii="Trebuchet MS" w:eastAsia="Arial" w:hAnsi="Trebuchet MS" w:cs="Arial"/>
          <w:b/>
          <w:bCs/>
          <w:color w:val="4472C4" w:themeColor="accent1"/>
          <w:sz w:val="24"/>
          <w:szCs w:val="24"/>
        </w:rPr>
      </w:pPr>
    </w:p>
    <w:p w14:paraId="25255E59" w14:textId="77777777" w:rsidR="00237836" w:rsidRDefault="00237836" w:rsidP="004E35D4">
      <w:pPr>
        <w:spacing w:after="0" w:line="240" w:lineRule="auto"/>
        <w:ind w:left="426"/>
        <w:jc w:val="both"/>
        <w:rPr>
          <w:rFonts w:ascii="Trebuchet MS" w:eastAsia="Arial" w:hAnsi="Trebuchet MS" w:cs="Arial"/>
          <w:b/>
          <w:bCs/>
          <w:color w:val="4472C4" w:themeColor="accent1"/>
          <w:sz w:val="24"/>
          <w:szCs w:val="24"/>
        </w:rPr>
      </w:pPr>
    </w:p>
    <w:p w14:paraId="3668AAB4" w14:textId="77777777" w:rsidR="00237836" w:rsidRDefault="00237836" w:rsidP="004E35D4">
      <w:pPr>
        <w:spacing w:after="0" w:line="240" w:lineRule="auto"/>
        <w:ind w:left="426"/>
        <w:jc w:val="both"/>
        <w:rPr>
          <w:rFonts w:ascii="Trebuchet MS" w:eastAsia="Arial" w:hAnsi="Trebuchet MS" w:cs="Arial"/>
          <w:b/>
          <w:bCs/>
          <w:color w:val="4472C4" w:themeColor="accent1"/>
          <w:sz w:val="24"/>
          <w:szCs w:val="24"/>
        </w:rPr>
      </w:pPr>
    </w:p>
    <w:p w14:paraId="36216383" w14:textId="77777777" w:rsidR="00237836" w:rsidRDefault="00237836" w:rsidP="004E35D4">
      <w:pPr>
        <w:spacing w:after="0" w:line="240" w:lineRule="auto"/>
        <w:ind w:left="426"/>
        <w:jc w:val="both"/>
        <w:rPr>
          <w:rFonts w:ascii="Trebuchet MS" w:eastAsia="Arial" w:hAnsi="Trebuchet MS" w:cs="Arial"/>
          <w:b/>
          <w:bCs/>
          <w:color w:val="4472C4" w:themeColor="accent1"/>
          <w:sz w:val="24"/>
          <w:szCs w:val="24"/>
        </w:rPr>
      </w:pPr>
    </w:p>
    <w:p w14:paraId="65E99AE5" w14:textId="7BA100FC" w:rsidR="00AA2E69" w:rsidRPr="00B4710B" w:rsidRDefault="00AA2E69" w:rsidP="004E35D4">
      <w:pPr>
        <w:spacing w:after="0" w:line="240" w:lineRule="auto"/>
        <w:ind w:left="426"/>
        <w:jc w:val="both"/>
        <w:rPr>
          <w:rFonts w:ascii="Trebuchet MS" w:eastAsia="Arial" w:hAnsi="Trebuchet MS" w:cs="Arial"/>
          <w:b/>
          <w:bCs/>
          <w:color w:val="4472C4" w:themeColor="accent1"/>
          <w:sz w:val="24"/>
          <w:szCs w:val="24"/>
        </w:rPr>
      </w:pPr>
      <w:r w:rsidRPr="00B4710B">
        <w:rPr>
          <w:rFonts w:ascii="Trebuchet MS" w:eastAsia="Arial" w:hAnsi="Trebuchet MS" w:cs="Arial"/>
          <w:b/>
          <w:bCs/>
          <w:color w:val="4472C4" w:themeColor="accent1"/>
          <w:sz w:val="24"/>
          <w:szCs w:val="24"/>
        </w:rPr>
        <w:lastRenderedPageBreak/>
        <w:t>A.C 2.3</w:t>
      </w:r>
    </w:p>
    <w:p w14:paraId="37A6F701" w14:textId="77777777" w:rsidR="00AA2E69" w:rsidRDefault="00AA2E69" w:rsidP="004E35D4">
      <w:pPr>
        <w:spacing w:after="0" w:line="240" w:lineRule="auto"/>
        <w:ind w:left="426"/>
        <w:jc w:val="both"/>
        <w:rPr>
          <w:rFonts w:ascii="Trebuchet MS" w:eastAsia="Arial" w:hAnsi="Trebuchet MS" w:cs="Arial"/>
        </w:rPr>
      </w:pPr>
    </w:p>
    <w:p w14:paraId="60A26263" w14:textId="6DC559EA" w:rsidR="00D64101" w:rsidRDefault="00D64101" w:rsidP="00D64101">
      <w:pPr>
        <w:spacing w:after="0" w:line="240" w:lineRule="auto"/>
        <w:ind w:left="426"/>
        <w:jc w:val="both"/>
        <w:rPr>
          <w:rFonts w:ascii="Trebuchet MS" w:eastAsia="Arial" w:hAnsi="Trebuchet MS" w:cs="Arial"/>
          <w:color w:val="000000"/>
          <w:szCs w:val="24"/>
        </w:rPr>
      </w:pPr>
      <w:r w:rsidRPr="00D64101">
        <w:rPr>
          <w:rFonts w:ascii="Trebuchet MS" w:eastAsia="Arial" w:hAnsi="Trebuchet MS" w:cs="Arial"/>
          <w:color w:val="000000"/>
          <w:szCs w:val="24"/>
        </w:rPr>
        <w:t xml:space="preserve">To gather feedback, I </w:t>
      </w:r>
      <w:r w:rsidR="00087EAF">
        <w:rPr>
          <w:rFonts w:ascii="Trebuchet MS" w:eastAsia="Arial" w:hAnsi="Trebuchet MS" w:cs="Arial"/>
          <w:color w:val="000000"/>
          <w:szCs w:val="24"/>
        </w:rPr>
        <w:t>cr</w:t>
      </w:r>
      <w:r w:rsidR="00285935">
        <w:rPr>
          <w:rFonts w:ascii="Trebuchet MS" w:eastAsia="Arial" w:hAnsi="Trebuchet MS" w:cs="Arial"/>
          <w:color w:val="000000"/>
          <w:szCs w:val="24"/>
        </w:rPr>
        <w:t>e</w:t>
      </w:r>
      <w:r w:rsidR="00087EAF">
        <w:rPr>
          <w:rFonts w:ascii="Trebuchet MS" w:eastAsia="Arial" w:hAnsi="Trebuchet MS" w:cs="Arial"/>
          <w:color w:val="000000"/>
          <w:szCs w:val="24"/>
        </w:rPr>
        <w:t>ated a</w:t>
      </w:r>
      <w:r w:rsidRPr="00D64101">
        <w:rPr>
          <w:rFonts w:ascii="Trebuchet MS" w:eastAsia="Arial" w:hAnsi="Trebuchet MS" w:cs="Arial"/>
          <w:color w:val="000000"/>
          <w:szCs w:val="24"/>
        </w:rPr>
        <w:t xml:space="preserve"> simple online survey based on the six </w:t>
      </w:r>
      <w:r w:rsidRPr="00D64101">
        <w:rPr>
          <w:rFonts w:ascii="Trebuchet MS" w:eastAsia="Arial" w:hAnsi="Trebuchet MS" w:cs="Arial"/>
          <w:i/>
          <w:iCs/>
          <w:color w:val="000000"/>
          <w:szCs w:val="24"/>
        </w:rPr>
        <w:t>Working Inclusively</w:t>
      </w:r>
      <w:r w:rsidRPr="00D64101">
        <w:rPr>
          <w:rFonts w:ascii="Trebuchet MS" w:eastAsia="Arial" w:hAnsi="Trebuchet MS" w:cs="Arial"/>
          <w:color w:val="000000"/>
          <w:szCs w:val="24"/>
        </w:rPr>
        <w:t xml:space="preserve"> standards outlined in the CIPD Profession Map. The survey included structured questions and open</w:t>
      </w:r>
      <w:r w:rsidR="00DB0826">
        <w:rPr>
          <w:rFonts w:ascii="Trebuchet MS" w:eastAsia="Arial" w:hAnsi="Trebuchet MS" w:cs="Arial"/>
          <w:color w:val="000000"/>
          <w:szCs w:val="24"/>
        </w:rPr>
        <w:t xml:space="preserve"> </w:t>
      </w:r>
      <w:r w:rsidRPr="00D64101">
        <w:rPr>
          <w:rFonts w:ascii="Trebuchet MS" w:eastAsia="Arial" w:hAnsi="Trebuchet MS" w:cs="Arial"/>
          <w:color w:val="000000"/>
          <w:szCs w:val="24"/>
        </w:rPr>
        <w:t xml:space="preserve">text for additional comments. The table below provides a summary of the quantitative results, while all detailed feedback is presented in </w:t>
      </w:r>
      <w:r w:rsidRPr="00D64101">
        <w:rPr>
          <w:rFonts w:ascii="Trebuchet MS" w:eastAsia="Arial" w:hAnsi="Trebuchet MS" w:cs="Arial"/>
          <w:b/>
          <w:bCs/>
          <w:color w:val="000000"/>
          <w:szCs w:val="24"/>
        </w:rPr>
        <w:t>Appendix A</w:t>
      </w:r>
      <w:r w:rsidRPr="00D64101">
        <w:rPr>
          <w:rFonts w:ascii="Trebuchet MS" w:eastAsia="Arial" w:hAnsi="Trebuchet MS" w:cs="Arial"/>
          <w:color w:val="000000"/>
          <w:szCs w:val="24"/>
        </w:rPr>
        <w:t>.</w:t>
      </w:r>
      <w:r w:rsidR="00C8366F">
        <w:rPr>
          <w:rFonts w:ascii="Trebuchet MS" w:eastAsia="Arial" w:hAnsi="Trebuchet MS" w:cs="Arial"/>
          <w:color w:val="000000"/>
          <w:szCs w:val="24"/>
        </w:rPr>
        <w:t xml:space="preserve"> The survey was issued to </w:t>
      </w:r>
      <w:r w:rsidR="000C2DB1">
        <w:rPr>
          <w:rFonts w:ascii="Trebuchet MS" w:eastAsia="Arial" w:hAnsi="Trebuchet MS" w:cs="Arial"/>
          <w:color w:val="000000"/>
          <w:szCs w:val="24"/>
        </w:rPr>
        <w:t xml:space="preserve">12 colleagues and </w:t>
      </w:r>
      <w:r w:rsidR="009334F4">
        <w:rPr>
          <w:rFonts w:ascii="Trebuchet MS" w:eastAsia="Arial" w:hAnsi="Trebuchet MS" w:cs="Arial"/>
          <w:color w:val="000000"/>
          <w:szCs w:val="24"/>
        </w:rPr>
        <w:t>7 responded (</w:t>
      </w:r>
      <w:r w:rsidR="000C3948">
        <w:rPr>
          <w:rFonts w:ascii="Trebuchet MS" w:eastAsia="Arial" w:hAnsi="Trebuchet MS" w:cs="Arial"/>
          <w:color w:val="000000"/>
          <w:szCs w:val="24"/>
        </w:rPr>
        <w:t>58.3% response rate).</w:t>
      </w:r>
    </w:p>
    <w:p w14:paraId="3BD190EE" w14:textId="77777777" w:rsidR="00053CFC" w:rsidRPr="00D64101" w:rsidRDefault="00053CFC" w:rsidP="00D64101">
      <w:pPr>
        <w:spacing w:after="0" w:line="240" w:lineRule="auto"/>
        <w:ind w:left="426"/>
        <w:jc w:val="both"/>
        <w:rPr>
          <w:rFonts w:ascii="Trebuchet MS" w:eastAsia="Arial" w:hAnsi="Trebuchet MS" w:cs="Arial"/>
          <w:color w:val="000000"/>
          <w:szCs w:val="24"/>
        </w:rPr>
      </w:pPr>
    </w:p>
    <w:p w14:paraId="50A5617B" w14:textId="77777777" w:rsidR="00D64101" w:rsidRPr="00D64101" w:rsidRDefault="00D64101" w:rsidP="00D64101">
      <w:pPr>
        <w:spacing w:after="0" w:line="240" w:lineRule="auto"/>
        <w:ind w:left="426"/>
        <w:rPr>
          <w:rFonts w:ascii="Trebuchet MS" w:eastAsia="Arial" w:hAnsi="Trebuchet MS" w:cs="Arial"/>
          <w:color w:val="000000"/>
          <w:szCs w:val="24"/>
        </w:rPr>
      </w:pPr>
    </w:p>
    <w:tbl>
      <w:tblPr>
        <w:tblW w:w="8505" w:type="dxa"/>
        <w:tblInd w:w="421" w:type="dxa"/>
        <w:tblCellMar>
          <w:top w:w="15" w:type="dxa"/>
          <w:bottom w:w="15" w:type="dxa"/>
        </w:tblCellMar>
        <w:tblLook w:val="04A0" w:firstRow="1" w:lastRow="0" w:firstColumn="1" w:lastColumn="0" w:noHBand="0" w:noVBand="1"/>
      </w:tblPr>
      <w:tblGrid>
        <w:gridCol w:w="4228"/>
        <w:gridCol w:w="866"/>
        <w:gridCol w:w="854"/>
        <w:gridCol w:w="853"/>
        <w:gridCol w:w="854"/>
        <w:gridCol w:w="854"/>
      </w:tblGrid>
      <w:tr w:rsidR="007976F2" w:rsidRPr="00D64101" w14:paraId="0C401861" w14:textId="77777777" w:rsidTr="007976F2">
        <w:trPr>
          <w:trHeight w:val="483"/>
        </w:trPr>
        <w:tc>
          <w:tcPr>
            <w:tcW w:w="4228" w:type="dxa"/>
            <w:tcBorders>
              <w:top w:val="single" w:sz="4" w:space="0" w:color="000000"/>
              <w:left w:val="single" w:sz="4" w:space="0" w:color="000000"/>
              <w:bottom w:val="single" w:sz="4" w:space="0" w:color="000000"/>
              <w:right w:val="single" w:sz="4" w:space="0" w:color="000000"/>
            </w:tcBorders>
            <w:shd w:val="clear" w:color="000000" w:fill="548235"/>
            <w:noWrap/>
            <w:vAlign w:val="bottom"/>
            <w:hideMark/>
          </w:tcPr>
          <w:p w14:paraId="73998CA3" w14:textId="77777777" w:rsidR="00D64101" w:rsidRPr="00D64101" w:rsidRDefault="00D64101" w:rsidP="00D64101">
            <w:pPr>
              <w:spacing w:after="0" w:line="240" w:lineRule="auto"/>
              <w:rPr>
                <w:rFonts w:ascii="Trebuchet MS" w:eastAsia="Times New Roman" w:hAnsi="Trebuchet MS" w:cs="Times New Roman"/>
                <w:sz w:val="20"/>
                <w:szCs w:val="20"/>
                <w:lang w:eastAsia="en-GB"/>
              </w:rPr>
            </w:pPr>
          </w:p>
        </w:tc>
        <w:tc>
          <w:tcPr>
            <w:tcW w:w="866" w:type="dxa"/>
            <w:tcBorders>
              <w:top w:val="single" w:sz="4" w:space="0" w:color="000000"/>
              <w:left w:val="single" w:sz="4" w:space="0" w:color="000000"/>
              <w:bottom w:val="single" w:sz="4" w:space="0" w:color="000000"/>
              <w:right w:val="single" w:sz="4" w:space="0" w:color="000000"/>
            </w:tcBorders>
            <w:shd w:val="clear" w:color="000000" w:fill="548235"/>
            <w:vAlign w:val="center"/>
            <w:hideMark/>
          </w:tcPr>
          <w:p w14:paraId="64B54B10" w14:textId="77777777" w:rsidR="00D64101" w:rsidRPr="00D64101" w:rsidRDefault="00D64101" w:rsidP="00D64101">
            <w:pPr>
              <w:spacing w:after="0" w:line="240" w:lineRule="auto"/>
              <w:jc w:val="center"/>
              <w:rPr>
                <w:rFonts w:ascii="Trebuchet MS" w:eastAsia="Times New Roman" w:hAnsi="Trebuchet MS" w:cs="Calibri"/>
                <w:b/>
                <w:bCs/>
                <w:color w:val="FFFFFF"/>
                <w:sz w:val="16"/>
                <w:szCs w:val="16"/>
                <w:lang w:eastAsia="en-GB"/>
              </w:rPr>
            </w:pPr>
            <w:r w:rsidRPr="00D64101">
              <w:rPr>
                <w:rFonts w:ascii="Trebuchet MS" w:eastAsia="Times New Roman" w:hAnsi="Trebuchet MS" w:cs="Calibri"/>
                <w:b/>
                <w:bCs/>
                <w:color w:val="FFFFFF"/>
                <w:sz w:val="16"/>
                <w:szCs w:val="16"/>
                <w:lang w:eastAsia="en-GB"/>
              </w:rPr>
              <w:t>Strongly Agree</w:t>
            </w:r>
          </w:p>
        </w:tc>
        <w:tc>
          <w:tcPr>
            <w:tcW w:w="854" w:type="dxa"/>
            <w:tcBorders>
              <w:top w:val="single" w:sz="4" w:space="0" w:color="000000"/>
              <w:left w:val="single" w:sz="4" w:space="0" w:color="000000"/>
              <w:bottom w:val="single" w:sz="4" w:space="0" w:color="000000"/>
              <w:right w:val="single" w:sz="4" w:space="0" w:color="000000"/>
            </w:tcBorders>
            <w:shd w:val="clear" w:color="000000" w:fill="548235"/>
            <w:vAlign w:val="center"/>
            <w:hideMark/>
          </w:tcPr>
          <w:p w14:paraId="1A0D9CC6" w14:textId="77777777" w:rsidR="00D64101" w:rsidRPr="00D64101" w:rsidRDefault="00D64101" w:rsidP="00D64101">
            <w:pPr>
              <w:spacing w:after="0" w:line="240" w:lineRule="auto"/>
              <w:jc w:val="center"/>
              <w:rPr>
                <w:rFonts w:ascii="Trebuchet MS" w:eastAsia="Times New Roman" w:hAnsi="Trebuchet MS" w:cs="Calibri"/>
                <w:b/>
                <w:bCs/>
                <w:color w:val="FFFFFF"/>
                <w:sz w:val="16"/>
                <w:szCs w:val="16"/>
                <w:lang w:eastAsia="en-GB"/>
              </w:rPr>
            </w:pPr>
            <w:r w:rsidRPr="00D64101">
              <w:rPr>
                <w:rFonts w:ascii="Trebuchet MS" w:eastAsia="Times New Roman" w:hAnsi="Trebuchet MS" w:cs="Calibri"/>
                <w:b/>
                <w:bCs/>
                <w:color w:val="FFFFFF"/>
                <w:sz w:val="16"/>
                <w:szCs w:val="16"/>
                <w:lang w:eastAsia="en-GB"/>
              </w:rPr>
              <w:t>Agree</w:t>
            </w:r>
          </w:p>
        </w:tc>
        <w:tc>
          <w:tcPr>
            <w:tcW w:w="853" w:type="dxa"/>
            <w:tcBorders>
              <w:top w:val="single" w:sz="4" w:space="0" w:color="000000"/>
              <w:left w:val="single" w:sz="4" w:space="0" w:color="000000"/>
              <w:bottom w:val="single" w:sz="4" w:space="0" w:color="000000"/>
              <w:right w:val="single" w:sz="4" w:space="0" w:color="000000"/>
            </w:tcBorders>
            <w:shd w:val="clear" w:color="000000" w:fill="548235"/>
            <w:vAlign w:val="center"/>
            <w:hideMark/>
          </w:tcPr>
          <w:p w14:paraId="17442A5B" w14:textId="77777777" w:rsidR="00D64101" w:rsidRPr="00D64101" w:rsidRDefault="00D64101" w:rsidP="00D64101">
            <w:pPr>
              <w:spacing w:after="0" w:line="240" w:lineRule="auto"/>
              <w:jc w:val="center"/>
              <w:rPr>
                <w:rFonts w:ascii="Trebuchet MS" w:eastAsia="Times New Roman" w:hAnsi="Trebuchet MS" w:cs="Calibri"/>
                <w:b/>
                <w:bCs/>
                <w:color w:val="FFFFFF"/>
                <w:sz w:val="16"/>
                <w:szCs w:val="16"/>
                <w:lang w:eastAsia="en-GB"/>
              </w:rPr>
            </w:pPr>
            <w:r w:rsidRPr="00D64101">
              <w:rPr>
                <w:rFonts w:ascii="Trebuchet MS" w:eastAsia="Times New Roman" w:hAnsi="Trebuchet MS" w:cs="Calibri"/>
                <w:b/>
                <w:bCs/>
                <w:color w:val="FFFFFF"/>
                <w:sz w:val="16"/>
                <w:szCs w:val="16"/>
                <w:lang w:eastAsia="en-GB"/>
              </w:rPr>
              <w:t>Neutral</w:t>
            </w:r>
          </w:p>
        </w:tc>
        <w:tc>
          <w:tcPr>
            <w:tcW w:w="854" w:type="dxa"/>
            <w:tcBorders>
              <w:top w:val="single" w:sz="4" w:space="0" w:color="000000"/>
              <w:left w:val="single" w:sz="4" w:space="0" w:color="000000"/>
              <w:bottom w:val="single" w:sz="4" w:space="0" w:color="000000"/>
              <w:right w:val="single" w:sz="4" w:space="0" w:color="000000"/>
            </w:tcBorders>
            <w:shd w:val="clear" w:color="000000" w:fill="548235"/>
            <w:vAlign w:val="center"/>
            <w:hideMark/>
          </w:tcPr>
          <w:p w14:paraId="2D19910B" w14:textId="77777777" w:rsidR="00D64101" w:rsidRPr="00D64101" w:rsidRDefault="00D64101" w:rsidP="00D64101">
            <w:pPr>
              <w:spacing w:after="0" w:line="240" w:lineRule="auto"/>
              <w:jc w:val="center"/>
              <w:rPr>
                <w:rFonts w:ascii="Trebuchet MS" w:eastAsia="Times New Roman" w:hAnsi="Trebuchet MS" w:cs="Calibri"/>
                <w:b/>
                <w:bCs/>
                <w:color w:val="FFFFFF"/>
                <w:sz w:val="16"/>
                <w:szCs w:val="16"/>
                <w:lang w:eastAsia="en-GB"/>
              </w:rPr>
            </w:pPr>
            <w:r w:rsidRPr="00D64101">
              <w:rPr>
                <w:rFonts w:ascii="Trebuchet MS" w:eastAsia="Times New Roman" w:hAnsi="Trebuchet MS" w:cs="Calibri"/>
                <w:b/>
                <w:bCs/>
                <w:color w:val="FFFFFF"/>
                <w:sz w:val="16"/>
                <w:szCs w:val="16"/>
                <w:lang w:eastAsia="en-GB"/>
              </w:rPr>
              <w:t>Disagree</w:t>
            </w:r>
          </w:p>
        </w:tc>
        <w:tc>
          <w:tcPr>
            <w:tcW w:w="850" w:type="dxa"/>
            <w:tcBorders>
              <w:top w:val="single" w:sz="4" w:space="0" w:color="000000"/>
              <w:left w:val="single" w:sz="4" w:space="0" w:color="000000"/>
              <w:bottom w:val="single" w:sz="4" w:space="0" w:color="000000"/>
              <w:right w:val="single" w:sz="4" w:space="0" w:color="000000"/>
            </w:tcBorders>
            <w:shd w:val="clear" w:color="000000" w:fill="548235"/>
            <w:vAlign w:val="center"/>
            <w:hideMark/>
          </w:tcPr>
          <w:p w14:paraId="48DE1E60" w14:textId="77777777" w:rsidR="00D64101" w:rsidRPr="00D64101" w:rsidRDefault="00D64101" w:rsidP="00D64101">
            <w:pPr>
              <w:spacing w:after="0" w:line="240" w:lineRule="auto"/>
              <w:jc w:val="center"/>
              <w:rPr>
                <w:rFonts w:ascii="Trebuchet MS" w:eastAsia="Times New Roman" w:hAnsi="Trebuchet MS" w:cs="Calibri"/>
                <w:b/>
                <w:bCs/>
                <w:color w:val="FFFFFF"/>
                <w:sz w:val="16"/>
                <w:szCs w:val="16"/>
                <w:lang w:eastAsia="en-GB"/>
              </w:rPr>
            </w:pPr>
            <w:r w:rsidRPr="00D64101">
              <w:rPr>
                <w:rFonts w:ascii="Trebuchet MS" w:eastAsia="Times New Roman" w:hAnsi="Trebuchet MS" w:cs="Calibri"/>
                <w:b/>
                <w:bCs/>
                <w:color w:val="FFFFFF"/>
                <w:sz w:val="16"/>
                <w:szCs w:val="16"/>
                <w:lang w:eastAsia="en-GB"/>
              </w:rPr>
              <w:t>Strongly Disagree</w:t>
            </w:r>
          </w:p>
        </w:tc>
      </w:tr>
      <w:tr w:rsidR="007976F2" w:rsidRPr="00D64101" w14:paraId="59F64807" w14:textId="77777777" w:rsidTr="007976F2">
        <w:trPr>
          <w:trHeight w:val="449"/>
        </w:trPr>
        <w:tc>
          <w:tcPr>
            <w:tcW w:w="4228" w:type="dxa"/>
            <w:tcBorders>
              <w:top w:val="single" w:sz="4" w:space="0" w:color="000000"/>
              <w:left w:val="single" w:sz="4" w:space="0" w:color="000000"/>
              <w:bottom w:val="single" w:sz="4" w:space="0" w:color="000000"/>
              <w:right w:val="single" w:sz="4" w:space="0" w:color="000000"/>
            </w:tcBorders>
            <w:shd w:val="clear" w:color="000000" w:fill="548235"/>
            <w:hideMark/>
          </w:tcPr>
          <w:p w14:paraId="11F3EA01" w14:textId="77777777" w:rsidR="00D64101" w:rsidRPr="00D64101" w:rsidRDefault="00D64101" w:rsidP="00D64101">
            <w:pPr>
              <w:spacing w:after="0" w:line="240" w:lineRule="auto"/>
              <w:rPr>
                <w:rFonts w:ascii="Trebuchet MS" w:eastAsia="Times New Roman" w:hAnsi="Trebuchet MS" w:cs="Calibri"/>
                <w:color w:val="FFFFFF"/>
                <w:sz w:val="16"/>
                <w:szCs w:val="16"/>
                <w:lang w:eastAsia="en-GB"/>
              </w:rPr>
            </w:pPr>
            <w:r w:rsidRPr="00D64101">
              <w:rPr>
                <w:rFonts w:ascii="Trebuchet MS" w:eastAsia="Times New Roman" w:hAnsi="Trebuchet MS" w:cs="Calibri"/>
                <w:color w:val="FFFFFF"/>
                <w:sz w:val="16"/>
                <w:szCs w:val="16"/>
                <w:lang w:eastAsia="en-GB"/>
              </w:rPr>
              <w:t>Lynda gets to know people as individuals</w:t>
            </w:r>
          </w:p>
        </w:tc>
        <w:tc>
          <w:tcPr>
            <w:tcW w:w="866" w:type="dxa"/>
            <w:tcBorders>
              <w:top w:val="single" w:sz="4" w:space="0" w:color="000000"/>
              <w:left w:val="single" w:sz="4" w:space="0" w:color="000000"/>
              <w:bottom w:val="single" w:sz="4" w:space="0" w:color="000000"/>
              <w:right w:val="single" w:sz="4" w:space="0" w:color="000000"/>
            </w:tcBorders>
            <w:noWrap/>
            <w:vAlign w:val="bottom"/>
            <w:hideMark/>
          </w:tcPr>
          <w:p w14:paraId="5564D4A5" w14:textId="77777777" w:rsidR="00D64101" w:rsidRPr="00D64101" w:rsidRDefault="00D64101" w:rsidP="00D64101">
            <w:pPr>
              <w:spacing w:after="0" w:line="240" w:lineRule="auto"/>
              <w:jc w:val="right"/>
              <w:rPr>
                <w:rFonts w:ascii="Trebuchet MS" w:eastAsia="Times New Roman" w:hAnsi="Trebuchet MS" w:cs="Calibri"/>
                <w:color w:val="000000"/>
                <w:sz w:val="16"/>
                <w:szCs w:val="16"/>
                <w:lang w:eastAsia="en-GB"/>
              </w:rPr>
            </w:pPr>
            <w:r w:rsidRPr="00D64101">
              <w:rPr>
                <w:rFonts w:ascii="Trebuchet MS" w:eastAsia="Times New Roman" w:hAnsi="Trebuchet MS" w:cs="Calibri"/>
                <w:color w:val="000000"/>
                <w:sz w:val="16"/>
                <w:szCs w:val="16"/>
                <w:lang w:eastAsia="en-GB"/>
              </w:rPr>
              <w:t>42.9%</w:t>
            </w:r>
          </w:p>
        </w:tc>
        <w:tc>
          <w:tcPr>
            <w:tcW w:w="854" w:type="dxa"/>
            <w:tcBorders>
              <w:top w:val="single" w:sz="4" w:space="0" w:color="000000"/>
              <w:left w:val="single" w:sz="4" w:space="0" w:color="000000"/>
              <w:bottom w:val="single" w:sz="4" w:space="0" w:color="000000"/>
              <w:right w:val="single" w:sz="4" w:space="0" w:color="000000"/>
            </w:tcBorders>
            <w:noWrap/>
            <w:vAlign w:val="bottom"/>
            <w:hideMark/>
          </w:tcPr>
          <w:p w14:paraId="183EA532" w14:textId="77777777" w:rsidR="00D64101" w:rsidRPr="00D64101" w:rsidRDefault="00D64101" w:rsidP="00D64101">
            <w:pPr>
              <w:spacing w:after="0" w:line="240" w:lineRule="auto"/>
              <w:jc w:val="right"/>
              <w:rPr>
                <w:rFonts w:ascii="Trebuchet MS" w:eastAsia="Times New Roman" w:hAnsi="Trebuchet MS" w:cs="Calibri"/>
                <w:color w:val="000000"/>
                <w:sz w:val="16"/>
                <w:szCs w:val="16"/>
                <w:lang w:eastAsia="en-GB"/>
              </w:rPr>
            </w:pPr>
            <w:r w:rsidRPr="00D64101">
              <w:rPr>
                <w:rFonts w:ascii="Trebuchet MS" w:eastAsia="Times New Roman" w:hAnsi="Trebuchet MS" w:cs="Calibri"/>
                <w:color w:val="000000"/>
                <w:sz w:val="16"/>
                <w:szCs w:val="16"/>
                <w:lang w:eastAsia="en-GB"/>
              </w:rPr>
              <w:t>42.9%</w:t>
            </w:r>
          </w:p>
        </w:tc>
        <w:tc>
          <w:tcPr>
            <w:tcW w:w="853" w:type="dxa"/>
            <w:tcBorders>
              <w:top w:val="single" w:sz="4" w:space="0" w:color="000000"/>
              <w:left w:val="single" w:sz="4" w:space="0" w:color="000000"/>
              <w:bottom w:val="single" w:sz="4" w:space="0" w:color="000000"/>
              <w:right w:val="single" w:sz="4" w:space="0" w:color="000000"/>
            </w:tcBorders>
            <w:noWrap/>
            <w:vAlign w:val="bottom"/>
            <w:hideMark/>
          </w:tcPr>
          <w:p w14:paraId="36542E2E" w14:textId="77777777" w:rsidR="00D64101" w:rsidRPr="00D64101" w:rsidRDefault="00D64101" w:rsidP="00D64101">
            <w:pPr>
              <w:spacing w:after="0" w:line="240" w:lineRule="auto"/>
              <w:jc w:val="right"/>
              <w:rPr>
                <w:rFonts w:ascii="Trebuchet MS" w:eastAsia="Times New Roman" w:hAnsi="Trebuchet MS" w:cs="Calibri"/>
                <w:color w:val="000000"/>
                <w:sz w:val="16"/>
                <w:szCs w:val="16"/>
                <w:lang w:eastAsia="en-GB"/>
              </w:rPr>
            </w:pPr>
            <w:r w:rsidRPr="00D64101">
              <w:rPr>
                <w:rFonts w:ascii="Trebuchet MS" w:eastAsia="Times New Roman" w:hAnsi="Trebuchet MS" w:cs="Calibri"/>
                <w:color w:val="000000"/>
                <w:sz w:val="16"/>
                <w:szCs w:val="16"/>
                <w:lang w:eastAsia="en-GB"/>
              </w:rPr>
              <w:t>14.3%</w:t>
            </w:r>
          </w:p>
        </w:tc>
        <w:tc>
          <w:tcPr>
            <w:tcW w:w="854" w:type="dxa"/>
            <w:tcBorders>
              <w:top w:val="single" w:sz="4" w:space="0" w:color="000000"/>
              <w:left w:val="single" w:sz="4" w:space="0" w:color="000000"/>
              <w:bottom w:val="single" w:sz="4" w:space="0" w:color="000000"/>
              <w:right w:val="single" w:sz="4" w:space="0" w:color="000000"/>
            </w:tcBorders>
            <w:noWrap/>
            <w:vAlign w:val="bottom"/>
            <w:hideMark/>
          </w:tcPr>
          <w:p w14:paraId="567C6B55" w14:textId="77777777" w:rsidR="00D64101" w:rsidRPr="00D64101" w:rsidRDefault="00D64101" w:rsidP="00D64101">
            <w:pPr>
              <w:spacing w:after="0" w:line="240" w:lineRule="auto"/>
              <w:jc w:val="right"/>
              <w:rPr>
                <w:rFonts w:ascii="Trebuchet MS" w:eastAsia="Times New Roman" w:hAnsi="Trebuchet MS" w:cs="Calibri"/>
                <w:color w:val="000000"/>
                <w:sz w:val="16"/>
                <w:szCs w:val="16"/>
                <w:lang w:eastAsia="en-GB"/>
              </w:rPr>
            </w:pPr>
            <w:r w:rsidRPr="00D64101">
              <w:rPr>
                <w:rFonts w:ascii="Trebuchet MS" w:eastAsia="Times New Roman" w:hAnsi="Trebuchet MS" w:cs="Calibri"/>
                <w:color w:val="000000"/>
                <w:sz w:val="16"/>
                <w:szCs w:val="16"/>
                <w:lang w:eastAsia="en-GB"/>
              </w:rPr>
              <w:t>0.0%</w:t>
            </w:r>
          </w:p>
        </w:tc>
        <w:tc>
          <w:tcPr>
            <w:tcW w:w="850" w:type="dxa"/>
            <w:tcBorders>
              <w:top w:val="single" w:sz="4" w:space="0" w:color="000000"/>
              <w:left w:val="single" w:sz="4" w:space="0" w:color="000000"/>
              <w:bottom w:val="single" w:sz="4" w:space="0" w:color="000000"/>
              <w:right w:val="single" w:sz="4" w:space="0" w:color="000000"/>
            </w:tcBorders>
            <w:noWrap/>
            <w:vAlign w:val="bottom"/>
            <w:hideMark/>
          </w:tcPr>
          <w:p w14:paraId="7E2E86CC" w14:textId="77777777" w:rsidR="00D64101" w:rsidRPr="00D64101" w:rsidRDefault="00D64101" w:rsidP="00D64101">
            <w:pPr>
              <w:spacing w:after="0" w:line="240" w:lineRule="auto"/>
              <w:jc w:val="right"/>
              <w:rPr>
                <w:rFonts w:ascii="Trebuchet MS" w:eastAsia="Times New Roman" w:hAnsi="Trebuchet MS" w:cs="Calibri"/>
                <w:color w:val="000000"/>
                <w:sz w:val="16"/>
                <w:szCs w:val="16"/>
                <w:lang w:eastAsia="en-GB"/>
              </w:rPr>
            </w:pPr>
            <w:r w:rsidRPr="00D64101">
              <w:rPr>
                <w:rFonts w:ascii="Trebuchet MS" w:eastAsia="Times New Roman" w:hAnsi="Trebuchet MS" w:cs="Calibri"/>
                <w:color w:val="000000"/>
                <w:sz w:val="16"/>
                <w:szCs w:val="16"/>
                <w:lang w:eastAsia="en-GB"/>
              </w:rPr>
              <w:t>0.0%</w:t>
            </w:r>
          </w:p>
        </w:tc>
      </w:tr>
      <w:tr w:rsidR="007976F2" w:rsidRPr="00D64101" w14:paraId="5A74375B" w14:textId="77777777" w:rsidTr="007976F2">
        <w:trPr>
          <w:trHeight w:val="449"/>
        </w:trPr>
        <w:tc>
          <w:tcPr>
            <w:tcW w:w="4228" w:type="dxa"/>
            <w:tcBorders>
              <w:top w:val="single" w:sz="4" w:space="0" w:color="000000"/>
              <w:left w:val="single" w:sz="4" w:space="0" w:color="000000"/>
              <w:bottom w:val="single" w:sz="4" w:space="0" w:color="000000"/>
              <w:right w:val="single" w:sz="4" w:space="0" w:color="000000"/>
            </w:tcBorders>
            <w:shd w:val="clear" w:color="000000" w:fill="548235"/>
            <w:hideMark/>
          </w:tcPr>
          <w:p w14:paraId="58362190" w14:textId="77777777" w:rsidR="00D64101" w:rsidRPr="00D64101" w:rsidRDefault="00D64101" w:rsidP="00D64101">
            <w:pPr>
              <w:spacing w:after="0" w:line="240" w:lineRule="auto"/>
              <w:rPr>
                <w:rFonts w:ascii="Trebuchet MS" w:eastAsia="Times New Roman" w:hAnsi="Trebuchet MS" w:cs="Calibri"/>
                <w:color w:val="FFFFFF"/>
                <w:sz w:val="16"/>
                <w:szCs w:val="16"/>
                <w:lang w:eastAsia="en-GB"/>
              </w:rPr>
            </w:pPr>
            <w:r w:rsidRPr="00D64101">
              <w:rPr>
                <w:rFonts w:ascii="Trebuchet MS" w:eastAsia="Times New Roman" w:hAnsi="Trebuchet MS" w:cs="Calibri"/>
                <w:color w:val="FFFFFF"/>
                <w:sz w:val="16"/>
                <w:szCs w:val="16"/>
                <w:lang w:eastAsia="en-GB"/>
              </w:rPr>
              <w:t>Lynda actively seeks and listens to diverse views and opinions</w:t>
            </w:r>
          </w:p>
        </w:tc>
        <w:tc>
          <w:tcPr>
            <w:tcW w:w="866" w:type="dxa"/>
            <w:tcBorders>
              <w:top w:val="single" w:sz="4" w:space="0" w:color="000000"/>
              <w:left w:val="single" w:sz="4" w:space="0" w:color="000000"/>
              <w:bottom w:val="single" w:sz="4" w:space="0" w:color="000000"/>
              <w:right w:val="single" w:sz="4" w:space="0" w:color="000000"/>
            </w:tcBorders>
            <w:noWrap/>
            <w:vAlign w:val="bottom"/>
            <w:hideMark/>
          </w:tcPr>
          <w:p w14:paraId="2FB2762B" w14:textId="77777777" w:rsidR="00D64101" w:rsidRPr="00D64101" w:rsidRDefault="00D64101" w:rsidP="00D64101">
            <w:pPr>
              <w:spacing w:after="0" w:line="240" w:lineRule="auto"/>
              <w:jc w:val="right"/>
              <w:rPr>
                <w:rFonts w:ascii="Trebuchet MS" w:eastAsia="Times New Roman" w:hAnsi="Trebuchet MS" w:cs="Calibri"/>
                <w:color w:val="000000"/>
                <w:sz w:val="16"/>
                <w:szCs w:val="16"/>
                <w:lang w:eastAsia="en-GB"/>
              </w:rPr>
            </w:pPr>
            <w:r w:rsidRPr="00D64101">
              <w:rPr>
                <w:rFonts w:ascii="Trebuchet MS" w:eastAsia="Times New Roman" w:hAnsi="Trebuchet MS" w:cs="Calibri"/>
                <w:color w:val="000000"/>
                <w:sz w:val="16"/>
                <w:szCs w:val="16"/>
                <w:lang w:eastAsia="en-GB"/>
              </w:rPr>
              <w:t>42.9%</w:t>
            </w:r>
          </w:p>
        </w:tc>
        <w:tc>
          <w:tcPr>
            <w:tcW w:w="854" w:type="dxa"/>
            <w:tcBorders>
              <w:top w:val="single" w:sz="4" w:space="0" w:color="000000"/>
              <w:left w:val="single" w:sz="4" w:space="0" w:color="000000"/>
              <w:bottom w:val="single" w:sz="4" w:space="0" w:color="000000"/>
              <w:right w:val="single" w:sz="4" w:space="0" w:color="000000"/>
            </w:tcBorders>
            <w:noWrap/>
            <w:vAlign w:val="bottom"/>
            <w:hideMark/>
          </w:tcPr>
          <w:p w14:paraId="6C6C15D4" w14:textId="77777777" w:rsidR="00D64101" w:rsidRPr="00D64101" w:rsidRDefault="00D64101" w:rsidP="00D64101">
            <w:pPr>
              <w:spacing w:after="0" w:line="240" w:lineRule="auto"/>
              <w:jc w:val="right"/>
              <w:rPr>
                <w:rFonts w:ascii="Trebuchet MS" w:eastAsia="Times New Roman" w:hAnsi="Trebuchet MS" w:cs="Calibri"/>
                <w:color w:val="000000"/>
                <w:sz w:val="16"/>
                <w:szCs w:val="16"/>
                <w:lang w:eastAsia="en-GB"/>
              </w:rPr>
            </w:pPr>
            <w:r w:rsidRPr="00D64101">
              <w:rPr>
                <w:rFonts w:ascii="Trebuchet MS" w:eastAsia="Times New Roman" w:hAnsi="Trebuchet MS" w:cs="Calibri"/>
                <w:color w:val="000000"/>
                <w:sz w:val="16"/>
                <w:szCs w:val="16"/>
                <w:lang w:eastAsia="en-GB"/>
              </w:rPr>
              <w:t>42.9%</w:t>
            </w:r>
          </w:p>
        </w:tc>
        <w:tc>
          <w:tcPr>
            <w:tcW w:w="853" w:type="dxa"/>
            <w:tcBorders>
              <w:top w:val="single" w:sz="4" w:space="0" w:color="000000"/>
              <w:left w:val="single" w:sz="4" w:space="0" w:color="000000"/>
              <w:bottom w:val="single" w:sz="4" w:space="0" w:color="000000"/>
              <w:right w:val="single" w:sz="4" w:space="0" w:color="000000"/>
            </w:tcBorders>
            <w:noWrap/>
            <w:vAlign w:val="bottom"/>
            <w:hideMark/>
          </w:tcPr>
          <w:p w14:paraId="098E476D" w14:textId="77777777" w:rsidR="00D64101" w:rsidRPr="00D64101" w:rsidRDefault="00D64101" w:rsidP="00D64101">
            <w:pPr>
              <w:spacing w:after="0" w:line="240" w:lineRule="auto"/>
              <w:jc w:val="right"/>
              <w:rPr>
                <w:rFonts w:ascii="Trebuchet MS" w:eastAsia="Times New Roman" w:hAnsi="Trebuchet MS" w:cs="Calibri"/>
                <w:color w:val="000000"/>
                <w:sz w:val="16"/>
                <w:szCs w:val="16"/>
                <w:lang w:eastAsia="en-GB"/>
              </w:rPr>
            </w:pPr>
            <w:r w:rsidRPr="00D64101">
              <w:rPr>
                <w:rFonts w:ascii="Trebuchet MS" w:eastAsia="Times New Roman" w:hAnsi="Trebuchet MS" w:cs="Calibri"/>
                <w:color w:val="000000"/>
                <w:sz w:val="16"/>
                <w:szCs w:val="16"/>
                <w:lang w:eastAsia="en-GB"/>
              </w:rPr>
              <w:t>14.3%</w:t>
            </w:r>
          </w:p>
        </w:tc>
        <w:tc>
          <w:tcPr>
            <w:tcW w:w="854" w:type="dxa"/>
            <w:tcBorders>
              <w:top w:val="single" w:sz="4" w:space="0" w:color="000000"/>
              <w:left w:val="single" w:sz="4" w:space="0" w:color="000000"/>
              <w:bottom w:val="single" w:sz="4" w:space="0" w:color="000000"/>
              <w:right w:val="single" w:sz="4" w:space="0" w:color="000000"/>
            </w:tcBorders>
            <w:noWrap/>
            <w:vAlign w:val="bottom"/>
            <w:hideMark/>
          </w:tcPr>
          <w:p w14:paraId="3256D92B" w14:textId="77777777" w:rsidR="00D64101" w:rsidRPr="00D64101" w:rsidRDefault="00D64101" w:rsidP="00D64101">
            <w:pPr>
              <w:spacing w:after="0" w:line="240" w:lineRule="auto"/>
              <w:jc w:val="right"/>
              <w:rPr>
                <w:rFonts w:ascii="Trebuchet MS" w:eastAsia="Times New Roman" w:hAnsi="Trebuchet MS" w:cs="Calibri"/>
                <w:color w:val="000000"/>
                <w:sz w:val="16"/>
                <w:szCs w:val="16"/>
                <w:lang w:eastAsia="en-GB"/>
              </w:rPr>
            </w:pPr>
            <w:r w:rsidRPr="00D64101">
              <w:rPr>
                <w:rFonts w:ascii="Trebuchet MS" w:eastAsia="Times New Roman" w:hAnsi="Trebuchet MS" w:cs="Calibri"/>
                <w:color w:val="000000"/>
                <w:sz w:val="16"/>
                <w:szCs w:val="16"/>
                <w:lang w:eastAsia="en-GB"/>
              </w:rPr>
              <w:t>0.0%</w:t>
            </w:r>
          </w:p>
        </w:tc>
        <w:tc>
          <w:tcPr>
            <w:tcW w:w="850" w:type="dxa"/>
            <w:tcBorders>
              <w:top w:val="single" w:sz="4" w:space="0" w:color="000000"/>
              <w:left w:val="single" w:sz="4" w:space="0" w:color="000000"/>
              <w:bottom w:val="single" w:sz="4" w:space="0" w:color="000000"/>
              <w:right w:val="single" w:sz="4" w:space="0" w:color="000000"/>
            </w:tcBorders>
            <w:noWrap/>
            <w:vAlign w:val="bottom"/>
            <w:hideMark/>
          </w:tcPr>
          <w:p w14:paraId="48D625C8" w14:textId="77777777" w:rsidR="00D64101" w:rsidRPr="00D64101" w:rsidRDefault="00D64101" w:rsidP="00D64101">
            <w:pPr>
              <w:spacing w:after="0" w:line="240" w:lineRule="auto"/>
              <w:jc w:val="right"/>
              <w:rPr>
                <w:rFonts w:ascii="Trebuchet MS" w:eastAsia="Times New Roman" w:hAnsi="Trebuchet MS" w:cs="Calibri"/>
                <w:color w:val="000000"/>
                <w:sz w:val="16"/>
                <w:szCs w:val="16"/>
                <w:lang w:eastAsia="en-GB"/>
              </w:rPr>
            </w:pPr>
            <w:r w:rsidRPr="00D64101">
              <w:rPr>
                <w:rFonts w:ascii="Trebuchet MS" w:eastAsia="Times New Roman" w:hAnsi="Trebuchet MS" w:cs="Calibri"/>
                <w:color w:val="000000"/>
                <w:sz w:val="16"/>
                <w:szCs w:val="16"/>
                <w:lang w:eastAsia="en-GB"/>
              </w:rPr>
              <w:t>0.0%</w:t>
            </w:r>
          </w:p>
        </w:tc>
      </w:tr>
      <w:tr w:rsidR="007976F2" w:rsidRPr="00D64101" w14:paraId="2B28E42C" w14:textId="77777777" w:rsidTr="007976F2">
        <w:trPr>
          <w:trHeight w:val="607"/>
        </w:trPr>
        <w:tc>
          <w:tcPr>
            <w:tcW w:w="4228" w:type="dxa"/>
            <w:tcBorders>
              <w:top w:val="single" w:sz="4" w:space="0" w:color="000000"/>
              <w:left w:val="single" w:sz="4" w:space="0" w:color="000000"/>
              <w:bottom w:val="single" w:sz="4" w:space="0" w:color="000000"/>
              <w:right w:val="single" w:sz="4" w:space="0" w:color="000000"/>
            </w:tcBorders>
            <w:shd w:val="clear" w:color="000000" w:fill="548235"/>
            <w:hideMark/>
          </w:tcPr>
          <w:p w14:paraId="377C85C3" w14:textId="77777777" w:rsidR="00D64101" w:rsidRPr="00D64101" w:rsidRDefault="00D64101" w:rsidP="00D64101">
            <w:pPr>
              <w:spacing w:after="0" w:line="240" w:lineRule="auto"/>
              <w:rPr>
                <w:rFonts w:ascii="Trebuchet MS" w:eastAsia="Times New Roman" w:hAnsi="Trebuchet MS" w:cs="Calibri"/>
                <w:color w:val="FFFFFF"/>
                <w:sz w:val="16"/>
                <w:szCs w:val="16"/>
                <w:lang w:eastAsia="en-GB"/>
              </w:rPr>
            </w:pPr>
            <w:r w:rsidRPr="00D64101">
              <w:rPr>
                <w:rFonts w:ascii="Trebuchet MS" w:eastAsia="Times New Roman" w:hAnsi="Trebuchet MS" w:cs="Calibri"/>
                <w:color w:val="FFFFFF"/>
                <w:sz w:val="16"/>
                <w:szCs w:val="16"/>
                <w:lang w:eastAsia="en-GB"/>
              </w:rPr>
              <w:t>Lynda builds purposeful working relationships and collaborates with wider colleagues</w:t>
            </w:r>
          </w:p>
        </w:tc>
        <w:tc>
          <w:tcPr>
            <w:tcW w:w="866" w:type="dxa"/>
            <w:tcBorders>
              <w:top w:val="single" w:sz="4" w:space="0" w:color="000000"/>
              <w:left w:val="single" w:sz="4" w:space="0" w:color="000000"/>
              <w:bottom w:val="single" w:sz="4" w:space="0" w:color="000000"/>
              <w:right w:val="single" w:sz="4" w:space="0" w:color="000000"/>
            </w:tcBorders>
            <w:noWrap/>
            <w:vAlign w:val="bottom"/>
            <w:hideMark/>
          </w:tcPr>
          <w:p w14:paraId="3F244C4D" w14:textId="77777777" w:rsidR="00D64101" w:rsidRPr="00D64101" w:rsidRDefault="00D64101" w:rsidP="00D64101">
            <w:pPr>
              <w:spacing w:after="0" w:line="240" w:lineRule="auto"/>
              <w:jc w:val="right"/>
              <w:rPr>
                <w:rFonts w:ascii="Trebuchet MS" w:eastAsia="Times New Roman" w:hAnsi="Trebuchet MS" w:cs="Calibri"/>
                <w:color w:val="000000"/>
                <w:sz w:val="16"/>
                <w:szCs w:val="16"/>
                <w:lang w:eastAsia="en-GB"/>
              </w:rPr>
            </w:pPr>
            <w:r w:rsidRPr="00D64101">
              <w:rPr>
                <w:rFonts w:ascii="Trebuchet MS" w:eastAsia="Times New Roman" w:hAnsi="Trebuchet MS" w:cs="Calibri"/>
                <w:color w:val="000000"/>
                <w:sz w:val="16"/>
                <w:szCs w:val="16"/>
                <w:lang w:eastAsia="en-GB"/>
              </w:rPr>
              <w:t>57.1%</w:t>
            </w:r>
          </w:p>
        </w:tc>
        <w:tc>
          <w:tcPr>
            <w:tcW w:w="854" w:type="dxa"/>
            <w:tcBorders>
              <w:top w:val="single" w:sz="4" w:space="0" w:color="000000"/>
              <w:left w:val="single" w:sz="4" w:space="0" w:color="000000"/>
              <w:bottom w:val="single" w:sz="4" w:space="0" w:color="000000"/>
              <w:right w:val="single" w:sz="4" w:space="0" w:color="000000"/>
            </w:tcBorders>
            <w:noWrap/>
            <w:vAlign w:val="bottom"/>
            <w:hideMark/>
          </w:tcPr>
          <w:p w14:paraId="6E90043B" w14:textId="77777777" w:rsidR="00D64101" w:rsidRPr="00D64101" w:rsidRDefault="00D64101" w:rsidP="00D64101">
            <w:pPr>
              <w:spacing w:after="0" w:line="240" w:lineRule="auto"/>
              <w:jc w:val="right"/>
              <w:rPr>
                <w:rFonts w:ascii="Trebuchet MS" w:eastAsia="Times New Roman" w:hAnsi="Trebuchet MS" w:cs="Calibri"/>
                <w:color w:val="000000"/>
                <w:sz w:val="16"/>
                <w:szCs w:val="16"/>
                <w:lang w:eastAsia="en-GB"/>
              </w:rPr>
            </w:pPr>
            <w:r w:rsidRPr="00D64101">
              <w:rPr>
                <w:rFonts w:ascii="Trebuchet MS" w:eastAsia="Times New Roman" w:hAnsi="Trebuchet MS" w:cs="Calibri"/>
                <w:color w:val="000000"/>
                <w:sz w:val="16"/>
                <w:szCs w:val="16"/>
                <w:lang w:eastAsia="en-GB"/>
              </w:rPr>
              <w:t>28.6%</w:t>
            </w:r>
          </w:p>
        </w:tc>
        <w:tc>
          <w:tcPr>
            <w:tcW w:w="853" w:type="dxa"/>
            <w:tcBorders>
              <w:top w:val="single" w:sz="4" w:space="0" w:color="000000"/>
              <w:left w:val="single" w:sz="4" w:space="0" w:color="000000"/>
              <w:bottom w:val="single" w:sz="4" w:space="0" w:color="000000"/>
              <w:right w:val="single" w:sz="4" w:space="0" w:color="000000"/>
            </w:tcBorders>
            <w:noWrap/>
            <w:vAlign w:val="bottom"/>
            <w:hideMark/>
          </w:tcPr>
          <w:p w14:paraId="25FF389B" w14:textId="77777777" w:rsidR="00D64101" w:rsidRPr="00D64101" w:rsidRDefault="00D64101" w:rsidP="00D64101">
            <w:pPr>
              <w:spacing w:after="0" w:line="240" w:lineRule="auto"/>
              <w:jc w:val="right"/>
              <w:rPr>
                <w:rFonts w:ascii="Trebuchet MS" w:eastAsia="Times New Roman" w:hAnsi="Trebuchet MS" w:cs="Calibri"/>
                <w:color w:val="000000"/>
                <w:sz w:val="16"/>
                <w:szCs w:val="16"/>
                <w:lang w:eastAsia="en-GB"/>
              </w:rPr>
            </w:pPr>
            <w:r w:rsidRPr="00D64101">
              <w:rPr>
                <w:rFonts w:ascii="Trebuchet MS" w:eastAsia="Times New Roman" w:hAnsi="Trebuchet MS" w:cs="Calibri"/>
                <w:color w:val="000000"/>
                <w:sz w:val="16"/>
                <w:szCs w:val="16"/>
                <w:lang w:eastAsia="en-GB"/>
              </w:rPr>
              <w:t>0.0%</w:t>
            </w:r>
          </w:p>
        </w:tc>
        <w:tc>
          <w:tcPr>
            <w:tcW w:w="854" w:type="dxa"/>
            <w:tcBorders>
              <w:top w:val="single" w:sz="4" w:space="0" w:color="000000"/>
              <w:left w:val="single" w:sz="4" w:space="0" w:color="000000"/>
              <w:bottom w:val="single" w:sz="4" w:space="0" w:color="000000"/>
              <w:right w:val="single" w:sz="4" w:space="0" w:color="000000"/>
            </w:tcBorders>
            <w:noWrap/>
            <w:vAlign w:val="bottom"/>
            <w:hideMark/>
          </w:tcPr>
          <w:p w14:paraId="4B2B5ECF" w14:textId="77777777" w:rsidR="00D64101" w:rsidRPr="00D64101" w:rsidRDefault="00D64101" w:rsidP="00D64101">
            <w:pPr>
              <w:spacing w:after="0" w:line="240" w:lineRule="auto"/>
              <w:jc w:val="right"/>
              <w:rPr>
                <w:rFonts w:ascii="Trebuchet MS" w:eastAsia="Times New Roman" w:hAnsi="Trebuchet MS" w:cs="Calibri"/>
                <w:color w:val="000000"/>
                <w:sz w:val="16"/>
                <w:szCs w:val="16"/>
                <w:lang w:eastAsia="en-GB"/>
              </w:rPr>
            </w:pPr>
            <w:r w:rsidRPr="00D64101">
              <w:rPr>
                <w:rFonts w:ascii="Trebuchet MS" w:eastAsia="Times New Roman" w:hAnsi="Trebuchet MS" w:cs="Calibri"/>
                <w:color w:val="000000"/>
                <w:sz w:val="16"/>
                <w:szCs w:val="16"/>
                <w:lang w:eastAsia="en-GB"/>
              </w:rPr>
              <w:t>14.3%</w:t>
            </w:r>
          </w:p>
        </w:tc>
        <w:tc>
          <w:tcPr>
            <w:tcW w:w="850" w:type="dxa"/>
            <w:tcBorders>
              <w:top w:val="single" w:sz="4" w:space="0" w:color="000000"/>
              <w:left w:val="single" w:sz="4" w:space="0" w:color="000000"/>
              <w:bottom w:val="single" w:sz="4" w:space="0" w:color="000000"/>
              <w:right w:val="single" w:sz="4" w:space="0" w:color="000000"/>
            </w:tcBorders>
            <w:noWrap/>
            <w:vAlign w:val="bottom"/>
            <w:hideMark/>
          </w:tcPr>
          <w:p w14:paraId="59E1167F" w14:textId="77777777" w:rsidR="00D64101" w:rsidRPr="00D64101" w:rsidRDefault="00D64101" w:rsidP="00D64101">
            <w:pPr>
              <w:spacing w:after="0" w:line="240" w:lineRule="auto"/>
              <w:jc w:val="right"/>
              <w:rPr>
                <w:rFonts w:ascii="Trebuchet MS" w:eastAsia="Times New Roman" w:hAnsi="Trebuchet MS" w:cs="Calibri"/>
                <w:color w:val="000000"/>
                <w:sz w:val="16"/>
                <w:szCs w:val="16"/>
                <w:lang w:eastAsia="en-GB"/>
              </w:rPr>
            </w:pPr>
            <w:r w:rsidRPr="00D64101">
              <w:rPr>
                <w:rFonts w:ascii="Trebuchet MS" w:eastAsia="Times New Roman" w:hAnsi="Trebuchet MS" w:cs="Calibri"/>
                <w:color w:val="000000"/>
                <w:sz w:val="16"/>
                <w:szCs w:val="16"/>
                <w:lang w:eastAsia="en-GB"/>
              </w:rPr>
              <w:t>0.0%</w:t>
            </w:r>
          </w:p>
        </w:tc>
      </w:tr>
      <w:tr w:rsidR="007976F2" w:rsidRPr="00D64101" w14:paraId="3247830B" w14:textId="77777777" w:rsidTr="007976F2">
        <w:trPr>
          <w:trHeight w:val="573"/>
        </w:trPr>
        <w:tc>
          <w:tcPr>
            <w:tcW w:w="4228" w:type="dxa"/>
            <w:tcBorders>
              <w:top w:val="single" w:sz="4" w:space="0" w:color="000000"/>
              <w:left w:val="single" w:sz="4" w:space="0" w:color="000000"/>
              <w:bottom w:val="single" w:sz="4" w:space="0" w:color="000000"/>
              <w:right w:val="single" w:sz="4" w:space="0" w:color="000000"/>
            </w:tcBorders>
            <w:shd w:val="clear" w:color="000000" w:fill="548235"/>
            <w:hideMark/>
          </w:tcPr>
          <w:p w14:paraId="5AC64440" w14:textId="77777777" w:rsidR="00D64101" w:rsidRPr="00D64101" w:rsidRDefault="00D64101" w:rsidP="00D64101">
            <w:pPr>
              <w:spacing w:after="0" w:line="240" w:lineRule="auto"/>
              <w:rPr>
                <w:rFonts w:ascii="Trebuchet MS" w:eastAsia="Times New Roman" w:hAnsi="Trebuchet MS" w:cs="Calibri"/>
                <w:color w:val="FFFFFF"/>
                <w:sz w:val="16"/>
                <w:szCs w:val="16"/>
                <w:lang w:eastAsia="en-GB"/>
              </w:rPr>
            </w:pPr>
            <w:r w:rsidRPr="00D64101">
              <w:rPr>
                <w:rFonts w:ascii="Trebuchet MS" w:eastAsia="Times New Roman" w:hAnsi="Trebuchet MS" w:cs="Calibri"/>
                <w:color w:val="FFFFFF"/>
                <w:sz w:val="16"/>
                <w:szCs w:val="16"/>
                <w:lang w:eastAsia="en-GB"/>
              </w:rPr>
              <w:t>Lynda readily shares knowledge and expertise with others to solve problems</w:t>
            </w:r>
          </w:p>
        </w:tc>
        <w:tc>
          <w:tcPr>
            <w:tcW w:w="866" w:type="dxa"/>
            <w:tcBorders>
              <w:top w:val="single" w:sz="4" w:space="0" w:color="000000"/>
              <w:left w:val="single" w:sz="4" w:space="0" w:color="000000"/>
              <w:bottom w:val="single" w:sz="4" w:space="0" w:color="000000"/>
              <w:right w:val="single" w:sz="4" w:space="0" w:color="000000"/>
            </w:tcBorders>
            <w:noWrap/>
            <w:vAlign w:val="bottom"/>
            <w:hideMark/>
          </w:tcPr>
          <w:p w14:paraId="0335240B" w14:textId="77777777" w:rsidR="00D64101" w:rsidRPr="00D64101" w:rsidRDefault="00D64101" w:rsidP="00D64101">
            <w:pPr>
              <w:spacing w:after="0" w:line="240" w:lineRule="auto"/>
              <w:jc w:val="right"/>
              <w:rPr>
                <w:rFonts w:ascii="Trebuchet MS" w:eastAsia="Times New Roman" w:hAnsi="Trebuchet MS" w:cs="Calibri"/>
                <w:color w:val="000000"/>
                <w:sz w:val="16"/>
                <w:szCs w:val="16"/>
                <w:lang w:eastAsia="en-GB"/>
              </w:rPr>
            </w:pPr>
            <w:r w:rsidRPr="00D64101">
              <w:rPr>
                <w:rFonts w:ascii="Trebuchet MS" w:eastAsia="Times New Roman" w:hAnsi="Trebuchet MS" w:cs="Calibri"/>
                <w:color w:val="000000"/>
                <w:sz w:val="16"/>
                <w:szCs w:val="16"/>
                <w:lang w:eastAsia="en-GB"/>
              </w:rPr>
              <w:t>71.4%</w:t>
            </w:r>
          </w:p>
        </w:tc>
        <w:tc>
          <w:tcPr>
            <w:tcW w:w="854" w:type="dxa"/>
            <w:tcBorders>
              <w:top w:val="single" w:sz="4" w:space="0" w:color="000000"/>
              <w:left w:val="single" w:sz="4" w:space="0" w:color="000000"/>
              <w:bottom w:val="single" w:sz="4" w:space="0" w:color="000000"/>
              <w:right w:val="single" w:sz="4" w:space="0" w:color="000000"/>
            </w:tcBorders>
            <w:noWrap/>
            <w:vAlign w:val="bottom"/>
            <w:hideMark/>
          </w:tcPr>
          <w:p w14:paraId="28B476D7" w14:textId="77777777" w:rsidR="00D64101" w:rsidRPr="00D64101" w:rsidRDefault="00D64101" w:rsidP="00D64101">
            <w:pPr>
              <w:spacing w:after="0" w:line="240" w:lineRule="auto"/>
              <w:jc w:val="right"/>
              <w:rPr>
                <w:rFonts w:ascii="Trebuchet MS" w:eastAsia="Times New Roman" w:hAnsi="Trebuchet MS" w:cs="Calibri"/>
                <w:color w:val="000000"/>
                <w:sz w:val="16"/>
                <w:szCs w:val="16"/>
                <w:lang w:eastAsia="en-GB"/>
              </w:rPr>
            </w:pPr>
            <w:r w:rsidRPr="00D64101">
              <w:rPr>
                <w:rFonts w:ascii="Trebuchet MS" w:eastAsia="Times New Roman" w:hAnsi="Trebuchet MS" w:cs="Calibri"/>
                <w:color w:val="000000"/>
                <w:sz w:val="16"/>
                <w:szCs w:val="16"/>
                <w:lang w:eastAsia="en-GB"/>
              </w:rPr>
              <w:t>0.0%</w:t>
            </w:r>
          </w:p>
        </w:tc>
        <w:tc>
          <w:tcPr>
            <w:tcW w:w="853" w:type="dxa"/>
            <w:tcBorders>
              <w:top w:val="single" w:sz="4" w:space="0" w:color="000000"/>
              <w:left w:val="single" w:sz="4" w:space="0" w:color="000000"/>
              <w:bottom w:val="single" w:sz="4" w:space="0" w:color="000000"/>
              <w:right w:val="single" w:sz="4" w:space="0" w:color="000000"/>
            </w:tcBorders>
            <w:noWrap/>
            <w:vAlign w:val="bottom"/>
            <w:hideMark/>
          </w:tcPr>
          <w:p w14:paraId="2E3FDC78" w14:textId="77777777" w:rsidR="00D64101" w:rsidRPr="00D64101" w:rsidRDefault="00D64101" w:rsidP="00D64101">
            <w:pPr>
              <w:spacing w:after="0" w:line="240" w:lineRule="auto"/>
              <w:jc w:val="right"/>
              <w:rPr>
                <w:rFonts w:ascii="Trebuchet MS" w:eastAsia="Times New Roman" w:hAnsi="Trebuchet MS" w:cs="Calibri"/>
                <w:color w:val="000000"/>
                <w:sz w:val="16"/>
                <w:szCs w:val="16"/>
                <w:lang w:eastAsia="en-GB"/>
              </w:rPr>
            </w:pPr>
            <w:r w:rsidRPr="00D64101">
              <w:rPr>
                <w:rFonts w:ascii="Trebuchet MS" w:eastAsia="Times New Roman" w:hAnsi="Trebuchet MS" w:cs="Calibri"/>
                <w:color w:val="000000"/>
                <w:sz w:val="16"/>
                <w:szCs w:val="16"/>
                <w:lang w:eastAsia="en-GB"/>
              </w:rPr>
              <w:t>28.6%</w:t>
            </w:r>
          </w:p>
        </w:tc>
        <w:tc>
          <w:tcPr>
            <w:tcW w:w="854" w:type="dxa"/>
            <w:tcBorders>
              <w:top w:val="single" w:sz="4" w:space="0" w:color="000000"/>
              <w:left w:val="single" w:sz="4" w:space="0" w:color="000000"/>
              <w:bottom w:val="single" w:sz="4" w:space="0" w:color="000000"/>
              <w:right w:val="single" w:sz="4" w:space="0" w:color="000000"/>
            </w:tcBorders>
            <w:noWrap/>
            <w:vAlign w:val="bottom"/>
            <w:hideMark/>
          </w:tcPr>
          <w:p w14:paraId="62F9A136" w14:textId="77777777" w:rsidR="00D64101" w:rsidRPr="00D64101" w:rsidRDefault="00D64101" w:rsidP="00D64101">
            <w:pPr>
              <w:spacing w:after="0" w:line="240" w:lineRule="auto"/>
              <w:jc w:val="right"/>
              <w:rPr>
                <w:rFonts w:ascii="Trebuchet MS" w:eastAsia="Times New Roman" w:hAnsi="Trebuchet MS" w:cs="Calibri"/>
                <w:color w:val="000000"/>
                <w:sz w:val="16"/>
                <w:szCs w:val="16"/>
                <w:lang w:eastAsia="en-GB"/>
              </w:rPr>
            </w:pPr>
            <w:r w:rsidRPr="00D64101">
              <w:rPr>
                <w:rFonts w:ascii="Trebuchet MS" w:eastAsia="Times New Roman" w:hAnsi="Trebuchet MS" w:cs="Calibri"/>
                <w:color w:val="000000"/>
                <w:sz w:val="16"/>
                <w:szCs w:val="16"/>
                <w:lang w:eastAsia="en-GB"/>
              </w:rPr>
              <w:t>0.0%</w:t>
            </w:r>
          </w:p>
        </w:tc>
        <w:tc>
          <w:tcPr>
            <w:tcW w:w="850" w:type="dxa"/>
            <w:tcBorders>
              <w:top w:val="single" w:sz="4" w:space="0" w:color="000000"/>
              <w:left w:val="single" w:sz="4" w:space="0" w:color="000000"/>
              <w:bottom w:val="single" w:sz="4" w:space="0" w:color="000000"/>
              <w:right w:val="single" w:sz="4" w:space="0" w:color="000000"/>
            </w:tcBorders>
            <w:noWrap/>
            <w:vAlign w:val="bottom"/>
            <w:hideMark/>
          </w:tcPr>
          <w:p w14:paraId="1DAA889C" w14:textId="77777777" w:rsidR="00D64101" w:rsidRPr="00D64101" w:rsidRDefault="00D64101" w:rsidP="00D64101">
            <w:pPr>
              <w:spacing w:after="0" w:line="240" w:lineRule="auto"/>
              <w:jc w:val="right"/>
              <w:rPr>
                <w:rFonts w:ascii="Trebuchet MS" w:eastAsia="Times New Roman" w:hAnsi="Trebuchet MS" w:cs="Calibri"/>
                <w:color w:val="000000"/>
                <w:sz w:val="16"/>
                <w:szCs w:val="16"/>
                <w:lang w:eastAsia="en-GB"/>
              </w:rPr>
            </w:pPr>
            <w:r w:rsidRPr="00D64101">
              <w:rPr>
                <w:rFonts w:ascii="Trebuchet MS" w:eastAsia="Times New Roman" w:hAnsi="Trebuchet MS" w:cs="Calibri"/>
                <w:color w:val="000000"/>
                <w:sz w:val="16"/>
                <w:szCs w:val="16"/>
                <w:lang w:eastAsia="en-GB"/>
              </w:rPr>
              <w:t>0.0%</w:t>
            </w:r>
          </w:p>
        </w:tc>
      </w:tr>
      <w:tr w:rsidR="007976F2" w:rsidRPr="00D64101" w14:paraId="3262F2B0" w14:textId="77777777" w:rsidTr="007976F2">
        <w:trPr>
          <w:trHeight w:val="449"/>
        </w:trPr>
        <w:tc>
          <w:tcPr>
            <w:tcW w:w="4228" w:type="dxa"/>
            <w:tcBorders>
              <w:top w:val="single" w:sz="4" w:space="0" w:color="000000"/>
              <w:left w:val="single" w:sz="4" w:space="0" w:color="000000"/>
              <w:bottom w:val="single" w:sz="4" w:space="0" w:color="000000"/>
              <w:right w:val="single" w:sz="4" w:space="0" w:color="000000"/>
            </w:tcBorders>
            <w:shd w:val="clear" w:color="000000" w:fill="548235"/>
            <w:hideMark/>
          </w:tcPr>
          <w:p w14:paraId="7C7B0393" w14:textId="77777777" w:rsidR="00D64101" w:rsidRPr="00D64101" w:rsidRDefault="00D64101" w:rsidP="00D64101">
            <w:pPr>
              <w:spacing w:after="0" w:line="240" w:lineRule="auto"/>
              <w:rPr>
                <w:rFonts w:ascii="Trebuchet MS" w:eastAsia="Times New Roman" w:hAnsi="Trebuchet MS" w:cs="Calibri"/>
                <w:color w:val="FFFFFF"/>
                <w:sz w:val="16"/>
                <w:szCs w:val="16"/>
                <w:lang w:eastAsia="en-GB"/>
              </w:rPr>
            </w:pPr>
            <w:r w:rsidRPr="00D64101">
              <w:rPr>
                <w:rFonts w:ascii="Trebuchet MS" w:eastAsia="Times New Roman" w:hAnsi="Trebuchet MS" w:cs="Calibri"/>
                <w:color w:val="FFFFFF"/>
                <w:sz w:val="16"/>
                <w:szCs w:val="16"/>
                <w:lang w:eastAsia="en-GB"/>
              </w:rPr>
              <w:t>Lynda supports others to resolve conflict before issues escalate</w:t>
            </w:r>
          </w:p>
        </w:tc>
        <w:tc>
          <w:tcPr>
            <w:tcW w:w="866" w:type="dxa"/>
            <w:tcBorders>
              <w:top w:val="single" w:sz="4" w:space="0" w:color="000000"/>
              <w:left w:val="single" w:sz="4" w:space="0" w:color="000000"/>
              <w:bottom w:val="single" w:sz="4" w:space="0" w:color="000000"/>
              <w:right w:val="single" w:sz="4" w:space="0" w:color="000000"/>
            </w:tcBorders>
            <w:noWrap/>
            <w:vAlign w:val="bottom"/>
            <w:hideMark/>
          </w:tcPr>
          <w:p w14:paraId="164522A7" w14:textId="77777777" w:rsidR="00D64101" w:rsidRPr="00D64101" w:rsidRDefault="00D64101" w:rsidP="00D64101">
            <w:pPr>
              <w:spacing w:after="0" w:line="240" w:lineRule="auto"/>
              <w:jc w:val="right"/>
              <w:rPr>
                <w:rFonts w:ascii="Trebuchet MS" w:eastAsia="Times New Roman" w:hAnsi="Trebuchet MS" w:cs="Calibri"/>
                <w:color w:val="000000"/>
                <w:sz w:val="16"/>
                <w:szCs w:val="16"/>
                <w:lang w:eastAsia="en-GB"/>
              </w:rPr>
            </w:pPr>
            <w:r w:rsidRPr="00D64101">
              <w:rPr>
                <w:rFonts w:ascii="Trebuchet MS" w:eastAsia="Times New Roman" w:hAnsi="Trebuchet MS" w:cs="Calibri"/>
                <w:color w:val="000000"/>
                <w:sz w:val="16"/>
                <w:szCs w:val="16"/>
                <w:lang w:eastAsia="en-GB"/>
              </w:rPr>
              <w:t>42.9%</w:t>
            </w:r>
          </w:p>
        </w:tc>
        <w:tc>
          <w:tcPr>
            <w:tcW w:w="854" w:type="dxa"/>
            <w:tcBorders>
              <w:top w:val="single" w:sz="4" w:space="0" w:color="000000"/>
              <w:left w:val="single" w:sz="4" w:space="0" w:color="000000"/>
              <w:bottom w:val="single" w:sz="4" w:space="0" w:color="000000"/>
              <w:right w:val="single" w:sz="4" w:space="0" w:color="000000"/>
            </w:tcBorders>
            <w:noWrap/>
            <w:vAlign w:val="bottom"/>
            <w:hideMark/>
          </w:tcPr>
          <w:p w14:paraId="754F2B12" w14:textId="77777777" w:rsidR="00D64101" w:rsidRPr="00D64101" w:rsidRDefault="00D64101" w:rsidP="00D64101">
            <w:pPr>
              <w:spacing w:after="0" w:line="240" w:lineRule="auto"/>
              <w:jc w:val="right"/>
              <w:rPr>
                <w:rFonts w:ascii="Trebuchet MS" w:eastAsia="Times New Roman" w:hAnsi="Trebuchet MS" w:cs="Calibri"/>
                <w:color w:val="000000"/>
                <w:sz w:val="16"/>
                <w:szCs w:val="16"/>
                <w:lang w:eastAsia="en-GB"/>
              </w:rPr>
            </w:pPr>
            <w:r w:rsidRPr="00D64101">
              <w:rPr>
                <w:rFonts w:ascii="Trebuchet MS" w:eastAsia="Times New Roman" w:hAnsi="Trebuchet MS" w:cs="Calibri"/>
                <w:color w:val="000000"/>
                <w:sz w:val="16"/>
                <w:szCs w:val="16"/>
                <w:lang w:eastAsia="en-GB"/>
              </w:rPr>
              <w:t>28.6%</w:t>
            </w:r>
          </w:p>
        </w:tc>
        <w:tc>
          <w:tcPr>
            <w:tcW w:w="853" w:type="dxa"/>
            <w:tcBorders>
              <w:top w:val="single" w:sz="4" w:space="0" w:color="000000"/>
              <w:left w:val="single" w:sz="4" w:space="0" w:color="000000"/>
              <w:bottom w:val="single" w:sz="4" w:space="0" w:color="000000"/>
              <w:right w:val="single" w:sz="4" w:space="0" w:color="000000"/>
            </w:tcBorders>
            <w:noWrap/>
            <w:vAlign w:val="bottom"/>
            <w:hideMark/>
          </w:tcPr>
          <w:p w14:paraId="79343989" w14:textId="77777777" w:rsidR="00D64101" w:rsidRPr="00D64101" w:rsidRDefault="00D64101" w:rsidP="00D64101">
            <w:pPr>
              <w:spacing w:after="0" w:line="240" w:lineRule="auto"/>
              <w:jc w:val="right"/>
              <w:rPr>
                <w:rFonts w:ascii="Trebuchet MS" w:eastAsia="Times New Roman" w:hAnsi="Trebuchet MS" w:cs="Calibri"/>
                <w:color w:val="000000"/>
                <w:sz w:val="16"/>
                <w:szCs w:val="16"/>
                <w:lang w:eastAsia="en-GB"/>
              </w:rPr>
            </w:pPr>
            <w:r w:rsidRPr="00D64101">
              <w:rPr>
                <w:rFonts w:ascii="Trebuchet MS" w:eastAsia="Times New Roman" w:hAnsi="Trebuchet MS" w:cs="Calibri"/>
                <w:color w:val="000000"/>
                <w:sz w:val="16"/>
                <w:szCs w:val="16"/>
                <w:lang w:eastAsia="en-GB"/>
              </w:rPr>
              <w:t>28.6%</w:t>
            </w:r>
          </w:p>
        </w:tc>
        <w:tc>
          <w:tcPr>
            <w:tcW w:w="854" w:type="dxa"/>
            <w:tcBorders>
              <w:top w:val="single" w:sz="4" w:space="0" w:color="000000"/>
              <w:left w:val="single" w:sz="4" w:space="0" w:color="000000"/>
              <w:bottom w:val="single" w:sz="4" w:space="0" w:color="000000"/>
              <w:right w:val="single" w:sz="4" w:space="0" w:color="000000"/>
            </w:tcBorders>
            <w:noWrap/>
            <w:vAlign w:val="bottom"/>
            <w:hideMark/>
          </w:tcPr>
          <w:p w14:paraId="63904177" w14:textId="77777777" w:rsidR="00D64101" w:rsidRPr="00D64101" w:rsidRDefault="00D64101" w:rsidP="00D64101">
            <w:pPr>
              <w:spacing w:after="0" w:line="240" w:lineRule="auto"/>
              <w:jc w:val="right"/>
              <w:rPr>
                <w:rFonts w:ascii="Trebuchet MS" w:eastAsia="Times New Roman" w:hAnsi="Trebuchet MS" w:cs="Calibri"/>
                <w:color w:val="000000"/>
                <w:sz w:val="16"/>
                <w:szCs w:val="16"/>
                <w:lang w:eastAsia="en-GB"/>
              </w:rPr>
            </w:pPr>
            <w:r w:rsidRPr="00D64101">
              <w:rPr>
                <w:rFonts w:ascii="Trebuchet MS" w:eastAsia="Times New Roman" w:hAnsi="Trebuchet MS" w:cs="Calibri"/>
                <w:color w:val="000000"/>
                <w:sz w:val="16"/>
                <w:szCs w:val="16"/>
                <w:lang w:eastAsia="en-GB"/>
              </w:rPr>
              <w:t>0.0%</w:t>
            </w:r>
          </w:p>
        </w:tc>
        <w:tc>
          <w:tcPr>
            <w:tcW w:w="850" w:type="dxa"/>
            <w:tcBorders>
              <w:top w:val="single" w:sz="4" w:space="0" w:color="000000"/>
              <w:left w:val="single" w:sz="4" w:space="0" w:color="000000"/>
              <w:bottom w:val="single" w:sz="4" w:space="0" w:color="000000"/>
              <w:right w:val="single" w:sz="4" w:space="0" w:color="000000"/>
            </w:tcBorders>
            <w:noWrap/>
            <w:vAlign w:val="bottom"/>
            <w:hideMark/>
          </w:tcPr>
          <w:p w14:paraId="302C6672" w14:textId="77777777" w:rsidR="00D64101" w:rsidRPr="00D64101" w:rsidRDefault="00D64101" w:rsidP="00D64101">
            <w:pPr>
              <w:spacing w:after="0" w:line="240" w:lineRule="auto"/>
              <w:jc w:val="right"/>
              <w:rPr>
                <w:rFonts w:ascii="Trebuchet MS" w:eastAsia="Times New Roman" w:hAnsi="Trebuchet MS" w:cs="Calibri"/>
                <w:color w:val="000000"/>
                <w:sz w:val="16"/>
                <w:szCs w:val="16"/>
                <w:lang w:eastAsia="en-GB"/>
              </w:rPr>
            </w:pPr>
            <w:r w:rsidRPr="00D64101">
              <w:rPr>
                <w:rFonts w:ascii="Trebuchet MS" w:eastAsia="Times New Roman" w:hAnsi="Trebuchet MS" w:cs="Calibri"/>
                <w:color w:val="000000"/>
                <w:sz w:val="16"/>
                <w:szCs w:val="16"/>
                <w:lang w:eastAsia="en-GB"/>
              </w:rPr>
              <w:t>0.0%</w:t>
            </w:r>
          </w:p>
        </w:tc>
      </w:tr>
      <w:tr w:rsidR="007976F2" w:rsidRPr="00D64101" w14:paraId="3D6014DC" w14:textId="77777777" w:rsidTr="007976F2">
        <w:trPr>
          <w:trHeight w:val="596"/>
        </w:trPr>
        <w:tc>
          <w:tcPr>
            <w:tcW w:w="4228" w:type="dxa"/>
            <w:tcBorders>
              <w:top w:val="single" w:sz="4" w:space="0" w:color="000000"/>
              <w:left w:val="single" w:sz="4" w:space="0" w:color="000000"/>
              <w:bottom w:val="single" w:sz="4" w:space="0" w:color="000000"/>
              <w:right w:val="single" w:sz="4" w:space="0" w:color="000000"/>
            </w:tcBorders>
            <w:shd w:val="clear" w:color="000000" w:fill="548235"/>
            <w:hideMark/>
          </w:tcPr>
          <w:p w14:paraId="19052A86" w14:textId="77777777" w:rsidR="00D64101" w:rsidRPr="00D64101" w:rsidRDefault="00D64101" w:rsidP="00D64101">
            <w:pPr>
              <w:spacing w:after="0" w:line="240" w:lineRule="auto"/>
              <w:rPr>
                <w:rFonts w:ascii="Trebuchet MS" w:eastAsia="Times New Roman" w:hAnsi="Trebuchet MS" w:cs="Calibri"/>
                <w:color w:val="FFFFFF"/>
                <w:sz w:val="16"/>
                <w:szCs w:val="16"/>
                <w:lang w:eastAsia="en-GB"/>
              </w:rPr>
            </w:pPr>
            <w:r w:rsidRPr="00D64101">
              <w:rPr>
                <w:rFonts w:ascii="Trebuchet MS" w:eastAsia="Times New Roman" w:hAnsi="Trebuchet MS" w:cs="Calibri"/>
                <w:color w:val="FFFFFF"/>
                <w:sz w:val="16"/>
                <w:szCs w:val="16"/>
                <w:lang w:eastAsia="en-GB"/>
              </w:rPr>
              <w:t>Lynda encourages others to recognise when they need help, to admit mistakes, and share concerns and ideas</w:t>
            </w:r>
          </w:p>
        </w:tc>
        <w:tc>
          <w:tcPr>
            <w:tcW w:w="866" w:type="dxa"/>
            <w:tcBorders>
              <w:top w:val="single" w:sz="4" w:space="0" w:color="000000"/>
              <w:left w:val="single" w:sz="4" w:space="0" w:color="000000"/>
              <w:bottom w:val="single" w:sz="4" w:space="0" w:color="000000"/>
              <w:right w:val="single" w:sz="4" w:space="0" w:color="000000"/>
            </w:tcBorders>
            <w:noWrap/>
            <w:vAlign w:val="bottom"/>
            <w:hideMark/>
          </w:tcPr>
          <w:p w14:paraId="763D0F53" w14:textId="77777777" w:rsidR="00D64101" w:rsidRPr="00D64101" w:rsidRDefault="00D64101" w:rsidP="00D64101">
            <w:pPr>
              <w:spacing w:after="0" w:line="240" w:lineRule="auto"/>
              <w:jc w:val="right"/>
              <w:rPr>
                <w:rFonts w:ascii="Trebuchet MS" w:eastAsia="Times New Roman" w:hAnsi="Trebuchet MS" w:cs="Calibri"/>
                <w:color w:val="000000"/>
                <w:sz w:val="16"/>
                <w:szCs w:val="16"/>
                <w:lang w:eastAsia="en-GB"/>
              </w:rPr>
            </w:pPr>
            <w:r w:rsidRPr="00D64101">
              <w:rPr>
                <w:rFonts w:ascii="Trebuchet MS" w:eastAsia="Times New Roman" w:hAnsi="Trebuchet MS" w:cs="Calibri"/>
                <w:color w:val="000000"/>
                <w:sz w:val="16"/>
                <w:szCs w:val="16"/>
                <w:lang w:eastAsia="en-GB"/>
              </w:rPr>
              <w:t>42.9%</w:t>
            </w:r>
          </w:p>
        </w:tc>
        <w:tc>
          <w:tcPr>
            <w:tcW w:w="854" w:type="dxa"/>
            <w:tcBorders>
              <w:top w:val="single" w:sz="4" w:space="0" w:color="000000"/>
              <w:left w:val="single" w:sz="4" w:space="0" w:color="000000"/>
              <w:bottom w:val="single" w:sz="4" w:space="0" w:color="000000"/>
              <w:right w:val="single" w:sz="4" w:space="0" w:color="000000"/>
            </w:tcBorders>
            <w:noWrap/>
            <w:vAlign w:val="bottom"/>
            <w:hideMark/>
          </w:tcPr>
          <w:p w14:paraId="1F81C948" w14:textId="77777777" w:rsidR="00D64101" w:rsidRPr="00D64101" w:rsidRDefault="00D64101" w:rsidP="00D64101">
            <w:pPr>
              <w:spacing w:after="0" w:line="240" w:lineRule="auto"/>
              <w:jc w:val="right"/>
              <w:rPr>
                <w:rFonts w:ascii="Trebuchet MS" w:eastAsia="Times New Roman" w:hAnsi="Trebuchet MS" w:cs="Calibri"/>
                <w:color w:val="000000"/>
                <w:sz w:val="16"/>
                <w:szCs w:val="16"/>
                <w:lang w:eastAsia="en-GB"/>
              </w:rPr>
            </w:pPr>
            <w:r w:rsidRPr="00D64101">
              <w:rPr>
                <w:rFonts w:ascii="Trebuchet MS" w:eastAsia="Times New Roman" w:hAnsi="Trebuchet MS" w:cs="Calibri"/>
                <w:color w:val="000000"/>
                <w:sz w:val="16"/>
                <w:szCs w:val="16"/>
                <w:lang w:eastAsia="en-GB"/>
              </w:rPr>
              <w:t>42.9%</w:t>
            </w:r>
          </w:p>
        </w:tc>
        <w:tc>
          <w:tcPr>
            <w:tcW w:w="853" w:type="dxa"/>
            <w:tcBorders>
              <w:top w:val="single" w:sz="4" w:space="0" w:color="000000"/>
              <w:left w:val="single" w:sz="4" w:space="0" w:color="000000"/>
              <w:bottom w:val="single" w:sz="4" w:space="0" w:color="000000"/>
              <w:right w:val="single" w:sz="4" w:space="0" w:color="000000"/>
            </w:tcBorders>
            <w:noWrap/>
            <w:vAlign w:val="bottom"/>
            <w:hideMark/>
          </w:tcPr>
          <w:p w14:paraId="511398CF" w14:textId="77777777" w:rsidR="00D64101" w:rsidRPr="00D64101" w:rsidRDefault="00D64101" w:rsidP="00D64101">
            <w:pPr>
              <w:spacing w:after="0" w:line="240" w:lineRule="auto"/>
              <w:jc w:val="right"/>
              <w:rPr>
                <w:rFonts w:ascii="Trebuchet MS" w:eastAsia="Times New Roman" w:hAnsi="Trebuchet MS" w:cs="Calibri"/>
                <w:color w:val="000000"/>
                <w:sz w:val="16"/>
                <w:szCs w:val="16"/>
                <w:lang w:eastAsia="en-GB"/>
              </w:rPr>
            </w:pPr>
            <w:r w:rsidRPr="00D64101">
              <w:rPr>
                <w:rFonts w:ascii="Trebuchet MS" w:eastAsia="Times New Roman" w:hAnsi="Trebuchet MS" w:cs="Calibri"/>
                <w:color w:val="000000"/>
                <w:sz w:val="16"/>
                <w:szCs w:val="16"/>
                <w:lang w:eastAsia="en-GB"/>
              </w:rPr>
              <w:t>0.0%</w:t>
            </w:r>
          </w:p>
        </w:tc>
        <w:tc>
          <w:tcPr>
            <w:tcW w:w="854" w:type="dxa"/>
            <w:tcBorders>
              <w:top w:val="single" w:sz="4" w:space="0" w:color="000000"/>
              <w:left w:val="single" w:sz="4" w:space="0" w:color="000000"/>
              <w:bottom w:val="single" w:sz="4" w:space="0" w:color="000000"/>
              <w:right w:val="single" w:sz="4" w:space="0" w:color="000000"/>
            </w:tcBorders>
            <w:noWrap/>
            <w:vAlign w:val="bottom"/>
            <w:hideMark/>
          </w:tcPr>
          <w:p w14:paraId="77DA2C3D" w14:textId="77777777" w:rsidR="00D64101" w:rsidRPr="00D64101" w:rsidRDefault="00D64101" w:rsidP="00D64101">
            <w:pPr>
              <w:spacing w:after="0" w:line="240" w:lineRule="auto"/>
              <w:jc w:val="right"/>
              <w:rPr>
                <w:rFonts w:ascii="Trebuchet MS" w:eastAsia="Times New Roman" w:hAnsi="Trebuchet MS" w:cs="Calibri"/>
                <w:color w:val="000000"/>
                <w:sz w:val="16"/>
                <w:szCs w:val="16"/>
                <w:lang w:eastAsia="en-GB"/>
              </w:rPr>
            </w:pPr>
            <w:r w:rsidRPr="00D64101">
              <w:rPr>
                <w:rFonts w:ascii="Trebuchet MS" w:eastAsia="Times New Roman" w:hAnsi="Trebuchet MS" w:cs="Calibri"/>
                <w:color w:val="000000"/>
                <w:sz w:val="16"/>
                <w:szCs w:val="16"/>
                <w:lang w:eastAsia="en-GB"/>
              </w:rPr>
              <w:t>14.3%</w:t>
            </w:r>
          </w:p>
        </w:tc>
        <w:tc>
          <w:tcPr>
            <w:tcW w:w="850" w:type="dxa"/>
            <w:tcBorders>
              <w:top w:val="single" w:sz="4" w:space="0" w:color="000000"/>
              <w:left w:val="single" w:sz="4" w:space="0" w:color="000000"/>
              <w:bottom w:val="single" w:sz="4" w:space="0" w:color="000000"/>
              <w:right w:val="single" w:sz="4" w:space="0" w:color="000000"/>
            </w:tcBorders>
            <w:noWrap/>
            <w:vAlign w:val="bottom"/>
            <w:hideMark/>
          </w:tcPr>
          <w:p w14:paraId="07E027B6" w14:textId="77777777" w:rsidR="00D64101" w:rsidRPr="00D64101" w:rsidRDefault="00D64101" w:rsidP="00D64101">
            <w:pPr>
              <w:spacing w:after="0" w:line="240" w:lineRule="auto"/>
              <w:jc w:val="right"/>
              <w:rPr>
                <w:rFonts w:ascii="Trebuchet MS" w:eastAsia="Times New Roman" w:hAnsi="Trebuchet MS" w:cs="Calibri"/>
                <w:color w:val="000000"/>
                <w:sz w:val="16"/>
                <w:szCs w:val="16"/>
                <w:lang w:eastAsia="en-GB"/>
              </w:rPr>
            </w:pPr>
            <w:r w:rsidRPr="00D64101">
              <w:rPr>
                <w:rFonts w:ascii="Trebuchet MS" w:eastAsia="Times New Roman" w:hAnsi="Trebuchet MS" w:cs="Calibri"/>
                <w:color w:val="000000"/>
                <w:sz w:val="16"/>
                <w:szCs w:val="16"/>
                <w:lang w:eastAsia="en-GB"/>
              </w:rPr>
              <w:t>0.0%</w:t>
            </w:r>
          </w:p>
        </w:tc>
      </w:tr>
    </w:tbl>
    <w:p w14:paraId="199D09F5" w14:textId="77777777" w:rsidR="00AA2E69" w:rsidRPr="00DF20C8" w:rsidRDefault="00AA2E69" w:rsidP="004E35D4">
      <w:pPr>
        <w:spacing w:after="0" w:line="240" w:lineRule="auto"/>
        <w:ind w:left="426"/>
        <w:jc w:val="both"/>
        <w:rPr>
          <w:rFonts w:ascii="Trebuchet MS" w:eastAsia="Arial" w:hAnsi="Trebuchet MS" w:cs="Arial"/>
        </w:rPr>
      </w:pPr>
    </w:p>
    <w:p w14:paraId="4E07E132" w14:textId="77777777" w:rsidR="00053CFC" w:rsidRDefault="00053CFC" w:rsidP="005E203E">
      <w:pPr>
        <w:spacing w:line="240" w:lineRule="auto"/>
        <w:ind w:left="426"/>
        <w:jc w:val="both"/>
        <w:rPr>
          <w:rFonts w:ascii="Trebuchet MS" w:eastAsia="Arial" w:hAnsi="Trebuchet MS" w:cs="Arial"/>
          <w:color w:val="000000"/>
          <w:szCs w:val="24"/>
        </w:rPr>
      </w:pPr>
    </w:p>
    <w:p w14:paraId="5F45A3FB" w14:textId="71B1D366" w:rsidR="005E203E" w:rsidRPr="005E203E" w:rsidRDefault="005E203E" w:rsidP="005E203E">
      <w:pPr>
        <w:spacing w:line="240" w:lineRule="auto"/>
        <w:ind w:left="426"/>
        <w:jc w:val="both"/>
        <w:rPr>
          <w:rFonts w:ascii="Trebuchet MS" w:eastAsia="Arial" w:hAnsi="Trebuchet MS" w:cs="Arial"/>
          <w:color w:val="000000"/>
          <w:szCs w:val="24"/>
        </w:rPr>
      </w:pPr>
      <w:r w:rsidRPr="005E203E">
        <w:rPr>
          <w:rFonts w:ascii="Trebuchet MS" w:eastAsia="Arial" w:hAnsi="Trebuchet MS" w:cs="Arial"/>
          <w:color w:val="000000"/>
          <w:szCs w:val="24"/>
        </w:rPr>
        <w:t>The feedback reflects a</w:t>
      </w:r>
      <w:r w:rsidR="00A408F1">
        <w:rPr>
          <w:rFonts w:ascii="Trebuchet MS" w:eastAsia="Arial" w:hAnsi="Trebuchet MS" w:cs="Arial"/>
          <w:color w:val="000000"/>
          <w:szCs w:val="24"/>
        </w:rPr>
        <w:t>n</w:t>
      </w:r>
      <w:r w:rsidRPr="005E203E">
        <w:rPr>
          <w:rFonts w:ascii="Trebuchet MS" w:eastAsia="Arial" w:hAnsi="Trebuchet MS" w:cs="Arial"/>
          <w:color w:val="000000"/>
          <w:szCs w:val="24"/>
        </w:rPr>
        <w:t xml:space="preserve"> endorsement of my leadership style and highlights strengths in relationship</w:t>
      </w:r>
      <w:r w:rsidR="004A7DBB">
        <w:rPr>
          <w:rFonts w:ascii="Trebuchet MS" w:eastAsia="Arial" w:hAnsi="Trebuchet MS" w:cs="Arial"/>
          <w:color w:val="000000"/>
          <w:szCs w:val="24"/>
        </w:rPr>
        <w:t xml:space="preserve"> </w:t>
      </w:r>
      <w:r w:rsidRPr="005E203E">
        <w:rPr>
          <w:rFonts w:ascii="Trebuchet MS" w:eastAsia="Arial" w:hAnsi="Trebuchet MS" w:cs="Arial"/>
          <w:color w:val="000000"/>
          <w:szCs w:val="24"/>
        </w:rPr>
        <w:t>building, collaboration, and knowledge sharing. Most colleagues indicated that I make a genuine effort to understand people as individuals and actively listen to diverse perspectives, which suggests that I am fostering an inclusive and respectful environment.</w:t>
      </w:r>
    </w:p>
    <w:p w14:paraId="4DC63137" w14:textId="09E2CAE8" w:rsidR="005E203E" w:rsidRPr="005E203E" w:rsidRDefault="00664C48" w:rsidP="005E203E">
      <w:pPr>
        <w:spacing w:after="0" w:line="240" w:lineRule="auto"/>
        <w:ind w:left="426"/>
        <w:jc w:val="both"/>
        <w:rPr>
          <w:rFonts w:ascii="Trebuchet MS" w:eastAsia="Arial" w:hAnsi="Trebuchet MS" w:cs="Arial"/>
          <w:color w:val="000000"/>
          <w:szCs w:val="24"/>
        </w:rPr>
      </w:pPr>
      <w:r>
        <w:rPr>
          <w:rFonts w:ascii="Trebuchet MS" w:eastAsia="Arial" w:hAnsi="Trebuchet MS" w:cs="Arial"/>
          <w:color w:val="000000"/>
          <w:szCs w:val="24"/>
        </w:rPr>
        <w:t>My</w:t>
      </w:r>
      <w:r w:rsidR="005E203E" w:rsidRPr="005E203E">
        <w:rPr>
          <w:rFonts w:ascii="Trebuchet MS" w:eastAsia="Arial" w:hAnsi="Trebuchet MS" w:cs="Arial"/>
          <w:color w:val="000000"/>
          <w:szCs w:val="24"/>
        </w:rPr>
        <w:t xml:space="preserve"> strengths in purposeful collaboration and problem-solving are </w:t>
      </w:r>
      <w:r>
        <w:rPr>
          <w:rFonts w:ascii="Trebuchet MS" w:eastAsia="Arial" w:hAnsi="Trebuchet MS" w:cs="Arial"/>
          <w:color w:val="000000"/>
          <w:szCs w:val="24"/>
        </w:rPr>
        <w:t>also</w:t>
      </w:r>
      <w:r w:rsidR="005E203E" w:rsidRPr="005E203E">
        <w:rPr>
          <w:rFonts w:ascii="Trebuchet MS" w:eastAsia="Arial" w:hAnsi="Trebuchet MS" w:cs="Arial"/>
          <w:color w:val="000000"/>
          <w:szCs w:val="24"/>
        </w:rPr>
        <w:t xml:space="preserve"> evident, with high scores in sharing expertise and supporting others. </w:t>
      </w:r>
      <w:r w:rsidR="003A036B">
        <w:rPr>
          <w:rFonts w:ascii="Trebuchet MS" w:eastAsia="Arial" w:hAnsi="Trebuchet MS" w:cs="Arial"/>
          <w:color w:val="000000"/>
          <w:szCs w:val="24"/>
        </w:rPr>
        <w:t>This</w:t>
      </w:r>
      <w:r w:rsidR="005E203E" w:rsidRPr="005E203E">
        <w:rPr>
          <w:rFonts w:ascii="Trebuchet MS" w:eastAsia="Arial" w:hAnsi="Trebuchet MS" w:cs="Arial"/>
          <w:color w:val="000000"/>
          <w:szCs w:val="24"/>
        </w:rPr>
        <w:t xml:space="preserve"> indicate</w:t>
      </w:r>
      <w:r w:rsidR="003A036B">
        <w:rPr>
          <w:rFonts w:ascii="Trebuchet MS" w:eastAsia="Arial" w:hAnsi="Trebuchet MS" w:cs="Arial"/>
          <w:color w:val="000000"/>
          <w:szCs w:val="24"/>
        </w:rPr>
        <w:t>s</w:t>
      </w:r>
      <w:r w:rsidR="005E203E" w:rsidRPr="005E203E">
        <w:rPr>
          <w:rFonts w:ascii="Trebuchet MS" w:eastAsia="Arial" w:hAnsi="Trebuchet MS" w:cs="Arial"/>
          <w:color w:val="000000"/>
          <w:szCs w:val="24"/>
        </w:rPr>
        <w:t xml:space="preserve"> that colleagues see me as a valuable resource and a proactive contributor to team success. However, a small proportion of neutral or disagree responses, particularly around conflict resolution and encouraging openness, suggest there may be opportunities for me to make my support more visible or accessible to everyone.</w:t>
      </w:r>
    </w:p>
    <w:p w14:paraId="475ADC6D" w14:textId="77777777" w:rsidR="005E203E" w:rsidRPr="005E203E" w:rsidRDefault="005E203E" w:rsidP="005E203E">
      <w:pPr>
        <w:spacing w:after="0" w:line="240" w:lineRule="auto"/>
        <w:ind w:left="426"/>
        <w:jc w:val="both"/>
        <w:rPr>
          <w:rFonts w:ascii="Trebuchet MS" w:eastAsia="Arial" w:hAnsi="Trebuchet MS" w:cs="Arial"/>
          <w:color w:val="000000"/>
          <w:szCs w:val="24"/>
        </w:rPr>
      </w:pPr>
    </w:p>
    <w:p w14:paraId="3DF7476B" w14:textId="77777777" w:rsidR="00842D16" w:rsidRDefault="005E203E" w:rsidP="009103D2">
      <w:pPr>
        <w:spacing w:after="0" w:line="240" w:lineRule="auto"/>
        <w:ind w:left="426"/>
        <w:jc w:val="both"/>
        <w:rPr>
          <w:rFonts w:ascii="Trebuchet MS" w:eastAsia="Arial" w:hAnsi="Trebuchet MS" w:cs="Arial"/>
          <w:color w:val="000000"/>
          <w:szCs w:val="24"/>
        </w:rPr>
      </w:pPr>
      <w:r w:rsidRPr="005E203E">
        <w:rPr>
          <w:rFonts w:ascii="Trebuchet MS" w:eastAsia="Arial" w:hAnsi="Trebuchet MS" w:cs="Arial"/>
          <w:color w:val="000000"/>
          <w:szCs w:val="24"/>
        </w:rPr>
        <w:t>To build on this feedback, I plan to engage more directly with those who may feel less connected. I will explore ways to model vulnerability and openness, such as sharing my own learning experiences or challenges. Taking these steps could help reinforce a culture of trust and continuous improvement, while addressing the few areas where perceptions are less consistent.</w:t>
      </w:r>
    </w:p>
    <w:p w14:paraId="6DC6D0A8" w14:textId="77777777" w:rsidR="005274FF" w:rsidRDefault="005274FF" w:rsidP="009103D2">
      <w:pPr>
        <w:spacing w:after="0" w:line="240" w:lineRule="auto"/>
        <w:ind w:left="426"/>
        <w:jc w:val="both"/>
        <w:rPr>
          <w:rFonts w:ascii="Trebuchet MS" w:eastAsia="Arial" w:hAnsi="Trebuchet MS" w:cs="Arial"/>
          <w:color w:val="000000"/>
          <w:szCs w:val="24"/>
        </w:rPr>
      </w:pPr>
    </w:p>
    <w:p w14:paraId="4A9C2082" w14:textId="77777777" w:rsidR="005274FF" w:rsidRDefault="005274FF" w:rsidP="009103D2">
      <w:pPr>
        <w:spacing w:after="0" w:line="240" w:lineRule="auto"/>
        <w:ind w:left="426"/>
        <w:jc w:val="both"/>
        <w:rPr>
          <w:rFonts w:ascii="Trebuchet MS" w:eastAsia="Arial" w:hAnsi="Trebuchet MS" w:cs="Arial"/>
          <w:color w:val="000000"/>
          <w:szCs w:val="24"/>
        </w:rPr>
      </w:pPr>
    </w:p>
    <w:p w14:paraId="7A17650D" w14:textId="77777777" w:rsidR="005274FF" w:rsidRDefault="005274FF" w:rsidP="009103D2">
      <w:pPr>
        <w:spacing w:after="0" w:line="240" w:lineRule="auto"/>
        <w:ind w:left="426"/>
        <w:jc w:val="both"/>
        <w:rPr>
          <w:rFonts w:ascii="Trebuchet MS" w:eastAsia="Arial" w:hAnsi="Trebuchet MS" w:cs="Arial"/>
          <w:color w:val="000000"/>
          <w:szCs w:val="24"/>
        </w:rPr>
      </w:pPr>
    </w:p>
    <w:p w14:paraId="254E4347" w14:textId="77777777" w:rsidR="005274FF" w:rsidRDefault="005274FF" w:rsidP="009103D2">
      <w:pPr>
        <w:spacing w:after="0" w:line="240" w:lineRule="auto"/>
        <w:ind w:left="426"/>
        <w:jc w:val="both"/>
        <w:rPr>
          <w:rFonts w:ascii="Trebuchet MS" w:eastAsia="Arial" w:hAnsi="Trebuchet MS" w:cs="Arial"/>
          <w:color w:val="000000"/>
          <w:szCs w:val="24"/>
        </w:rPr>
      </w:pPr>
    </w:p>
    <w:p w14:paraId="79AD0FFE" w14:textId="77777777" w:rsidR="005274FF" w:rsidRDefault="005274FF" w:rsidP="009103D2">
      <w:pPr>
        <w:spacing w:after="0" w:line="240" w:lineRule="auto"/>
        <w:ind w:left="426"/>
        <w:jc w:val="both"/>
        <w:rPr>
          <w:rFonts w:ascii="Trebuchet MS" w:eastAsia="Arial" w:hAnsi="Trebuchet MS" w:cs="Arial"/>
          <w:color w:val="000000"/>
          <w:szCs w:val="24"/>
        </w:rPr>
      </w:pPr>
    </w:p>
    <w:p w14:paraId="0D844224" w14:textId="77777777" w:rsidR="005274FF" w:rsidRDefault="005274FF" w:rsidP="009103D2">
      <w:pPr>
        <w:spacing w:after="0" w:line="240" w:lineRule="auto"/>
        <w:ind w:left="426"/>
        <w:jc w:val="both"/>
        <w:rPr>
          <w:rFonts w:ascii="Trebuchet MS" w:eastAsia="Arial" w:hAnsi="Trebuchet MS" w:cs="Arial"/>
          <w:color w:val="000000"/>
          <w:szCs w:val="24"/>
        </w:rPr>
      </w:pPr>
    </w:p>
    <w:p w14:paraId="21DC0BFB" w14:textId="77777777" w:rsidR="005274FF" w:rsidRDefault="005274FF" w:rsidP="009103D2">
      <w:pPr>
        <w:spacing w:after="0" w:line="240" w:lineRule="auto"/>
        <w:ind w:left="426"/>
        <w:jc w:val="both"/>
        <w:rPr>
          <w:rFonts w:ascii="Trebuchet MS" w:eastAsia="Arial" w:hAnsi="Trebuchet MS" w:cs="Arial"/>
          <w:color w:val="000000"/>
          <w:szCs w:val="24"/>
        </w:rPr>
      </w:pPr>
    </w:p>
    <w:p w14:paraId="36F0ECDF" w14:textId="77777777" w:rsidR="005274FF" w:rsidRDefault="005274FF" w:rsidP="009103D2">
      <w:pPr>
        <w:spacing w:after="0" w:line="240" w:lineRule="auto"/>
        <w:ind w:left="426"/>
        <w:jc w:val="both"/>
        <w:rPr>
          <w:rFonts w:ascii="Trebuchet MS" w:eastAsia="Arial" w:hAnsi="Trebuchet MS" w:cs="Arial"/>
          <w:color w:val="000000"/>
          <w:szCs w:val="24"/>
        </w:rPr>
      </w:pPr>
    </w:p>
    <w:p w14:paraId="6F1A759F" w14:textId="77777777" w:rsidR="005274FF" w:rsidRDefault="005274FF" w:rsidP="009103D2">
      <w:pPr>
        <w:spacing w:after="0" w:line="240" w:lineRule="auto"/>
        <w:ind w:left="426"/>
        <w:jc w:val="both"/>
        <w:rPr>
          <w:rFonts w:ascii="Trebuchet MS" w:eastAsia="Arial" w:hAnsi="Trebuchet MS" w:cs="Arial"/>
          <w:color w:val="000000"/>
          <w:szCs w:val="24"/>
        </w:rPr>
      </w:pPr>
    </w:p>
    <w:p w14:paraId="23243E77" w14:textId="21CF5DFF" w:rsidR="00CE79A9" w:rsidRDefault="00CE79A9" w:rsidP="00713251">
      <w:pPr>
        <w:spacing w:after="0" w:line="240" w:lineRule="auto"/>
        <w:ind w:left="426"/>
        <w:jc w:val="both"/>
        <w:rPr>
          <w:rFonts w:ascii="Trebuchet MS" w:eastAsia="Arial" w:hAnsi="Trebuchet MS" w:cs="Arial"/>
          <w:b/>
          <w:bCs/>
          <w:color w:val="4472C4" w:themeColor="accent1"/>
          <w:sz w:val="24"/>
          <w:szCs w:val="24"/>
        </w:rPr>
      </w:pPr>
      <w:r w:rsidRPr="00CE79A9">
        <w:rPr>
          <w:rFonts w:ascii="Trebuchet MS" w:eastAsia="Arial" w:hAnsi="Trebuchet MS" w:cs="Arial"/>
          <w:b/>
          <w:bCs/>
          <w:color w:val="4472C4" w:themeColor="accent1"/>
          <w:sz w:val="24"/>
          <w:szCs w:val="24"/>
        </w:rPr>
        <w:lastRenderedPageBreak/>
        <w:t>AC 3.1</w:t>
      </w:r>
    </w:p>
    <w:p w14:paraId="119FD2E4" w14:textId="77777777" w:rsidR="00CE79A9" w:rsidRPr="00CE79A9" w:rsidRDefault="00CE79A9" w:rsidP="00713251">
      <w:pPr>
        <w:spacing w:after="0" w:line="240" w:lineRule="auto"/>
        <w:ind w:left="426"/>
        <w:jc w:val="both"/>
        <w:rPr>
          <w:rFonts w:ascii="Trebuchet MS" w:eastAsia="Arial" w:hAnsi="Trebuchet MS" w:cs="Arial"/>
          <w:b/>
          <w:bCs/>
          <w:color w:val="4472C4" w:themeColor="accent1"/>
          <w:sz w:val="24"/>
          <w:szCs w:val="24"/>
        </w:rPr>
      </w:pPr>
    </w:p>
    <w:p w14:paraId="75391B06" w14:textId="2BE8F5A3" w:rsidR="0070122F" w:rsidRDefault="0070122F" w:rsidP="00222308">
      <w:pPr>
        <w:spacing w:after="0" w:line="240" w:lineRule="auto"/>
        <w:ind w:left="426"/>
        <w:jc w:val="both"/>
        <w:rPr>
          <w:rFonts w:ascii="Trebuchet MS" w:eastAsia="Arial" w:hAnsi="Trebuchet MS" w:cs="Arial"/>
          <w:color w:val="000000"/>
        </w:rPr>
      </w:pPr>
      <w:r w:rsidRPr="0070122F">
        <w:rPr>
          <w:rFonts w:ascii="Trebuchet MS" w:eastAsia="Arial" w:hAnsi="Trebuchet MS" w:cs="Arial"/>
          <w:color w:val="000000"/>
        </w:rPr>
        <w:t>The role of the people professional is evolving significantly, driven by changing organisational priorities and workforce expectations. Two key developments illustrate this transformation.</w:t>
      </w:r>
    </w:p>
    <w:p w14:paraId="20727D4D" w14:textId="77777777" w:rsidR="00713251" w:rsidRPr="0070122F" w:rsidRDefault="00713251" w:rsidP="00222308">
      <w:pPr>
        <w:spacing w:after="0" w:line="240" w:lineRule="auto"/>
        <w:ind w:left="426"/>
        <w:jc w:val="both"/>
        <w:rPr>
          <w:rFonts w:ascii="Trebuchet MS" w:eastAsia="Arial" w:hAnsi="Trebuchet MS" w:cs="Arial"/>
          <w:color w:val="000000"/>
        </w:rPr>
      </w:pPr>
    </w:p>
    <w:p w14:paraId="2ACEAEF1" w14:textId="55BD9016" w:rsidR="0070122F" w:rsidRDefault="0070122F" w:rsidP="00222308">
      <w:pPr>
        <w:spacing w:after="0" w:line="240" w:lineRule="auto"/>
        <w:ind w:left="426"/>
        <w:jc w:val="both"/>
        <w:rPr>
          <w:rFonts w:ascii="Trebuchet MS" w:eastAsia="Arial" w:hAnsi="Trebuchet MS" w:cs="Arial"/>
          <w:color w:val="000000"/>
        </w:rPr>
      </w:pPr>
      <w:r w:rsidRPr="0070122F">
        <w:rPr>
          <w:rFonts w:ascii="Trebuchet MS" w:eastAsia="Arial" w:hAnsi="Trebuchet MS" w:cs="Arial"/>
          <w:color w:val="000000"/>
        </w:rPr>
        <w:t>Strategic Influence and Expanded Remit</w:t>
      </w:r>
      <w:r w:rsidR="0015781B" w:rsidRPr="00222308">
        <w:rPr>
          <w:rFonts w:ascii="Trebuchet MS" w:eastAsia="Arial" w:hAnsi="Trebuchet MS" w:cs="Arial"/>
          <w:color w:val="000000"/>
        </w:rPr>
        <w:t xml:space="preserve"> - t</w:t>
      </w:r>
      <w:r w:rsidRPr="0070122F">
        <w:rPr>
          <w:rFonts w:ascii="Trebuchet MS" w:eastAsia="Arial" w:hAnsi="Trebuchet MS" w:cs="Arial"/>
          <w:color w:val="000000"/>
        </w:rPr>
        <w:t>he people profession has shifted from a transactional, process-driven function to a strategic, judgement-based role. HR professionals are now integral to organisational planning and board-level decisions, with people strategies considered as critical as financial forecasts (CIPD, 2025). This evolution requires advanced capabilities in strategic thinking, data literacy, and change leadership to navigate complex organisational systems. For ongoing professional development, this means prioritising skills in organisational development, analytics, and influencing senior stakeholders. While strong collaboration and knowledge-sharing are evident, further growth in demonstrating strategic leadership across wider teams—particularly in conflict resolution and openness—will strengthen impact (</w:t>
      </w:r>
      <w:proofErr w:type="spellStart"/>
      <w:r w:rsidRPr="0070122F">
        <w:rPr>
          <w:rFonts w:ascii="Trebuchet MS" w:eastAsia="Arial" w:hAnsi="Trebuchet MS" w:cs="Arial"/>
          <w:color w:val="000000"/>
        </w:rPr>
        <w:t>Syrigou</w:t>
      </w:r>
      <w:proofErr w:type="spellEnd"/>
      <w:r w:rsidRPr="0070122F">
        <w:rPr>
          <w:rFonts w:ascii="Trebuchet MS" w:eastAsia="Arial" w:hAnsi="Trebuchet MS" w:cs="Arial"/>
          <w:color w:val="000000"/>
        </w:rPr>
        <w:t xml:space="preserve"> and Williams, 2023).</w:t>
      </w:r>
    </w:p>
    <w:p w14:paraId="4EC59FD8" w14:textId="77777777" w:rsidR="00713251" w:rsidRDefault="00713251" w:rsidP="00222308">
      <w:pPr>
        <w:spacing w:after="0" w:line="240" w:lineRule="auto"/>
        <w:ind w:left="426"/>
        <w:jc w:val="both"/>
        <w:rPr>
          <w:rFonts w:ascii="Trebuchet MS" w:eastAsia="Arial" w:hAnsi="Trebuchet MS" w:cs="Arial"/>
          <w:color w:val="000000"/>
        </w:rPr>
      </w:pPr>
    </w:p>
    <w:p w14:paraId="561A0D78" w14:textId="4604FE09" w:rsidR="0070122F" w:rsidRDefault="0070122F" w:rsidP="00222308">
      <w:pPr>
        <w:spacing w:after="0" w:line="240" w:lineRule="auto"/>
        <w:ind w:left="426"/>
        <w:jc w:val="both"/>
        <w:rPr>
          <w:rFonts w:ascii="Trebuchet MS" w:eastAsia="Arial" w:hAnsi="Trebuchet MS" w:cs="Arial"/>
          <w:color w:val="000000"/>
        </w:rPr>
      </w:pPr>
      <w:r w:rsidRPr="0070122F">
        <w:rPr>
          <w:rFonts w:ascii="Trebuchet MS" w:eastAsia="Arial" w:hAnsi="Trebuchet MS" w:cs="Arial"/>
          <w:color w:val="000000"/>
        </w:rPr>
        <w:t>The second major trend is the heightened focus on empl</w:t>
      </w:r>
      <w:r w:rsidR="00506C79">
        <w:rPr>
          <w:rFonts w:ascii="Trebuchet MS" w:eastAsia="Arial" w:hAnsi="Trebuchet MS" w:cs="Arial"/>
          <w:color w:val="000000"/>
        </w:rPr>
        <w:t>o</w:t>
      </w:r>
      <w:r w:rsidRPr="0070122F">
        <w:rPr>
          <w:rFonts w:ascii="Trebuchet MS" w:eastAsia="Arial" w:hAnsi="Trebuchet MS" w:cs="Arial"/>
          <w:color w:val="000000"/>
        </w:rPr>
        <w:t>yee wellbeing, inclusive practices, and adapting to hybrid work models. People professionals are increasingly responsible for creating psychologically safe environments, supporting mental health, and ensuring equity across diverse and dispersed teams (CIPD, 2025). This shift demands proficiency in emotional intelligence, inclusive leadership, and digital facilitation to maintain engagement and cohesion in hybrid settings. For professional development, enhancing skills in these areas will be essential to meet evolving expectations and foster cultures of trust and openness (McDonnell and Sikander, 2017).</w:t>
      </w:r>
    </w:p>
    <w:p w14:paraId="29733139" w14:textId="77777777" w:rsidR="00222308" w:rsidRPr="0070122F" w:rsidRDefault="00222308" w:rsidP="00222308">
      <w:pPr>
        <w:spacing w:after="0" w:line="240" w:lineRule="auto"/>
        <w:ind w:left="426"/>
        <w:jc w:val="both"/>
        <w:rPr>
          <w:rFonts w:ascii="Trebuchet MS" w:eastAsia="Arial" w:hAnsi="Trebuchet MS" w:cs="Arial"/>
          <w:color w:val="000000"/>
        </w:rPr>
      </w:pPr>
    </w:p>
    <w:p w14:paraId="179BA2E2" w14:textId="4FE9B660" w:rsidR="000E5135" w:rsidRDefault="0070122F" w:rsidP="009103D2">
      <w:pPr>
        <w:spacing w:after="0" w:line="240" w:lineRule="auto"/>
        <w:ind w:left="426"/>
        <w:jc w:val="both"/>
      </w:pPr>
      <w:r w:rsidRPr="0070122F">
        <w:rPr>
          <w:rFonts w:ascii="Trebuchet MS" w:eastAsia="Arial" w:hAnsi="Trebuchet MS" w:cs="Arial"/>
          <w:color w:val="000000"/>
        </w:rPr>
        <w:t>In summary, these developments position HR as a strategic enabler of organisational success, requiring continuous learning and adaptability to lead effectively in dynamic environments.</w:t>
      </w:r>
    </w:p>
    <w:p w14:paraId="3414CAC8" w14:textId="77777777" w:rsidR="000E5135" w:rsidRDefault="000E5135" w:rsidP="009103D2">
      <w:pPr>
        <w:spacing w:after="0" w:line="240" w:lineRule="auto"/>
        <w:ind w:left="426"/>
        <w:jc w:val="both"/>
      </w:pPr>
    </w:p>
    <w:p w14:paraId="465A9450" w14:textId="27DDCDDC" w:rsidR="000E5135" w:rsidRPr="000E5135" w:rsidRDefault="000E5135" w:rsidP="009103D2">
      <w:pPr>
        <w:spacing w:after="0" w:line="240" w:lineRule="auto"/>
        <w:ind w:left="426"/>
        <w:jc w:val="both"/>
        <w:rPr>
          <w:rFonts w:ascii="Trebuchet MS" w:hAnsi="Trebuchet MS"/>
          <w:b/>
          <w:bCs/>
          <w:color w:val="4472C4" w:themeColor="accent1"/>
          <w:sz w:val="24"/>
          <w:szCs w:val="24"/>
        </w:rPr>
      </w:pPr>
      <w:r w:rsidRPr="000E5135">
        <w:rPr>
          <w:rFonts w:ascii="Trebuchet MS" w:hAnsi="Trebuchet MS"/>
          <w:b/>
          <w:bCs/>
          <w:color w:val="4472C4" w:themeColor="accent1"/>
          <w:sz w:val="24"/>
          <w:szCs w:val="24"/>
        </w:rPr>
        <w:t>AC 3.2</w:t>
      </w:r>
    </w:p>
    <w:p w14:paraId="4479F8DF" w14:textId="77777777" w:rsidR="000E5135" w:rsidRDefault="000E5135" w:rsidP="009103D2">
      <w:pPr>
        <w:spacing w:after="0" w:line="240" w:lineRule="auto"/>
        <w:ind w:left="426"/>
        <w:jc w:val="both"/>
      </w:pPr>
    </w:p>
    <w:p w14:paraId="64D6B5A0" w14:textId="7B764B6F" w:rsidR="000E5135" w:rsidRPr="000E5135" w:rsidRDefault="000E5135" w:rsidP="000E5135">
      <w:pPr>
        <w:spacing w:after="0"/>
        <w:ind w:left="426"/>
        <w:jc w:val="both"/>
        <w:rPr>
          <w:rFonts w:ascii="Trebuchet MS" w:eastAsia="Arial" w:hAnsi="Trebuchet MS" w:cs="Arial"/>
        </w:rPr>
      </w:pPr>
      <w:r w:rsidRPr="000E5135">
        <w:rPr>
          <w:rFonts w:ascii="Trebuchet MS" w:eastAsia="Arial" w:hAnsi="Trebuchet MS" w:cs="Arial"/>
        </w:rPr>
        <w:t>I have strong people practice skills that align well with the evolving expectations of the profession. Feedback from colleagues highlights my strengths in inclusive leadership, as I actively listen to diverse views and build purposeful relationships. I am also recognised for collaboration and knowledge sharing, which positions me as a trusted resource and problem-solver. These qualities reflect the CIPD Profession Map’s emphasis on inclusivity and collaboration</w:t>
      </w:r>
      <w:r w:rsidR="00877AAD">
        <w:rPr>
          <w:rFonts w:ascii="Trebuchet MS" w:eastAsia="Arial" w:hAnsi="Trebuchet MS" w:cs="Arial"/>
        </w:rPr>
        <w:t xml:space="preserve">, </w:t>
      </w:r>
      <w:r w:rsidRPr="000E5135">
        <w:rPr>
          <w:rFonts w:ascii="Trebuchet MS" w:eastAsia="Arial" w:hAnsi="Trebuchet MS" w:cs="Arial"/>
        </w:rPr>
        <w:t>critical as organisations increasingly prioritise psychological safety and employee wellbeing. In addition, my ability to influence organisational change and promote fairness demonstrates strategic capability and professional integrity, which supports the shift towards HR as a strategic partner.</w:t>
      </w:r>
    </w:p>
    <w:p w14:paraId="4E43907F" w14:textId="77777777" w:rsidR="00384890" w:rsidRDefault="00384890" w:rsidP="000E5135">
      <w:pPr>
        <w:spacing w:after="0"/>
        <w:ind w:left="426"/>
        <w:jc w:val="both"/>
        <w:rPr>
          <w:rFonts w:ascii="Trebuchet MS" w:eastAsia="Arial" w:hAnsi="Trebuchet MS" w:cs="Arial"/>
        </w:rPr>
      </w:pPr>
    </w:p>
    <w:p w14:paraId="2FFBAADD" w14:textId="2D23FCA6" w:rsidR="000E5135" w:rsidRDefault="000E5135" w:rsidP="00877AAD">
      <w:pPr>
        <w:spacing w:after="0"/>
        <w:ind w:left="426"/>
        <w:jc w:val="both"/>
        <w:rPr>
          <w:rFonts w:ascii="Trebuchet MS" w:eastAsia="Arial" w:hAnsi="Trebuchet MS" w:cs="Arial"/>
        </w:rPr>
      </w:pPr>
      <w:r w:rsidRPr="000E5135">
        <w:rPr>
          <w:rFonts w:ascii="Trebuchet MS" w:eastAsia="Arial" w:hAnsi="Trebuchet MS" w:cs="Arial"/>
        </w:rPr>
        <w:t xml:space="preserve">However, I recognise areas for improvement. Neutral responses in my survey suggest that I could make my conflict resolution support more visible and do more to encourage openness, such as modelling vulnerability and creating safe spaces for dialogue. These skills are essential in today’s landscape, where HR professionals are expected to foster trust and wellbeing across hybrid and diverse teams. I also see the need to strengthen my digital facilitation </w:t>
      </w:r>
      <w:r w:rsidR="00F00089">
        <w:rPr>
          <w:rFonts w:ascii="Trebuchet MS" w:eastAsia="Arial" w:hAnsi="Trebuchet MS" w:cs="Arial"/>
        </w:rPr>
        <w:t xml:space="preserve">and data analysis </w:t>
      </w:r>
      <w:r w:rsidRPr="000E5135">
        <w:rPr>
          <w:rFonts w:ascii="Trebuchet MS" w:eastAsia="Arial" w:hAnsi="Trebuchet MS" w:cs="Arial"/>
        </w:rPr>
        <w:t>skills to maintain engagement in virtual environment</w:t>
      </w:r>
      <w:r w:rsidR="00F00089">
        <w:rPr>
          <w:rFonts w:ascii="Trebuchet MS" w:eastAsia="Arial" w:hAnsi="Trebuchet MS" w:cs="Arial"/>
        </w:rPr>
        <w:t xml:space="preserve">s and to </w:t>
      </w:r>
      <w:r w:rsidR="00952478">
        <w:rPr>
          <w:rFonts w:ascii="Trebuchet MS" w:eastAsia="Arial" w:hAnsi="Trebuchet MS" w:cs="Arial"/>
        </w:rPr>
        <w:t xml:space="preserve">ensure that people practice </w:t>
      </w:r>
      <w:proofErr w:type="spellStart"/>
      <w:r w:rsidR="00952478">
        <w:rPr>
          <w:rFonts w:ascii="Trebuchet MS" w:eastAsia="Arial" w:hAnsi="Trebuchet MS" w:cs="Arial"/>
        </w:rPr>
        <w:t>decisins</w:t>
      </w:r>
      <w:proofErr w:type="spellEnd"/>
      <w:r w:rsidR="00952478">
        <w:rPr>
          <w:rFonts w:ascii="Trebuchet MS" w:eastAsia="Arial" w:hAnsi="Trebuchet MS" w:cs="Arial"/>
        </w:rPr>
        <w:t xml:space="preserve"> in my organisation are evidence based.</w:t>
      </w:r>
    </w:p>
    <w:p w14:paraId="14966ECF" w14:textId="77777777" w:rsidR="00877AAD" w:rsidRDefault="00877AAD" w:rsidP="00877AAD">
      <w:pPr>
        <w:spacing w:after="0"/>
        <w:ind w:left="426"/>
        <w:jc w:val="both"/>
      </w:pPr>
    </w:p>
    <w:p w14:paraId="2983F6CD" w14:textId="472645CD" w:rsidR="000E5135" w:rsidRPr="006D1293" w:rsidRDefault="006D1293" w:rsidP="009103D2">
      <w:pPr>
        <w:spacing w:after="0" w:line="240" w:lineRule="auto"/>
        <w:ind w:left="426"/>
        <w:jc w:val="both"/>
        <w:rPr>
          <w:rFonts w:ascii="Trebuchet MS" w:hAnsi="Trebuchet MS"/>
          <w:color w:val="4472C4" w:themeColor="accent1"/>
          <w:sz w:val="24"/>
          <w:szCs w:val="24"/>
        </w:rPr>
      </w:pPr>
      <w:r w:rsidRPr="006D1293">
        <w:rPr>
          <w:rFonts w:ascii="Trebuchet MS" w:hAnsi="Trebuchet MS"/>
          <w:color w:val="4472C4" w:themeColor="accent1"/>
          <w:sz w:val="24"/>
          <w:szCs w:val="24"/>
        </w:rPr>
        <w:lastRenderedPageBreak/>
        <w:t>AC 3.3</w:t>
      </w:r>
    </w:p>
    <w:p w14:paraId="0BD26993" w14:textId="77777777" w:rsidR="006D1293" w:rsidRDefault="006D1293" w:rsidP="001E2125">
      <w:pPr>
        <w:spacing w:after="0" w:line="240" w:lineRule="auto"/>
        <w:ind w:left="426"/>
        <w:jc w:val="both"/>
      </w:pPr>
    </w:p>
    <w:p w14:paraId="7302C730" w14:textId="34BE83C8" w:rsidR="001E2125" w:rsidRDefault="001E2125" w:rsidP="001E2125">
      <w:pPr>
        <w:spacing w:after="0" w:line="240" w:lineRule="auto"/>
        <w:ind w:left="426"/>
        <w:jc w:val="both"/>
      </w:pPr>
      <w:r>
        <w:t>T</w:t>
      </w:r>
      <w:r w:rsidRPr="001E2125">
        <w:t xml:space="preserve">o strengthen my capability as a people professional and respond to the changing landscape of HR, I have identified two development activities for the next few months. First, I plan to undertake </w:t>
      </w:r>
      <w:r w:rsidRPr="001E2125">
        <w:rPr>
          <w:b/>
          <w:bCs/>
        </w:rPr>
        <w:t>Strategic HR and Data Analytics training</w:t>
      </w:r>
      <w:r w:rsidRPr="001E2125">
        <w:t>. The CIPD (2025) highlights the profession’s shift from transactional tasks to strategic influence, requiring skills in workforce planning and evidence-based decision-making. By improving my ability to interpret HR data, I can provide insights that influence board-level decisions and demonstrate measurable impact on organisational goals. I will measure the impact by producing a workforce analytics report within three months, identifying skills gaps and informing L&amp;D priorities. Success will be assessed by whether leadership adopts my recommendations and through feedback on the value of data-driven insights.</w:t>
      </w:r>
    </w:p>
    <w:p w14:paraId="1E7299E1" w14:textId="77777777" w:rsidR="00B34D92" w:rsidRPr="001E2125" w:rsidRDefault="00B34D92" w:rsidP="001E2125">
      <w:pPr>
        <w:spacing w:after="0" w:line="240" w:lineRule="auto"/>
        <w:ind w:left="426"/>
        <w:jc w:val="both"/>
      </w:pPr>
    </w:p>
    <w:p w14:paraId="4CA06AF5" w14:textId="77777777" w:rsidR="001E2125" w:rsidRDefault="001E2125" w:rsidP="001E2125">
      <w:pPr>
        <w:spacing w:after="0" w:line="240" w:lineRule="auto"/>
        <w:ind w:left="426"/>
        <w:jc w:val="both"/>
      </w:pPr>
      <w:r w:rsidRPr="001E2125">
        <w:t xml:space="preserve">Second, I will attend an </w:t>
      </w:r>
      <w:r w:rsidRPr="001E2125">
        <w:rPr>
          <w:b/>
          <w:bCs/>
        </w:rPr>
        <w:t>Inclusive Leadership and Digital Facilitation workshop</w:t>
      </w:r>
      <w:r w:rsidRPr="001E2125">
        <w:t>. Hybrid working and wellbeing are now central to HR practice, and creating psychologically safe environments requires advanced communication and facilitation skills. This development will help me make conflict resolution more visible, encourage openness, and maintain engagement across dispersed teams. I will measure impact by conducting a pulse survey after implementing new practices to gauge improvements in perceptions of openness and support. Additionally, I will monitor participation and engagement levels in virtual meetings and track reductions in neutral responses on conflict resolution in future feedback cycles.</w:t>
      </w:r>
    </w:p>
    <w:p w14:paraId="365FD94E" w14:textId="77777777" w:rsidR="00F13A14" w:rsidRPr="001E2125" w:rsidRDefault="00F13A14" w:rsidP="001E2125">
      <w:pPr>
        <w:spacing w:after="0" w:line="240" w:lineRule="auto"/>
        <w:ind w:left="426"/>
        <w:jc w:val="both"/>
      </w:pPr>
    </w:p>
    <w:p w14:paraId="41340FD9" w14:textId="77777777" w:rsidR="001E2125" w:rsidRPr="001E2125" w:rsidRDefault="001E2125" w:rsidP="001E2125">
      <w:pPr>
        <w:spacing w:after="0" w:line="240" w:lineRule="auto"/>
        <w:ind w:left="426"/>
        <w:jc w:val="both"/>
      </w:pPr>
      <w:r w:rsidRPr="001E2125">
        <w:t>These activities align with the CIPD’s emphasis on strategic capability, inclusivity, and adaptability, ensuring I remain effective in a dynamic, people-focused environment.</w:t>
      </w:r>
    </w:p>
    <w:p w14:paraId="3CA24642" w14:textId="1BF88E9E" w:rsidR="000E5135" w:rsidRDefault="000E5135" w:rsidP="009103D2">
      <w:pPr>
        <w:spacing w:after="0" w:line="240" w:lineRule="auto"/>
        <w:ind w:left="426"/>
        <w:jc w:val="both"/>
        <w:sectPr w:rsidR="000E5135">
          <w:pgSz w:w="11906" w:h="16838"/>
          <w:pgMar w:top="1440" w:right="1440" w:bottom="1440" w:left="1440" w:header="708" w:footer="708" w:gutter="0"/>
          <w:cols w:space="708"/>
          <w:docGrid w:linePitch="360"/>
        </w:sectPr>
      </w:pPr>
    </w:p>
    <w:tbl>
      <w:tblPr>
        <w:tblStyle w:val="TableGrid"/>
        <w:tblW w:w="9214" w:type="dxa"/>
        <w:tblInd w:w="-5" w:type="dxa"/>
        <w:tblLook w:val="04A0" w:firstRow="1" w:lastRow="0" w:firstColumn="1" w:lastColumn="0" w:noHBand="0" w:noVBand="1"/>
      </w:tblPr>
      <w:tblGrid>
        <w:gridCol w:w="9214"/>
      </w:tblGrid>
      <w:tr w:rsidR="00643548" w:rsidRPr="00643548" w14:paraId="5788A32F" w14:textId="77777777" w:rsidTr="00643548">
        <w:tc>
          <w:tcPr>
            <w:tcW w:w="9214" w:type="dxa"/>
          </w:tcPr>
          <w:p w14:paraId="4BDEE84F" w14:textId="77777777" w:rsidR="00643548" w:rsidRPr="00643548" w:rsidRDefault="00643548" w:rsidP="00643548">
            <w:pPr>
              <w:rPr>
                <w:rFonts w:ascii="Calibri" w:eastAsia="Arial" w:hAnsi="Calibri" w:cs="Calibri"/>
                <w:color w:val="000000"/>
              </w:rPr>
            </w:pPr>
            <w:r w:rsidRPr="00643548">
              <w:rPr>
                <w:rFonts w:ascii="Calibri" w:eastAsia="Arial" w:hAnsi="Calibri" w:cs="Calibri"/>
                <w:color w:val="000000"/>
              </w:rPr>
              <w:lastRenderedPageBreak/>
              <w:t xml:space="preserve">I am not sure that I am best positioned to answer these questions. </w:t>
            </w:r>
          </w:p>
          <w:p w14:paraId="4182F1F2" w14:textId="77777777" w:rsidR="00643548" w:rsidRPr="00643548" w:rsidRDefault="00643548" w:rsidP="00643548">
            <w:pPr>
              <w:rPr>
                <w:rFonts w:ascii="Trebuchet MS" w:eastAsia="Arial" w:hAnsi="Trebuchet MS" w:cs="Arial"/>
                <w:color w:val="000000"/>
              </w:rPr>
            </w:pPr>
          </w:p>
        </w:tc>
      </w:tr>
      <w:tr w:rsidR="00643548" w:rsidRPr="00643548" w14:paraId="4D36B4E4" w14:textId="77777777" w:rsidTr="00643548">
        <w:tc>
          <w:tcPr>
            <w:tcW w:w="9214" w:type="dxa"/>
          </w:tcPr>
          <w:p w14:paraId="2FE92CD9" w14:textId="0D72CAE5" w:rsidR="00643548" w:rsidRPr="00643548" w:rsidRDefault="00643548" w:rsidP="00643548">
            <w:pPr>
              <w:rPr>
                <w:rFonts w:ascii="Calibri" w:eastAsia="Arial" w:hAnsi="Calibri" w:cs="Calibri"/>
                <w:color w:val="000000"/>
              </w:rPr>
            </w:pPr>
            <w:r w:rsidRPr="00643548">
              <w:rPr>
                <w:rFonts w:ascii="Calibri" w:eastAsia="Arial" w:hAnsi="Calibri" w:cs="Calibri"/>
                <w:color w:val="000000"/>
              </w:rPr>
              <w:t>I responded with 'Strongly Agree' to most questions as I have consistently felt fully supported by Lynda since beginning my employment here. From day one, she has provided clear guidance, thorough explanations, and steady leadership, all of which have been instrumental in helping me settle into my role and grow in confidence. Her approachability and willingness to share her knowledge have made a significant positive impact on my experience.</w:t>
            </w:r>
            <w:r w:rsidRPr="00643548">
              <w:rPr>
                <w:rFonts w:ascii="Calibri" w:eastAsia="Arial" w:hAnsi="Calibri" w:cs="Calibri"/>
                <w:color w:val="000000"/>
              </w:rPr>
              <w:br/>
              <w:t xml:space="preserve">For the questions where I answered "Neutral," it was simply because I have not yet encountered those specific situations in my working relationship with Lynda. </w:t>
            </w:r>
          </w:p>
          <w:p w14:paraId="1F6A5474" w14:textId="77777777" w:rsidR="00643548" w:rsidRPr="00643548" w:rsidRDefault="00643548" w:rsidP="00643548">
            <w:pPr>
              <w:rPr>
                <w:rFonts w:ascii="Trebuchet MS" w:eastAsia="Arial" w:hAnsi="Trebuchet MS" w:cs="Arial"/>
                <w:color w:val="000000"/>
              </w:rPr>
            </w:pPr>
          </w:p>
        </w:tc>
      </w:tr>
      <w:tr w:rsidR="00643548" w:rsidRPr="00643548" w14:paraId="35FDB57E" w14:textId="77777777" w:rsidTr="00643548">
        <w:tc>
          <w:tcPr>
            <w:tcW w:w="9214" w:type="dxa"/>
          </w:tcPr>
          <w:p w14:paraId="46C664FF" w14:textId="77777777" w:rsidR="00643548" w:rsidRPr="00643548" w:rsidRDefault="00643548" w:rsidP="00643548">
            <w:pPr>
              <w:rPr>
                <w:rFonts w:ascii="Calibri" w:eastAsia="Times New Roman" w:hAnsi="Calibri" w:cs="Calibri"/>
                <w:color w:val="000000"/>
                <w:lang w:eastAsia="en-GB"/>
              </w:rPr>
            </w:pPr>
            <w:r w:rsidRPr="00643548">
              <w:rPr>
                <w:rFonts w:ascii="Calibri" w:eastAsia="Times New Roman" w:hAnsi="Calibri" w:cs="Calibri"/>
                <w:color w:val="000000"/>
                <w:lang w:eastAsia="en-GB"/>
              </w:rPr>
              <w:t xml:space="preserve">Lynda is an extremely competent, highly skilled and experienced senior leader in the Welsh FE sector. She makes time to ensure that new starters (such as myself) in the Welsh system can learn from her experience and skills. She is honest and clear with stakeholders, and unafraid to challenge constructively with unions, governors and key sector players, and sets out clear arguments and rationales to them. As a skilled accountant and finance professional, I find her way of explaining financial matters to non-financial staff refreshingly clear and patient.  Lynda has a huge remit and hopefully she now has a team around her who can be highly supportive of her. She is adept at building a strong team, and has brought her latest group of reporting SLT directors together extremely well, and it is an extremely enjoyable and supportive group to be a part of. </w:t>
            </w:r>
          </w:p>
          <w:p w14:paraId="441D6021" w14:textId="77777777" w:rsidR="00643548" w:rsidRPr="00643548" w:rsidRDefault="00643548" w:rsidP="00643548">
            <w:pPr>
              <w:rPr>
                <w:rFonts w:ascii="Trebuchet MS" w:eastAsia="Arial" w:hAnsi="Trebuchet MS" w:cs="Arial"/>
                <w:color w:val="000000"/>
              </w:rPr>
            </w:pPr>
          </w:p>
        </w:tc>
      </w:tr>
      <w:tr w:rsidR="00643548" w:rsidRPr="00643548" w14:paraId="601C6960" w14:textId="77777777" w:rsidTr="00643548">
        <w:tc>
          <w:tcPr>
            <w:tcW w:w="9214" w:type="dxa"/>
          </w:tcPr>
          <w:p w14:paraId="61288501" w14:textId="77777777" w:rsidR="00643548" w:rsidRPr="00643548" w:rsidRDefault="00643548" w:rsidP="00643548">
            <w:pPr>
              <w:rPr>
                <w:rFonts w:ascii="Calibri" w:eastAsia="Times New Roman" w:hAnsi="Calibri" w:cs="Calibri"/>
                <w:color w:val="000000"/>
                <w:lang w:eastAsia="en-GB"/>
              </w:rPr>
            </w:pPr>
            <w:r w:rsidRPr="00643548">
              <w:rPr>
                <w:rFonts w:ascii="Calibri" w:eastAsia="Times New Roman" w:hAnsi="Calibri" w:cs="Calibri"/>
                <w:color w:val="000000"/>
                <w:lang w:eastAsia="en-GB"/>
              </w:rPr>
              <w:t>Lynda has helped navigate the recent structural changes, including a whole-college MOC, and new appointments to both the Senior and Corporate Leadership Team (S/CLT); she has done this with calm professionalism and a positive mindset. She has adapted well to new working practices amongst CLT and has demonstrated openness to constructive challenge, using it as an opportunity for honest reflection.</w:t>
            </w:r>
            <w:r w:rsidRPr="00643548">
              <w:rPr>
                <w:rFonts w:ascii="Calibri" w:eastAsia="Times New Roman" w:hAnsi="Calibri" w:cs="Calibri"/>
                <w:color w:val="000000"/>
                <w:lang w:eastAsia="en-GB"/>
              </w:rPr>
              <w:br/>
              <w:t>It is encouraging to see Lynda’s commitment to finding balanced solutions that meet the needs of both corporate and curriculum staff. Her ability to bridge these perspectives has helped strengthen collaboration and, importantly, alignment across the college.</w:t>
            </w:r>
          </w:p>
          <w:p w14:paraId="6A835638" w14:textId="07DE6998" w:rsidR="00643548" w:rsidRPr="00643548" w:rsidRDefault="00643548" w:rsidP="00643548">
            <w:pPr>
              <w:rPr>
                <w:rFonts w:ascii="Calibri" w:eastAsia="Times New Roman" w:hAnsi="Calibri" w:cs="Calibri"/>
                <w:color w:val="000000"/>
                <w:lang w:eastAsia="en-GB"/>
              </w:rPr>
            </w:pPr>
            <w:r w:rsidRPr="00643548">
              <w:rPr>
                <w:rFonts w:ascii="Calibri" w:eastAsia="Times New Roman" w:hAnsi="Calibri" w:cs="Calibri"/>
                <w:color w:val="000000"/>
                <w:lang w:eastAsia="en-GB"/>
              </w:rPr>
              <w:t xml:space="preserve">Lynda’s approach to driving strategic change is making a clear and positive impact. She is helping to shape an ambitious vision for Coleg Gwent, one that inspires others and supports a culture of shared purpose, innovation, and continuous improvement. </w:t>
            </w:r>
          </w:p>
          <w:p w14:paraId="4B8FA0E6" w14:textId="77777777" w:rsidR="00643548" w:rsidRPr="00643548" w:rsidRDefault="00643548" w:rsidP="00643548">
            <w:pPr>
              <w:rPr>
                <w:rFonts w:ascii="Trebuchet MS" w:eastAsia="Arial" w:hAnsi="Trebuchet MS" w:cs="Arial"/>
                <w:color w:val="000000"/>
              </w:rPr>
            </w:pPr>
          </w:p>
        </w:tc>
      </w:tr>
      <w:tr w:rsidR="00643548" w:rsidRPr="00643548" w14:paraId="40ABD4E1" w14:textId="77777777" w:rsidTr="00643548">
        <w:tc>
          <w:tcPr>
            <w:tcW w:w="9214" w:type="dxa"/>
          </w:tcPr>
          <w:p w14:paraId="3D036F34" w14:textId="6D3CAEDB" w:rsidR="00643548" w:rsidRPr="00643548" w:rsidRDefault="00643548" w:rsidP="00643548">
            <w:pPr>
              <w:rPr>
                <w:rFonts w:ascii="Calibri" w:eastAsia="Times New Roman" w:hAnsi="Calibri" w:cs="Calibri"/>
                <w:color w:val="000000"/>
                <w:lang w:eastAsia="en-GB"/>
              </w:rPr>
            </w:pPr>
            <w:r w:rsidRPr="00643548">
              <w:rPr>
                <w:rFonts w:ascii="Calibri" w:eastAsia="Times New Roman" w:hAnsi="Calibri" w:cs="Calibri"/>
                <w:color w:val="000000"/>
                <w:lang w:eastAsia="en-GB"/>
              </w:rPr>
              <w:t xml:space="preserve">I really enjoy working with Lynda.  She's sociable, engaging and consistently brings healthy challenge to CLT and SLT discussion while maintaining a great sense of fun.  She thinks creatively and innovatively, which adds real value and a unique contribution to problem solving, always seeking a positive way forward.  </w:t>
            </w:r>
            <w:r w:rsidRPr="00643548">
              <w:rPr>
                <w:rFonts w:ascii="Calibri" w:eastAsia="Times New Roman" w:hAnsi="Calibri" w:cs="Calibri"/>
                <w:color w:val="000000"/>
                <w:lang w:eastAsia="en-GB"/>
              </w:rPr>
              <w:br/>
              <w:t xml:space="preserve">Working more broadly across SLT, I've observed Lynda's efforts to listen more carefully and understand </w:t>
            </w:r>
            <w:proofErr w:type="gramStart"/>
            <w:r w:rsidRPr="00643548">
              <w:rPr>
                <w:rFonts w:ascii="Calibri" w:eastAsia="Times New Roman" w:hAnsi="Calibri" w:cs="Calibri"/>
                <w:color w:val="000000"/>
                <w:lang w:eastAsia="en-GB"/>
              </w:rPr>
              <w:t>colleagues</w:t>
            </w:r>
            <w:proofErr w:type="gramEnd"/>
            <w:r w:rsidRPr="00643548">
              <w:rPr>
                <w:rFonts w:ascii="Calibri" w:eastAsia="Times New Roman" w:hAnsi="Calibri" w:cs="Calibri"/>
                <w:color w:val="000000"/>
                <w:lang w:eastAsia="en-GB"/>
              </w:rPr>
              <w:t xml:space="preserve"> perspectives better.  This has started to make a real difference in building trust and fostering more collaborative relationships with all SLT colleagues and I see this going from strength to strength.  This is great because her creativity is a real asset to the whole team </w:t>
            </w:r>
          </w:p>
          <w:p w14:paraId="47CDE3E0" w14:textId="77777777" w:rsidR="00643548" w:rsidRPr="00643548" w:rsidRDefault="00643548" w:rsidP="00643548">
            <w:pPr>
              <w:rPr>
                <w:rFonts w:ascii="Trebuchet MS" w:eastAsia="Arial" w:hAnsi="Trebuchet MS" w:cs="Arial"/>
                <w:color w:val="000000"/>
              </w:rPr>
            </w:pPr>
          </w:p>
        </w:tc>
      </w:tr>
    </w:tbl>
    <w:p w14:paraId="3EC38237" w14:textId="6F5C2271" w:rsidR="005454DF" w:rsidRDefault="005454DF" w:rsidP="00DF20C8"/>
    <w:p w14:paraId="2E6D45F7" w14:textId="77777777" w:rsidR="005454DF" w:rsidRPr="00DF20C8" w:rsidRDefault="005454DF" w:rsidP="00DF20C8"/>
    <w:sectPr w:rsidR="005454DF" w:rsidRPr="00DF20C8">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7AEC27" w14:textId="77777777" w:rsidR="00133679" w:rsidRDefault="00133679" w:rsidP="001B28E3">
      <w:pPr>
        <w:spacing w:after="0" w:line="240" w:lineRule="auto"/>
      </w:pPr>
      <w:r>
        <w:separator/>
      </w:r>
    </w:p>
  </w:endnote>
  <w:endnote w:type="continuationSeparator" w:id="0">
    <w:p w14:paraId="6030E6D1" w14:textId="77777777" w:rsidR="00133679" w:rsidRDefault="00133679" w:rsidP="001B2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4C51F" w14:textId="7A316756" w:rsidR="0030384C" w:rsidRDefault="0030384C">
    <w:pPr>
      <w:pStyle w:val="Footer"/>
    </w:pPr>
    <w:r>
      <w:t>Lynda J Astell</w:t>
    </w:r>
    <w:r w:rsidR="006D32C1">
      <w:tab/>
    </w:r>
    <w:r w:rsidR="00B751D0">
      <w:t xml:space="preserve">                                                               </w:t>
    </w:r>
    <w:r w:rsidR="006D32C1">
      <w:t>5C003 – Professional Behaviours and Valuing People</w:t>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D0D652" w14:textId="77777777" w:rsidR="00133679" w:rsidRDefault="00133679" w:rsidP="001B28E3">
      <w:pPr>
        <w:spacing w:after="0" w:line="240" w:lineRule="auto"/>
      </w:pPr>
      <w:r>
        <w:separator/>
      </w:r>
    </w:p>
  </w:footnote>
  <w:footnote w:type="continuationSeparator" w:id="0">
    <w:p w14:paraId="2ECA28A5" w14:textId="77777777" w:rsidR="00133679" w:rsidRDefault="00133679" w:rsidP="001B28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57889" w14:textId="5153DF2D" w:rsidR="0053093B" w:rsidRPr="00404E8F" w:rsidRDefault="0053093B" w:rsidP="0053093B">
    <w:pPr>
      <w:pStyle w:val="Header"/>
      <w:jc w:val="right"/>
      <w:rPr>
        <w:b/>
        <w:bCs/>
        <w:color w:val="4472C4" w:themeColor="accent1"/>
        <w:sz w:val="24"/>
        <w:szCs w:val="24"/>
      </w:rPr>
    </w:pPr>
    <w:r w:rsidRPr="00404E8F">
      <w:rPr>
        <w:b/>
        <w:bCs/>
        <w:color w:val="4472C4" w:themeColor="accent1"/>
        <w:sz w:val="24"/>
        <w:szCs w:val="24"/>
      </w:rPr>
      <w:t>APPENDIX A</w:t>
    </w:r>
  </w:p>
  <w:p w14:paraId="27B96E82" w14:textId="7A842251" w:rsidR="0053093B" w:rsidRPr="00404E8F" w:rsidRDefault="0053093B">
    <w:pPr>
      <w:pStyle w:val="Header"/>
      <w:rPr>
        <w:b/>
        <w:bCs/>
        <w:color w:val="4472C4" w:themeColor="accent1"/>
        <w:sz w:val="24"/>
        <w:szCs w:val="24"/>
      </w:rPr>
    </w:pPr>
    <w:r w:rsidRPr="00404E8F">
      <w:rPr>
        <w:b/>
        <w:bCs/>
        <w:color w:val="4472C4" w:themeColor="accent1"/>
        <w:sz w:val="24"/>
        <w:szCs w:val="24"/>
      </w:rPr>
      <w:t>AC 2.3</w:t>
    </w:r>
  </w:p>
  <w:p w14:paraId="00D4F6E6" w14:textId="77777777" w:rsidR="0053093B" w:rsidRPr="00404E8F" w:rsidRDefault="0053093B">
    <w:pPr>
      <w:pStyle w:val="Header"/>
      <w:rPr>
        <w:b/>
        <w:bCs/>
        <w:color w:val="4472C4" w:themeColor="accent1"/>
        <w:sz w:val="24"/>
        <w:szCs w:val="24"/>
      </w:rPr>
    </w:pPr>
  </w:p>
  <w:p w14:paraId="662F2C09" w14:textId="174E92B7" w:rsidR="0053093B" w:rsidRPr="00404E8F" w:rsidRDefault="0053093B">
    <w:pPr>
      <w:pStyle w:val="Header"/>
      <w:rPr>
        <w:b/>
        <w:bCs/>
        <w:color w:val="4472C4" w:themeColor="accent1"/>
        <w:sz w:val="24"/>
        <w:szCs w:val="24"/>
      </w:rPr>
    </w:pPr>
    <w:r w:rsidRPr="00404E8F">
      <w:rPr>
        <w:b/>
        <w:bCs/>
        <w:color w:val="4472C4" w:themeColor="accent1"/>
        <w:sz w:val="24"/>
        <w:szCs w:val="24"/>
      </w:rPr>
      <w:t>LYNDA ASTELL – WORKING INCLUSIVEY SURVEY – FREE TEXT RESPONSES</w:t>
    </w:r>
  </w:p>
  <w:p w14:paraId="0D8D22FE" w14:textId="77777777" w:rsidR="0053093B" w:rsidRDefault="0053093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962"/>
    <w:rsid w:val="00053CFC"/>
    <w:rsid w:val="00087EAF"/>
    <w:rsid w:val="000C2DB1"/>
    <w:rsid w:val="000C3948"/>
    <w:rsid w:val="000E5135"/>
    <w:rsid w:val="00105F41"/>
    <w:rsid w:val="00133679"/>
    <w:rsid w:val="0015781B"/>
    <w:rsid w:val="001B28E3"/>
    <w:rsid w:val="001E2125"/>
    <w:rsid w:val="00222308"/>
    <w:rsid w:val="00237836"/>
    <w:rsid w:val="00285935"/>
    <w:rsid w:val="0030384C"/>
    <w:rsid w:val="00384890"/>
    <w:rsid w:val="003A036B"/>
    <w:rsid w:val="003C161A"/>
    <w:rsid w:val="00404E8F"/>
    <w:rsid w:val="0046436F"/>
    <w:rsid w:val="004A7DBB"/>
    <w:rsid w:val="004B3D95"/>
    <w:rsid w:val="004E35D4"/>
    <w:rsid w:val="004F2C67"/>
    <w:rsid w:val="00506C79"/>
    <w:rsid w:val="005274FF"/>
    <w:rsid w:val="0053093B"/>
    <w:rsid w:val="005454DF"/>
    <w:rsid w:val="005459DF"/>
    <w:rsid w:val="005A6CA6"/>
    <w:rsid w:val="005C511C"/>
    <w:rsid w:val="005E203E"/>
    <w:rsid w:val="005F2685"/>
    <w:rsid w:val="0061207B"/>
    <w:rsid w:val="006412F2"/>
    <w:rsid w:val="00643548"/>
    <w:rsid w:val="006615E6"/>
    <w:rsid w:val="00664C48"/>
    <w:rsid w:val="006C6785"/>
    <w:rsid w:val="006D1293"/>
    <w:rsid w:val="006D32C1"/>
    <w:rsid w:val="0070122F"/>
    <w:rsid w:val="00713251"/>
    <w:rsid w:val="00723590"/>
    <w:rsid w:val="00723A90"/>
    <w:rsid w:val="00727CCA"/>
    <w:rsid w:val="00752C36"/>
    <w:rsid w:val="0077768D"/>
    <w:rsid w:val="007976F2"/>
    <w:rsid w:val="008245D6"/>
    <w:rsid w:val="00842D16"/>
    <w:rsid w:val="00847F58"/>
    <w:rsid w:val="00877AAD"/>
    <w:rsid w:val="008846CD"/>
    <w:rsid w:val="0088485F"/>
    <w:rsid w:val="009103D2"/>
    <w:rsid w:val="009334F4"/>
    <w:rsid w:val="00952478"/>
    <w:rsid w:val="00960BA4"/>
    <w:rsid w:val="00A408F1"/>
    <w:rsid w:val="00A527BC"/>
    <w:rsid w:val="00A776E6"/>
    <w:rsid w:val="00AA2E69"/>
    <w:rsid w:val="00AC1059"/>
    <w:rsid w:val="00B22AAC"/>
    <w:rsid w:val="00B23639"/>
    <w:rsid w:val="00B34D92"/>
    <w:rsid w:val="00B4710B"/>
    <w:rsid w:val="00B751D0"/>
    <w:rsid w:val="00BF1321"/>
    <w:rsid w:val="00C00D35"/>
    <w:rsid w:val="00C76C1A"/>
    <w:rsid w:val="00C8366F"/>
    <w:rsid w:val="00CD4B92"/>
    <w:rsid w:val="00CE79A9"/>
    <w:rsid w:val="00CF1962"/>
    <w:rsid w:val="00CF695A"/>
    <w:rsid w:val="00D63BF2"/>
    <w:rsid w:val="00D64101"/>
    <w:rsid w:val="00D95BDC"/>
    <w:rsid w:val="00DB0826"/>
    <w:rsid w:val="00DC643D"/>
    <w:rsid w:val="00DF20C8"/>
    <w:rsid w:val="00F00089"/>
    <w:rsid w:val="00F13A14"/>
    <w:rsid w:val="00F666E7"/>
    <w:rsid w:val="00FC0B65"/>
    <w:rsid w:val="00FC72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7834A7"/>
  <w15:chartTrackingRefBased/>
  <w15:docId w15:val="{C9077048-E851-4CF9-B555-9B138AD3A0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435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B28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28E3"/>
  </w:style>
  <w:style w:type="paragraph" w:styleId="Footer">
    <w:name w:val="footer"/>
    <w:basedOn w:val="Normal"/>
    <w:link w:val="FooterChar"/>
    <w:uiPriority w:val="99"/>
    <w:unhideWhenUsed/>
    <w:rsid w:val="001B28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28E3"/>
  </w:style>
  <w:style w:type="paragraph" w:styleId="ListParagraph">
    <w:name w:val="List Paragraph"/>
    <w:basedOn w:val="Normal"/>
    <w:uiPriority w:val="34"/>
    <w:qFormat/>
    <w:rsid w:val="007132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42916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531</TotalTime>
  <Pages>10</Pages>
  <Words>4359</Words>
  <Characters>24852</Characters>
  <Application>Microsoft Office Word</Application>
  <DocSecurity>0</DocSecurity>
  <Lines>207</Lines>
  <Paragraphs>58</Paragraphs>
  <ScaleCrop>false</ScaleCrop>
  <Company>Coleg Gwent</Company>
  <LinksUpToDate>false</LinksUpToDate>
  <CharactersWithSpaces>29153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Lynda Astell</dc:creator>
  <cp:keywords/>
  <dc:description/>
  <cp:lastModifiedBy>Lynda Astell</cp:lastModifiedBy>
  <cp:revision>95</cp:revision>
  <dcterms:created xsi:type="dcterms:W3CDTF">2025-11-21T21:28:00Z</dcterms:created>
  <dcterms:modified xsi:type="dcterms:W3CDTF">2025-11-22T23:27:00Z</dcterms:modified>
</cp:coreProperties>
</file>