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5665192" w:rsidP="3B366774" w:rsidRDefault="65665192" w14:paraId="4D313DA8" w14:textId="0DA39F12">
      <w:pPr>
        <w:pStyle w:val="ListParagraph"/>
        <w:numPr>
          <w:ilvl w:val="0"/>
          <w:numId w:val="8"/>
        </w:numPr>
        <w:bidi w:val="0"/>
        <w:spacing w:before="0" w:beforeAutospacing="off" w:after="0" w:afterAutospacing="off" w:line="257" w:lineRule="auto"/>
        <w:ind w:left="720" w:right="0" w:hanging="360"/>
        <w:jc w:val="both"/>
        <w:rPr>
          <w:rFonts w:ascii="Arial" w:hAnsi="Arial" w:eastAsia="Arial" w:cs="Arial"/>
          <w:noProof w:val="0"/>
          <w:sz w:val="22"/>
          <w:szCs w:val="22"/>
          <w:lang w:val="en-GB"/>
        </w:rPr>
      </w:pPr>
      <w:r w:rsidRPr="3B366774" w:rsidR="063B7C83">
        <w:rPr>
          <w:rFonts w:ascii="Arial" w:hAnsi="Arial" w:eastAsia="Arial" w:cs="Arial"/>
          <w:noProof w:val="0"/>
          <w:sz w:val="22"/>
          <w:szCs w:val="22"/>
          <w:lang w:val="en-GB"/>
        </w:rPr>
        <w:t>University of Wales Trinit</w:t>
      </w:r>
      <w:r w:rsidRPr="3B366774" w:rsidR="366164B2">
        <w:rPr>
          <w:rFonts w:ascii="Arial" w:hAnsi="Arial" w:eastAsia="Arial" w:cs="Arial"/>
          <w:noProof w:val="0"/>
          <w:sz w:val="22"/>
          <w:szCs w:val="22"/>
          <w:lang w:val="en-GB"/>
        </w:rPr>
        <w:t>y Saint David</w:t>
      </w:r>
      <w:r w:rsidRPr="3B366774" w:rsidR="063B7C83">
        <w:rPr>
          <w:rFonts w:ascii="Arial" w:hAnsi="Arial" w:eastAsia="Arial" w:cs="Arial"/>
          <w:noProof w:val="0"/>
          <w:sz w:val="22"/>
          <w:szCs w:val="22"/>
          <w:lang w:val="en-GB"/>
        </w:rPr>
        <w:t xml:space="preserve"> &amp; </w:t>
      </w:r>
      <w:r w:rsidRPr="3B366774" w:rsidR="004B8ACB">
        <w:rPr>
          <w:rFonts w:ascii="Arial" w:hAnsi="Arial" w:eastAsia="Arial" w:cs="Arial"/>
          <w:noProof w:val="0"/>
          <w:sz w:val="22"/>
          <w:szCs w:val="22"/>
          <w:lang w:val="en-GB"/>
        </w:rPr>
        <w:t>International Business</w:t>
      </w:r>
    </w:p>
    <w:p w:rsidR="65665192" w:rsidP="3B366774" w:rsidRDefault="65665192" w14:paraId="5EA477E6" w14:textId="0CD2DE10">
      <w:pPr>
        <w:pStyle w:val="ListParagraph"/>
        <w:numPr>
          <w:ilvl w:val="0"/>
          <w:numId w:val="8"/>
        </w:numPr>
        <w:bidi w:val="0"/>
        <w:spacing w:before="0" w:beforeAutospacing="off" w:after="0" w:afterAutospacing="off" w:line="257" w:lineRule="auto"/>
        <w:ind w:left="720" w:right="0" w:hanging="360"/>
        <w:jc w:val="both"/>
        <w:rPr>
          <w:rFonts w:ascii="Arial" w:hAnsi="Arial" w:eastAsia="Arial" w:cs="Arial"/>
          <w:noProof w:val="0"/>
          <w:sz w:val="22"/>
          <w:szCs w:val="22"/>
          <w:lang w:val="en-GB"/>
        </w:rPr>
      </w:pPr>
      <w:r w:rsidRPr="3B366774" w:rsidR="004B8ACB">
        <w:rPr>
          <w:rFonts w:ascii="Arial" w:hAnsi="Arial" w:eastAsia="Arial" w:cs="Arial"/>
          <w:noProof w:val="0"/>
          <w:sz w:val="22"/>
          <w:szCs w:val="22"/>
          <w:lang w:val="en-GB"/>
        </w:rPr>
        <w:t>Rebecca Travers Student Number2128316</w:t>
      </w:r>
    </w:p>
    <w:p w:rsidR="65665192" w:rsidP="3B366774" w:rsidRDefault="65665192" w14:paraId="5EFED1DE" w14:textId="4A509680">
      <w:pPr>
        <w:pStyle w:val="ListParagraph"/>
        <w:bidi w:val="0"/>
        <w:spacing w:before="0" w:beforeAutospacing="off" w:after="0" w:afterAutospacing="off" w:line="257" w:lineRule="auto"/>
        <w:ind w:left="720" w:right="0" w:hanging="360"/>
        <w:jc w:val="both"/>
        <w:rPr>
          <w:noProof w:val="0"/>
          <w:lang w:val="en-GB"/>
        </w:rPr>
      </w:pPr>
      <w:r w:rsidRPr="3B366774" w:rsidR="6455BAD4">
        <w:rPr>
          <w:rFonts w:ascii="Arial Nova" w:hAnsi="Arial Nova" w:eastAsia="Arial Nova" w:cs="Arial Nova"/>
          <w:b w:val="0"/>
          <w:bCs w:val="0"/>
          <w:i w:val="0"/>
          <w:iCs w:val="0"/>
          <w:caps w:val="0"/>
          <w:smallCaps w:val="0"/>
          <w:noProof w:val="0"/>
          <w:color w:val="000000" w:themeColor="text1" w:themeTint="FF" w:themeShade="FF"/>
          <w:sz w:val="24"/>
          <w:szCs w:val="24"/>
          <w:lang w:val="en-GB"/>
        </w:rPr>
        <w:t>Employee Engagement, Retention, and Skill Shortages in easyJet: An Evaluation of Human Resource Management Practices.</w:t>
      </w:r>
    </w:p>
    <w:p w:rsidR="65665192" w:rsidP="3B366774" w:rsidRDefault="65665192" w14:paraId="12A37789" w14:textId="471EB399">
      <w:pPr>
        <w:pStyle w:val="ListParagraph"/>
        <w:numPr>
          <w:ilvl w:val="0"/>
          <w:numId w:val="8"/>
        </w:numPr>
        <w:bidi w:val="0"/>
        <w:spacing w:before="0" w:beforeAutospacing="off" w:after="0" w:afterAutospacing="off" w:line="257" w:lineRule="auto"/>
        <w:ind w:left="720" w:right="0" w:hanging="360"/>
        <w:jc w:val="both"/>
        <w:rPr>
          <w:rFonts w:ascii="Arial" w:hAnsi="Arial" w:eastAsia="Arial" w:cs="Arial"/>
          <w:noProof w:val="0"/>
          <w:sz w:val="22"/>
          <w:szCs w:val="22"/>
          <w:lang w:val="en-GB"/>
        </w:rPr>
      </w:pPr>
      <w:r w:rsidRPr="3B366774" w:rsidR="063B7C83">
        <w:rPr>
          <w:rFonts w:ascii="Arial" w:hAnsi="Arial" w:eastAsia="Arial" w:cs="Arial"/>
          <w:noProof w:val="0"/>
          <w:sz w:val="22"/>
          <w:szCs w:val="22"/>
          <w:lang w:val="en-GB"/>
        </w:rPr>
        <w:t>Supervisor</w:t>
      </w:r>
      <w:r w:rsidRPr="3B366774" w:rsidR="3218C074">
        <w:rPr>
          <w:rFonts w:ascii="Arial" w:hAnsi="Arial" w:eastAsia="Arial" w:cs="Arial"/>
          <w:noProof w:val="0"/>
          <w:sz w:val="22"/>
          <w:szCs w:val="22"/>
          <w:lang w:val="en-GB"/>
        </w:rPr>
        <w:t xml:space="preserve">: Ejike </w:t>
      </w:r>
      <w:r w:rsidRPr="3B366774" w:rsidR="3218C074">
        <w:rPr>
          <w:rFonts w:ascii="Arial" w:hAnsi="Arial" w:eastAsia="Arial" w:cs="Arial"/>
          <w:noProof w:val="0"/>
          <w:sz w:val="22"/>
          <w:szCs w:val="22"/>
          <w:lang w:val="en-GB"/>
        </w:rPr>
        <w:t>Udeogu</w:t>
      </w:r>
    </w:p>
    <w:p w:rsidR="65665192" w:rsidP="3B366774" w:rsidRDefault="65665192" w14:paraId="6369885D" w14:textId="2A27DAE4">
      <w:pPr>
        <w:bidi w:val="0"/>
        <w:spacing w:before="0" w:beforeAutospacing="off" w:after="160" w:afterAutospacing="off" w:line="257" w:lineRule="auto"/>
        <w:jc w:val="both"/>
      </w:pPr>
      <w:r w:rsidRPr="3B366774" w:rsidR="063B7C83">
        <w:rPr>
          <w:rFonts w:ascii="Arial" w:hAnsi="Arial" w:eastAsia="Arial" w:cs="Arial"/>
          <w:noProof w:val="0"/>
          <w:sz w:val="22"/>
          <w:szCs w:val="22"/>
          <w:lang w:val="en-GB"/>
        </w:rPr>
        <w:t xml:space="preserve"> </w:t>
      </w:r>
    </w:p>
    <w:p w:rsidR="65665192" w:rsidP="3B366774" w:rsidRDefault="65665192" w14:paraId="161007A1" w14:textId="0754807D">
      <w:pPr>
        <w:bidi w:val="0"/>
        <w:spacing w:before="0" w:beforeAutospacing="off" w:after="160" w:afterAutospacing="off" w:line="257" w:lineRule="auto"/>
        <w:jc w:val="both"/>
      </w:pPr>
      <w:r w:rsidRPr="3B366774" w:rsidR="063B7C83">
        <w:rPr>
          <w:rFonts w:ascii="Arial" w:hAnsi="Arial" w:eastAsia="Arial" w:cs="Arial"/>
          <w:noProof w:val="0"/>
          <w:sz w:val="22"/>
          <w:szCs w:val="22"/>
          <w:lang w:val="en-GB"/>
        </w:rPr>
        <w:t xml:space="preserve">DECLARATATION </w:t>
      </w:r>
    </w:p>
    <w:p w:rsidR="65665192" w:rsidP="3B366774" w:rsidRDefault="65665192" w14:paraId="2875E2EF" w14:textId="6626977E">
      <w:pPr>
        <w:bidi w:val="0"/>
        <w:spacing w:before="0" w:beforeAutospacing="off" w:after="160" w:afterAutospacing="off" w:line="257" w:lineRule="auto"/>
        <w:jc w:val="both"/>
      </w:pPr>
      <w:r w:rsidRPr="3B366774" w:rsidR="063B7C83">
        <w:rPr>
          <w:rFonts w:ascii="Arial" w:hAnsi="Arial" w:eastAsia="Arial" w:cs="Arial"/>
          <w:noProof w:val="0"/>
          <w:sz w:val="22"/>
          <w:szCs w:val="22"/>
          <w:lang w:val="en-GB"/>
        </w:rPr>
        <w:t xml:space="preserve">Please add the following paragraph: </w:t>
      </w:r>
    </w:p>
    <w:p w:rsidR="65665192" w:rsidP="3B366774" w:rsidRDefault="65665192" w14:paraId="5625E491" w14:textId="04BF7813">
      <w:pPr>
        <w:bidi w:val="0"/>
        <w:spacing w:before="0" w:beforeAutospacing="off" w:after="0" w:afterAutospacing="off" w:line="360" w:lineRule="auto"/>
        <w:jc w:val="both"/>
        <w:rPr>
          <w:rFonts w:ascii="Calibri" w:hAnsi="Calibri" w:eastAsia="Calibri" w:cs="Calibri"/>
          <w:noProof w:val="0"/>
          <w:sz w:val="22"/>
          <w:szCs w:val="22"/>
          <w:lang w:val="en-GB"/>
        </w:rPr>
      </w:pPr>
      <w:r w:rsidRPr="3B366774" w:rsidR="063B7C83">
        <w:rPr>
          <w:rFonts w:ascii="Calibri" w:hAnsi="Calibri" w:eastAsia="Calibri" w:cs="Calibri"/>
          <w:noProof w:val="0"/>
          <w:sz w:val="22"/>
          <w:szCs w:val="22"/>
          <w:lang w:val="en-GB"/>
        </w:rPr>
        <w:t xml:space="preserve">I, </w:t>
      </w:r>
      <w:r w:rsidRPr="3B366774" w:rsidR="0D5F67F9">
        <w:rPr>
          <w:rFonts w:ascii="Calibri" w:hAnsi="Calibri" w:eastAsia="Calibri" w:cs="Calibri"/>
          <w:noProof w:val="0"/>
          <w:sz w:val="22"/>
          <w:szCs w:val="22"/>
          <w:lang w:val="en-GB"/>
        </w:rPr>
        <w:t>Rebecca Travers</w:t>
      </w:r>
      <w:r w:rsidRPr="3B366774" w:rsidR="063B7C83">
        <w:rPr>
          <w:rFonts w:ascii="Calibri" w:hAnsi="Calibri" w:eastAsia="Calibri" w:cs="Calibri"/>
          <w:noProof w:val="0"/>
          <w:sz w:val="22"/>
          <w:szCs w:val="22"/>
          <w:lang w:val="en-GB"/>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rsidR="65665192" w:rsidP="034594A6" w:rsidRDefault="65665192" w14:paraId="59B9C334" w14:textId="110E227C">
      <w:pPr>
        <w:bidi w:val="0"/>
        <w:spacing w:before="0" w:beforeAutospacing="off" w:after="0" w:afterAutospacing="off" w:line="360" w:lineRule="auto"/>
        <w:jc w:val="both"/>
      </w:pPr>
      <w:r w:rsidRPr="3B366774" w:rsidR="063B7C83">
        <w:rPr>
          <w:rFonts w:ascii="Calibri" w:hAnsi="Calibri" w:eastAsia="Calibri" w:cs="Calibri"/>
          <w:noProof w:val="0"/>
          <w:sz w:val="22"/>
          <w:szCs w:val="22"/>
          <w:lang w:val="en-GB"/>
        </w:rPr>
        <w:t xml:space="preserve"> </w:t>
      </w:r>
    </w:p>
    <w:p w:rsidR="65665192" w:rsidP="034594A6" w:rsidRDefault="65665192" w14:paraId="6568914D" w14:textId="60D7EC17">
      <w:pPr>
        <w:bidi w:val="0"/>
        <w:spacing w:before="0" w:beforeAutospacing="off" w:after="0" w:afterAutospacing="off" w:line="360" w:lineRule="auto"/>
        <w:jc w:val="both"/>
      </w:pPr>
      <w:r w:rsidRPr="3B366774" w:rsidR="063B7C83">
        <w:rPr>
          <w:rFonts w:ascii="Calibri" w:hAnsi="Calibri" w:eastAsia="Calibri" w:cs="Calibri"/>
          <w:noProof w:val="0"/>
          <w:sz w:val="22"/>
          <w:szCs w:val="22"/>
          <w:lang w:val="en-GB"/>
        </w:rPr>
        <w:t>Signature:...</w:t>
      </w:r>
      <w:r w:rsidRPr="3B366774" w:rsidR="1F70BA21">
        <w:rPr>
          <w:rFonts w:ascii="Calibri" w:hAnsi="Calibri" w:eastAsia="Calibri" w:cs="Calibri"/>
          <w:noProof w:val="0"/>
          <w:sz w:val="22"/>
          <w:szCs w:val="22"/>
          <w:lang w:val="en-GB"/>
        </w:rPr>
        <w:t>R.Travers</w:t>
      </w:r>
    </w:p>
    <w:p w:rsidR="65665192" w:rsidP="034594A6" w:rsidRDefault="65665192" w14:paraId="5C3D7EAE" w14:textId="40C5142F">
      <w:pPr>
        <w:bidi w:val="0"/>
        <w:spacing w:before="0" w:beforeAutospacing="off" w:after="0" w:afterAutospacing="off" w:line="360" w:lineRule="auto"/>
        <w:jc w:val="both"/>
      </w:pPr>
      <w:r w:rsidRPr="3B366774" w:rsidR="063B7C83">
        <w:rPr>
          <w:rFonts w:ascii="Calibri" w:hAnsi="Calibri" w:eastAsia="Calibri" w:cs="Calibri"/>
          <w:noProof w:val="0"/>
          <w:sz w:val="22"/>
          <w:szCs w:val="22"/>
          <w:lang w:val="en-GB"/>
        </w:rPr>
        <w:t xml:space="preserve"> </w:t>
      </w:r>
    </w:p>
    <w:p w:rsidR="65665192" w:rsidP="034594A6" w:rsidRDefault="65665192" w14:paraId="54A45A9B" w14:textId="37C11FC1">
      <w:pPr>
        <w:bidi w:val="0"/>
        <w:spacing w:before="0" w:beforeAutospacing="off" w:after="0" w:afterAutospacing="off" w:line="360" w:lineRule="auto"/>
        <w:jc w:val="both"/>
      </w:pPr>
      <w:r w:rsidRPr="3B366774" w:rsidR="063B7C83">
        <w:rPr>
          <w:rFonts w:ascii="Calibri" w:hAnsi="Calibri" w:eastAsia="Calibri" w:cs="Calibri"/>
          <w:noProof w:val="0"/>
          <w:sz w:val="22"/>
          <w:szCs w:val="22"/>
          <w:lang w:val="en-GB"/>
        </w:rPr>
        <w:t xml:space="preserve">Date: </w:t>
      </w:r>
      <w:r w:rsidRPr="3B366774" w:rsidR="56C21B2C">
        <w:rPr>
          <w:rFonts w:ascii="Calibri" w:hAnsi="Calibri" w:eastAsia="Calibri" w:cs="Calibri"/>
          <w:noProof w:val="0"/>
          <w:sz w:val="22"/>
          <w:szCs w:val="22"/>
          <w:lang w:val="en-GB"/>
        </w:rPr>
        <w:t>05 May 2026</w:t>
      </w:r>
    </w:p>
    <w:p w:rsidR="65665192" w:rsidP="034594A6" w:rsidRDefault="65665192" w14:paraId="70FBD9A4" w14:textId="1D509E68">
      <w:pPr>
        <w:bidi w:val="0"/>
        <w:spacing w:before="0" w:beforeAutospacing="off" w:after="0" w:afterAutospacing="off" w:line="360" w:lineRule="auto"/>
        <w:jc w:val="both"/>
        <w:rPr>
          <w:rFonts w:ascii="Arial" w:hAnsi="Arial" w:eastAsia="Arial" w:cs="Arial"/>
          <w:noProof w:val="0"/>
          <w:color w:val="0E101A"/>
          <w:sz w:val="24"/>
          <w:szCs w:val="24"/>
          <w:lang w:val="en-GB"/>
        </w:rPr>
      </w:pPr>
    </w:p>
    <w:p w:rsidR="65665192" w:rsidP="034594A6" w:rsidRDefault="65665192" w14:paraId="79BE46FD" w14:textId="3482F3E8">
      <w:pPr>
        <w:bidi w:val="0"/>
        <w:spacing w:before="0" w:beforeAutospacing="off" w:after="0" w:afterAutospacing="off" w:line="360" w:lineRule="auto"/>
        <w:jc w:val="both"/>
        <w:rPr>
          <w:rFonts w:ascii="Arial" w:hAnsi="Arial" w:eastAsia="Arial" w:cs="Arial"/>
          <w:noProof w:val="0"/>
          <w:color w:val="0E101A"/>
          <w:sz w:val="24"/>
          <w:szCs w:val="24"/>
          <w:lang w:val="en-GB"/>
        </w:rPr>
      </w:pPr>
    </w:p>
    <w:p w:rsidR="65665192" w:rsidP="034594A6" w:rsidRDefault="65665192" w14:paraId="5C9546A9" w14:textId="5C2986C3">
      <w:pPr>
        <w:bidi w:val="0"/>
        <w:spacing w:before="0" w:beforeAutospacing="off" w:after="0" w:afterAutospacing="off" w:line="360" w:lineRule="auto"/>
        <w:jc w:val="both"/>
        <w:rPr>
          <w:rFonts w:ascii="Arial" w:hAnsi="Arial" w:eastAsia="Arial" w:cs="Arial"/>
          <w:noProof w:val="0"/>
          <w:color w:val="0E101A"/>
          <w:sz w:val="24"/>
          <w:szCs w:val="24"/>
          <w:lang w:val="en-GB"/>
        </w:rPr>
      </w:pPr>
    </w:p>
    <w:p w:rsidR="65665192" w:rsidP="034594A6" w:rsidRDefault="65665192" w14:paraId="62164B45" w14:textId="7770AF6D">
      <w:pPr>
        <w:bidi w:val="0"/>
        <w:spacing w:before="0" w:beforeAutospacing="off" w:after="0" w:afterAutospacing="off" w:line="360" w:lineRule="auto"/>
        <w:jc w:val="both"/>
        <w:rPr>
          <w:rFonts w:ascii="Arial" w:hAnsi="Arial" w:eastAsia="Arial" w:cs="Arial"/>
          <w:noProof w:val="0"/>
          <w:color w:val="0E101A"/>
          <w:sz w:val="24"/>
          <w:szCs w:val="24"/>
          <w:lang w:val="en-GB"/>
        </w:rPr>
      </w:pPr>
    </w:p>
    <w:p w:rsidR="65665192" w:rsidP="034594A6" w:rsidRDefault="65665192" w14:paraId="26732CC0" w14:textId="339A2CAA">
      <w:pPr>
        <w:bidi w:val="0"/>
        <w:spacing w:before="0" w:beforeAutospacing="off" w:after="0" w:afterAutospacing="off" w:line="360" w:lineRule="auto"/>
        <w:jc w:val="both"/>
        <w:rPr>
          <w:rFonts w:ascii="Arial" w:hAnsi="Arial" w:eastAsia="Arial" w:cs="Arial"/>
          <w:noProof w:val="0"/>
          <w:color w:val="0E101A"/>
          <w:sz w:val="24"/>
          <w:szCs w:val="24"/>
          <w:lang w:val="en-GB"/>
        </w:rPr>
      </w:pPr>
    </w:p>
    <w:p w:rsidR="65665192" w:rsidP="034594A6" w:rsidRDefault="65665192" w14:paraId="7DAC5F17" w14:textId="4E7A08F6">
      <w:pPr>
        <w:bidi w:val="0"/>
        <w:spacing w:before="0" w:beforeAutospacing="off" w:after="0" w:afterAutospacing="off" w:line="360" w:lineRule="auto"/>
        <w:jc w:val="both"/>
        <w:rPr>
          <w:rFonts w:ascii="Arial" w:hAnsi="Arial" w:eastAsia="Arial" w:cs="Arial"/>
          <w:noProof w:val="0"/>
          <w:color w:val="0E101A"/>
          <w:sz w:val="24"/>
          <w:szCs w:val="24"/>
          <w:lang w:val="en-GB"/>
        </w:rPr>
      </w:pPr>
    </w:p>
    <w:p w:rsidR="65665192" w:rsidP="034594A6" w:rsidRDefault="65665192" w14:paraId="6CE8D6D4" w14:textId="4BC54503">
      <w:pPr>
        <w:bidi w:val="0"/>
        <w:spacing w:before="0" w:beforeAutospacing="off" w:after="0" w:afterAutospacing="off" w:line="360" w:lineRule="auto"/>
        <w:jc w:val="both"/>
        <w:rPr>
          <w:rFonts w:ascii="Arial" w:hAnsi="Arial" w:eastAsia="Arial" w:cs="Arial"/>
          <w:noProof w:val="0"/>
          <w:color w:val="0E101A"/>
          <w:sz w:val="24"/>
          <w:szCs w:val="24"/>
          <w:lang w:val="en-GB"/>
        </w:rPr>
      </w:pPr>
    </w:p>
    <w:p w:rsidR="65665192" w:rsidP="034594A6" w:rsidRDefault="65665192" w14:paraId="3FE06198" w14:textId="17C6DE21">
      <w:pPr>
        <w:bidi w:val="0"/>
        <w:spacing w:before="120" w:beforeAutospacing="off" w:after="120" w:afterAutospacing="off" w:line="360" w:lineRule="auto"/>
      </w:pPr>
      <w:r>
        <w:br w:type="page"/>
      </w:r>
    </w:p>
    <w:sdt>
      <w:sdtPr>
        <w:id w:val="2030256604"/>
        <w:docPartObj>
          <w:docPartGallery w:val="Table of Contents"/>
          <w:docPartUnique/>
        </w:docPartObj>
      </w:sdtPr>
      <w:sdtContent>
        <w:p w:rsidR="65665192" w:rsidP="3B366774" w:rsidRDefault="65665192" w14:paraId="64496004" w14:textId="31086F44">
          <w:pPr>
            <w:pStyle w:val="TOC1"/>
            <w:tabs>
              <w:tab w:val="right" w:leader="dot" w:pos="9015"/>
            </w:tabs>
            <w:rPr>
              <w:rStyle w:val="Hyperlink"/>
            </w:rPr>
          </w:pPr>
          <w:r>
            <w:fldChar w:fldCharType="begin"/>
          </w:r>
          <w:r>
            <w:instrText xml:space="preserve">TOC \o "1-9" \z \u \h</w:instrText>
          </w:r>
          <w:r>
            <w:fldChar w:fldCharType="separate"/>
          </w:r>
          <w:hyperlink w:anchor="_Toc1467441939">
            <w:r w:rsidRPr="3B366774" w:rsidR="3B366774">
              <w:rPr>
                <w:rStyle w:val="Hyperlink"/>
              </w:rPr>
              <w:t>Introduction, Background and Context</w:t>
            </w:r>
            <w:r>
              <w:tab/>
            </w:r>
            <w:r>
              <w:fldChar w:fldCharType="begin"/>
            </w:r>
            <w:r>
              <w:instrText xml:space="preserve">PAGEREF _Toc1467441939 \h</w:instrText>
            </w:r>
            <w:r>
              <w:fldChar w:fldCharType="separate"/>
            </w:r>
            <w:r w:rsidRPr="3B366774" w:rsidR="3B366774">
              <w:rPr>
                <w:rStyle w:val="Hyperlink"/>
              </w:rPr>
              <w:t>2</w:t>
            </w:r>
            <w:r>
              <w:fldChar w:fldCharType="end"/>
            </w:r>
          </w:hyperlink>
        </w:p>
        <w:p w:rsidR="65665192" w:rsidP="3B366774" w:rsidRDefault="65665192" w14:paraId="00923C8E" w14:textId="07C9725E">
          <w:pPr>
            <w:pStyle w:val="TOC1"/>
            <w:tabs>
              <w:tab w:val="right" w:leader="dot" w:pos="9015"/>
            </w:tabs>
            <w:rPr>
              <w:rStyle w:val="Hyperlink"/>
            </w:rPr>
          </w:pPr>
          <w:hyperlink w:anchor="_Toc693859870">
            <w:r w:rsidRPr="3B366774" w:rsidR="3B366774">
              <w:rPr>
                <w:rStyle w:val="Hyperlink"/>
              </w:rPr>
              <w:t>Review of Relevant Literature</w:t>
            </w:r>
            <w:r>
              <w:tab/>
            </w:r>
            <w:r>
              <w:fldChar w:fldCharType="begin"/>
            </w:r>
            <w:r>
              <w:instrText xml:space="preserve">PAGEREF _Toc693859870 \h</w:instrText>
            </w:r>
            <w:r>
              <w:fldChar w:fldCharType="separate"/>
            </w:r>
            <w:r w:rsidRPr="3B366774" w:rsidR="3B366774">
              <w:rPr>
                <w:rStyle w:val="Hyperlink"/>
              </w:rPr>
              <w:t>2</w:t>
            </w:r>
            <w:r>
              <w:fldChar w:fldCharType="end"/>
            </w:r>
          </w:hyperlink>
        </w:p>
        <w:p w:rsidR="65665192" w:rsidP="3B366774" w:rsidRDefault="65665192" w14:paraId="36887211" w14:textId="5CAE2BDD">
          <w:pPr>
            <w:pStyle w:val="TOC2"/>
            <w:tabs>
              <w:tab w:val="right" w:leader="dot" w:pos="9015"/>
            </w:tabs>
            <w:rPr>
              <w:rStyle w:val="Hyperlink"/>
            </w:rPr>
          </w:pPr>
          <w:hyperlink w:anchor="_Toc763849892">
            <w:r w:rsidRPr="3B366774" w:rsidR="3B366774">
              <w:rPr>
                <w:rStyle w:val="Hyperlink"/>
              </w:rPr>
              <w:t>Theories and Determinants of Motivation</w:t>
            </w:r>
            <w:r>
              <w:tab/>
            </w:r>
            <w:r>
              <w:fldChar w:fldCharType="begin"/>
            </w:r>
            <w:r>
              <w:instrText xml:space="preserve">PAGEREF _Toc763849892 \h</w:instrText>
            </w:r>
            <w:r>
              <w:fldChar w:fldCharType="separate"/>
            </w:r>
            <w:r w:rsidRPr="3B366774" w:rsidR="3B366774">
              <w:rPr>
                <w:rStyle w:val="Hyperlink"/>
              </w:rPr>
              <w:t>2</w:t>
            </w:r>
            <w:r>
              <w:fldChar w:fldCharType="end"/>
            </w:r>
          </w:hyperlink>
        </w:p>
        <w:p w:rsidR="65665192" w:rsidP="3B366774" w:rsidRDefault="65665192" w14:paraId="25F6A7FB" w14:textId="1A49B83D">
          <w:pPr>
            <w:pStyle w:val="TOC2"/>
            <w:tabs>
              <w:tab w:val="right" w:leader="dot" w:pos="9015"/>
            </w:tabs>
            <w:rPr>
              <w:rStyle w:val="Hyperlink"/>
            </w:rPr>
          </w:pPr>
          <w:hyperlink w:anchor="_Toc987531061">
            <w:r w:rsidRPr="3B366774" w:rsidR="3B366774">
              <w:rPr>
                <w:rStyle w:val="Hyperlink"/>
              </w:rPr>
              <w:t>Organisational Support, Resilience, Engagement and Job Satisfaction</w:t>
            </w:r>
            <w:r>
              <w:tab/>
            </w:r>
            <w:r>
              <w:fldChar w:fldCharType="begin"/>
            </w:r>
            <w:r>
              <w:instrText xml:space="preserve">PAGEREF _Toc987531061 \h</w:instrText>
            </w:r>
            <w:r>
              <w:fldChar w:fldCharType="separate"/>
            </w:r>
            <w:r w:rsidRPr="3B366774" w:rsidR="3B366774">
              <w:rPr>
                <w:rStyle w:val="Hyperlink"/>
              </w:rPr>
              <w:t>2</w:t>
            </w:r>
            <w:r>
              <w:fldChar w:fldCharType="end"/>
            </w:r>
          </w:hyperlink>
        </w:p>
        <w:p w:rsidR="65665192" w:rsidP="3B366774" w:rsidRDefault="65665192" w14:paraId="6A448CBF" w14:textId="4DAB6547">
          <w:pPr>
            <w:pStyle w:val="TOC2"/>
            <w:tabs>
              <w:tab w:val="right" w:leader="dot" w:pos="9015"/>
            </w:tabs>
            <w:rPr>
              <w:rStyle w:val="Hyperlink"/>
            </w:rPr>
          </w:pPr>
          <w:hyperlink w:anchor="_Toc1595065281">
            <w:r w:rsidRPr="3B366774" w:rsidR="3B366774">
              <w:rPr>
                <w:rStyle w:val="Hyperlink"/>
              </w:rPr>
              <w:t>Recruitment and Retention</w:t>
            </w:r>
            <w:r>
              <w:tab/>
            </w:r>
            <w:r>
              <w:fldChar w:fldCharType="begin"/>
            </w:r>
            <w:r>
              <w:instrText xml:space="preserve">PAGEREF _Toc1595065281 \h</w:instrText>
            </w:r>
            <w:r>
              <w:fldChar w:fldCharType="separate"/>
            </w:r>
            <w:r w:rsidRPr="3B366774" w:rsidR="3B366774">
              <w:rPr>
                <w:rStyle w:val="Hyperlink"/>
              </w:rPr>
              <w:t>2</w:t>
            </w:r>
            <w:r>
              <w:fldChar w:fldCharType="end"/>
            </w:r>
          </w:hyperlink>
        </w:p>
        <w:p w:rsidR="65665192" w:rsidP="3B366774" w:rsidRDefault="65665192" w14:paraId="37B63509" w14:textId="5F67E1DE">
          <w:pPr>
            <w:pStyle w:val="TOC2"/>
            <w:tabs>
              <w:tab w:val="right" w:leader="dot" w:pos="9015"/>
            </w:tabs>
            <w:rPr>
              <w:rStyle w:val="Hyperlink"/>
            </w:rPr>
          </w:pPr>
          <w:hyperlink w:anchor="_Toc239026571">
            <w:r w:rsidRPr="3B366774" w:rsidR="3B366774">
              <w:rPr>
                <w:rStyle w:val="Hyperlink"/>
              </w:rPr>
              <w:t>Pilot Supply Decline: Working and Training Conditions</w:t>
            </w:r>
            <w:r>
              <w:tab/>
            </w:r>
            <w:r>
              <w:fldChar w:fldCharType="begin"/>
            </w:r>
            <w:r>
              <w:instrText xml:space="preserve">PAGEREF _Toc239026571 \h</w:instrText>
            </w:r>
            <w:r>
              <w:fldChar w:fldCharType="separate"/>
            </w:r>
            <w:r w:rsidRPr="3B366774" w:rsidR="3B366774">
              <w:rPr>
                <w:rStyle w:val="Hyperlink"/>
              </w:rPr>
              <w:t>2</w:t>
            </w:r>
            <w:r>
              <w:fldChar w:fldCharType="end"/>
            </w:r>
          </w:hyperlink>
        </w:p>
        <w:p w:rsidR="65665192" w:rsidP="3B366774" w:rsidRDefault="65665192" w14:paraId="7083AB7C" w14:textId="6C9C390E">
          <w:pPr>
            <w:pStyle w:val="TOC1"/>
            <w:tabs>
              <w:tab w:val="right" w:leader="dot" w:pos="9015"/>
            </w:tabs>
            <w:rPr>
              <w:rStyle w:val="Hyperlink"/>
            </w:rPr>
          </w:pPr>
          <w:hyperlink w:anchor="_Toc1536416064">
            <w:r w:rsidRPr="3B366774" w:rsidR="3B366774">
              <w:rPr>
                <w:rStyle w:val="Hyperlink"/>
              </w:rPr>
              <w:t>Conceptual Framework</w:t>
            </w:r>
            <w:r>
              <w:tab/>
            </w:r>
            <w:r>
              <w:fldChar w:fldCharType="begin"/>
            </w:r>
            <w:r>
              <w:instrText xml:space="preserve">PAGEREF _Toc1536416064 \h</w:instrText>
            </w:r>
            <w:r>
              <w:fldChar w:fldCharType="separate"/>
            </w:r>
            <w:r w:rsidRPr="3B366774" w:rsidR="3B366774">
              <w:rPr>
                <w:rStyle w:val="Hyperlink"/>
              </w:rPr>
              <w:t>2</w:t>
            </w:r>
            <w:r>
              <w:fldChar w:fldCharType="end"/>
            </w:r>
          </w:hyperlink>
        </w:p>
        <w:p w:rsidR="65665192" w:rsidP="3B366774" w:rsidRDefault="65665192" w14:paraId="0AAAE38C" w14:textId="07C901FD">
          <w:pPr>
            <w:pStyle w:val="TOC1"/>
            <w:tabs>
              <w:tab w:val="right" w:leader="dot" w:pos="9015"/>
            </w:tabs>
            <w:rPr>
              <w:rStyle w:val="Hyperlink"/>
            </w:rPr>
          </w:pPr>
          <w:hyperlink w:anchor="_Toc1996541205">
            <w:r w:rsidRPr="3B366774" w:rsidR="3B366774">
              <w:rPr>
                <w:rStyle w:val="Hyperlink"/>
              </w:rPr>
              <w:t>Methodology</w:t>
            </w:r>
            <w:r>
              <w:tab/>
            </w:r>
            <w:r>
              <w:fldChar w:fldCharType="begin"/>
            </w:r>
            <w:r>
              <w:instrText xml:space="preserve">PAGEREF _Toc1996541205 \h</w:instrText>
            </w:r>
            <w:r>
              <w:fldChar w:fldCharType="separate"/>
            </w:r>
            <w:r w:rsidRPr="3B366774" w:rsidR="3B366774">
              <w:rPr>
                <w:rStyle w:val="Hyperlink"/>
              </w:rPr>
              <w:t>2</w:t>
            </w:r>
            <w:r>
              <w:fldChar w:fldCharType="end"/>
            </w:r>
          </w:hyperlink>
        </w:p>
        <w:p w:rsidR="65665192" w:rsidP="3B366774" w:rsidRDefault="65665192" w14:paraId="71A734E6" w14:textId="5A771A41">
          <w:pPr>
            <w:pStyle w:val="TOC2"/>
            <w:tabs>
              <w:tab w:val="right" w:leader="dot" w:pos="9015"/>
            </w:tabs>
            <w:rPr>
              <w:rStyle w:val="Hyperlink"/>
            </w:rPr>
          </w:pPr>
          <w:hyperlink w:anchor="_Toc1332856949">
            <w:r w:rsidRPr="3B366774" w:rsidR="3B366774">
              <w:rPr>
                <w:rStyle w:val="Hyperlink"/>
              </w:rPr>
              <w:t>Introduction</w:t>
            </w:r>
            <w:r>
              <w:tab/>
            </w:r>
            <w:r>
              <w:fldChar w:fldCharType="begin"/>
            </w:r>
            <w:r>
              <w:instrText xml:space="preserve">PAGEREF _Toc1332856949 \h</w:instrText>
            </w:r>
            <w:r>
              <w:fldChar w:fldCharType="separate"/>
            </w:r>
            <w:r w:rsidRPr="3B366774" w:rsidR="3B366774">
              <w:rPr>
                <w:rStyle w:val="Hyperlink"/>
              </w:rPr>
              <w:t>2</w:t>
            </w:r>
            <w:r>
              <w:fldChar w:fldCharType="end"/>
            </w:r>
          </w:hyperlink>
        </w:p>
        <w:p w:rsidR="65665192" w:rsidP="3B366774" w:rsidRDefault="65665192" w14:paraId="24A845DD" w14:textId="678ABEA4">
          <w:pPr>
            <w:pStyle w:val="TOC2"/>
            <w:tabs>
              <w:tab w:val="right" w:leader="dot" w:pos="9015"/>
            </w:tabs>
            <w:rPr>
              <w:rStyle w:val="Hyperlink"/>
            </w:rPr>
          </w:pPr>
          <w:hyperlink w:anchor="_Toc956667191">
            <w:r w:rsidRPr="3B366774" w:rsidR="3B366774">
              <w:rPr>
                <w:rStyle w:val="Hyperlink"/>
              </w:rPr>
              <w:t>Research Philosophy and Assumptions</w:t>
            </w:r>
            <w:r>
              <w:tab/>
            </w:r>
            <w:r>
              <w:fldChar w:fldCharType="begin"/>
            </w:r>
            <w:r>
              <w:instrText xml:space="preserve">PAGEREF _Toc956667191 \h</w:instrText>
            </w:r>
            <w:r>
              <w:fldChar w:fldCharType="separate"/>
            </w:r>
            <w:r w:rsidRPr="3B366774" w:rsidR="3B366774">
              <w:rPr>
                <w:rStyle w:val="Hyperlink"/>
              </w:rPr>
              <w:t>2</w:t>
            </w:r>
            <w:r>
              <w:fldChar w:fldCharType="end"/>
            </w:r>
          </w:hyperlink>
        </w:p>
        <w:p w:rsidR="65665192" w:rsidP="3B366774" w:rsidRDefault="65665192" w14:paraId="47ACA33C" w14:textId="5DAC19F1">
          <w:pPr>
            <w:pStyle w:val="TOC2"/>
            <w:tabs>
              <w:tab w:val="right" w:leader="dot" w:pos="9015"/>
            </w:tabs>
            <w:rPr>
              <w:rStyle w:val="Hyperlink"/>
            </w:rPr>
          </w:pPr>
          <w:hyperlink w:anchor="_Toc1064661452">
            <w:r w:rsidRPr="3B366774" w:rsidR="3B366774">
              <w:rPr>
                <w:rStyle w:val="Hyperlink"/>
              </w:rPr>
              <w:t>Research Design</w:t>
            </w:r>
            <w:r>
              <w:tab/>
            </w:r>
            <w:r>
              <w:fldChar w:fldCharType="begin"/>
            </w:r>
            <w:r>
              <w:instrText xml:space="preserve">PAGEREF _Toc1064661452 \h</w:instrText>
            </w:r>
            <w:r>
              <w:fldChar w:fldCharType="separate"/>
            </w:r>
            <w:r w:rsidRPr="3B366774" w:rsidR="3B366774">
              <w:rPr>
                <w:rStyle w:val="Hyperlink"/>
              </w:rPr>
              <w:t>2</w:t>
            </w:r>
            <w:r>
              <w:fldChar w:fldCharType="end"/>
            </w:r>
          </w:hyperlink>
        </w:p>
        <w:p w:rsidR="65665192" w:rsidP="3B366774" w:rsidRDefault="65665192" w14:paraId="4F8C454C" w14:textId="49F39AEF">
          <w:pPr>
            <w:pStyle w:val="TOC2"/>
            <w:tabs>
              <w:tab w:val="right" w:leader="dot" w:pos="9015"/>
            </w:tabs>
            <w:rPr>
              <w:rStyle w:val="Hyperlink"/>
            </w:rPr>
          </w:pPr>
          <w:hyperlink w:anchor="_Toc507290696">
            <w:r w:rsidRPr="3B366774" w:rsidR="3B366774">
              <w:rPr>
                <w:rStyle w:val="Hyperlink"/>
              </w:rPr>
              <w:t>Research Approach</w:t>
            </w:r>
            <w:r>
              <w:tab/>
            </w:r>
            <w:r>
              <w:fldChar w:fldCharType="begin"/>
            </w:r>
            <w:r>
              <w:instrText xml:space="preserve">PAGEREF _Toc507290696 \h</w:instrText>
            </w:r>
            <w:r>
              <w:fldChar w:fldCharType="separate"/>
            </w:r>
            <w:r w:rsidRPr="3B366774" w:rsidR="3B366774">
              <w:rPr>
                <w:rStyle w:val="Hyperlink"/>
              </w:rPr>
              <w:t>2</w:t>
            </w:r>
            <w:r>
              <w:fldChar w:fldCharType="end"/>
            </w:r>
          </w:hyperlink>
        </w:p>
        <w:p w:rsidR="65665192" w:rsidP="3B366774" w:rsidRDefault="65665192" w14:paraId="3799289E" w14:textId="54811A0C">
          <w:pPr>
            <w:pStyle w:val="TOC2"/>
            <w:tabs>
              <w:tab w:val="right" w:leader="dot" w:pos="9015"/>
            </w:tabs>
            <w:rPr>
              <w:rStyle w:val="Hyperlink"/>
            </w:rPr>
          </w:pPr>
          <w:hyperlink w:anchor="_Toc586817102">
            <w:r w:rsidRPr="3B366774" w:rsidR="3B366774">
              <w:rPr>
                <w:rStyle w:val="Hyperlink"/>
              </w:rPr>
              <w:t>Data Collection Methods</w:t>
            </w:r>
            <w:r>
              <w:tab/>
            </w:r>
            <w:r>
              <w:fldChar w:fldCharType="begin"/>
            </w:r>
            <w:r>
              <w:instrText xml:space="preserve">PAGEREF _Toc586817102 \h</w:instrText>
            </w:r>
            <w:r>
              <w:fldChar w:fldCharType="separate"/>
            </w:r>
            <w:r w:rsidRPr="3B366774" w:rsidR="3B366774">
              <w:rPr>
                <w:rStyle w:val="Hyperlink"/>
              </w:rPr>
              <w:t>2</w:t>
            </w:r>
            <w:r>
              <w:fldChar w:fldCharType="end"/>
            </w:r>
          </w:hyperlink>
        </w:p>
        <w:p w:rsidR="65665192" w:rsidP="3B366774" w:rsidRDefault="65665192" w14:paraId="35AC688D" w14:textId="68452101">
          <w:pPr>
            <w:pStyle w:val="TOC2"/>
            <w:tabs>
              <w:tab w:val="right" w:leader="dot" w:pos="9015"/>
            </w:tabs>
            <w:rPr>
              <w:rStyle w:val="Hyperlink"/>
            </w:rPr>
          </w:pPr>
          <w:hyperlink w:anchor="_Toc2081640931">
            <w:r w:rsidRPr="3B366774" w:rsidR="3B366774">
              <w:rPr>
                <w:rStyle w:val="Hyperlink"/>
              </w:rPr>
              <w:t>Academic and Industry Literature</w:t>
            </w:r>
            <w:r>
              <w:tab/>
            </w:r>
            <w:r>
              <w:fldChar w:fldCharType="begin"/>
            </w:r>
            <w:r>
              <w:instrText xml:space="preserve">PAGEREF _Toc2081640931 \h</w:instrText>
            </w:r>
            <w:r>
              <w:fldChar w:fldCharType="separate"/>
            </w:r>
            <w:r w:rsidRPr="3B366774" w:rsidR="3B366774">
              <w:rPr>
                <w:rStyle w:val="Hyperlink"/>
              </w:rPr>
              <w:t>2</w:t>
            </w:r>
            <w:r>
              <w:fldChar w:fldCharType="end"/>
            </w:r>
          </w:hyperlink>
        </w:p>
        <w:p w:rsidR="65665192" w:rsidP="3B366774" w:rsidRDefault="65665192" w14:paraId="76AC2611" w14:textId="5A778AD2">
          <w:pPr>
            <w:pStyle w:val="TOC2"/>
            <w:tabs>
              <w:tab w:val="right" w:leader="dot" w:pos="9015"/>
            </w:tabs>
            <w:rPr>
              <w:rStyle w:val="Hyperlink"/>
            </w:rPr>
          </w:pPr>
          <w:hyperlink w:anchor="_Toc1863305692">
            <w:r w:rsidRPr="3B366774" w:rsidR="3B366774">
              <w:rPr>
                <w:rStyle w:val="Hyperlink"/>
              </w:rPr>
              <w:t>Data Analysis Methods</w:t>
            </w:r>
            <w:r>
              <w:tab/>
            </w:r>
            <w:r>
              <w:fldChar w:fldCharType="begin"/>
            </w:r>
            <w:r>
              <w:instrText xml:space="preserve">PAGEREF _Toc1863305692 \h</w:instrText>
            </w:r>
            <w:r>
              <w:fldChar w:fldCharType="separate"/>
            </w:r>
            <w:r w:rsidRPr="3B366774" w:rsidR="3B366774">
              <w:rPr>
                <w:rStyle w:val="Hyperlink"/>
              </w:rPr>
              <w:t>2</w:t>
            </w:r>
            <w:r>
              <w:fldChar w:fldCharType="end"/>
            </w:r>
          </w:hyperlink>
        </w:p>
        <w:p w:rsidR="65665192" w:rsidP="3B366774" w:rsidRDefault="65665192" w14:paraId="3960E2BC" w14:textId="43109105">
          <w:pPr>
            <w:pStyle w:val="TOC3"/>
            <w:tabs>
              <w:tab w:val="right" w:leader="dot" w:pos="9015"/>
            </w:tabs>
            <w:rPr>
              <w:rStyle w:val="Hyperlink"/>
            </w:rPr>
          </w:pPr>
          <w:hyperlink w:anchor="_Toc2086022257">
            <w:r w:rsidRPr="3B366774" w:rsidR="3B366774">
              <w:rPr>
                <w:rStyle w:val="Hyperlink"/>
              </w:rPr>
              <w:t>Thematic Synthesis</w:t>
            </w:r>
            <w:r>
              <w:tab/>
            </w:r>
            <w:r>
              <w:fldChar w:fldCharType="begin"/>
            </w:r>
            <w:r>
              <w:instrText xml:space="preserve">PAGEREF _Toc2086022257 \h</w:instrText>
            </w:r>
            <w:r>
              <w:fldChar w:fldCharType="separate"/>
            </w:r>
            <w:r w:rsidRPr="3B366774" w:rsidR="3B366774">
              <w:rPr>
                <w:rStyle w:val="Hyperlink"/>
              </w:rPr>
              <w:t>2</w:t>
            </w:r>
            <w:r>
              <w:fldChar w:fldCharType="end"/>
            </w:r>
          </w:hyperlink>
        </w:p>
        <w:p w:rsidR="65665192" w:rsidP="3B366774" w:rsidRDefault="65665192" w14:paraId="755EE73C" w14:textId="738EAB9A">
          <w:pPr>
            <w:pStyle w:val="TOC3"/>
            <w:tabs>
              <w:tab w:val="right" w:leader="dot" w:pos="9015"/>
            </w:tabs>
            <w:rPr>
              <w:rStyle w:val="Hyperlink"/>
            </w:rPr>
          </w:pPr>
          <w:hyperlink w:anchor="_Toc391635103">
            <w:r w:rsidRPr="3B366774" w:rsidR="3B366774">
              <w:rPr>
                <w:rStyle w:val="Hyperlink"/>
              </w:rPr>
              <w:t>Narrative Synthesis</w:t>
            </w:r>
            <w:r>
              <w:tab/>
            </w:r>
            <w:r>
              <w:fldChar w:fldCharType="begin"/>
            </w:r>
            <w:r>
              <w:instrText xml:space="preserve">PAGEREF _Toc391635103 \h</w:instrText>
            </w:r>
            <w:r>
              <w:fldChar w:fldCharType="separate"/>
            </w:r>
            <w:r w:rsidRPr="3B366774" w:rsidR="3B366774">
              <w:rPr>
                <w:rStyle w:val="Hyperlink"/>
              </w:rPr>
              <w:t>2</w:t>
            </w:r>
            <w:r>
              <w:fldChar w:fldCharType="end"/>
            </w:r>
          </w:hyperlink>
        </w:p>
        <w:p w:rsidR="65665192" w:rsidP="3B366774" w:rsidRDefault="65665192" w14:paraId="669D3F41" w14:textId="5BC16129">
          <w:pPr>
            <w:pStyle w:val="TOC2"/>
            <w:tabs>
              <w:tab w:val="right" w:leader="dot" w:pos="9015"/>
            </w:tabs>
            <w:rPr>
              <w:rStyle w:val="Hyperlink"/>
            </w:rPr>
          </w:pPr>
          <w:hyperlink w:anchor="_Toc1111332954">
            <w:r w:rsidRPr="3B366774" w:rsidR="3B366774">
              <w:rPr>
                <w:rStyle w:val="Hyperlink"/>
              </w:rPr>
              <w:t>Ethical Considerations</w:t>
            </w:r>
            <w:r>
              <w:tab/>
            </w:r>
            <w:r>
              <w:fldChar w:fldCharType="begin"/>
            </w:r>
            <w:r>
              <w:instrText xml:space="preserve">PAGEREF _Toc1111332954 \h</w:instrText>
            </w:r>
            <w:r>
              <w:fldChar w:fldCharType="separate"/>
            </w:r>
            <w:r w:rsidRPr="3B366774" w:rsidR="3B366774">
              <w:rPr>
                <w:rStyle w:val="Hyperlink"/>
              </w:rPr>
              <w:t>2</w:t>
            </w:r>
            <w:r>
              <w:fldChar w:fldCharType="end"/>
            </w:r>
          </w:hyperlink>
        </w:p>
        <w:p w:rsidR="65665192" w:rsidP="3B366774" w:rsidRDefault="65665192" w14:paraId="25FB0B58" w14:textId="3122AF01">
          <w:pPr>
            <w:pStyle w:val="TOC2"/>
            <w:tabs>
              <w:tab w:val="right" w:leader="dot" w:pos="9015"/>
            </w:tabs>
            <w:rPr>
              <w:rStyle w:val="Hyperlink"/>
            </w:rPr>
          </w:pPr>
          <w:hyperlink w:anchor="_Toc690328725">
            <w:r w:rsidRPr="3B366774" w:rsidR="3B366774">
              <w:rPr>
                <w:rStyle w:val="Hyperlink"/>
              </w:rPr>
              <w:t>Conclusion</w:t>
            </w:r>
            <w:r>
              <w:tab/>
            </w:r>
            <w:r>
              <w:fldChar w:fldCharType="begin"/>
            </w:r>
            <w:r>
              <w:instrText xml:space="preserve">PAGEREF _Toc690328725 \h</w:instrText>
            </w:r>
            <w:r>
              <w:fldChar w:fldCharType="separate"/>
            </w:r>
            <w:r w:rsidRPr="3B366774" w:rsidR="3B366774">
              <w:rPr>
                <w:rStyle w:val="Hyperlink"/>
              </w:rPr>
              <w:t>2</w:t>
            </w:r>
            <w:r>
              <w:fldChar w:fldCharType="end"/>
            </w:r>
          </w:hyperlink>
        </w:p>
        <w:p w:rsidR="65665192" w:rsidP="3B366774" w:rsidRDefault="65665192" w14:paraId="7AD9C58B" w14:textId="02605867">
          <w:pPr>
            <w:pStyle w:val="TOC1"/>
            <w:tabs>
              <w:tab w:val="right" w:leader="dot" w:pos="9015"/>
            </w:tabs>
            <w:rPr>
              <w:rStyle w:val="Hyperlink"/>
            </w:rPr>
          </w:pPr>
          <w:hyperlink w:anchor="_Toc747912573">
            <w:r w:rsidRPr="3B366774" w:rsidR="3B366774">
              <w:rPr>
                <w:rStyle w:val="Hyperlink"/>
              </w:rPr>
              <w:t>Findings</w:t>
            </w:r>
            <w:r>
              <w:tab/>
            </w:r>
            <w:r>
              <w:fldChar w:fldCharType="begin"/>
            </w:r>
            <w:r>
              <w:instrText xml:space="preserve">PAGEREF _Toc747912573 \h</w:instrText>
            </w:r>
            <w:r>
              <w:fldChar w:fldCharType="separate"/>
            </w:r>
            <w:r w:rsidRPr="3B366774" w:rsidR="3B366774">
              <w:rPr>
                <w:rStyle w:val="Hyperlink"/>
              </w:rPr>
              <w:t>2</w:t>
            </w:r>
            <w:r>
              <w:fldChar w:fldCharType="end"/>
            </w:r>
          </w:hyperlink>
        </w:p>
        <w:p w:rsidR="65665192" w:rsidP="3B366774" w:rsidRDefault="65665192" w14:paraId="6CE278C9" w14:textId="0CBD4D7B">
          <w:pPr>
            <w:pStyle w:val="TOC1"/>
            <w:tabs>
              <w:tab w:val="right" w:leader="dot" w:pos="9015"/>
            </w:tabs>
            <w:rPr>
              <w:rStyle w:val="Hyperlink"/>
            </w:rPr>
          </w:pPr>
          <w:hyperlink w:anchor="_Toc960860332">
            <w:r w:rsidRPr="3B366774" w:rsidR="3B366774">
              <w:rPr>
                <w:rStyle w:val="Hyperlink"/>
              </w:rPr>
              <w:t>RQ1: HRM Practices Influencing Retention</w:t>
            </w:r>
            <w:r>
              <w:tab/>
            </w:r>
            <w:r>
              <w:fldChar w:fldCharType="begin"/>
            </w:r>
            <w:r>
              <w:instrText xml:space="preserve">PAGEREF _Toc960860332 \h</w:instrText>
            </w:r>
            <w:r>
              <w:fldChar w:fldCharType="separate"/>
            </w:r>
            <w:r w:rsidRPr="3B366774" w:rsidR="3B366774">
              <w:rPr>
                <w:rStyle w:val="Hyperlink"/>
              </w:rPr>
              <w:t>2</w:t>
            </w:r>
            <w:r>
              <w:fldChar w:fldCharType="end"/>
            </w:r>
          </w:hyperlink>
        </w:p>
        <w:p w:rsidR="65665192" w:rsidP="3B366774" w:rsidRDefault="65665192" w14:paraId="0EE3C6EF" w14:textId="391F729E">
          <w:pPr>
            <w:pStyle w:val="TOC2"/>
            <w:tabs>
              <w:tab w:val="right" w:leader="dot" w:pos="9015"/>
            </w:tabs>
            <w:rPr>
              <w:rStyle w:val="Hyperlink"/>
            </w:rPr>
          </w:pPr>
          <w:hyperlink w:anchor="_Toc204255536">
            <w:r w:rsidRPr="3B366774" w:rsidR="3B366774">
              <w:rPr>
                <w:rStyle w:val="Hyperlink"/>
              </w:rPr>
              <w:t>Communication and Organisational Support</w:t>
            </w:r>
            <w:r>
              <w:tab/>
            </w:r>
            <w:r>
              <w:fldChar w:fldCharType="begin"/>
            </w:r>
            <w:r>
              <w:instrText xml:space="preserve">PAGEREF _Toc204255536 \h</w:instrText>
            </w:r>
            <w:r>
              <w:fldChar w:fldCharType="separate"/>
            </w:r>
            <w:r w:rsidRPr="3B366774" w:rsidR="3B366774">
              <w:rPr>
                <w:rStyle w:val="Hyperlink"/>
              </w:rPr>
              <w:t>2</w:t>
            </w:r>
            <w:r>
              <w:fldChar w:fldCharType="end"/>
            </w:r>
          </w:hyperlink>
        </w:p>
        <w:p w:rsidR="65665192" w:rsidP="3B366774" w:rsidRDefault="65665192" w14:paraId="39B61162" w14:textId="45A25537">
          <w:pPr>
            <w:pStyle w:val="TOC2"/>
            <w:tabs>
              <w:tab w:val="right" w:leader="dot" w:pos="9015"/>
            </w:tabs>
            <w:rPr>
              <w:rStyle w:val="Hyperlink"/>
            </w:rPr>
          </w:pPr>
          <w:hyperlink w:anchor="_Toc1891708284">
            <w:r w:rsidRPr="3B366774" w:rsidR="3B366774">
              <w:rPr>
                <w:rStyle w:val="Hyperlink"/>
              </w:rPr>
              <w:t>Financial Motivation</w:t>
            </w:r>
            <w:r>
              <w:tab/>
            </w:r>
            <w:r>
              <w:fldChar w:fldCharType="begin"/>
            </w:r>
            <w:r>
              <w:instrText xml:space="preserve">PAGEREF _Toc1891708284 \h</w:instrText>
            </w:r>
            <w:r>
              <w:fldChar w:fldCharType="separate"/>
            </w:r>
            <w:r w:rsidRPr="3B366774" w:rsidR="3B366774">
              <w:rPr>
                <w:rStyle w:val="Hyperlink"/>
              </w:rPr>
              <w:t>2</w:t>
            </w:r>
            <w:r>
              <w:fldChar w:fldCharType="end"/>
            </w:r>
          </w:hyperlink>
        </w:p>
        <w:p w:rsidR="3B366774" w:rsidP="3B366774" w:rsidRDefault="3B366774" w14:paraId="35EB86FC" w14:textId="5760F142">
          <w:pPr>
            <w:pStyle w:val="TOC2"/>
            <w:tabs>
              <w:tab w:val="right" w:leader="dot" w:pos="9015"/>
            </w:tabs>
            <w:bidi w:val="0"/>
          </w:pPr>
          <w:hyperlink w:anchor="_Toc994240057">
            <w:r w:rsidRPr="3B366774" w:rsidR="3B366774">
              <w:rPr>
                <w:rStyle w:val="Hyperlink"/>
              </w:rPr>
              <w:t>Training and Development</w:t>
            </w:r>
            <w:r>
              <w:tab/>
            </w:r>
            <w:r>
              <w:fldChar w:fldCharType="begin"/>
            </w:r>
            <w:r>
              <w:instrText xml:space="preserve">PAGEREF _Toc994240057 \h</w:instrText>
            </w:r>
            <w:r>
              <w:fldChar w:fldCharType="separate"/>
            </w:r>
            <w:r w:rsidRPr="3B366774" w:rsidR="3B366774">
              <w:rPr>
                <w:rStyle w:val="Hyperlink"/>
              </w:rPr>
              <w:t>2</w:t>
            </w:r>
            <w:r>
              <w:fldChar w:fldCharType="end"/>
            </w:r>
          </w:hyperlink>
        </w:p>
        <w:p w:rsidR="3B366774" w:rsidP="3B366774" w:rsidRDefault="3B366774" w14:paraId="7C06EC08" w14:textId="23B10214">
          <w:pPr>
            <w:pStyle w:val="TOC2"/>
            <w:tabs>
              <w:tab w:val="right" w:leader="dot" w:pos="9015"/>
            </w:tabs>
            <w:bidi w:val="0"/>
          </w:pPr>
          <w:hyperlink w:anchor="_Toc1933737875">
            <w:r w:rsidRPr="3B366774" w:rsidR="3B366774">
              <w:rPr>
                <w:rStyle w:val="Hyperlink"/>
              </w:rPr>
              <w:t>Work Schedule &amp; Conditions</w:t>
            </w:r>
            <w:r>
              <w:tab/>
            </w:r>
            <w:r>
              <w:fldChar w:fldCharType="begin"/>
            </w:r>
            <w:r>
              <w:instrText xml:space="preserve">PAGEREF _Toc1933737875 \h</w:instrText>
            </w:r>
            <w:r>
              <w:fldChar w:fldCharType="separate"/>
            </w:r>
            <w:r w:rsidRPr="3B366774" w:rsidR="3B366774">
              <w:rPr>
                <w:rStyle w:val="Hyperlink"/>
              </w:rPr>
              <w:t>2</w:t>
            </w:r>
            <w:r>
              <w:fldChar w:fldCharType="end"/>
            </w:r>
          </w:hyperlink>
        </w:p>
        <w:p w:rsidR="3B366774" w:rsidP="3B366774" w:rsidRDefault="3B366774" w14:paraId="7631E2E4" w14:textId="151D8432">
          <w:pPr>
            <w:pStyle w:val="TOC3"/>
            <w:tabs>
              <w:tab w:val="right" w:leader="dot" w:pos="9015"/>
            </w:tabs>
            <w:bidi w:val="0"/>
          </w:pPr>
          <w:hyperlink w:anchor="_Toc391289331">
            <w:r w:rsidRPr="3B366774" w:rsidR="3B366774">
              <w:rPr>
                <w:rStyle w:val="Hyperlink"/>
              </w:rPr>
              <w:t>Summary of RQ1</w:t>
            </w:r>
            <w:r>
              <w:tab/>
            </w:r>
            <w:r>
              <w:fldChar w:fldCharType="begin"/>
            </w:r>
            <w:r>
              <w:instrText xml:space="preserve">PAGEREF _Toc391289331 \h</w:instrText>
            </w:r>
            <w:r>
              <w:fldChar w:fldCharType="separate"/>
            </w:r>
            <w:r w:rsidRPr="3B366774" w:rsidR="3B366774">
              <w:rPr>
                <w:rStyle w:val="Hyperlink"/>
              </w:rPr>
              <w:t>2</w:t>
            </w:r>
            <w:r>
              <w:fldChar w:fldCharType="end"/>
            </w:r>
          </w:hyperlink>
        </w:p>
        <w:p w:rsidR="3B366774" w:rsidP="3B366774" w:rsidRDefault="3B366774" w14:paraId="1457CD7A" w14:textId="2B18BF82">
          <w:pPr>
            <w:pStyle w:val="TOC1"/>
            <w:tabs>
              <w:tab w:val="right" w:leader="dot" w:pos="9015"/>
            </w:tabs>
            <w:bidi w:val="0"/>
          </w:pPr>
          <w:hyperlink w:anchor="_Toc159145090">
            <w:r w:rsidRPr="3B366774" w:rsidR="3B366774">
              <w:rPr>
                <w:rStyle w:val="Hyperlink"/>
              </w:rPr>
              <w:t>Narrative synthesis of RQ2</w:t>
            </w:r>
            <w:r>
              <w:tab/>
            </w:r>
            <w:r>
              <w:fldChar w:fldCharType="begin"/>
            </w:r>
            <w:r>
              <w:instrText xml:space="preserve">PAGEREF _Toc159145090 \h</w:instrText>
            </w:r>
            <w:r>
              <w:fldChar w:fldCharType="separate"/>
            </w:r>
            <w:r w:rsidRPr="3B366774" w:rsidR="3B366774">
              <w:rPr>
                <w:rStyle w:val="Hyperlink"/>
              </w:rPr>
              <w:t>2</w:t>
            </w:r>
            <w:r>
              <w:fldChar w:fldCharType="end"/>
            </w:r>
          </w:hyperlink>
        </w:p>
        <w:p w:rsidR="3B366774" w:rsidP="3B366774" w:rsidRDefault="3B366774" w14:paraId="564F81A6" w14:textId="31AC502F">
          <w:pPr>
            <w:pStyle w:val="TOC2"/>
            <w:tabs>
              <w:tab w:val="right" w:leader="dot" w:pos="9015"/>
            </w:tabs>
            <w:bidi w:val="0"/>
          </w:pPr>
          <w:hyperlink w:anchor="_Toc341585868">
            <w:r w:rsidRPr="3B366774" w:rsidR="3B366774">
              <w:rPr>
                <w:rStyle w:val="Hyperlink"/>
              </w:rPr>
              <w:t>Retention and Turnover Trends</w:t>
            </w:r>
            <w:r>
              <w:tab/>
            </w:r>
            <w:r>
              <w:fldChar w:fldCharType="begin"/>
            </w:r>
            <w:r>
              <w:instrText xml:space="preserve">PAGEREF _Toc341585868 \h</w:instrText>
            </w:r>
            <w:r>
              <w:fldChar w:fldCharType="separate"/>
            </w:r>
            <w:r w:rsidRPr="3B366774" w:rsidR="3B366774">
              <w:rPr>
                <w:rStyle w:val="Hyperlink"/>
              </w:rPr>
              <w:t>2</w:t>
            </w:r>
            <w:r>
              <w:fldChar w:fldCharType="end"/>
            </w:r>
          </w:hyperlink>
        </w:p>
        <w:p w:rsidR="3B366774" w:rsidP="3B366774" w:rsidRDefault="3B366774" w14:paraId="28145B17" w14:textId="49939255">
          <w:pPr>
            <w:pStyle w:val="TOC2"/>
            <w:tabs>
              <w:tab w:val="right" w:leader="dot" w:pos="9015"/>
            </w:tabs>
            <w:bidi w:val="0"/>
          </w:pPr>
          <w:hyperlink w:anchor="_Toc547758577">
            <w:r w:rsidRPr="3B366774" w:rsidR="3B366774">
              <w:rPr>
                <w:rStyle w:val="Hyperlink"/>
              </w:rPr>
              <w:t>Engagement and Employee Experience</w:t>
            </w:r>
            <w:r>
              <w:tab/>
            </w:r>
            <w:r>
              <w:fldChar w:fldCharType="begin"/>
            </w:r>
            <w:r>
              <w:instrText xml:space="preserve">PAGEREF _Toc547758577 \h</w:instrText>
            </w:r>
            <w:r>
              <w:fldChar w:fldCharType="separate"/>
            </w:r>
            <w:r w:rsidRPr="3B366774" w:rsidR="3B366774">
              <w:rPr>
                <w:rStyle w:val="Hyperlink"/>
              </w:rPr>
              <w:t>2</w:t>
            </w:r>
            <w:r>
              <w:fldChar w:fldCharType="end"/>
            </w:r>
          </w:hyperlink>
        </w:p>
        <w:p w:rsidR="3B366774" w:rsidP="3B366774" w:rsidRDefault="3B366774" w14:paraId="51D6D9B2" w14:textId="3F9FD426">
          <w:pPr>
            <w:pStyle w:val="TOC3"/>
            <w:tabs>
              <w:tab w:val="right" w:leader="dot" w:pos="9015"/>
            </w:tabs>
            <w:bidi w:val="0"/>
          </w:pPr>
          <w:hyperlink w:anchor="_Toc473409146">
            <w:r w:rsidRPr="3B366774" w:rsidR="3B366774">
              <w:rPr>
                <w:rStyle w:val="Hyperlink"/>
              </w:rPr>
              <w:t>Summary of RQ2</w:t>
            </w:r>
            <w:r>
              <w:tab/>
            </w:r>
            <w:r>
              <w:fldChar w:fldCharType="begin"/>
            </w:r>
            <w:r>
              <w:instrText xml:space="preserve">PAGEREF _Toc473409146 \h</w:instrText>
            </w:r>
            <w:r>
              <w:fldChar w:fldCharType="separate"/>
            </w:r>
            <w:r w:rsidRPr="3B366774" w:rsidR="3B366774">
              <w:rPr>
                <w:rStyle w:val="Hyperlink"/>
              </w:rPr>
              <w:t>2</w:t>
            </w:r>
            <w:r>
              <w:fldChar w:fldCharType="end"/>
            </w:r>
          </w:hyperlink>
        </w:p>
        <w:p w:rsidR="3B366774" w:rsidP="3B366774" w:rsidRDefault="3B366774" w14:paraId="0D06514D" w14:textId="3BACBA55">
          <w:pPr>
            <w:pStyle w:val="TOC2"/>
            <w:tabs>
              <w:tab w:val="right" w:leader="dot" w:pos="9015"/>
            </w:tabs>
            <w:bidi w:val="0"/>
          </w:pPr>
          <w:hyperlink w:anchor="_Toc568613418">
            <w:r w:rsidRPr="3B366774" w:rsidR="3B366774">
              <w:rPr>
                <w:rStyle w:val="Hyperlink"/>
              </w:rPr>
              <w:t>Working Conditions and Practical Demands</w:t>
            </w:r>
            <w:r>
              <w:tab/>
            </w:r>
            <w:r>
              <w:fldChar w:fldCharType="begin"/>
            </w:r>
            <w:r>
              <w:instrText xml:space="preserve">PAGEREF _Toc568613418 \h</w:instrText>
            </w:r>
            <w:r>
              <w:fldChar w:fldCharType="separate"/>
            </w:r>
            <w:r w:rsidRPr="3B366774" w:rsidR="3B366774">
              <w:rPr>
                <w:rStyle w:val="Hyperlink"/>
              </w:rPr>
              <w:t>2</w:t>
            </w:r>
            <w:r>
              <w:fldChar w:fldCharType="end"/>
            </w:r>
          </w:hyperlink>
        </w:p>
        <w:p w:rsidR="3B366774" w:rsidP="3B366774" w:rsidRDefault="3B366774" w14:paraId="524FF9D9" w14:textId="3C521295">
          <w:pPr>
            <w:pStyle w:val="TOC3"/>
            <w:tabs>
              <w:tab w:val="right" w:leader="dot" w:pos="9015"/>
            </w:tabs>
            <w:bidi w:val="0"/>
          </w:pPr>
          <w:hyperlink w:anchor="_Toc919553606">
            <w:r w:rsidRPr="3B366774" w:rsidR="3B366774">
              <w:rPr>
                <w:rStyle w:val="Hyperlink"/>
              </w:rPr>
              <w:t>Summary of RQ3</w:t>
            </w:r>
            <w:r>
              <w:tab/>
            </w:r>
            <w:r>
              <w:fldChar w:fldCharType="begin"/>
            </w:r>
            <w:r>
              <w:instrText xml:space="preserve">PAGEREF _Toc919553606 \h</w:instrText>
            </w:r>
            <w:r>
              <w:fldChar w:fldCharType="separate"/>
            </w:r>
            <w:r w:rsidRPr="3B366774" w:rsidR="3B366774">
              <w:rPr>
                <w:rStyle w:val="Hyperlink"/>
              </w:rPr>
              <w:t>2</w:t>
            </w:r>
            <w:r>
              <w:fldChar w:fldCharType="end"/>
            </w:r>
          </w:hyperlink>
        </w:p>
        <w:p w:rsidR="3B366774" w:rsidP="3B366774" w:rsidRDefault="3B366774" w14:paraId="21CB9880" w14:textId="6946A751">
          <w:pPr>
            <w:pStyle w:val="TOC1"/>
            <w:tabs>
              <w:tab w:val="right" w:leader="dot" w:pos="9015"/>
            </w:tabs>
            <w:bidi w:val="0"/>
          </w:pPr>
          <w:hyperlink w:anchor="_Toc186618996">
            <w:r w:rsidRPr="3B366774" w:rsidR="3B366774">
              <w:rPr>
                <w:rStyle w:val="Hyperlink"/>
              </w:rPr>
              <w:t>External Labour Market Restrictions</w:t>
            </w:r>
            <w:r>
              <w:tab/>
            </w:r>
            <w:r>
              <w:fldChar w:fldCharType="begin"/>
            </w:r>
            <w:r>
              <w:instrText xml:space="preserve">PAGEREF _Toc186618996 \h</w:instrText>
            </w:r>
            <w:r>
              <w:fldChar w:fldCharType="separate"/>
            </w:r>
            <w:r w:rsidRPr="3B366774" w:rsidR="3B366774">
              <w:rPr>
                <w:rStyle w:val="Hyperlink"/>
              </w:rPr>
              <w:t>2</w:t>
            </w:r>
            <w:r>
              <w:fldChar w:fldCharType="end"/>
            </w:r>
          </w:hyperlink>
        </w:p>
        <w:p w:rsidR="3B366774" w:rsidP="3B366774" w:rsidRDefault="3B366774" w14:paraId="20400ED9" w14:textId="103A202C">
          <w:pPr>
            <w:pStyle w:val="TOC2"/>
            <w:tabs>
              <w:tab w:val="right" w:leader="dot" w:pos="9015"/>
            </w:tabs>
            <w:bidi w:val="0"/>
          </w:pPr>
          <w:hyperlink w:anchor="_Toc276702715">
            <w:r w:rsidRPr="3B366774" w:rsidR="3B366774">
              <w:rPr>
                <w:rStyle w:val="Hyperlink"/>
              </w:rPr>
              <w:t>Pilot Shortage and Labour Market Competition</w:t>
            </w:r>
            <w:r>
              <w:tab/>
            </w:r>
            <w:r>
              <w:fldChar w:fldCharType="begin"/>
            </w:r>
            <w:r>
              <w:instrText xml:space="preserve">PAGEREF _Toc276702715 \h</w:instrText>
            </w:r>
            <w:r>
              <w:fldChar w:fldCharType="separate"/>
            </w:r>
            <w:r w:rsidRPr="3B366774" w:rsidR="3B366774">
              <w:rPr>
                <w:rStyle w:val="Hyperlink"/>
              </w:rPr>
              <w:t>2</w:t>
            </w:r>
            <w:r>
              <w:fldChar w:fldCharType="end"/>
            </w:r>
          </w:hyperlink>
        </w:p>
        <w:p w:rsidR="3B366774" w:rsidP="3B366774" w:rsidRDefault="3B366774" w14:paraId="075BD82A" w14:textId="41AF18C7">
          <w:pPr>
            <w:pStyle w:val="TOC3"/>
            <w:tabs>
              <w:tab w:val="right" w:leader="dot" w:pos="9015"/>
            </w:tabs>
            <w:bidi w:val="0"/>
          </w:pPr>
          <w:hyperlink w:anchor="_Toc239650807">
            <w:r w:rsidRPr="3B366774" w:rsidR="3B366774">
              <w:rPr>
                <w:rStyle w:val="Hyperlink"/>
              </w:rPr>
              <w:t>Labour Mobility and Career Opportunities</w:t>
            </w:r>
            <w:r>
              <w:tab/>
            </w:r>
            <w:r>
              <w:fldChar w:fldCharType="begin"/>
            </w:r>
            <w:r>
              <w:instrText xml:space="preserve">PAGEREF _Toc239650807 \h</w:instrText>
            </w:r>
            <w:r>
              <w:fldChar w:fldCharType="separate"/>
            </w:r>
            <w:r w:rsidRPr="3B366774" w:rsidR="3B366774">
              <w:rPr>
                <w:rStyle w:val="Hyperlink"/>
              </w:rPr>
              <w:t>2</w:t>
            </w:r>
            <w:r>
              <w:fldChar w:fldCharType="end"/>
            </w:r>
          </w:hyperlink>
        </w:p>
        <w:p w:rsidR="3B366774" w:rsidP="3B366774" w:rsidRDefault="3B366774" w14:paraId="641812BC" w14:textId="78CBA05C">
          <w:pPr>
            <w:pStyle w:val="TOC2"/>
            <w:tabs>
              <w:tab w:val="right" w:leader="dot" w:pos="9015"/>
            </w:tabs>
            <w:bidi w:val="0"/>
          </w:pPr>
          <w:hyperlink w:anchor="_Toc1275051507">
            <w:r w:rsidRPr="3B366774" w:rsidR="3B366774">
              <w:rPr>
                <w:rStyle w:val="Hyperlink"/>
              </w:rPr>
              <w:t>Summary of RQ4</w:t>
            </w:r>
            <w:r>
              <w:tab/>
            </w:r>
            <w:r>
              <w:fldChar w:fldCharType="begin"/>
            </w:r>
            <w:r>
              <w:instrText xml:space="preserve">PAGEREF _Toc1275051507 \h</w:instrText>
            </w:r>
            <w:r>
              <w:fldChar w:fldCharType="separate"/>
            </w:r>
            <w:r w:rsidRPr="3B366774" w:rsidR="3B366774">
              <w:rPr>
                <w:rStyle w:val="Hyperlink"/>
              </w:rPr>
              <w:t>2</w:t>
            </w:r>
            <w:r>
              <w:fldChar w:fldCharType="end"/>
            </w:r>
          </w:hyperlink>
        </w:p>
        <w:p w:rsidR="3B366774" w:rsidP="3B366774" w:rsidRDefault="3B366774" w14:paraId="0FCAD355" w14:textId="49A703A2">
          <w:pPr>
            <w:pStyle w:val="TOC3"/>
            <w:tabs>
              <w:tab w:val="right" w:leader="dot" w:pos="9015"/>
            </w:tabs>
            <w:bidi w:val="0"/>
          </w:pPr>
          <w:hyperlink w:anchor="_Toc1888682479">
            <w:r w:rsidRPr="3B366774" w:rsidR="3B366774">
              <w:rPr>
                <w:rStyle w:val="Hyperlink"/>
              </w:rPr>
              <w:t>Integrated Findings</w:t>
            </w:r>
            <w:r>
              <w:tab/>
            </w:r>
            <w:r>
              <w:fldChar w:fldCharType="begin"/>
            </w:r>
            <w:r>
              <w:instrText xml:space="preserve">PAGEREF _Toc1888682479 \h</w:instrText>
            </w:r>
            <w:r>
              <w:fldChar w:fldCharType="separate"/>
            </w:r>
            <w:r w:rsidRPr="3B366774" w:rsidR="3B366774">
              <w:rPr>
                <w:rStyle w:val="Hyperlink"/>
              </w:rPr>
              <w:t>2</w:t>
            </w:r>
            <w:r>
              <w:fldChar w:fldCharType="end"/>
            </w:r>
          </w:hyperlink>
        </w:p>
        <w:p w:rsidR="3B366774" w:rsidP="3B366774" w:rsidRDefault="3B366774" w14:paraId="14C8AE7C" w14:textId="1E120FB0">
          <w:pPr>
            <w:pStyle w:val="TOC2"/>
            <w:tabs>
              <w:tab w:val="right" w:leader="dot" w:pos="9015"/>
            </w:tabs>
            <w:bidi w:val="0"/>
          </w:pPr>
          <w:hyperlink w:anchor="_Toc586936798">
            <w:r w:rsidRPr="3B366774" w:rsidR="3B366774">
              <w:rPr>
                <w:rStyle w:val="Hyperlink"/>
              </w:rPr>
              <w:t>The Limits of Engagement as a Retention Strategy</w:t>
            </w:r>
            <w:r>
              <w:tab/>
            </w:r>
            <w:r>
              <w:fldChar w:fldCharType="begin"/>
            </w:r>
            <w:r>
              <w:instrText xml:space="preserve">PAGEREF _Toc586936798 \h</w:instrText>
            </w:r>
            <w:r>
              <w:fldChar w:fldCharType="separate"/>
            </w:r>
            <w:r w:rsidRPr="3B366774" w:rsidR="3B366774">
              <w:rPr>
                <w:rStyle w:val="Hyperlink"/>
              </w:rPr>
              <w:t>2</w:t>
            </w:r>
            <w:r>
              <w:fldChar w:fldCharType="end"/>
            </w:r>
          </w:hyperlink>
        </w:p>
        <w:p w:rsidR="3B366774" w:rsidP="3B366774" w:rsidRDefault="3B366774" w14:paraId="06B8D2CD" w14:textId="3BC645AB">
          <w:pPr>
            <w:pStyle w:val="TOC2"/>
            <w:tabs>
              <w:tab w:val="right" w:leader="dot" w:pos="9015"/>
            </w:tabs>
            <w:bidi w:val="0"/>
          </w:pPr>
          <w:hyperlink w:anchor="_Toc1892776466">
            <w:r w:rsidRPr="3B366774" w:rsidR="3B366774">
              <w:rPr>
                <w:rStyle w:val="Hyperlink"/>
              </w:rPr>
              <w:t>Training as Both a Retention Tool and Mobility Enabler</w:t>
            </w:r>
            <w:r>
              <w:tab/>
            </w:r>
            <w:r>
              <w:fldChar w:fldCharType="begin"/>
            </w:r>
            <w:r>
              <w:instrText xml:space="preserve">PAGEREF _Toc1892776466 \h</w:instrText>
            </w:r>
            <w:r>
              <w:fldChar w:fldCharType="separate"/>
            </w:r>
            <w:r w:rsidRPr="3B366774" w:rsidR="3B366774">
              <w:rPr>
                <w:rStyle w:val="Hyperlink"/>
              </w:rPr>
              <w:t>2</w:t>
            </w:r>
            <w:r>
              <w:fldChar w:fldCharType="end"/>
            </w:r>
          </w:hyperlink>
        </w:p>
        <w:p w:rsidR="3B366774" w:rsidP="3B366774" w:rsidRDefault="3B366774" w14:paraId="5435129D" w14:textId="63F045DF">
          <w:pPr>
            <w:pStyle w:val="TOC2"/>
            <w:tabs>
              <w:tab w:val="right" w:leader="dot" w:pos="9015"/>
            </w:tabs>
            <w:bidi w:val="0"/>
          </w:pPr>
          <w:hyperlink w:anchor="_Toc1353524199">
            <w:r w:rsidRPr="3B366774" w:rsidR="3B366774">
              <w:rPr>
                <w:rStyle w:val="Hyperlink"/>
              </w:rPr>
              <w:t>Structural Boundaries of the Low-Cost Airline Model</w:t>
            </w:r>
            <w:r>
              <w:tab/>
            </w:r>
            <w:r>
              <w:fldChar w:fldCharType="begin"/>
            </w:r>
            <w:r>
              <w:instrText xml:space="preserve">PAGEREF _Toc1353524199 \h</w:instrText>
            </w:r>
            <w:r>
              <w:fldChar w:fldCharType="separate"/>
            </w:r>
            <w:r w:rsidRPr="3B366774" w:rsidR="3B366774">
              <w:rPr>
                <w:rStyle w:val="Hyperlink"/>
              </w:rPr>
              <w:t>2</w:t>
            </w:r>
            <w:r>
              <w:fldChar w:fldCharType="end"/>
            </w:r>
          </w:hyperlink>
        </w:p>
        <w:p w:rsidR="3B366774" w:rsidP="3B366774" w:rsidRDefault="3B366774" w14:paraId="3933C82B" w14:textId="44DDC581">
          <w:pPr>
            <w:pStyle w:val="TOC2"/>
            <w:tabs>
              <w:tab w:val="right" w:leader="dot" w:pos="9015"/>
            </w:tabs>
            <w:bidi w:val="0"/>
          </w:pPr>
          <w:hyperlink w:anchor="_Toc1242756774">
            <w:r w:rsidRPr="3B366774" w:rsidR="3B366774">
              <w:rPr>
                <w:rStyle w:val="Hyperlink"/>
              </w:rPr>
              <w:t>The Dominance of External Labour Market Forces</w:t>
            </w:r>
            <w:r>
              <w:tab/>
            </w:r>
            <w:r>
              <w:fldChar w:fldCharType="begin"/>
            </w:r>
            <w:r>
              <w:instrText xml:space="preserve">PAGEREF _Toc1242756774 \h</w:instrText>
            </w:r>
            <w:r>
              <w:fldChar w:fldCharType="separate"/>
            </w:r>
            <w:r w:rsidRPr="3B366774" w:rsidR="3B366774">
              <w:rPr>
                <w:rStyle w:val="Hyperlink"/>
              </w:rPr>
              <w:t>2</w:t>
            </w:r>
            <w:r>
              <w:fldChar w:fldCharType="end"/>
            </w:r>
          </w:hyperlink>
        </w:p>
        <w:p w:rsidR="3B366774" w:rsidP="3B366774" w:rsidRDefault="3B366774" w14:paraId="489D4A08" w14:textId="3B9FDF88">
          <w:pPr>
            <w:pStyle w:val="TOC1"/>
            <w:tabs>
              <w:tab w:val="right" w:leader="dot" w:pos="9015"/>
            </w:tabs>
            <w:bidi w:val="0"/>
          </w:pPr>
          <w:hyperlink w:anchor="_Toc1221407959">
            <w:r w:rsidRPr="3B366774" w:rsidR="3B366774">
              <w:rPr>
                <w:rStyle w:val="Hyperlink"/>
              </w:rPr>
              <w:t>Conclusion</w:t>
            </w:r>
            <w:r>
              <w:tab/>
            </w:r>
            <w:r>
              <w:fldChar w:fldCharType="begin"/>
            </w:r>
            <w:r>
              <w:instrText xml:space="preserve">PAGEREF _Toc1221407959 \h</w:instrText>
            </w:r>
            <w:r>
              <w:fldChar w:fldCharType="separate"/>
            </w:r>
            <w:r w:rsidRPr="3B366774" w:rsidR="3B366774">
              <w:rPr>
                <w:rStyle w:val="Hyperlink"/>
              </w:rPr>
              <w:t>2</w:t>
            </w:r>
            <w:r>
              <w:fldChar w:fldCharType="end"/>
            </w:r>
          </w:hyperlink>
        </w:p>
        <w:p w:rsidR="65665192" w:rsidP="3B366774" w:rsidRDefault="65665192" w14:paraId="71A4E955" w14:textId="377BF961">
          <w:pPr>
            <w:pStyle w:val="TOC1"/>
            <w:tabs>
              <w:tab w:val="right" w:leader="dot" w:pos="9015"/>
            </w:tabs>
            <w:bidi w:val="0"/>
            <w:spacing w:before="120" w:beforeAutospacing="off" w:after="120" w:afterAutospacing="off" w:line="360" w:lineRule="auto"/>
          </w:pPr>
          <w:r>
            <w:fldChar w:fldCharType="end"/>
          </w:r>
        </w:p>
      </w:sdtContent>
    </w:sdt>
    <w:p w:rsidR="3B366774" w:rsidP="3B366774" w:rsidRDefault="3B366774" w14:paraId="0B4DAECD" w14:textId="4F8AF037">
      <w:pPr>
        <w:pStyle w:val="Heading1"/>
        <w:bidi w:val="0"/>
        <w:spacing w:before="0" w:beforeAutospacing="off" w:after="0" w:afterAutospacing="off" w:line="360" w:lineRule="auto"/>
        <w:jc w:val="both"/>
        <w:rPr>
          <w:rFonts w:ascii="Arial" w:hAnsi="Arial" w:eastAsia="Arial" w:cs="Arial"/>
          <w:noProof w:val="0"/>
          <w:sz w:val="24"/>
          <w:szCs w:val="24"/>
          <w:lang w:val="en-GB"/>
        </w:rPr>
      </w:pPr>
    </w:p>
    <w:p w:rsidR="3B366774" w:rsidRDefault="3B366774" w14:paraId="71B549A3" w14:textId="3A104541">
      <w:r>
        <w:br w:type="page"/>
      </w:r>
    </w:p>
    <w:p w:rsidR="3B366774" w:rsidP="3B366774" w:rsidRDefault="3B366774" w14:paraId="19CEAFE9" w14:textId="5AE27346">
      <w:pPr>
        <w:pStyle w:val="Heading1"/>
        <w:bidi w:val="0"/>
        <w:spacing w:before="0" w:beforeAutospacing="off" w:after="0" w:afterAutospacing="off" w:line="360" w:lineRule="auto"/>
        <w:jc w:val="both"/>
        <w:rPr>
          <w:rFonts w:ascii="Arial" w:hAnsi="Arial" w:eastAsia="Arial" w:cs="Arial"/>
          <w:noProof w:val="0"/>
          <w:sz w:val="24"/>
          <w:szCs w:val="24"/>
          <w:lang w:val="en-GB"/>
        </w:rPr>
      </w:pPr>
    </w:p>
    <w:p w:rsidR="65665192" w:rsidP="3B366774" w:rsidRDefault="65665192" w14:paraId="2E31025B" w14:textId="39BB642F">
      <w:pPr>
        <w:pStyle w:val="Heading1"/>
        <w:bidi w:val="0"/>
        <w:spacing w:before="0" w:beforeAutospacing="off" w:after="0" w:afterAutospacing="off" w:line="360" w:lineRule="auto"/>
        <w:jc w:val="both"/>
        <w:rPr>
          <w:rFonts w:ascii="Arial" w:hAnsi="Arial" w:eastAsia="Arial" w:cs="Arial"/>
          <w:noProof w:val="0"/>
          <w:sz w:val="22"/>
          <w:szCs w:val="22"/>
          <w:lang w:val="en-GB"/>
        </w:rPr>
      </w:pPr>
      <w:bookmarkStart w:name="_Toc1467441939" w:id="832119665"/>
      <w:r w:rsidRPr="3B366774" w:rsidR="13B1EE2A">
        <w:rPr>
          <w:rFonts w:ascii="Arial" w:hAnsi="Arial" w:eastAsia="Arial" w:cs="Arial"/>
          <w:noProof w:val="0"/>
          <w:sz w:val="22"/>
          <w:szCs w:val="22"/>
          <w:lang w:val="en-GB"/>
        </w:rPr>
        <w:t xml:space="preserve">Introduction, </w:t>
      </w:r>
      <w:r w:rsidRPr="3B366774" w:rsidR="254B2BBA">
        <w:rPr>
          <w:rFonts w:ascii="Arial" w:hAnsi="Arial" w:eastAsia="Arial" w:cs="Arial"/>
          <w:noProof w:val="0"/>
          <w:sz w:val="22"/>
          <w:szCs w:val="22"/>
          <w:lang w:val="en-GB"/>
        </w:rPr>
        <w:t xml:space="preserve">Background and </w:t>
      </w:r>
      <w:r w:rsidRPr="3B366774" w:rsidR="72FA0DD6">
        <w:rPr>
          <w:rFonts w:ascii="Arial" w:hAnsi="Arial" w:eastAsia="Arial" w:cs="Arial"/>
          <w:noProof w:val="0"/>
          <w:sz w:val="22"/>
          <w:szCs w:val="22"/>
          <w:lang w:val="en-GB"/>
        </w:rPr>
        <w:t>Context</w:t>
      </w:r>
      <w:bookmarkEnd w:id="832119665"/>
    </w:p>
    <w:p w:rsidR="3DA7CA32" w:rsidP="3B366774" w:rsidRDefault="3DA7CA32" w14:paraId="25F6A3F4" w14:textId="5D03C896">
      <w:pPr>
        <w:bidi w:val="0"/>
        <w:spacing w:before="120" w:beforeAutospacing="off" w:after="120" w:afterAutospacing="off" w:line="360" w:lineRule="auto"/>
        <w:jc w:val="both"/>
        <w:rPr>
          <w:rFonts w:ascii="Arial" w:hAnsi="Arial" w:eastAsia="Arial" w:cs="Arial"/>
          <w:noProof w:val="0"/>
          <w:sz w:val="22"/>
          <w:szCs w:val="22"/>
          <w:lang w:val="en-GB"/>
        </w:rPr>
      </w:pPr>
      <w:r w:rsidRPr="3B366774" w:rsidR="3DA7CA32">
        <w:rPr>
          <w:rFonts w:ascii="Arial" w:hAnsi="Arial" w:eastAsia="Arial" w:cs="Arial"/>
          <w:noProof w:val="0"/>
          <w:sz w:val="22"/>
          <w:szCs w:val="22"/>
          <w:lang w:val="en-GB"/>
        </w:rPr>
        <w:t xml:space="preserve">The aviation industry is undergoing considerable transformation, marked by structural, operational, and workforce-related challenges that have intensified in the post-coronavirus era. Among these challenges, pilot retention has become a critical concern with substantial implications for organisational performance, safety, and long-term stability. Recent research </w:t>
      </w:r>
      <w:r w:rsidRPr="3B366774" w:rsidR="3DA7CA32">
        <w:rPr>
          <w:rFonts w:ascii="Arial" w:hAnsi="Arial" w:eastAsia="Arial" w:cs="Arial"/>
          <w:noProof w:val="0"/>
          <w:sz w:val="22"/>
          <w:szCs w:val="22"/>
          <w:lang w:val="en-GB"/>
        </w:rPr>
        <w:t>indicates</w:t>
      </w:r>
      <w:r w:rsidRPr="3B366774" w:rsidR="3DA7CA32">
        <w:rPr>
          <w:rFonts w:ascii="Arial" w:hAnsi="Arial" w:eastAsia="Arial" w:cs="Arial"/>
          <w:noProof w:val="0"/>
          <w:sz w:val="22"/>
          <w:szCs w:val="22"/>
          <w:lang w:val="en-GB"/>
        </w:rPr>
        <w:t xml:space="preserve"> a growing global shortage of qualified pilots, driven by increased air travel, demand limited on training capacity, and extended qualification timelines (Lutte and Mills, 2019; </w:t>
      </w:r>
      <w:r w:rsidRPr="3B366774" w:rsidR="5FD02165">
        <w:rPr>
          <w:rFonts w:ascii="Arial" w:hAnsi="Arial" w:eastAsia="Arial" w:cs="Arial"/>
          <w:noProof w:val="0"/>
          <w:sz w:val="22"/>
          <w:szCs w:val="22"/>
          <w:lang w:val="en-GB"/>
        </w:rPr>
        <w:t>Klapper &amp; Ruff-Stahl</w:t>
      </w:r>
      <w:r w:rsidRPr="3B366774" w:rsidR="3DA7CA32">
        <w:rPr>
          <w:rFonts w:ascii="Arial" w:hAnsi="Arial" w:eastAsia="Arial" w:cs="Arial"/>
          <w:noProof w:val="0"/>
          <w:sz w:val="22"/>
          <w:szCs w:val="22"/>
          <w:lang w:val="en-GB"/>
        </w:rPr>
        <w:t xml:space="preserve">, 2019). This shortage has been </w:t>
      </w:r>
      <w:r w:rsidRPr="3B366774" w:rsidR="3DA7CA32">
        <w:rPr>
          <w:rFonts w:ascii="Arial" w:hAnsi="Arial" w:eastAsia="Arial" w:cs="Arial"/>
          <w:noProof w:val="0"/>
          <w:sz w:val="22"/>
          <w:szCs w:val="22"/>
          <w:lang w:val="en-GB"/>
        </w:rPr>
        <w:t>exacerbated</w:t>
      </w:r>
      <w:r w:rsidRPr="3B366774" w:rsidR="3DA7CA32">
        <w:rPr>
          <w:rFonts w:ascii="Arial" w:hAnsi="Arial" w:eastAsia="Arial" w:cs="Arial"/>
          <w:noProof w:val="0"/>
          <w:sz w:val="22"/>
          <w:szCs w:val="22"/>
          <w:lang w:val="en-GB"/>
        </w:rPr>
        <w:t xml:space="preserve"> by the post-pandemic recovery, as airlines rapidly expanded operations to meet renewed passenger demand. By 2023, seat capacity nearly returned to pre-pandemic levels, yet the supply of trained pilots remained insufficient, with training bottlenecks delaying entry by up to a year (International Air Transport Association, 2026). Concurrently, heightened competition for a limited talent pool has increased pilot wages, underscoring the scarcity and key importance of this workforce (Civil Aviation Authority, 2026).</w:t>
      </w:r>
    </w:p>
    <w:p w:rsidR="3DA7CA32" w:rsidP="3B366774" w:rsidRDefault="3DA7CA32" w14:paraId="066DB876" w14:textId="32491A63">
      <w:pPr>
        <w:bidi w:val="0"/>
        <w:spacing w:before="120" w:beforeAutospacing="off" w:after="120" w:afterAutospacing="off" w:line="360" w:lineRule="auto"/>
        <w:jc w:val="both"/>
        <w:rPr>
          <w:rFonts w:ascii="Arial" w:hAnsi="Arial" w:eastAsia="Arial" w:cs="Arial"/>
          <w:noProof w:val="0"/>
          <w:sz w:val="22"/>
          <w:szCs w:val="22"/>
          <w:lang w:val="en-GB"/>
        </w:rPr>
      </w:pPr>
      <w:r w:rsidRPr="3B366774" w:rsidR="3DA7CA32">
        <w:rPr>
          <w:rFonts w:ascii="Arial" w:hAnsi="Arial" w:eastAsia="Arial" w:cs="Arial"/>
          <w:noProof w:val="0"/>
          <w:sz w:val="22"/>
          <w:szCs w:val="22"/>
          <w:lang w:val="en-GB"/>
        </w:rPr>
        <w:t>These developments elevate pilot retention from an operational issue to a strategic requirement. High pilot turnover disrupts scheduling, increases recruitment and training costs, and places additional pressure on organisational performance. In skill-intensive industries such as aviation, where roles demand extensive training, regulatory compliance, and significant responsibility, the loss of experienced employees constitutes a substantial organisational risk (Efthymiou et al., 2021). Therefore, airlines must implement proactive and sustainable workforce management strategies to ensure operational continuity and maintain competitive advantage.</w:t>
      </w:r>
    </w:p>
    <w:p w:rsidR="3DA7CA32" w:rsidP="3B366774" w:rsidRDefault="3DA7CA32" w14:paraId="435EDFC4" w14:textId="39B2255C">
      <w:pPr>
        <w:bidi w:val="0"/>
        <w:spacing w:before="120" w:beforeAutospacing="off" w:after="120" w:afterAutospacing="off" w:line="360" w:lineRule="auto"/>
        <w:jc w:val="both"/>
        <w:rPr>
          <w:rFonts w:ascii="Arial" w:hAnsi="Arial" w:eastAsia="Arial" w:cs="Arial"/>
          <w:noProof w:val="0"/>
          <w:sz w:val="22"/>
          <w:szCs w:val="22"/>
          <w:lang w:val="en-GB"/>
        </w:rPr>
      </w:pPr>
      <w:r w:rsidRPr="3B366774" w:rsidR="3DA7CA32">
        <w:rPr>
          <w:rFonts w:ascii="Arial" w:hAnsi="Arial" w:eastAsia="Arial" w:cs="Arial"/>
          <w:noProof w:val="0"/>
          <w:sz w:val="22"/>
          <w:szCs w:val="22"/>
          <w:lang w:val="en-GB"/>
        </w:rPr>
        <w:t xml:space="preserve">The issue of pilot retention is especially acute within the low-cost carrier (LCC) sector. The LCC business model prioritises cost efficiency, high </w:t>
      </w:r>
      <w:r w:rsidRPr="3B366774" w:rsidR="3DA7CA32">
        <w:rPr>
          <w:rFonts w:ascii="Arial" w:hAnsi="Arial" w:eastAsia="Arial" w:cs="Arial"/>
          <w:noProof w:val="0"/>
          <w:sz w:val="22"/>
          <w:szCs w:val="22"/>
          <w:lang w:val="en-GB"/>
        </w:rPr>
        <w:t>aircraft</w:t>
      </w:r>
      <w:r w:rsidRPr="3B366774" w:rsidR="3DA7CA32">
        <w:rPr>
          <w:rFonts w:ascii="Arial" w:hAnsi="Arial" w:eastAsia="Arial" w:cs="Arial"/>
          <w:noProof w:val="0"/>
          <w:sz w:val="22"/>
          <w:szCs w:val="22"/>
          <w:lang w:val="en-GB"/>
        </w:rPr>
        <w:t xml:space="preserve"> utilisation, and simplified operations, allowing airlines to deliver competitive pricing in saturated markets (Harvey and Turnbull, 2012). Although commercially successful, this model imposes organisational constraints that directly affect employment conditions and human resource management (HRM) practices. High utilisation rates and lean staffing often lead to intensified workloads, reduced flexibility, and limited opportunities for discretionary HRM investment (</w:t>
      </w:r>
      <w:r w:rsidRPr="3B366774" w:rsidR="5EC1B82B">
        <w:rPr>
          <w:rFonts w:ascii="Arial" w:hAnsi="Arial" w:eastAsia="Arial" w:cs="Arial"/>
          <w:noProof w:val="0"/>
          <w:sz w:val="22"/>
          <w:szCs w:val="22"/>
          <w:lang w:val="en-GB"/>
        </w:rPr>
        <w:t>Maxwell &amp; Grant</w:t>
      </w:r>
      <w:r w:rsidRPr="3B366774" w:rsidR="3DA7CA32">
        <w:rPr>
          <w:rFonts w:ascii="Arial" w:hAnsi="Arial" w:eastAsia="Arial" w:cs="Arial"/>
          <w:noProof w:val="0"/>
          <w:sz w:val="22"/>
          <w:szCs w:val="22"/>
          <w:lang w:val="en-GB"/>
        </w:rPr>
        <w:t xml:space="preserve">, 2021). These factors can </w:t>
      </w:r>
      <w:r w:rsidRPr="3B366774" w:rsidR="3DA7CA32">
        <w:rPr>
          <w:rFonts w:ascii="Arial" w:hAnsi="Arial" w:eastAsia="Arial" w:cs="Arial"/>
          <w:noProof w:val="0"/>
          <w:sz w:val="22"/>
          <w:szCs w:val="22"/>
          <w:lang w:val="en-GB"/>
        </w:rPr>
        <w:t>adversely impact</w:t>
      </w:r>
      <w:r w:rsidRPr="3B366774" w:rsidR="3DA7CA32">
        <w:rPr>
          <w:rFonts w:ascii="Arial" w:hAnsi="Arial" w:eastAsia="Arial" w:cs="Arial"/>
          <w:noProof w:val="0"/>
          <w:sz w:val="22"/>
          <w:szCs w:val="22"/>
          <w:lang w:val="en-GB"/>
        </w:rPr>
        <w:t xml:space="preserve"> employee well-being, job satisfaction, and long-term commitment, particularly for pilots. Consequently, the effectiveness of HRM practices in the LCC context must be assessed in relation to these operational constraints, recognising that retention is </w:t>
      </w:r>
      <w:r w:rsidRPr="3B366774" w:rsidR="3DA7CA32">
        <w:rPr>
          <w:rFonts w:ascii="Arial" w:hAnsi="Arial" w:eastAsia="Arial" w:cs="Arial"/>
          <w:noProof w:val="0"/>
          <w:sz w:val="22"/>
          <w:szCs w:val="22"/>
          <w:lang w:val="en-GB"/>
        </w:rPr>
        <w:t>determined</w:t>
      </w:r>
      <w:r w:rsidRPr="3B366774" w:rsidR="3DA7CA32">
        <w:rPr>
          <w:rFonts w:ascii="Arial" w:hAnsi="Arial" w:eastAsia="Arial" w:cs="Arial"/>
          <w:noProof w:val="0"/>
          <w:sz w:val="22"/>
          <w:szCs w:val="22"/>
          <w:lang w:val="en-GB"/>
        </w:rPr>
        <w:t xml:space="preserve"> by the interplay between HRM strategies and the structural realities of the business model.</w:t>
      </w:r>
    </w:p>
    <w:p w:rsidR="3DA7CA32" w:rsidP="3B366774" w:rsidRDefault="3DA7CA32" w14:paraId="000D840F" w14:textId="0A089F4E">
      <w:pPr>
        <w:bidi w:val="0"/>
        <w:spacing w:before="120" w:beforeAutospacing="off" w:after="120" w:afterAutospacing="off" w:line="360" w:lineRule="auto"/>
        <w:jc w:val="both"/>
        <w:rPr>
          <w:rFonts w:ascii="Arial" w:hAnsi="Arial" w:eastAsia="Arial" w:cs="Arial"/>
          <w:noProof w:val="0"/>
          <w:sz w:val="22"/>
          <w:szCs w:val="22"/>
          <w:lang w:val="en-GB"/>
        </w:rPr>
      </w:pPr>
      <w:r w:rsidRPr="3B366774" w:rsidR="3DA7CA32">
        <w:rPr>
          <w:rFonts w:ascii="Arial" w:hAnsi="Arial" w:eastAsia="Arial" w:cs="Arial"/>
          <w:noProof w:val="0"/>
          <w:sz w:val="22"/>
          <w:szCs w:val="22"/>
          <w:lang w:val="en-GB"/>
        </w:rPr>
        <w:t xml:space="preserve">Human Resource Management (HRM) practices are widely acknowledged as essential mechanisms for influencing employee engagement and retention across industries. Extensive literature </w:t>
      </w:r>
      <w:r w:rsidRPr="3B366774" w:rsidR="3DA7CA32">
        <w:rPr>
          <w:rFonts w:ascii="Arial" w:hAnsi="Arial" w:eastAsia="Arial" w:cs="Arial"/>
          <w:noProof w:val="0"/>
          <w:sz w:val="22"/>
          <w:szCs w:val="22"/>
          <w:lang w:val="en-GB"/>
        </w:rPr>
        <w:t>demonstrates</w:t>
      </w:r>
      <w:r w:rsidRPr="3B366774" w:rsidR="3DA7CA32">
        <w:rPr>
          <w:rFonts w:ascii="Arial" w:hAnsi="Arial" w:eastAsia="Arial" w:cs="Arial"/>
          <w:noProof w:val="0"/>
          <w:sz w:val="22"/>
          <w:szCs w:val="22"/>
          <w:lang w:val="en-GB"/>
        </w:rPr>
        <w:t xml:space="preserve"> that practices such as </w:t>
      </w:r>
      <w:r w:rsidRPr="3B366774" w:rsidR="3DA7CA32">
        <w:rPr>
          <w:rFonts w:ascii="Arial" w:hAnsi="Arial" w:eastAsia="Arial" w:cs="Arial"/>
          <w:noProof w:val="0"/>
          <w:sz w:val="22"/>
          <w:szCs w:val="22"/>
          <w:lang w:val="en-GB"/>
        </w:rPr>
        <w:t>training and development</w:t>
      </w:r>
      <w:r w:rsidRPr="3B366774" w:rsidR="3DA7CA32">
        <w:rPr>
          <w:rFonts w:ascii="Arial" w:hAnsi="Arial" w:eastAsia="Arial" w:cs="Arial"/>
          <w:noProof w:val="0"/>
          <w:sz w:val="22"/>
          <w:szCs w:val="22"/>
          <w:lang w:val="en-GB"/>
        </w:rPr>
        <w:t>, compensation systems, performance management, and organisational support can increase employee motivation, commitment, and performance (</w:t>
      </w:r>
      <w:r w:rsidRPr="3B366774" w:rsidR="4357C0A3">
        <w:rPr>
          <w:rFonts w:ascii="Arial" w:hAnsi="Arial" w:eastAsia="Arial" w:cs="Arial"/>
          <w:noProof w:val="0"/>
          <w:sz w:val="22"/>
          <w:szCs w:val="22"/>
          <w:lang w:val="en-GB"/>
        </w:rPr>
        <w:t xml:space="preserve">Brune, Chyn and Kerwin, 2020; </w:t>
      </w:r>
      <w:r w:rsidRPr="3B366774" w:rsidR="3DA7CA32">
        <w:rPr>
          <w:rFonts w:ascii="Arial" w:hAnsi="Arial" w:eastAsia="Arial" w:cs="Arial"/>
          <w:noProof w:val="0"/>
          <w:sz w:val="22"/>
          <w:szCs w:val="22"/>
          <w:lang w:val="en-GB"/>
        </w:rPr>
        <w:t xml:space="preserve">Guest, 2017; Ogbonnaya and Messersmith, 2019). In skill-intensive sectors, these practices are particularly significant, as they support the development of specialised capabilities and help sustain motivation in strenuous environments (Tej et al., 2021). However, the effectiveness of HRM practices varies depending on their implementation and, importantly, on employees’ </w:t>
      </w:r>
      <w:r w:rsidRPr="3B366774" w:rsidR="3DA7CA32">
        <w:rPr>
          <w:rFonts w:ascii="Arial" w:hAnsi="Arial" w:eastAsia="Arial" w:cs="Arial"/>
          <w:noProof w:val="0"/>
          <w:sz w:val="22"/>
          <w:szCs w:val="22"/>
          <w:lang w:val="en-GB"/>
        </w:rPr>
        <w:t>perceptions</w:t>
      </w:r>
      <w:r w:rsidRPr="3B366774" w:rsidR="3DA7CA32">
        <w:rPr>
          <w:rFonts w:ascii="Arial" w:hAnsi="Arial" w:eastAsia="Arial" w:cs="Arial"/>
          <w:noProof w:val="0"/>
          <w:sz w:val="22"/>
          <w:szCs w:val="22"/>
          <w:lang w:val="en-GB"/>
        </w:rPr>
        <w:t xml:space="preserve">. This underscores the need for a critical and context-sensitive approach to HRM, recognising that </w:t>
      </w:r>
      <w:r w:rsidRPr="3B366774" w:rsidR="3DA7CA32">
        <w:rPr>
          <w:rFonts w:ascii="Arial" w:hAnsi="Arial" w:eastAsia="Arial" w:cs="Arial"/>
          <w:noProof w:val="0"/>
          <w:sz w:val="22"/>
          <w:szCs w:val="22"/>
          <w:lang w:val="en-GB"/>
        </w:rPr>
        <w:t>established</w:t>
      </w:r>
      <w:r w:rsidRPr="3B366774" w:rsidR="3DA7CA32">
        <w:rPr>
          <w:rFonts w:ascii="Arial" w:hAnsi="Arial" w:eastAsia="Arial" w:cs="Arial"/>
          <w:noProof w:val="0"/>
          <w:sz w:val="22"/>
          <w:szCs w:val="22"/>
          <w:lang w:val="en-GB"/>
        </w:rPr>
        <w:t xml:space="preserve"> policies do not automatically yield positive employee outcomes.</w:t>
      </w:r>
    </w:p>
    <w:p w:rsidR="3DA7CA32" w:rsidP="3B366774" w:rsidRDefault="3DA7CA32" w14:paraId="664E8698" w14:textId="24202167">
      <w:pPr>
        <w:bidi w:val="0"/>
        <w:spacing w:before="120" w:beforeAutospacing="off" w:after="120" w:afterAutospacing="off" w:line="360" w:lineRule="auto"/>
        <w:jc w:val="both"/>
        <w:rPr>
          <w:rFonts w:ascii="Arial" w:hAnsi="Arial" w:eastAsia="Arial" w:cs="Arial"/>
          <w:noProof w:val="0"/>
          <w:sz w:val="22"/>
          <w:szCs w:val="22"/>
          <w:lang w:val="en-GB"/>
        </w:rPr>
      </w:pPr>
      <w:r w:rsidRPr="3B366774" w:rsidR="3DA7CA32">
        <w:rPr>
          <w:rFonts w:ascii="Arial" w:hAnsi="Arial" w:eastAsia="Arial" w:cs="Arial"/>
          <w:noProof w:val="0"/>
          <w:sz w:val="22"/>
          <w:szCs w:val="22"/>
          <w:lang w:val="en-GB"/>
        </w:rPr>
        <w:t>A key distinction in HRM literature exists between employee engagement and retention. Although closely related, these concepts embody distinct outcomes that are frequently conflated in academic and organisational discussions. Research indicates that HRM practices are generally effective in enhancing engagement, defined as employees’ emotional and mental connection to their work (Memon et al., 2021). However, their capacity to ensure long-term retention is more limited. Employees may express high satisfaction and commitment yet still leave their organisation for better opportunities elsewhere (Muofhe, 2021). This distinction is particularly pertinent in aviation, where high labour mobility allows employees to pursue external opportunities with relative ease. Therefore, understanding retention necessitates a more extensive analytical viewpoint that incorporates both internal HRM practices and external labour market forces.</w:t>
      </w:r>
    </w:p>
    <w:p w:rsidR="3DA7CA32" w:rsidP="3B366774" w:rsidRDefault="3DA7CA32" w14:paraId="159FDCAC" w14:textId="725F4C00">
      <w:pPr>
        <w:bidi w:val="0"/>
        <w:spacing w:before="120" w:beforeAutospacing="off" w:after="120" w:afterAutospacing="off" w:line="360" w:lineRule="auto"/>
        <w:jc w:val="both"/>
        <w:rPr>
          <w:rFonts w:ascii="Arial" w:hAnsi="Arial" w:eastAsia="Arial" w:cs="Arial"/>
          <w:noProof w:val="0"/>
          <w:sz w:val="22"/>
          <w:szCs w:val="22"/>
          <w:lang w:val="en-GB"/>
        </w:rPr>
      </w:pPr>
      <w:r w:rsidRPr="3B366774" w:rsidR="3DA7CA32">
        <w:rPr>
          <w:rFonts w:ascii="Arial" w:hAnsi="Arial" w:eastAsia="Arial" w:cs="Arial"/>
          <w:noProof w:val="0"/>
          <w:sz w:val="22"/>
          <w:szCs w:val="22"/>
          <w:lang w:val="en-GB"/>
        </w:rPr>
        <w:t>External labour market conditions significantly influence retention outcomes, often constraining the degree to which organisations can affect employee behaviour. In aviation, the global standardisation of pilot qualifications and licensing enables high mobility across airlines and regions (Belderbos et al., 2025; Leroux-Parra, 2019). This dynamic fosters a competitive labour market where pilots can leverage their expertise to obtain better compensation, working conditions, or career advancement (Aksoy, 2024). Consequently, even organisations with robust HRM strategies may face challenges retaining talent amid appealing external opportunities. This underscores a core limitation of traditional HRM approaches, which frequently assume a level of organisational control that is increasingly unattainable in globalised, skill-scarce labour markets.</w:t>
      </w:r>
    </w:p>
    <w:p w:rsidR="3DA7CA32" w:rsidP="3B366774" w:rsidRDefault="3DA7CA32" w14:paraId="7D756ED7" w14:textId="135D205F">
      <w:pPr>
        <w:bidi w:val="0"/>
        <w:spacing w:before="120" w:beforeAutospacing="off" w:after="120" w:afterAutospacing="off" w:line="360" w:lineRule="auto"/>
        <w:jc w:val="both"/>
        <w:rPr>
          <w:rFonts w:ascii="Arial" w:hAnsi="Arial" w:eastAsia="Arial" w:cs="Arial"/>
          <w:noProof w:val="0"/>
          <w:sz w:val="22"/>
          <w:szCs w:val="22"/>
          <w:lang w:val="en-GB"/>
        </w:rPr>
      </w:pPr>
      <w:r w:rsidRPr="3B366774" w:rsidR="3DA7CA32">
        <w:rPr>
          <w:rFonts w:ascii="Arial" w:hAnsi="Arial" w:eastAsia="Arial" w:cs="Arial"/>
          <w:noProof w:val="0"/>
          <w:sz w:val="22"/>
          <w:szCs w:val="22"/>
          <w:lang w:val="en-GB"/>
        </w:rPr>
        <w:t xml:space="preserve">Beyond labour market pressures, working conditions are a critical determinant of pilot retention. Research consistently shows that factors such as workload intensity, fatigue, and irregular scheduling have a significant impact on employee well-being and job satisfaction (Jackson and Earl, 2006; </w:t>
      </w:r>
      <w:r w:rsidRPr="3B366774" w:rsidR="5EC1B82B">
        <w:rPr>
          <w:rFonts w:ascii="Arial" w:hAnsi="Arial" w:eastAsia="Arial" w:cs="Arial"/>
          <w:noProof w:val="0"/>
          <w:sz w:val="22"/>
          <w:szCs w:val="22"/>
          <w:lang w:val="en-GB"/>
        </w:rPr>
        <w:t>Maxwell &amp; Grant</w:t>
      </w:r>
      <w:r w:rsidRPr="3B366774" w:rsidR="3DA7CA32">
        <w:rPr>
          <w:rFonts w:ascii="Arial" w:hAnsi="Arial" w:eastAsia="Arial" w:cs="Arial"/>
          <w:noProof w:val="0"/>
          <w:sz w:val="22"/>
          <w:szCs w:val="22"/>
          <w:lang w:val="en-GB"/>
        </w:rPr>
        <w:t xml:space="preserve">, 2021). In aviation, these complications are intensified by the safety-critical nature of the role, which demands sustained concentration and strict regulatory compliance. Although HRM practices may </w:t>
      </w:r>
      <w:r w:rsidRPr="3B366774" w:rsidR="3DA7CA32">
        <w:rPr>
          <w:rFonts w:ascii="Arial" w:hAnsi="Arial" w:eastAsia="Arial" w:cs="Arial"/>
          <w:noProof w:val="0"/>
          <w:sz w:val="22"/>
          <w:szCs w:val="22"/>
          <w:lang w:val="en-GB"/>
        </w:rPr>
        <w:t>attempt</w:t>
      </w:r>
      <w:r w:rsidRPr="3B366774" w:rsidR="3DA7CA32">
        <w:rPr>
          <w:rFonts w:ascii="Arial" w:hAnsi="Arial" w:eastAsia="Arial" w:cs="Arial"/>
          <w:noProof w:val="0"/>
          <w:sz w:val="22"/>
          <w:szCs w:val="22"/>
          <w:lang w:val="en-GB"/>
        </w:rPr>
        <w:t xml:space="preserve"> to address these pressures through well-being and work-life balance initiatives, their effectiveness is often limited by functional priorities such as cost efficiency and scheduling requirements (Harvey and Turnbull, 2012). This further supports the argument that retention outcomes are shaped by both HRM practices and the profession's structural realities.</w:t>
      </w:r>
    </w:p>
    <w:p w:rsidR="3DA7CA32" w:rsidP="3B366774" w:rsidRDefault="3DA7CA32" w14:paraId="67F84899" w14:textId="3409546D">
      <w:pPr>
        <w:bidi w:val="0"/>
        <w:spacing w:before="120" w:beforeAutospacing="off" w:after="120" w:afterAutospacing="off" w:line="360" w:lineRule="auto"/>
        <w:jc w:val="both"/>
        <w:rPr>
          <w:rFonts w:ascii="Arial" w:hAnsi="Arial" w:eastAsia="Arial" w:cs="Arial"/>
          <w:noProof w:val="0"/>
          <w:sz w:val="22"/>
          <w:szCs w:val="22"/>
          <w:lang w:val="en-GB"/>
        </w:rPr>
      </w:pPr>
      <w:r w:rsidRPr="3B366774" w:rsidR="3DA7CA32">
        <w:rPr>
          <w:rFonts w:ascii="Arial" w:hAnsi="Arial" w:eastAsia="Arial" w:cs="Arial"/>
          <w:noProof w:val="0"/>
          <w:sz w:val="22"/>
          <w:szCs w:val="22"/>
          <w:lang w:val="en-GB"/>
        </w:rPr>
        <w:t>Within this wider context, easyJet serves as a pertinent case for examining the interaction between HRM practices and organisational constraints in the LCC sector. As one of Europe’s leading low-cost airlines, easyJet operates within the organisational constraints typical of the model while displaying a commitment to HRM initiatives in training, communication, and employee engagement (easyJet, 2023). Public reports highlight a focus on organisational culture, workforce development, and sustainability, aligning with broader HRM trends. However, like other LCCs, easyJet must balance these plans with the operational and financial constraints intrinsic in its business model. This context makes easyJet an appropriate case for exploring the implementation and impact of HRM practices on retention within a constrained environment.</w:t>
      </w:r>
    </w:p>
    <w:p w:rsidR="3DA7CA32" w:rsidP="3B366774" w:rsidRDefault="3DA7CA32" w14:paraId="004CBB35" w14:textId="0A261F23">
      <w:pPr>
        <w:bidi w:val="0"/>
        <w:spacing w:before="120" w:beforeAutospacing="off" w:after="120" w:afterAutospacing="off" w:line="360" w:lineRule="auto"/>
        <w:jc w:val="both"/>
        <w:rPr>
          <w:rFonts w:ascii="Arial" w:hAnsi="Arial" w:eastAsia="Arial" w:cs="Arial"/>
          <w:noProof w:val="0"/>
          <w:sz w:val="22"/>
          <w:szCs w:val="22"/>
          <w:lang w:val="en-GB"/>
        </w:rPr>
      </w:pPr>
      <w:r w:rsidRPr="3B366774" w:rsidR="3DA7CA32">
        <w:rPr>
          <w:rFonts w:ascii="Arial" w:hAnsi="Arial" w:eastAsia="Arial" w:cs="Arial"/>
          <w:noProof w:val="0"/>
          <w:sz w:val="22"/>
          <w:szCs w:val="22"/>
          <w:lang w:val="en-GB"/>
        </w:rPr>
        <w:t xml:space="preserve">Despite extensive research on HRM and employee outcomes, a considerable gap persists in understanding how these practices </w:t>
      </w:r>
      <w:r w:rsidRPr="3B366774" w:rsidR="3DA7CA32">
        <w:rPr>
          <w:rFonts w:ascii="Arial" w:hAnsi="Arial" w:eastAsia="Arial" w:cs="Arial"/>
          <w:noProof w:val="0"/>
          <w:sz w:val="22"/>
          <w:szCs w:val="22"/>
          <w:lang w:val="en-GB"/>
        </w:rPr>
        <w:t>operate</w:t>
      </w:r>
      <w:r w:rsidRPr="3B366774" w:rsidR="3DA7CA32">
        <w:rPr>
          <w:rFonts w:ascii="Arial" w:hAnsi="Arial" w:eastAsia="Arial" w:cs="Arial"/>
          <w:noProof w:val="0"/>
          <w:sz w:val="22"/>
          <w:szCs w:val="22"/>
          <w:lang w:val="en-GB"/>
        </w:rPr>
        <w:t xml:space="preserve"> inside constrained organisational contexts, such as low-cost airlines. Much of the literature adopts a normative perspective, </w:t>
      </w:r>
      <w:r w:rsidRPr="3B366774" w:rsidR="3DA7CA32">
        <w:rPr>
          <w:rFonts w:ascii="Arial" w:hAnsi="Arial" w:eastAsia="Arial" w:cs="Arial"/>
          <w:noProof w:val="0"/>
          <w:sz w:val="22"/>
          <w:szCs w:val="22"/>
          <w:lang w:val="en-GB"/>
        </w:rPr>
        <w:t>assuming that</w:t>
      </w:r>
      <w:r w:rsidRPr="3B366774" w:rsidR="3DA7CA32">
        <w:rPr>
          <w:rFonts w:ascii="Arial" w:hAnsi="Arial" w:eastAsia="Arial" w:cs="Arial"/>
          <w:noProof w:val="0"/>
          <w:sz w:val="22"/>
          <w:szCs w:val="22"/>
          <w:lang w:val="en-GB"/>
        </w:rPr>
        <w:t xml:space="preserve"> effective HRM implementation will yield positive engagement and retention outcomes (Guest, 2017; Pahos and </w:t>
      </w:r>
      <w:r w:rsidRPr="3B366774" w:rsidR="3DA7CA32">
        <w:rPr>
          <w:rFonts w:ascii="Arial" w:hAnsi="Arial" w:eastAsia="Arial" w:cs="Arial"/>
          <w:noProof w:val="0"/>
          <w:sz w:val="22"/>
          <w:szCs w:val="22"/>
          <w:lang w:val="en-GB"/>
        </w:rPr>
        <w:t>Galanaki</w:t>
      </w:r>
      <w:r w:rsidRPr="3B366774" w:rsidR="3DA7CA32">
        <w:rPr>
          <w:rFonts w:ascii="Arial" w:hAnsi="Arial" w:eastAsia="Arial" w:cs="Arial"/>
          <w:noProof w:val="0"/>
          <w:sz w:val="22"/>
          <w:szCs w:val="22"/>
          <w:lang w:val="en-GB"/>
        </w:rPr>
        <w:t xml:space="preserve">, 2022). However, this view often neglects the impact of contextual factors, including business models, labour market forces, and operational </w:t>
      </w:r>
      <w:r w:rsidRPr="3B366774" w:rsidR="3DA7CA32">
        <w:rPr>
          <w:rFonts w:ascii="Arial" w:hAnsi="Arial" w:eastAsia="Arial" w:cs="Arial"/>
          <w:noProof w:val="0"/>
          <w:sz w:val="22"/>
          <w:szCs w:val="22"/>
          <w:lang w:val="en-GB"/>
        </w:rPr>
        <w:t>limitations.</w:t>
      </w:r>
      <w:r w:rsidRPr="3B366774" w:rsidR="3DA7CA32">
        <w:rPr>
          <w:rFonts w:ascii="Arial" w:hAnsi="Arial" w:eastAsia="Arial" w:cs="Arial"/>
          <w:noProof w:val="0"/>
          <w:sz w:val="22"/>
          <w:szCs w:val="22"/>
          <w:lang w:val="en-GB"/>
        </w:rPr>
        <w:t xml:space="preserve"> Therefore, there is a need for more critical, context-sensitive research that examines the benefits and limitations of HRM practices.</w:t>
      </w:r>
    </w:p>
    <w:p w:rsidR="3DA7CA32" w:rsidP="3B366774" w:rsidRDefault="3DA7CA32" w14:paraId="5FE84101" w14:textId="4633DE2D">
      <w:pPr>
        <w:bidi w:val="0"/>
        <w:spacing w:before="120" w:beforeAutospacing="off" w:after="120" w:afterAutospacing="off" w:line="360" w:lineRule="auto"/>
        <w:jc w:val="both"/>
        <w:rPr>
          <w:rFonts w:ascii="Arial" w:hAnsi="Arial" w:eastAsia="Arial" w:cs="Arial"/>
          <w:noProof w:val="0"/>
          <w:sz w:val="22"/>
          <w:szCs w:val="22"/>
          <w:lang w:val="en-GB"/>
        </w:rPr>
      </w:pPr>
      <w:r w:rsidRPr="3B366774" w:rsidR="3DA7CA32">
        <w:rPr>
          <w:rFonts w:ascii="Arial" w:hAnsi="Arial" w:eastAsia="Arial" w:cs="Arial"/>
          <w:noProof w:val="0"/>
          <w:sz w:val="22"/>
          <w:szCs w:val="22"/>
          <w:lang w:val="en-GB"/>
        </w:rPr>
        <w:t>This study aims to address this gap by critically evaluating the influence of HRM practices on pilot engagement and retention within the low-cost airline model. The primary objective is to determine how these practices function within the strategic and functional constraints encountered by organisations such as easyJet. To achieve this, the research employs a mixed-method systematic literature review, integrating thematic synthesis of academic and industry literature with narrative analysis of organisational data. This methodology enables both breadth and depth of analysis, supporting an extensive understanding of the factors influencing retention.</w:t>
      </w:r>
    </w:p>
    <w:p w:rsidR="3DA7CA32" w:rsidP="3B366774" w:rsidRDefault="3DA7CA32" w14:paraId="3475956F" w14:textId="514897CF">
      <w:pPr>
        <w:bidi w:val="0"/>
        <w:spacing w:before="120" w:beforeAutospacing="off" w:after="120" w:afterAutospacing="off" w:line="360" w:lineRule="auto"/>
        <w:jc w:val="both"/>
        <w:rPr>
          <w:rFonts w:ascii="Arial" w:hAnsi="Arial" w:eastAsia="Arial" w:cs="Arial"/>
          <w:noProof w:val="0"/>
          <w:sz w:val="22"/>
          <w:szCs w:val="22"/>
          <w:lang w:val="en-GB"/>
        </w:rPr>
      </w:pPr>
      <w:r w:rsidRPr="3B366774" w:rsidR="3DA7CA32">
        <w:rPr>
          <w:rFonts w:ascii="Arial" w:hAnsi="Arial" w:eastAsia="Arial" w:cs="Arial"/>
          <w:noProof w:val="0"/>
          <w:sz w:val="22"/>
          <w:szCs w:val="22"/>
          <w:lang w:val="en-GB"/>
        </w:rPr>
        <w:t>The research is structured around four key objectives. First, it critically synthesises existing literature on HRM practices and their impact on engagement and retention in skill-intensive industries. Second, it evaluates how HRM practices affect engagement and retention within the operational context of low-cost airlines. Third, it examines the strategic and organisational constraints influencing the effectiveness of these practices. Finally, it develops evidence-based recommendations to strengthen sustainable pilot retention in organisations such as easyJet.</w:t>
      </w:r>
    </w:p>
    <w:p w:rsidR="3DA7CA32" w:rsidP="3B366774" w:rsidRDefault="3DA7CA32" w14:paraId="0E2B2B9A" w14:textId="7F8660D2">
      <w:pPr>
        <w:bidi w:val="0"/>
        <w:spacing w:before="120" w:beforeAutospacing="off" w:after="120" w:afterAutospacing="off" w:line="360" w:lineRule="auto"/>
        <w:jc w:val="both"/>
        <w:rPr>
          <w:rFonts w:ascii="Arial" w:hAnsi="Arial" w:eastAsia="Arial" w:cs="Arial"/>
          <w:noProof w:val="0"/>
          <w:sz w:val="22"/>
          <w:szCs w:val="22"/>
          <w:lang w:val="en-GB"/>
        </w:rPr>
      </w:pPr>
      <w:r w:rsidRPr="3B366774" w:rsidR="3DA7CA32">
        <w:rPr>
          <w:rFonts w:ascii="Arial" w:hAnsi="Arial" w:eastAsia="Arial" w:cs="Arial"/>
          <w:noProof w:val="0"/>
          <w:sz w:val="22"/>
          <w:szCs w:val="22"/>
          <w:lang w:val="en-GB"/>
        </w:rPr>
        <w:t>These objectives are addressed through four research questions. The first examines HRM practices identified in the literature as influencing engagement and retention in highly skilled industries. The second explores the association between easyJet’s publicly reported HRM practices and observable retention-related outcomes. The third investigates in what way strategic and organisational restrictions within the LCC model affect the effectiveness of HRM practices. The fourth considers how understandings from both the literature and case analysis can guide the development of effective HRM strategies to support pilot retention.</w:t>
      </w:r>
    </w:p>
    <w:p w:rsidR="3DA7CA32" w:rsidP="3B366774" w:rsidRDefault="3DA7CA32" w14:paraId="2F45539C" w14:textId="761DDDF3">
      <w:pPr>
        <w:bidi w:val="0"/>
        <w:spacing w:before="120" w:beforeAutospacing="off" w:after="120" w:afterAutospacing="off" w:line="360" w:lineRule="auto"/>
        <w:jc w:val="both"/>
        <w:rPr>
          <w:rFonts w:ascii="Arial" w:hAnsi="Arial" w:eastAsia="Arial" w:cs="Arial"/>
          <w:noProof w:val="0"/>
          <w:sz w:val="22"/>
          <w:szCs w:val="22"/>
          <w:lang w:val="en-GB"/>
        </w:rPr>
      </w:pPr>
      <w:r w:rsidRPr="3B366774" w:rsidR="3DA7CA32">
        <w:rPr>
          <w:rFonts w:ascii="Arial" w:hAnsi="Arial" w:eastAsia="Arial" w:cs="Arial"/>
          <w:noProof w:val="0"/>
          <w:sz w:val="22"/>
          <w:szCs w:val="22"/>
          <w:lang w:val="en-GB"/>
        </w:rPr>
        <w:t>The study is grounded in Social Exchange Theory, which offers a structure for understanding the relationship between HRM practices and employee behaviour. This theory posits that employees’ decisions to remain with an organisation are influenced by their perceptions of the balance between rewards received and contributions made (Gould-Williams and Davies, 2005; Vu, 2022). Within this system, HRM practices such as organisational support, fair compensation, and career development serve as mechanisms that shape employee perceptions and, consequently, retention. Applying this conceptual perspective enables a more in-depth understanding of the relational processes underlying pilot retention.</w:t>
      </w:r>
    </w:p>
    <w:p w:rsidR="3DA7CA32" w:rsidP="3B366774" w:rsidRDefault="3DA7CA32" w14:paraId="1EF343F2" w14:textId="079DDFD0">
      <w:pPr>
        <w:bidi w:val="0"/>
        <w:spacing w:before="120" w:beforeAutospacing="off" w:after="120" w:afterAutospacing="off" w:line="360" w:lineRule="auto"/>
        <w:jc w:val="both"/>
        <w:rPr>
          <w:rFonts w:ascii="Arial" w:hAnsi="Arial" w:eastAsia="Arial" w:cs="Arial"/>
          <w:noProof w:val="0"/>
          <w:sz w:val="22"/>
          <w:szCs w:val="22"/>
          <w:lang w:val="en-GB"/>
        </w:rPr>
      </w:pPr>
      <w:r w:rsidRPr="3B366774" w:rsidR="3DA7CA32">
        <w:rPr>
          <w:rFonts w:ascii="Arial" w:hAnsi="Arial" w:eastAsia="Arial" w:cs="Arial"/>
          <w:noProof w:val="0"/>
          <w:sz w:val="22"/>
          <w:szCs w:val="22"/>
          <w:lang w:val="en-GB"/>
        </w:rPr>
        <w:t>The findings of this research are intended to contribute to both academic and pragmatic discussions. Academically, the study offers a critical, context-sensitive analysis of HRM practices, critiquing simplistic assumptions about their effectiveness. Practically, it provides insights for airline managers, policymakers, and training organisations addressing the challenge of pilot retention. By identifying factors influencing retention and constraints shaping HRM effectiveness, the study intends to support the development of enhanced, sustainable and strategically coordinated workforce management practices.</w:t>
      </w:r>
    </w:p>
    <w:p w:rsidR="3DA7CA32" w:rsidP="3B366774" w:rsidRDefault="3DA7CA32" w14:paraId="01A5E1DB" w14:textId="670A8BA7">
      <w:pPr>
        <w:bidi w:val="0"/>
        <w:spacing w:before="120" w:beforeAutospacing="off" w:after="120" w:afterAutospacing="off" w:line="360" w:lineRule="auto"/>
        <w:jc w:val="both"/>
        <w:rPr>
          <w:rFonts w:ascii="Arial" w:hAnsi="Arial" w:eastAsia="Arial" w:cs="Arial"/>
          <w:b w:val="1"/>
          <w:bCs w:val="1"/>
          <w:noProof w:val="0"/>
          <w:sz w:val="22"/>
          <w:szCs w:val="22"/>
          <w:lang w:val="en-GB"/>
        </w:rPr>
      </w:pPr>
      <w:r w:rsidRPr="3B366774" w:rsidR="3DA7CA32">
        <w:rPr>
          <w:rFonts w:ascii="Arial" w:hAnsi="Arial" w:eastAsia="Arial" w:cs="Arial"/>
          <w:b w:val="1"/>
          <w:bCs w:val="1"/>
          <w:noProof w:val="0"/>
          <w:sz w:val="22"/>
          <w:szCs w:val="22"/>
          <w:lang w:val="en-GB"/>
        </w:rPr>
        <w:t>Structure of the Dissertation</w:t>
      </w:r>
    </w:p>
    <w:p w:rsidR="3DA7CA32" w:rsidP="3B366774" w:rsidRDefault="3DA7CA32" w14:paraId="4DC32111" w14:textId="66D3B5B2">
      <w:pPr>
        <w:bidi w:val="0"/>
        <w:spacing w:before="120" w:beforeAutospacing="off" w:after="120" w:afterAutospacing="off" w:line="360" w:lineRule="auto"/>
        <w:jc w:val="both"/>
        <w:rPr>
          <w:rFonts w:ascii="Arial" w:hAnsi="Arial" w:eastAsia="Arial" w:cs="Arial"/>
          <w:noProof w:val="0"/>
          <w:sz w:val="22"/>
          <w:szCs w:val="22"/>
          <w:lang w:val="en-GB"/>
        </w:rPr>
      </w:pPr>
      <w:r w:rsidRPr="3B366774" w:rsidR="3DA7CA32">
        <w:rPr>
          <w:rFonts w:ascii="Arial" w:hAnsi="Arial" w:eastAsia="Arial" w:cs="Arial"/>
          <w:noProof w:val="0"/>
          <w:sz w:val="22"/>
          <w:szCs w:val="22"/>
          <w:lang w:val="en-GB"/>
        </w:rPr>
        <w:t xml:space="preserve">Following this introduction, the dissertation is organised as follows. The next section presents a comprehensive literature review, critically examining research on HRM practices, employee engagement, and retention, with a focus on skill-intensive industries and aviation. Subsequently, the </w:t>
      </w:r>
      <w:r w:rsidRPr="3B366774" w:rsidR="3DA7CA32">
        <w:rPr>
          <w:rFonts w:ascii="Arial" w:hAnsi="Arial" w:eastAsia="Arial" w:cs="Arial"/>
          <w:noProof w:val="0"/>
          <w:sz w:val="22"/>
          <w:szCs w:val="22"/>
          <w:lang w:val="en-GB"/>
        </w:rPr>
        <w:t>methodology</w:t>
      </w:r>
      <w:r w:rsidRPr="3B366774" w:rsidR="3DA7CA32">
        <w:rPr>
          <w:rFonts w:ascii="Arial" w:hAnsi="Arial" w:eastAsia="Arial" w:cs="Arial"/>
          <w:noProof w:val="0"/>
          <w:sz w:val="22"/>
          <w:szCs w:val="22"/>
          <w:lang w:val="en-GB"/>
        </w:rPr>
        <w:t xml:space="preserve"> section outlines the research philosophy, design, data gathering techniques-, and analytical approach. The findings section integrates thematic synthesis of the literature with narrative analysis of easyJet’s organisational practices. This is followed by a critical discussion linking findings to existing theory and </w:t>
      </w:r>
      <w:r w:rsidRPr="3B366774" w:rsidR="3DA7CA32">
        <w:rPr>
          <w:rFonts w:ascii="Arial" w:hAnsi="Arial" w:eastAsia="Arial" w:cs="Arial"/>
          <w:noProof w:val="0"/>
          <w:sz w:val="22"/>
          <w:szCs w:val="22"/>
          <w:lang w:val="en-GB"/>
        </w:rPr>
        <w:t>identifying</w:t>
      </w:r>
      <w:r w:rsidRPr="3B366774" w:rsidR="3DA7CA32">
        <w:rPr>
          <w:rFonts w:ascii="Arial" w:hAnsi="Arial" w:eastAsia="Arial" w:cs="Arial"/>
          <w:noProof w:val="0"/>
          <w:sz w:val="22"/>
          <w:szCs w:val="22"/>
          <w:lang w:val="en-GB"/>
        </w:rPr>
        <w:t xml:space="preserve"> key implications. The final sections provide practical recommendations for HRM strategy, particularly </w:t>
      </w:r>
      <w:r w:rsidRPr="3B366774" w:rsidR="3DA7CA32">
        <w:rPr>
          <w:rFonts w:ascii="Arial" w:hAnsi="Arial" w:eastAsia="Arial" w:cs="Arial"/>
          <w:noProof w:val="0"/>
          <w:sz w:val="22"/>
          <w:szCs w:val="22"/>
          <w:lang w:val="en-GB"/>
        </w:rPr>
        <w:t>regarding</w:t>
      </w:r>
      <w:r w:rsidRPr="3B366774" w:rsidR="3DA7CA32">
        <w:rPr>
          <w:rFonts w:ascii="Arial" w:hAnsi="Arial" w:eastAsia="Arial" w:cs="Arial"/>
          <w:noProof w:val="0"/>
          <w:sz w:val="22"/>
          <w:szCs w:val="22"/>
          <w:lang w:val="en-GB"/>
        </w:rPr>
        <w:t xml:space="preserve"> pilot retention in low-cost airlines, and conclude the study by summarising key insights, acknowledging limitations, and suggesting directions for future research</w:t>
      </w:r>
    </w:p>
    <w:p w:rsidR="65665192" w:rsidP="3B366774" w:rsidRDefault="65665192" w14:paraId="7168E5D1" w14:textId="54DAD9F1">
      <w:pPr>
        <w:pStyle w:val="Heading1"/>
        <w:bidi w:val="0"/>
        <w:spacing w:line="360" w:lineRule="auto"/>
        <w:jc w:val="both"/>
        <w:rPr>
          <w:rFonts w:ascii="Arial" w:hAnsi="Arial" w:eastAsia="Arial" w:cs="Arial"/>
          <w:noProof w:val="0"/>
          <w:sz w:val="22"/>
          <w:szCs w:val="22"/>
          <w:lang w:val="en-GB"/>
        </w:rPr>
      </w:pPr>
    </w:p>
    <w:p w:rsidR="65665192" w:rsidP="3B366774" w:rsidRDefault="65665192" w14:paraId="624688FD" w14:textId="248D9994">
      <w:pPr>
        <w:bidi w:val="0"/>
        <w:spacing w:before="120" w:beforeAutospacing="off" w:after="120" w:afterAutospacing="off" w:line="360" w:lineRule="auto"/>
        <w:jc w:val="both"/>
        <w:rPr>
          <w:rFonts w:ascii="Arial" w:hAnsi="Arial" w:eastAsia="Arial" w:cs="Arial"/>
          <w:sz w:val="22"/>
          <w:szCs w:val="22"/>
        </w:rPr>
      </w:pPr>
      <w:r w:rsidRPr="3B366774">
        <w:rPr>
          <w:rFonts w:ascii="Arial" w:hAnsi="Arial" w:eastAsia="Arial" w:cs="Arial"/>
          <w:sz w:val="22"/>
          <w:szCs w:val="22"/>
        </w:rPr>
        <w:br w:type="page"/>
      </w:r>
    </w:p>
    <w:p w:rsidR="65665192" w:rsidP="3B366774" w:rsidRDefault="65665192" w14:paraId="4AF37F43" w14:textId="2503E1B2">
      <w:pPr>
        <w:pStyle w:val="Heading1"/>
        <w:bidi w:val="0"/>
        <w:spacing w:line="360" w:lineRule="auto"/>
        <w:jc w:val="both"/>
        <w:rPr>
          <w:rFonts w:ascii="Arial" w:hAnsi="Arial" w:eastAsia="Arial" w:cs="Arial"/>
          <w:b w:val="0"/>
          <w:bCs w:val="0"/>
          <w:noProof w:val="0"/>
          <w:sz w:val="22"/>
          <w:szCs w:val="22"/>
          <w:lang w:val="en-GB"/>
        </w:rPr>
      </w:pPr>
      <w:bookmarkStart w:name="_Toc693859870" w:id="77769642"/>
      <w:r w:rsidRPr="3B366774" w:rsidR="58760D2A">
        <w:rPr>
          <w:rFonts w:ascii="Arial" w:hAnsi="Arial" w:eastAsia="Arial" w:cs="Arial"/>
          <w:noProof w:val="0"/>
          <w:sz w:val="22"/>
          <w:szCs w:val="22"/>
          <w:lang w:val="en-GB"/>
        </w:rPr>
        <w:t>Review of Relevant Literature</w:t>
      </w:r>
      <w:bookmarkEnd w:id="77769642"/>
    </w:p>
    <w:p w:rsidR="65665192" w:rsidP="3B366774" w:rsidRDefault="65665192" w14:paraId="0D089C17" w14:textId="3702941B">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58760D2A">
        <w:rPr>
          <w:rFonts w:ascii="Arial" w:hAnsi="Arial" w:eastAsia="Arial" w:cs="Arial"/>
          <w:b w:val="0"/>
          <w:bCs w:val="0"/>
          <w:noProof w:val="0"/>
          <w:sz w:val="22"/>
          <w:szCs w:val="22"/>
          <w:lang w:val="en-GB"/>
        </w:rPr>
        <w:t xml:space="preserve">Ko and Smith-Walter (2013, p.210) state that “HRM practices may improve individual and organisational performance and encourage employees to improve their attitude and behaviour.” The aviation industry, primarily within the low-cost carrier (LCC) sector, faces escalating challenges in attracting, engaging, and </w:t>
      </w:r>
      <w:r w:rsidRPr="3B366774" w:rsidR="58760D2A">
        <w:rPr>
          <w:rFonts w:ascii="Arial" w:hAnsi="Arial" w:eastAsia="Arial" w:cs="Arial"/>
          <w:b w:val="0"/>
          <w:bCs w:val="0"/>
          <w:noProof w:val="0"/>
          <w:sz w:val="22"/>
          <w:szCs w:val="22"/>
          <w:lang w:val="en-GB"/>
        </w:rPr>
        <w:t>retaining</w:t>
      </w:r>
      <w:r w:rsidRPr="3B366774" w:rsidR="58760D2A">
        <w:rPr>
          <w:rFonts w:ascii="Arial" w:hAnsi="Arial" w:eastAsia="Arial" w:cs="Arial"/>
          <w:b w:val="0"/>
          <w:bCs w:val="0"/>
          <w:noProof w:val="0"/>
          <w:sz w:val="22"/>
          <w:szCs w:val="22"/>
          <w:lang w:val="en-GB"/>
        </w:rPr>
        <w:t xml:space="preserve"> skilled pilots (Dubey &amp; Rana, 2022). Human Resource Management (HRM) practices are central to dealing with these challenges. However, their effectiveness depends on both organisational strategy and wider industry constraints (Renaud et al., 2015).</w:t>
      </w:r>
    </w:p>
    <w:p w:rsidR="58760D2A" w:rsidP="3B366774" w:rsidRDefault="58760D2A" w14:paraId="7BC5EFF0" w14:textId="16582F3A">
      <w:pPr>
        <w:pStyle w:val="Normal"/>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58760D2A">
        <w:rPr>
          <w:rFonts w:ascii="Arial" w:hAnsi="Arial" w:eastAsia="Arial" w:cs="Arial"/>
          <w:b w:val="0"/>
          <w:bCs w:val="0"/>
          <w:noProof w:val="0"/>
          <w:sz w:val="22"/>
          <w:szCs w:val="22"/>
          <w:lang w:val="en-GB"/>
        </w:rPr>
        <w:t xml:space="preserve">Extensive research </w:t>
      </w:r>
      <w:r w:rsidRPr="3B366774" w:rsidR="58760D2A">
        <w:rPr>
          <w:rFonts w:ascii="Arial" w:hAnsi="Arial" w:eastAsia="Arial" w:cs="Arial"/>
          <w:b w:val="0"/>
          <w:bCs w:val="0"/>
          <w:noProof w:val="0"/>
          <w:sz w:val="22"/>
          <w:szCs w:val="22"/>
          <w:lang w:val="en-GB"/>
        </w:rPr>
        <w:t>d</w:t>
      </w:r>
      <w:r w:rsidRPr="3B366774" w:rsidR="58760D2A">
        <w:rPr>
          <w:rFonts w:ascii="Arial" w:hAnsi="Arial" w:eastAsia="Arial" w:cs="Arial"/>
          <w:b w:val="0"/>
          <w:bCs w:val="0"/>
          <w:noProof w:val="0"/>
          <w:sz w:val="22"/>
          <w:szCs w:val="22"/>
          <w:lang w:val="en-GB"/>
        </w:rPr>
        <w:t>emonstrates</w:t>
      </w:r>
      <w:r w:rsidRPr="3B366774" w:rsidR="58760D2A">
        <w:rPr>
          <w:rFonts w:ascii="Arial" w:hAnsi="Arial" w:eastAsia="Arial" w:cs="Arial"/>
          <w:b w:val="0"/>
          <w:bCs w:val="0"/>
          <w:noProof w:val="0"/>
          <w:sz w:val="22"/>
          <w:szCs w:val="22"/>
          <w:lang w:val="en-GB"/>
        </w:rPr>
        <w:t xml:space="preserve"> </w:t>
      </w:r>
      <w:r w:rsidRPr="3B366774" w:rsidR="58760D2A">
        <w:rPr>
          <w:rFonts w:ascii="Arial" w:hAnsi="Arial" w:eastAsia="Arial" w:cs="Arial"/>
          <w:b w:val="0"/>
          <w:bCs w:val="0"/>
          <w:noProof w:val="0"/>
          <w:sz w:val="22"/>
          <w:szCs w:val="22"/>
          <w:lang w:val="en-GB"/>
        </w:rPr>
        <w:t xml:space="preserve">that HRM practices are primary drivers of employee engagement, commitment, and retention. High-Performance Work Systems (HPWS), which integrate training, performance management, and reward systems, are consistently linked to positive employee outcomes (Ogbonnaya and Messersmith, 2019; Pahos and </w:t>
      </w:r>
      <w:r w:rsidRPr="3B366774" w:rsidR="58760D2A">
        <w:rPr>
          <w:rFonts w:ascii="Arial" w:hAnsi="Arial" w:eastAsia="Arial" w:cs="Arial"/>
          <w:b w:val="0"/>
          <w:bCs w:val="0"/>
          <w:noProof w:val="0"/>
          <w:sz w:val="22"/>
          <w:szCs w:val="22"/>
          <w:lang w:val="en-GB"/>
        </w:rPr>
        <w:t>G</w:t>
      </w:r>
      <w:r w:rsidRPr="3B366774" w:rsidR="58760D2A">
        <w:rPr>
          <w:rFonts w:ascii="Arial" w:hAnsi="Arial" w:eastAsia="Arial" w:cs="Arial"/>
          <w:b w:val="0"/>
          <w:bCs w:val="0"/>
          <w:noProof w:val="0"/>
          <w:sz w:val="22"/>
          <w:szCs w:val="22"/>
          <w:lang w:val="en-GB"/>
        </w:rPr>
        <w:t>alanaki</w:t>
      </w:r>
      <w:r w:rsidRPr="3B366774" w:rsidR="58760D2A">
        <w:rPr>
          <w:rFonts w:ascii="Arial" w:hAnsi="Arial" w:eastAsia="Arial" w:cs="Arial"/>
          <w:b w:val="0"/>
          <w:bCs w:val="0"/>
          <w:noProof w:val="0"/>
          <w:sz w:val="22"/>
          <w:szCs w:val="22"/>
          <w:lang w:val="en-GB"/>
        </w:rPr>
        <w:t>,</w:t>
      </w:r>
      <w:r w:rsidRPr="3B366774" w:rsidR="58760D2A">
        <w:rPr>
          <w:rFonts w:ascii="Arial" w:hAnsi="Arial" w:eastAsia="Arial" w:cs="Arial"/>
          <w:b w:val="0"/>
          <w:bCs w:val="0"/>
          <w:noProof w:val="0"/>
          <w:sz w:val="22"/>
          <w:szCs w:val="22"/>
          <w:lang w:val="en-GB"/>
        </w:rPr>
        <w:t xml:space="preserve"> 2022).</w:t>
      </w:r>
      <w:r w:rsidRPr="3B366774" w:rsidR="3571BD5F">
        <w:rPr>
          <w:rFonts w:ascii="Arial" w:hAnsi="Arial" w:eastAsia="Arial" w:cs="Arial"/>
          <w:b w:val="0"/>
          <w:bCs w:val="0"/>
          <w:noProof w:val="0"/>
          <w:sz w:val="22"/>
          <w:szCs w:val="22"/>
          <w:lang w:val="en-GB"/>
        </w:rPr>
        <w:t xml:space="preserve"> The literature on </w:t>
      </w:r>
      <w:r w:rsidRPr="3B366774" w:rsidR="3571BD5F">
        <w:rPr>
          <w:rFonts w:ascii="Arial" w:hAnsi="Arial" w:eastAsia="Arial" w:cs="Arial"/>
          <w:b w:val="0"/>
          <w:bCs w:val="0"/>
          <w:noProof w:val="0"/>
          <w:sz w:val="22"/>
          <w:szCs w:val="22"/>
          <w:lang w:val="en-GB"/>
        </w:rPr>
        <w:t>pay</w:t>
      </w:r>
      <w:r w:rsidRPr="3B366774" w:rsidR="3571BD5F">
        <w:rPr>
          <w:rFonts w:ascii="Arial" w:hAnsi="Arial" w:eastAsia="Arial" w:cs="Arial"/>
          <w:b w:val="0"/>
          <w:bCs w:val="0"/>
          <w:noProof w:val="0"/>
          <w:sz w:val="22"/>
          <w:szCs w:val="22"/>
          <w:lang w:val="en-GB"/>
        </w:rPr>
        <w:t xml:space="preserve"> and compensation highlights that pay influences retention not only through its absolute value but also through </w:t>
      </w:r>
      <w:r w:rsidRPr="3B366774" w:rsidR="57B4B78D">
        <w:rPr>
          <w:rFonts w:ascii="Arial" w:hAnsi="Arial" w:eastAsia="Arial" w:cs="Arial"/>
          <w:b w:val="0"/>
          <w:bCs w:val="0"/>
          <w:noProof w:val="0"/>
          <w:sz w:val="22"/>
          <w:szCs w:val="22"/>
          <w:lang w:val="en-GB"/>
        </w:rPr>
        <w:t>perceptions</w:t>
      </w:r>
      <w:r w:rsidRPr="3B366774" w:rsidR="57B4B78D">
        <w:rPr>
          <w:rFonts w:ascii="Arial" w:hAnsi="Arial" w:eastAsia="Arial" w:cs="Arial"/>
          <w:b w:val="0"/>
          <w:bCs w:val="0"/>
          <w:noProof w:val="0"/>
          <w:sz w:val="22"/>
          <w:szCs w:val="22"/>
          <w:lang w:val="en-GB"/>
        </w:rPr>
        <w:t xml:space="preserve"> of fairness, transparency, and satisfaction. Studies such as Mabaso (2026) and Akso</w:t>
      </w:r>
      <w:r w:rsidRPr="3B366774" w:rsidR="5ECE4DB3">
        <w:rPr>
          <w:rFonts w:ascii="Arial" w:hAnsi="Arial" w:eastAsia="Arial" w:cs="Arial"/>
          <w:b w:val="0"/>
          <w:bCs w:val="0"/>
          <w:noProof w:val="0"/>
          <w:sz w:val="22"/>
          <w:szCs w:val="22"/>
          <w:lang w:val="en-GB"/>
        </w:rPr>
        <w:t xml:space="preserve">y (2024) </w:t>
      </w:r>
      <w:r w:rsidRPr="3B366774" w:rsidR="5ECE4DB3">
        <w:rPr>
          <w:rFonts w:ascii="Arial" w:hAnsi="Arial" w:eastAsia="Arial" w:cs="Arial"/>
          <w:b w:val="0"/>
          <w:bCs w:val="0"/>
          <w:noProof w:val="0"/>
          <w:sz w:val="22"/>
          <w:szCs w:val="22"/>
          <w:lang w:val="en-GB"/>
        </w:rPr>
        <w:t>demonstrate</w:t>
      </w:r>
      <w:r w:rsidRPr="3B366774" w:rsidR="5ECE4DB3">
        <w:rPr>
          <w:rFonts w:ascii="Arial" w:hAnsi="Arial" w:eastAsia="Arial" w:cs="Arial"/>
          <w:b w:val="0"/>
          <w:bCs w:val="0"/>
          <w:noProof w:val="0"/>
          <w:sz w:val="22"/>
          <w:szCs w:val="22"/>
          <w:lang w:val="en-GB"/>
        </w:rPr>
        <w:t xml:space="preserve"> that perceived equity and pay satisfaction significantly shape turnover intentions, while Auer, et al., (2021</w:t>
      </w:r>
      <w:r w:rsidRPr="3B366774" w:rsidR="46156E1B">
        <w:rPr>
          <w:rFonts w:ascii="Arial" w:hAnsi="Arial" w:eastAsia="Arial" w:cs="Arial"/>
          <w:b w:val="0"/>
          <w:bCs w:val="0"/>
          <w:noProof w:val="0"/>
          <w:sz w:val="22"/>
          <w:szCs w:val="22"/>
          <w:lang w:val="en-GB"/>
        </w:rPr>
        <w:t>)</w:t>
      </w:r>
      <w:r w:rsidRPr="3B366774" w:rsidR="2A39D77D">
        <w:rPr>
          <w:rFonts w:ascii="Arial" w:hAnsi="Arial" w:eastAsia="Arial" w:cs="Arial"/>
          <w:b w:val="0"/>
          <w:bCs w:val="0"/>
          <w:noProof w:val="0"/>
          <w:sz w:val="22"/>
          <w:szCs w:val="22"/>
          <w:lang w:val="en-GB"/>
        </w:rPr>
        <w:t xml:space="preserve"> and </w:t>
      </w:r>
      <w:r w:rsidRPr="3B366774" w:rsidR="46156E1B">
        <w:rPr>
          <w:rFonts w:ascii="Arial" w:hAnsi="Arial" w:eastAsia="Arial" w:cs="Arial"/>
          <w:b w:val="0"/>
          <w:bCs w:val="0"/>
          <w:noProof w:val="0"/>
          <w:sz w:val="22"/>
          <w:szCs w:val="22"/>
          <w:lang w:val="en-GB"/>
        </w:rPr>
        <w:t>Adom (2018)</w:t>
      </w:r>
      <w:r w:rsidRPr="3B366774" w:rsidR="46156E1B">
        <w:rPr>
          <w:rFonts w:ascii="Arial" w:hAnsi="Arial" w:eastAsia="Arial" w:cs="Arial"/>
          <w:b w:val="0"/>
          <w:bCs w:val="0"/>
          <w:noProof w:val="0"/>
          <w:sz w:val="22"/>
          <w:szCs w:val="22"/>
          <w:lang w:val="en-GB"/>
        </w:rPr>
        <w:t xml:space="preserve"> emphasise the role of performance-linked incentives.</w:t>
      </w:r>
      <w:r w:rsidRPr="3B366774" w:rsidR="4266ADCC">
        <w:rPr>
          <w:rFonts w:ascii="Arial" w:hAnsi="Arial" w:eastAsia="Arial" w:cs="Arial"/>
          <w:b w:val="0"/>
          <w:bCs w:val="0"/>
          <w:noProof w:val="0"/>
          <w:sz w:val="22"/>
          <w:szCs w:val="22"/>
          <w:lang w:val="en-GB"/>
        </w:rPr>
        <w:t xml:space="preserve"> </w:t>
      </w:r>
      <w:r w:rsidRPr="3B366774" w:rsidR="46156E1B">
        <w:rPr>
          <w:rFonts w:ascii="Arial" w:hAnsi="Arial" w:eastAsia="Arial" w:cs="Arial"/>
          <w:b w:val="0"/>
          <w:bCs w:val="0"/>
          <w:noProof w:val="0"/>
          <w:sz w:val="22"/>
          <w:szCs w:val="22"/>
          <w:lang w:val="en-GB"/>
        </w:rPr>
        <w:t>Importantly Lee et al., (2025) h</w:t>
      </w:r>
      <w:r w:rsidRPr="3B366774" w:rsidR="7A459BAB">
        <w:rPr>
          <w:rFonts w:ascii="Arial" w:hAnsi="Arial" w:eastAsia="Arial" w:cs="Arial"/>
          <w:b w:val="0"/>
          <w:bCs w:val="0"/>
          <w:noProof w:val="0"/>
          <w:sz w:val="22"/>
          <w:szCs w:val="22"/>
          <w:lang w:val="en-GB"/>
        </w:rPr>
        <w:t xml:space="preserve">ighlight that the effectiveness of compensation is contingent on organisational context, </w:t>
      </w:r>
      <w:r w:rsidRPr="3B366774" w:rsidR="1FC7207E">
        <w:rPr>
          <w:rFonts w:ascii="Arial" w:hAnsi="Arial" w:eastAsia="Arial" w:cs="Arial"/>
          <w:b w:val="0"/>
          <w:bCs w:val="0"/>
          <w:noProof w:val="0"/>
          <w:sz w:val="22"/>
          <w:szCs w:val="22"/>
          <w:lang w:val="en-GB"/>
        </w:rPr>
        <w:t>reinforcing</w:t>
      </w:r>
      <w:r w:rsidRPr="3B366774" w:rsidR="7A459BAB">
        <w:rPr>
          <w:rFonts w:ascii="Arial" w:hAnsi="Arial" w:eastAsia="Arial" w:cs="Arial"/>
          <w:b w:val="0"/>
          <w:bCs w:val="0"/>
          <w:noProof w:val="0"/>
          <w:sz w:val="22"/>
          <w:szCs w:val="22"/>
          <w:lang w:val="en-GB"/>
        </w:rPr>
        <w:t xml:space="preserve"> the argument that HRM practices </w:t>
      </w:r>
      <w:r w:rsidRPr="3B366774" w:rsidR="45A30FE5">
        <w:rPr>
          <w:rFonts w:ascii="Arial" w:hAnsi="Arial" w:eastAsia="Arial" w:cs="Arial"/>
          <w:b w:val="0"/>
          <w:bCs w:val="0"/>
          <w:noProof w:val="0"/>
          <w:sz w:val="22"/>
          <w:szCs w:val="22"/>
          <w:lang w:val="en-GB"/>
        </w:rPr>
        <w:t>must be understood within broader structural conditions</w:t>
      </w:r>
      <w:r w:rsidRPr="3B366774" w:rsidR="39254D2E">
        <w:rPr>
          <w:rFonts w:ascii="Arial" w:hAnsi="Arial" w:eastAsia="Arial" w:cs="Arial"/>
          <w:b w:val="0"/>
          <w:bCs w:val="0"/>
          <w:noProof w:val="0"/>
          <w:sz w:val="22"/>
          <w:szCs w:val="22"/>
          <w:lang w:val="en-GB"/>
        </w:rPr>
        <w:t>.</w:t>
      </w:r>
    </w:p>
    <w:p w:rsidR="65665192" w:rsidP="3B366774" w:rsidRDefault="65665192" w14:paraId="6E3DB8EF" w14:textId="3157E8FC">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58760D2A">
        <w:rPr>
          <w:rFonts w:ascii="Arial" w:hAnsi="Arial" w:eastAsia="Arial" w:cs="Arial"/>
          <w:b w:val="0"/>
          <w:bCs w:val="0"/>
          <w:noProof w:val="0"/>
          <w:sz w:val="22"/>
          <w:szCs w:val="22"/>
          <w:lang w:val="en-GB"/>
        </w:rPr>
        <w:t xml:space="preserve">However, the relationship between HRM practices and employee outcomes is not uniformly positive. Studies </w:t>
      </w:r>
      <w:r w:rsidRPr="3B366774" w:rsidR="58760D2A">
        <w:rPr>
          <w:rFonts w:ascii="Arial" w:hAnsi="Arial" w:eastAsia="Arial" w:cs="Arial"/>
          <w:b w:val="0"/>
          <w:bCs w:val="0"/>
          <w:noProof w:val="0"/>
          <w:sz w:val="22"/>
          <w:szCs w:val="22"/>
          <w:lang w:val="en-GB"/>
        </w:rPr>
        <w:t>indicate</w:t>
      </w:r>
      <w:r w:rsidRPr="3B366774" w:rsidR="58760D2A">
        <w:rPr>
          <w:rFonts w:ascii="Arial" w:hAnsi="Arial" w:eastAsia="Arial" w:cs="Arial"/>
          <w:b w:val="0"/>
          <w:bCs w:val="0"/>
          <w:noProof w:val="0"/>
          <w:sz w:val="22"/>
          <w:szCs w:val="22"/>
          <w:lang w:val="en-GB"/>
        </w:rPr>
        <w:t xml:space="preserve"> that HRM practices may function as 'job resources' that improve well-being or as 'challenge demands' that increase stress (Li et al., 2024). This distinction is particularly relevant in high-intensity environments such as aviation, where workload and responsibility are considerable.</w:t>
      </w:r>
    </w:p>
    <w:p w:rsidR="65665192" w:rsidP="3B366774" w:rsidRDefault="65665192" w14:paraId="667323AA" w14:textId="07EBDD43">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58760D2A">
        <w:rPr>
          <w:rFonts w:ascii="Arial" w:hAnsi="Arial" w:eastAsia="Arial" w:cs="Arial"/>
          <w:b w:val="0"/>
          <w:bCs w:val="0"/>
          <w:noProof w:val="0"/>
          <w:sz w:val="22"/>
          <w:szCs w:val="22"/>
          <w:lang w:val="en-GB"/>
        </w:rPr>
        <w:t xml:space="preserve">Employee </w:t>
      </w:r>
      <w:r w:rsidRPr="3B366774" w:rsidR="58760D2A">
        <w:rPr>
          <w:rFonts w:ascii="Arial" w:hAnsi="Arial" w:eastAsia="Arial" w:cs="Arial"/>
          <w:b w:val="0"/>
          <w:bCs w:val="0"/>
          <w:noProof w:val="0"/>
          <w:sz w:val="22"/>
          <w:szCs w:val="22"/>
          <w:lang w:val="en-GB"/>
        </w:rPr>
        <w:t>perceptions</w:t>
      </w:r>
      <w:r w:rsidRPr="3B366774" w:rsidR="58760D2A">
        <w:rPr>
          <w:rFonts w:ascii="Arial" w:hAnsi="Arial" w:eastAsia="Arial" w:cs="Arial"/>
          <w:b w:val="0"/>
          <w:bCs w:val="0"/>
          <w:noProof w:val="0"/>
          <w:sz w:val="22"/>
          <w:szCs w:val="22"/>
          <w:lang w:val="en-GB"/>
        </w:rPr>
        <w:t xml:space="preserve"> are critical in </w:t>
      </w:r>
      <w:r w:rsidRPr="3B366774" w:rsidR="58760D2A">
        <w:rPr>
          <w:rFonts w:ascii="Arial" w:hAnsi="Arial" w:eastAsia="Arial" w:cs="Arial"/>
          <w:b w:val="0"/>
          <w:bCs w:val="0"/>
          <w:noProof w:val="0"/>
          <w:sz w:val="22"/>
          <w:szCs w:val="22"/>
          <w:lang w:val="en-GB"/>
        </w:rPr>
        <w:t>determining</w:t>
      </w:r>
      <w:r w:rsidRPr="3B366774" w:rsidR="58760D2A">
        <w:rPr>
          <w:rFonts w:ascii="Arial" w:hAnsi="Arial" w:eastAsia="Arial" w:cs="Arial"/>
          <w:b w:val="0"/>
          <w:bCs w:val="0"/>
          <w:noProof w:val="0"/>
          <w:sz w:val="22"/>
          <w:szCs w:val="22"/>
          <w:lang w:val="en-GB"/>
        </w:rPr>
        <w:t xml:space="preserve"> the effectiveness of HRM practices. These practices do not </w:t>
      </w:r>
      <w:r w:rsidRPr="3B366774" w:rsidR="58760D2A">
        <w:rPr>
          <w:rFonts w:ascii="Arial" w:hAnsi="Arial" w:eastAsia="Arial" w:cs="Arial"/>
          <w:b w:val="0"/>
          <w:bCs w:val="0"/>
          <w:noProof w:val="0"/>
          <w:sz w:val="22"/>
          <w:szCs w:val="22"/>
          <w:lang w:val="en-GB"/>
        </w:rPr>
        <w:t>operate</w:t>
      </w:r>
      <w:r w:rsidRPr="3B366774" w:rsidR="58760D2A">
        <w:rPr>
          <w:rFonts w:ascii="Arial" w:hAnsi="Arial" w:eastAsia="Arial" w:cs="Arial"/>
          <w:b w:val="0"/>
          <w:bCs w:val="0"/>
          <w:noProof w:val="0"/>
          <w:sz w:val="22"/>
          <w:szCs w:val="22"/>
          <w:lang w:val="en-GB"/>
        </w:rPr>
        <w:t xml:space="preserve"> in isolation; their influence hinges on employee interpretation. For example, when employees perceive coherent HRM systems positively, these systems improve employee attitudes. Conversely, </w:t>
      </w:r>
      <w:r w:rsidRPr="3B366774" w:rsidR="58760D2A">
        <w:rPr>
          <w:rFonts w:ascii="Arial" w:hAnsi="Arial" w:eastAsia="Arial" w:cs="Arial"/>
          <w:b w:val="0"/>
          <w:bCs w:val="0"/>
          <w:noProof w:val="0"/>
          <w:sz w:val="22"/>
          <w:szCs w:val="22"/>
          <w:lang w:val="en-GB"/>
        </w:rPr>
        <w:t>perceptions</w:t>
      </w:r>
      <w:r w:rsidRPr="3B366774" w:rsidR="58760D2A">
        <w:rPr>
          <w:rFonts w:ascii="Arial" w:hAnsi="Arial" w:eastAsia="Arial" w:cs="Arial"/>
          <w:b w:val="0"/>
          <w:bCs w:val="0"/>
          <w:noProof w:val="0"/>
          <w:sz w:val="22"/>
          <w:szCs w:val="22"/>
          <w:lang w:val="en-GB"/>
        </w:rPr>
        <w:t xml:space="preserve"> of control or unfairness can lead to detrimental outcomes (Ogbonnaya and Messersmith, 2019). This observation corresponds with broader HRM literature, which finds that employee well-being and engagement are key drivers of organisational performance (Guest, 2017).</w:t>
      </w:r>
    </w:p>
    <w:p w:rsidR="65665192" w:rsidP="3B366774" w:rsidRDefault="65665192" w14:paraId="0550A1F6" w14:textId="6EAB0811">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58760D2A">
        <w:rPr>
          <w:rFonts w:ascii="Arial" w:hAnsi="Arial" w:eastAsia="Arial" w:cs="Arial"/>
          <w:b w:val="0"/>
          <w:bCs w:val="0"/>
          <w:noProof w:val="0"/>
          <w:sz w:val="22"/>
          <w:szCs w:val="22"/>
          <w:lang w:val="en-GB"/>
        </w:rPr>
        <w:t xml:space="preserve">Melo, Machado, and Brewster (2023) </w:t>
      </w:r>
      <w:r w:rsidRPr="3B366774" w:rsidR="58760D2A">
        <w:rPr>
          <w:rFonts w:ascii="Arial" w:hAnsi="Arial" w:eastAsia="Arial" w:cs="Arial"/>
          <w:b w:val="0"/>
          <w:bCs w:val="0"/>
          <w:noProof w:val="0"/>
          <w:sz w:val="22"/>
          <w:szCs w:val="22"/>
          <w:lang w:val="en-GB"/>
        </w:rPr>
        <w:t>observe</w:t>
      </w:r>
      <w:r w:rsidRPr="3B366774" w:rsidR="58760D2A">
        <w:rPr>
          <w:rFonts w:ascii="Arial" w:hAnsi="Arial" w:eastAsia="Arial" w:cs="Arial"/>
          <w:b w:val="0"/>
          <w:bCs w:val="0"/>
          <w:noProof w:val="0"/>
          <w:sz w:val="22"/>
          <w:szCs w:val="22"/>
          <w:lang w:val="en-GB"/>
        </w:rPr>
        <w:t xml:space="preserve"> that HRM literature </w:t>
      </w:r>
      <w:r w:rsidRPr="3B366774" w:rsidR="58760D2A">
        <w:rPr>
          <w:rFonts w:ascii="Arial" w:hAnsi="Arial" w:eastAsia="Arial" w:cs="Arial"/>
          <w:b w:val="0"/>
          <w:bCs w:val="0"/>
          <w:noProof w:val="0"/>
          <w:sz w:val="22"/>
          <w:szCs w:val="22"/>
          <w:lang w:val="en-GB"/>
        </w:rPr>
        <w:t>remains</w:t>
      </w:r>
      <w:r w:rsidRPr="3B366774" w:rsidR="58760D2A">
        <w:rPr>
          <w:rFonts w:ascii="Arial" w:hAnsi="Arial" w:eastAsia="Arial" w:cs="Arial"/>
          <w:b w:val="0"/>
          <w:bCs w:val="0"/>
          <w:noProof w:val="0"/>
          <w:sz w:val="22"/>
          <w:szCs w:val="22"/>
          <w:lang w:val="en-GB"/>
        </w:rPr>
        <w:t xml:space="preserve"> fragmented </w:t>
      </w:r>
      <w:r w:rsidRPr="3B366774" w:rsidR="58760D2A">
        <w:rPr>
          <w:rFonts w:ascii="Arial" w:hAnsi="Arial" w:eastAsia="Arial" w:cs="Arial"/>
          <w:b w:val="0"/>
          <w:bCs w:val="0"/>
          <w:noProof w:val="0"/>
          <w:sz w:val="22"/>
          <w:szCs w:val="22"/>
          <w:lang w:val="en-GB"/>
        </w:rPr>
        <w:t>regarding</w:t>
      </w:r>
      <w:r w:rsidRPr="3B366774" w:rsidR="58760D2A">
        <w:rPr>
          <w:rFonts w:ascii="Arial" w:hAnsi="Arial" w:eastAsia="Arial" w:cs="Arial"/>
          <w:b w:val="0"/>
          <w:bCs w:val="0"/>
          <w:noProof w:val="0"/>
          <w:sz w:val="22"/>
          <w:szCs w:val="22"/>
          <w:lang w:val="en-GB"/>
        </w:rPr>
        <w:t xml:space="preserve"> the combined influence of organisational and circumstantial factors on HRM effectiveness. Empirical evidence </w:t>
      </w:r>
      <w:r w:rsidRPr="3B366774" w:rsidR="58760D2A">
        <w:rPr>
          <w:rFonts w:ascii="Arial" w:hAnsi="Arial" w:eastAsia="Arial" w:cs="Arial"/>
          <w:b w:val="0"/>
          <w:bCs w:val="0"/>
          <w:noProof w:val="0"/>
          <w:sz w:val="22"/>
          <w:szCs w:val="22"/>
          <w:lang w:val="en-GB"/>
        </w:rPr>
        <w:t>demonstrates</w:t>
      </w:r>
      <w:r w:rsidRPr="3B366774" w:rsidR="58760D2A">
        <w:rPr>
          <w:rFonts w:ascii="Arial" w:hAnsi="Arial" w:eastAsia="Arial" w:cs="Arial"/>
          <w:b w:val="0"/>
          <w:bCs w:val="0"/>
          <w:noProof w:val="0"/>
          <w:sz w:val="22"/>
          <w:szCs w:val="22"/>
          <w:lang w:val="en-GB"/>
        </w:rPr>
        <w:t xml:space="preserve"> that a wide range of internal and external factors shape HRM practices and their outcomes. These include transparent information sharing about organisational performance, effective use of internal communication tools such as intranets, and structured career management practices supporting training, development, and employee integration. Organisational design, creativity initiatives, and the quality of the working environment are also significant. Collaborative mechanisms such as teamwork and managerial commitment further enhance HRM outcomes. The presence of dedicated HR leadership and the influence of the local corporate context are </w:t>
      </w:r>
      <w:r w:rsidRPr="3B366774" w:rsidR="58760D2A">
        <w:rPr>
          <w:rFonts w:ascii="Arial" w:hAnsi="Arial" w:eastAsia="Arial" w:cs="Arial"/>
          <w:b w:val="0"/>
          <w:bCs w:val="0"/>
          <w:noProof w:val="0"/>
          <w:sz w:val="22"/>
          <w:szCs w:val="22"/>
          <w:lang w:val="en-GB"/>
        </w:rPr>
        <w:t>additional</w:t>
      </w:r>
      <w:r w:rsidRPr="3B366774" w:rsidR="58760D2A">
        <w:rPr>
          <w:rFonts w:ascii="Arial" w:hAnsi="Arial" w:eastAsia="Arial" w:cs="Arial"/>
          <w:b w:val="0"/>
          <w:bCs w:val="0"/>
          <w:noProof w:val="0"/>
          <w:sz w:val="22"/>
          <w:szCs w:val="22"/>
          <w:lang w:val="en-GB"/>
        </w:rPr>
        <w:t xml:space="preserve"> determinants, underpinning the view that HRM effectiveness is embedded among broader organisational and environmental systems.</w:t>
      </w:r>
    </w:p>
    <w:p w:rsidR="65665192" w:rsidP="3B366774" w:rsidRDefault="65665192" w14:paraId="74012B70" w14:textId="5343444B">
      <w:pPr>
        <w:pStyle w:val="Heading2"/>
        <w:spacing w:line="360" w:lineRule="auto"/>
        <w:jc w:val="both"/>
        <w:rPr>
          <w:rFonts w:ascii="Arial" w:hAnsi="Arial" w:eastAsia="Arial" w:cs="Arial"/>
          <w:b w:val="0"/>
          <w:bCs w:val="0"/>
          <w:noProof w:val="0"/>
          <w:sz w:val="22"/>
          <w:szCs w:val="22"/>
          <w:lang w:val="en-GB"/>
        </w:rPr>
      </w:pPr>
      <w:bookmarkStart w:name="_Toc763849892" w:id="1269917544"/>
      <w:r w:rsidRPr="3B366774" w:rsidR="58760D2A">
        <w:rPr>
          <w:rFonts w:ascii="Arial" w:hAnsi="Arial" w:eastAsia="Arial" w:cs="Arial"/>
          <w:noProof w:val="0"/>
          <w:sz w:val="22"/>
          <w:szCs w:val="22"/>
          <w:lang w:val="en-GB"/>
        </w:rPr>
        <w:t>Theories and Determinants of Motivation</w:t>
      </w:r>
      <w:bookmarkEnd w:id="1269917544"/>
    </w:p>
    <w:p w:rsidR="65665192" w:rsidP="3B366774" w:rsidRDefault="65665192" w14:paraId="07272C7F" w14:textId="3E760353">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58760D2A">
        <w:rPr>
          <w:rFonts w:ascii="Arial" w:hAnsi="Arial" w:eastAsia="Arial" w:cs="Arial"/>
          <w:b w:val="0"/>
          <w:bCs w:val="0"/>
          <w:noProof w:val="0"/>
          <w:sz w:val="22"/>
          <w:szCs w:val="22"/>
          <w:lang w:val="en-GB"/>
        </w:rPr>
        <w:t xml:space="preserve">Motivation is an essential concept to understand employee behaviour, engagement, and performance within organisations. </w:t>
      </w:r>
      <w:r w:rsidRPr="3B366774" w:rsidR="58760D2A">
        <w:rPr>
          <w:rFonts w:ascii="Arial" w:hAnsi="Arial" w:eastAsia="Arial" w:cs="Arial"/>
          <w:b w:val="0"/>
          <w:bCs w:val="0"/>
          <w:noProof w:val="0"/>
          <w:sz w:val="22"/>
          <w:szCs w:val="22"/>
          <w:lang w:val="en-GB"/>
        </w:rPr>
        <w:t>Lorincová</w:t>
      </w:r>
      <w:r w:rsidRPr="3B366774" w:rsidR="58760D2A">
        <w:rPr>
          <w:rFonts w:ascii="Arial" w:hAnsi="Arial" w:eastAsia="Arial" w:cs="Arial"/>
          <w:b w:val="0"/>
          <w:bCs w:val="0"/>
          <w:noProof w:val="0"/>
          <w:sz w:val="22"/>
          <w:szCs w:val="22"/>
          <w:lang w:val="en-GB"/>
        </w:rPr>
        <w:t xml:space="preserve"> et al. (2020) assert that motivating employees is a central driver of effort, persistence, performance, and retention. Bandhu et al. (2024) define motivation as the internal and external forces that </w:t>
      </w:r>
      <w:r w:rsidRPr="3B366774" w:rsidR="58760D2A">
        <w:rPr>
          <w:rFonts w:ascii="Arial" w:hAnsi="Arial" w:eastAsia="Arial" w:cs="Arial"/>
          <w:b w:val="0"/>
          <w:bCs w:val="0"/>
          <w:noProof w:val="0"/>
          <w:sz w:val="22"/>
          <w:szCs w:val="22"/>
          <w:lang w:val="en-GB"/>
        </w:rPr>
        <w:t>initiate</w:t>
      </w:r>
      <w:r w:rsidRPr="3B366774" w:rsidR="58760D2A">
        <w:rPr>
          <w:rFonts w:ascii="Arial" w:hAnsi="Arial" w:eastAsia="Arial" w:cs="Arial"/>
          <w:b w:val="0"/>
          <w:bCs w:val="0"/>
          <w:noProof w:val="0"/>
          <w:sz w:val="22"/>
          <w:szCs w:val="22"/>
          <w:lang w:val="en-GB"/>
        </w:rPr>
        <w:t xml:space="preserve">, direct, and sustain goal-oriented behaviour. Within HRM, motivation is especially important because organisational practices are intended to improve employee effort, commitment, and productivity. In high-demand sectors such as </w:t>
      </w:r>
      <w:r w:rsidRPr="3B366774" w:rsidR="58760D2A">
        <w:rPr>
          <w:rFonts w:ascii="Arial" w:hAnsi="Arial" w:eastAsia="Arial" w:cs="Arial"/>
          <w:b w:val="0"/>
          <w:bCs w:val="0"/>
          <w:noProof w:val="0"/>
          <w:sz w:val="22"/>
          <w:szCs w:val="22"/>
          <w:lang w:val="en-GB"/>
        </w:rPr>
        <w:t xml:space="preserve">aviation, where performance standards are rigorous and operational pressures are considerable, understanding the determinants of motivation is essential. HRM practices do not directly generate outcomes; instead, they influence employee motivation, which </w:t>
      </w:r>
      <w:r w:rsidRPr="3B366774" w:rsidR="58760D2A">
        <w:rPr>
          <w:rFonts w:ascii="Arial" w:hAnsi="Arial" w:eastAsia="Arial" w:cs="Arial"/>
          <w:b w:val="0"/>
          <w:bCs w:val="0"/>
          <w:noProof w:val="0"/>
          <w:sz w:val="22"/>
          <w:szCs w:val="22"/>
          <w:lang w:val="en-GB"/>
        </w:rPr>
        <w:t>subsequently</w:t>
      </w:r>
      <w:r w:rsidRPr="3B366774" w:rsidR="58760D2A">
        <w:rPr>
          <w:rFonts w:ascii="Arial" w:hAnsi="Arial" w:eastAsia="Arial" w:cs="Arial"/>
          <w:b w:val="0"/>
          <w:bCs w:val="0"/>
          <w:noProof w:val="0"/>
          <w:sz w:val="22"/>
          <w:szCs w:val="22"/>
          <w:lang w:val="en-GB"/>
        </w:rPr>
        <w:t xml:space="preserve"> shapes attitudes and behaviours such as engagement, satisfaction, and retention.</w:t>
      </w:r>
    </w:p>
    <w:p w:rsidR="65665192" w:rsidP="3B366774" w:rsidRDefault="65665192" w14:paraId="6BCF8860" w14:textId="1AB42418">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58760D2A">
        <w:rPr>
          <w:rFonts w:ascii="Arial" w:hAnsi="Arial" w:eastAsia="Arial" w:cs="Arial"/>
          <w:b w:val="0"/>
          <w:bCs w:val="0"/>
          <w:noProof w:val="0"/>
          <w:sz w:val="22"/>
          <w:szCs w:val="22"/>
          <w:lang w:val="en-GB"/>
        </w:rPr>
        <w:t>Early theories of motivation originate from Taylorism, developed by Frederick Taylor in 1911. Taylor’s Scientific Management Theory conceptualised workers as economically motivated individuals, principally driven by financial incentives and measurable outcomes. This approach emphasised task standardisation, close supervision, and performance-based pay as major drivers of productivity (Carlson Dean, 1997). Although Taylorism significantly improved factory efficiency, it has been widely criticised for its mechanistic perspective, which neglects employees’ social and psychological needs (Uddin and Hossain, 2015). In contemporary HRM, particularly in knowledge-intensive, highly skilled sectors such as aviation, an exclusive focus on extrinsic motivation is insufficient for sustaining engagement and long-term commitment.</w:t>
      </w:r>
    </w:p>
    <w:p w:rsidR="65665192" w:rsidP="3B366774" w:rsidRDefault="65665192" w14:paraId="5FA32F25" w14:textId="0D1018A6">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58760D2A">
        <w:rPr>
          <w:rFonts w:ascii="Arial" w:hAnsi="Arial" w:eastAsia="Arial" w:cs="Arial"/>
          <w:b w:val="0"/>
          <w:bCs w:val="0"/>
          <w:noProof w:val="0"/>
          <w:sz w:val="22"/>
          <w:szCs w:val="22"/>
          <w:lang w:val="en-GB"/>
        </w:rPr>
        <w:t xml:space="preserve">Subsequently, motivation theories shifted toward a more human-centric perspective. Maslow’s Hierarchy of Needs (1954) proposes that individuals are motivated by a progression of needs, ranging from basic psychological needs to safety, social belonging, esteem, and </w:t>
      </w:r>
      <w:r w:rsidRPr="3B366774" w:rsidR="05083453">
        <w:rPr>
          <w:rFonts w:ascii="Arial" w:hAnsi="Arial" w:eastAsia="Arial" w:cs="Arial"/>
          <w:b w:val="0"/>
          <w:bCs w:val="0"/>
          <w:noProof w:val="0"/>
          <w:sz w:val="22"/>
          <w:szCs w:val="22"/>
          <w:lang w:val="en-GB"/>
        </w:rPr>
        <w:t>self-</w:t>
      </w:r>
      <w:r w:rsidRPr="3B366774" w:rsidR="58760D2A">
        <w:rPr>
          <w:rFonts w:ascii="Arial" w:hAnsi="Arial" w:eastAsia="Arial" w:cs="Arial"/>
          <w:b w:val="0"/>
          <w:bCs w:val="0"/>
          <w:noProof w:val="0"/>
          <w:sz w:val="22"/>
          <w:szCs w:val="22"/>
          <w:lang w:val="en-GB"/>
        </w:rPr>
        <w:t xml:space="preserve">actualisation (King, Gontarz, and Wei, 2020). This framework </w:t>
      </w:r>
      <w:r w:rsidRPr="3B366774" w:rsidR="58760D2A">
        <w:rPr>
          <w:rFonts w:ascii="Arial" w:hAnsi="Arial" w:eastAsia="Arial" w:cs="Arial"/>
          <w:b w:val="0"/>
          <w:bCs w:val="0"/>
          <w:noProof w:val="0"/>
          <w:sz w:val="22"/>
          <w:szCs w:val="22"/>
          <w:lang w:val="en-GB"/>
        </w:rPr>
        <w:t>indicates</w:t>
      </w:r>
      <w:r w:rsidRPr="3B366774" w:rsidR="58760D2A">
        <w:rPr>
          <w:rFonts w:ascii="Arial" w:hAnsi="Arial" w:eastAsia="Arial" w:cs="Arial"/>
          <w:b w:val="0"/>
          <w:bCs w:val="0"/>
          <w:noProof w:val="0"/>
          <w:sz w:val="22"/>
          <w:szCs w:val="22"/>
          <w:lang w:val="en-GB"/>
        </w:rPr>
        <w:t xml:space="preserve"> that once lower-level needs are satisfied, they no longer act as primary motivators, and people pursue higher-level fulfilment. Maslow’s theory has been widely applied in organisational settings to design HRM practices which address both basic and psychological employee needs, such as job security, teamwork, and possibilities for personal development. However, the theory has been criticised for its rigid hierarchical structure and lack of empirical consistency, since individuals may prioritise needs differently depending on context (Van Heerden, and Naicker, 2025). </w:t>
      </w:r>
    </w:p>
    <w:p w:rsidR="65665192" w:rsidP="3B366774" w:rsidRDefault="65665192" w14:paraId="0A20C1EC" w14:textId="411F41B6">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58760D2A">
        <w:rPr>
          <w:rFonts w:ascii="Arial" w:hAnsi="Arial" w:eastAsia="Arial" w:cs="Arial"/>
          <w:b w:val="0"/>
          <w:bCs w:val="0"/>
          <w:noProof w:val="0"/>
          <w:sz w:val="22"/>
          <w:szCs w:val="22"/>
          <w:lang w:val="en-GB"/>
        </w:rPr>
        <w:t xml:space="preserve">Recent perspectives on motivation increasingly adopt a multidimensional view, encompassing both intrinsic and extrinsic drivers, while recognising the complex and changing nature of employee behaviour. While classic models emphasised financial rewards as primary motivators, more recent studies reveal the growing importance of meaningful work, autonomy, and chances for personal and vocational growth (Sarmad, 2016; Vu, 2022). For instance, </w:t>
      </w:r>
      <w:r w:rsidRPr="3B366774" w:rsidR="58760D2A">
        <w:rPr>
          <w:rFonts w:ascii="Arial" w:hAnsi="Arial" w:eastAsia="Arial" w:cs="Arial"/>
          <w:b w:val="0"/>
          <w:bCs w:val="0"/>
          <w:noProof w:val="0"/>
          <w:sz w:val="22"/>
          <w:szCs w:val="22"/>
          <w:lang w:val="en-GB"/>
        </w:rPr>
        <w:t>Wikstorm</w:t>
      </w:r>
      <w:r w:rsidRPr="3B366774" w:rsidR="58760D2A">
        <w:rPr>
          <w:rFonts w:ascii="Arial" w:hAnsi="Arial" w:eastAsia="Arial" w:cs="Arial"/>
          <w:b w:val="0"/>
          <w:bCs w:val="0"/>
          <w:noProof w:val="0"/>
          <w:sz w:val="22"/>
          <w:szCs w:val="22"/>
          <w:lang w:val="en-GB"/>
        </w:rPr>
        <w:t xml:space="preserve"> (2023) </w:t>
      </w:r>
      <w:r w:rsidRPr="3B366774" w:rsidR="58760D2A">
        <w:rPr>
          <w:rFonts w:ascii="Arial" w:hAnsi="Arial" w:eastAsia="Arial" w:cs="Arial"/>
          <w:b w:val="0"/>
          <w:bCs w:val="0"/>
          <w:noProof w:val="0"/>
          <w:sz w:val="22"/>
          <w:szCs w:val="22"/>
          <w:lang w:val="en-GB"/>
        </w:rPr>
        <w:t>demonstrates</w:t>
      </w:r>
      <w:r w:rsidRPr="3B366774" w:rsidR="58760D2A">
        <w:rPr>
          <w:rFonts w:ascii="Arial" w:hAnsi="Arial" w:eastAsia="Arial" w:cs="Arial"/>
          <w:b w:val="0"/>
          <w:bCs w:val="0"/>
          <w:noProof w:val="0"/>
          <w:sz w:val="22"/>
          <w:szCs w:val="22"/>
          <w:lang w:val="en-GB"/>
        </w:rPr>
        <w:t xml:space="preserve"> that mentoring programmes play a critical role in enhancing employee engagement by fostering sustained learning and development, which, in turn, encourages long-term retention. This suggests that motivation is not exclusively dependent on direct rewards, but also on long-term developmental relationships within organisations. Similarly, </w:t>
      </w:r>
      <w:r w:rsidRPr="3B366774" w:rsidR="58760D2A">
        <w:rPr>
          <w:rFonts w:ascii="Arial" w:hAnsi="Arial" w:eastAsia="Arial" w:cs="Arial"/>
          <w:b w:val="0"/>
          <w:bCs w:val="0"/>
          <w:noProof w:val="0"/>
          <w:sz w:val="22"/>
          <w:szCs w:val="22"/>
          <w:lang w:val="en-GB"/>
        </w:rPr>
        <w:t>Pathomphatthaphan</w:t>
      </w:r>
      <w:r w:rsidRPr="3B366774" w:rsidR="58760D2A">
        <w:rPr>
          <w:rFonts w:ascii="Arial" w:hAnsi="Arial" w:eastAsia="Arial" w:cs="Arial"/>
          <w:b w:val="0"/>
          <w:bCs w:val="0"/>
          <w:noProof w:val="0"/>
          <w:sz w:val="22"/>
          <w:szCs w:val="22"/>
          <w:lang w:val="en-GB"/>
        </w:rPr>
        <w:t xml:space="preserve"> </w:t>
      </w:r>
      <w:r w:rsidRPr="3B366774" w:rsidR="039AB2C9">
        <w:rPr>
          <w:rFonts w:ascii="Arial" w:hAnsi="Arial" w:eastAsia="Arial" w:cs="Arial"/>
          <w:b w:val="0"/>
          <w:bCs w:val="0"/>
          <w:noProof w:val="0"/>
          <w:sz w:val="22"/>
          <w:szCs w:val="22"/>
          <w:lang w:val="en-GB"/>
        </w:rPr>
        <w:t>&amp; Lalatendu</w:t>
      </w:r>
      <w:r w:rsidRPr="3B366774" w:rsidR="58760D2A">
        <w:rPr>
          <w:rFonts w:ascii="Arial" w:hAnsi="Arial" w:eastAsia="Arial" w:cs="Arial"/>
          <w:b w:val="0"/>
          <w:bCs w:val="0"/>
          <w:noProof w:val="0"/>
          <w:sz w:val="22"/>
          <w:szCs w:val="22"/>
          <w:lang w:val="en-GB"/>
        </w:rPr>
        <w:t xml:space="preserve"> </w:t>
      </w:r>
      <w:r w:rsidRPr="3B366774" w:rsidR="58760D2A">
        <w:rPr>
          <w:rFonts w:ascii="Arial" w:hAnsi="Arial" w:eastAsia="Arial" w:cs="Arial"/>
          <w:b w:val="0"/>
          <w:bCs w:val="0"/>
          <w:noProof w:val="0"/>
          <w:sz w:val="22"/>
          <w:szCs w:val="22"/>
          <w:lang w:val="en-GB"/>
        </w:rPr>
        <w:t>Kesari (2024) argue that agile HRM practices - characterised by flexibility, responsiveness, and employee involvement - strengthen organisational commitment, further strengthening the importance of an adaptive and employee-centred management approach.</w:t>
      </w:r>
    </w:p>
    <w:p w:rsidR="65665192" w:rsidP="3B366774" w:rsidRDefault="65665192" w14:paraId="01D99E5C" w14:textId="1C41464F">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58760D2A">
        <w:rPr>
          <w:rFonts w:ascii="Arial" w:hAnsi="Arial" w:eastAsia="Arial" w:cs="Arial"/>
          <w:b w:val="0"/>
          <w:bCs w:val="0"/>
          <w:noProof w:val="0"/>
          <w:sz w:val="22"/>
          <w:szCs w:val="22"/>
          <w:lang w:val="en-GB"/>
        </w:rPr>
        <w:t xml:space="preserve">Despite the increasing emphasis on intrinsic motivation, extrinsic factors </w:t>
      </w:r>
      <w:r w:rsidRPr="3B366774" w:rsidR="58760D2A">
        <w:rPr>
          <w:rFonts w:ascii="Arial" w:hAnsi="Arial" w:eastAsia="Arial" w:cs="Arial"/>
          <w:b w:val="0"/>
          <w:bCs w:val="0"/>
          <w:noProof w:val="0"/>
          <w:sz w:val="22"/>
          <w:szCs w:val="22"/>
          <w:lang w:val="en-GB"/>
        </w:rPr>
        <w:t>remain</w:t>
      </w:r>
      <w:r w:rsidRPr="3B366774" w:rsidR="58760D2A">
        <w:rPr>
          <w:rFonts w:ascii="Arial" w:hAnsi="Arial" w:eastAsia="Arial" w:cs="Arial"/>
          <w:b w:val="0"/>
          <w:bCs w:val="0"/>
          <w:noProof w:val="0"/>
          <w:sz w:val="22"/>
          <w:szCs w:val="22"/>
          <w:lang w:val="en-GB"/>
        </w:rPr>
        <w:t xml:space="preserve"> highly influential. </w:t>
      </w:r>
      <w:r w:rsidRPr="3B366774" w:rsidR="58760D2A">
        <w:rPr>
          <w:rFonts w:ascii="Arial" w:hAnsi="Arial" w:eastAsia="Arial" w:cs="Arial"/>
          <w:b w:val="0"/>
          <w:bCs w:val="0"/>
          <w:noProof w:val="0"/>
          <w:sz w:val="22"/>
          <w:szCs w:val="22"/>
          <w:lang w:val="en-GB"/>
        </w:rPr>
        <w:t>Sarinad</w:t>
      </w:r>
      <w:r w:rsidRPr="3B366774" w:rsidR="58760D2A">
        <w:rPr>
          <w:rFonts w:ascii="Arial" w:hAnsi="Arial" w:eastAsia="Arial" w:cs="Arial"/>
          <w:b w:val="0"/>
          <w:bCs w:val="0"/>
          <w:noProof w:val="0"/>
          <w:sz w:val="22"/>
          <w:szCs w:val="22"/>
          <w:lang w:val="en-GB"/>
        </w:rPr>
        <w:t xml:space="preserve"> (2016) finds that fair compensation is a significant predictor of employee retention, </w:t>
      </w:r>
      <w:r w:rsidRPr="3B366774" w:rsidR="58760D2A">
        <w:rPr>
          <w:rFonts w:ascii="Arial" w:hAnsi="Arial" w:eastAsia="Arial" w:cs="Arial"/>
          <w:b w:val="0"/>
          <w:bCs w:val="0"/>
          <w:noProof w:val="0"/>
          <w:sz w:val="22"/>
          <w:szCs w:val="22"/>
          <w:lang w:val="en-GB"/>
        </w:rPr>
        <w:t>indicating</w:t>
      </w:r>
      <w:r w:rsidRPr="3B366774" w:rsidR="58760D2A">
        <w:rPr>
          <w:rFonts w:ascii="Arial" w:hAnsi="Arial" w:eastAsia="Arial" w:cs="Arial"/>
          <w:b w:val="0"/>
          <w:bCs w:val="0"/>
          <w:noProof w:val="0"/>
          <w:sz w:val="22"/>
          <w:szCs w:val="22"/>
          <w:lang w:val="en-GB"/>
        </w:rPr>
        <w:t xml:space="preserve"> that financial rewards continue to play </w:t>
      </w:r>
      <w:r w:rsidRPr="3B366774" w:rsidR="69E2C71B">
        <w:rPr>
          <w:rFonts w:ascii="Arial" w:hAnsi="Arial" w:eastAsia="Arial" w:cs="Arial"/>
          <w:b w:val="0"/>
          <w:bCs w:val="0"/>
          <w:noProof w:val="0"/>
          <w:sz w:val="22"/>
          <w:szCs w:val="22"/>
          <w:lang w:val="en-GB"/>
        </w:rPr>
        <w:t>a vital role</w:t>
      </w:r>
      <w:r w:rsidRPr="3B366774" w:rsidR="58760D2A">
        <w:rPr>
          <w:rFonts w:ascii="Arial" w:hAnsi="Arial" w:eastAsia="Arial" w:cs="Arial"/>
          <w:b w:val="0"/>
          <w:bCs w:val="0"/>
          <w:noProof w:val="0"/>
          <w:sz w:val="22"/>
          <w:szCs w:val="22"/>
          <w:lang w:val="en-GB"/>
        </w:rPr>
        <w:t xml:space="preserve"> in motivation, particularly in competitive labour markets. This highlights a key tension in the literature: intrinsic factors may drive stronger engagement, but they cannot fully substitute for adequate extrinsic rewards. Additionally, Memon et al. (2021) </w:t>
      </w:r>
      <w:r w:rsidRPr="3B366774" w:rsidR="58760D2A">
        <w:rPr>
          <w:rFonts w:ascii="Arial" w:hAnsi="Arial" w:eastAsia="Arial" w:cs="Arial"/>
          <w:b w:val="0"/>
          <w:bCs w:val="0"/>
          <w:noProof w:val="0"/>
          <w:sz w:val="22"/>
          <w:szCs w:val="22"/>
          <w:lang w:val="en-GB"/>
        </w:rPr>
        <w:t>demonstrate</w:t>
      </w:r>
      <w:r w:rsidRPr="3B366774" w:rsidR="58760D2A">
        <w:rPr>
          <w:rFonts w:ascii="Arial" w:hAnsi="Arial" w:eastAsia="Arial" w:cs="Arial"/>
          <w:b w:val="0"/>
          <w:bCs w:val="0"/>
          <w:noProof w:val="0"/>
          <w:sz w:val="22"/>
          <w:szCs w:val="22"/>
          <w:lang w:val="en-GB"/>
        </w:rPr>
        <w:t xml:space="preserve"> that work engagement mediates the relationship between HRM practices and turnover intention. This suggests that HRM practices influence retention indirectly, </w:t>
      </w:r>
      <w:r w:rsidRPr="3B366774" w:rsidR="58760D2A">
        <w:rPr>
          <w:rFonts w:ascii="Arial" w:hAnsi="Arial" w:eastAsia="Arial" w:cs="Arial"/>
          <w:b w:val="0"/>
          <w:bCs w:val="0"/>
          <w:noProof w:val="0"/>
          <w:sz w:val="22"/>
          <w:szCs w:val="22"/>
          <w:lang w:val="en-GB"/>
        </w:rPr>
        <w:t>operating</w:t>
      </w:r>
      <w:r w:rsidRPr="3B366774" w:rsidR="58760D2A">
        <w:rPr>
          <w:rFonts w:ascii="Arial" w:hAnsi="Arial" w:eastAsia="Arial" w:cs="Arial"/>
          <w:b w:val="0"/>
          <w:bCs w:val="0"/>
          <w:noProof w:val="0"/>
          <w:sz w:val="22"/>
          <w:szCs w:val="22"/>
          <w:lang w:val="en-GB"/>
        </w:rPr>
        <w:t xml:space="preserve"> through psychological states such as engagement, which are </w:t>
      </w:r>
      <w:r w:rsidRPr="3B366774" w:rsidR="58760D2A">
        <w:rPr>
          <w:rFonts w:ascii="Arial" w:hAnsi="Arial" w:eastAsia="Arial" w:cs="Arial"/>
          <w:b w:val="0"/>
          <w:bCs w:val="0"/>
          <w:noProof w:val="0"/>
          <w:sz w:val="22"/>
          <w:szCs w:val="22"/>
          <w:lang w:val="en-GB"/>
        </w:rPr>
        <w:t>determined</w:t>
      </w:r>
      <w:r w:rsidRPr="3B366774" w:rsidR="58760D2A">
        <w:rPr>
          <w:rFonts w:ascii="Arial" w:hAnsi="Arial" w:eastAsia="Arial" w:cs="Arial"/>
          <w:b w:val="0"/>
          <w:bCs w:val="0"/>
          <w:noProof w:val="0"/>
          <w:sz w:val="22"/>
          <w:szCs w:val="22"/>
          <w:lang w:val="en-GB"/>
        </w:rPr>
        <w:t xml:space="preserve"> by both intrinsic and extrinsic motivational factors.</w:t>
      </w:r>
    </w:p>
    <w:p w:rsidR="65665192" w:rsidP="3B366774" w:rsidRDefault="65665192" w14:paraId="5D85DB47" w14:textId="6895AD55">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58760D2A">
        <w:rPr>
          <w:rFonts w:ascii="Arial" w:hAnsi="Arial" w:eastAsia="Arial" w:cs="Arial"/>
          <w:b w:val="0"/>
          <w:bCs w:val="0"/>
          <w:noProof w:val="0"/>
          <w:sz w:val="22"/>
          <w:szCs w:val="22"/>
          <w:lang w:val="en-GB"/>
        </w:rPr>
        <w:t xml:space="preserve">These findings stress that motivation is </w:t>
      </w:r>
      <w:r w:rsidRPr="3B366774" w:rsidR="58760D2A">
        <w:rPr>
          <w:rFonts w:ascii="Arial" w:hAnsi="Arial" w:eastAsia="Arial" w:cs="Arial"/>
          <w:b w:val="0"/>
          <w:bCs w:val="0"/>
          <w:noProof w:val="0"/>
          <w:sz w:val="22"/>
          <w:szCs w:val="22"/>
          <w:lang w:val="en-GB"/>
        </w:rPr>
        <w:t>determined</w:t>
      </w:r>
      <w:r w:rsidRPr="3B366774" w:rsidR="58760D2A">
        <w:rPr>
          <w:rFonts w:ascii="Arial" w:hAnsi="Arial" w:eastAsia="Arial" w:cs="Arial"/>
          <w:b w:val="0"/>
          <w:bCs w:val="0"/>
          <w:noProof w:val="0"/>
          <w:sz w:val="22"/>
          <w:szCs w:val="22"/>
          <w:lang w:val="en-GB"/>
        </w:rPr>
        <w:t xml:space="preserve"> by the interaction of multiple factors and employee </w:t>
      </w:r>
      <w:r w:rsidRPr="3B366774" w:rsidR="58760D2A">
        <w:rPr>
          <w:rFonts w:ascii="Arial" w:hAnsi="Arial" w:eastAsia="Arial" w:cs="Arial"/>
          <w:b w:val="0"/>
          <w:bCs w:val="0"/>
          <w:noProof w:val="0"/>
          <w:sz w:val="22"/>
          <w:szCs w:val="22"/>
          <w:lang w:val="en-GB"/>
        </w:rPr>
        <w:t>perceptions</w:t>
      </w:r>
      <w:r w:rsidRPr="3B366774" w:rsidR="58760D2A">
        <w:rPr>
          <w:rFonts w:ascii="Arial" w:hAnsi="Arial" w:eastAsia="Arial" w:cs="Arial"/>
          <w:b w:val="0"/>
          <w:bCs w:val="0"/>
          <w:noProof w:val="0"/>
          <w:sz w:val="22"/>
          <w:szCs w:val="22"/>
          <w:lang w:val="en-GB"/>
        </w:rPr>
        <w:t xml:space="preserve">, rather than by isolated practices. Organisations that overemphasise a single dimension, such as financial incentives or developmental opportunities, risk damaging overall motivation. A balanced and context-sensitive approach is </w:t>
      </w:r>
      <w:r w:rsidRPr="3B366774" w:rsidR="58760D2A">
        <w:rPr>
          <w:rFonts w:ascii="Arial" w:hAnsi="Arial" w:eastAsia="Arial" w:cs="Arial"/>
          <w:b w:val="0"/>
          <w:bCs w:val="0"/>
          <w:noProof w:val="0"/>
          <w:sz w:val="22"/>
          <w:szCs w:val="22"/>
          <w:lang w:val="en-GB"/>
        </w:rPr>
        <w:t>required</w:t>
      </w:r>
      <w:r w:rsidRPr="3B366774" w:rsidR="58760D2A">
        <w:rPr>
          <w:rFonts w:ascii="Arial" w:hAnsi="Arial" w:eastAsia="Arial" w:cs="Arial"/>
          <w:b w:val="0"/>
          <w:bCs w:val="0"/>
          <w:noProof w:val="0"/>
          <w:sz w:val="22"/>
          <w:szCs w:val="22"/>
          <w:lang w:val="en-GB"/>
        </w:rPr>
        <w:t>, particularly in fast-paced industries such as aviation, where both tangible rewards and supportive organisational practices are fundamental for sustaining engagement and reducing turnover.</w:t>
      </w:r>
    </w:p>
    <w:p w:rsidR="65665192" w:rsidP="3B366774" w:rsidRDefault="65665192" w14:paraId="3D91AEBC" w14:textId="347607AE">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58760D2A">
        <w:rPr>
          <w:rFonts w:ascii="Arial" w:hAnsi="Arial" w:eastAsia="Arial" w:cs="Arial"/>
          <w:b w:val="0"/>
          <w:bCs w:val="0"/>
          <w:noProof w:val="0"/>
          <w:sz w:val="22"/>
          <w:szCs w:val="22"/>
          <w:lang w:val="en-GB"/>
        </w:rPr>
        <w:t xml:space="preserve">Social Exchange Theory (SET) offers a widely used structure for understanding the relationship between HRM practices and employee outcomes. According to SET, employment relationships are based on reciprocal exchanges, with employees responding favourably concerning perceived organisational support (Zhang </w:t>
      </w:r>
      <w:r w:rsidRPr="3B366774" w:rsidR="4A09CB71">
        <w:rPr>
          <w:rFonts w:ascii="Arial" w:hAnsi="Arial" w:eastAsia="Arial" w:cs="Arial"/>
          <w:b w:val="0"/>
          <w:bCs w:val="0"/>
          <w:noProof w:val="0"/>
          <w:sz w:val="22"/>
          <w:szCs w:val="22"/>
          <w:lang w:val="en-GB"/>
        </w:rPr>
        <w:t xml:space="preserve">&amp; </w:t>
      </w:r>
      <w:r w:rsidRPr="3B366774" w:rsidR="58760D2A">
        <w:rPr>
          <w:rFonts w:ascii="Arial" w:hAnsi="Arial" w:eastAsia="Arial" w:cs="Arial"/>
          <w:b w:val="0"/>
          <w:bCs w:val="0"/>
          <w:noProof w:val="0"/>
          <w:sz w:val="22"/>
          <w:szCs w:val="22"/>
          <w:lang w:val="en-GB"/>
        </w:rPr>
        <w:t>Jia, 2010).</w:t>
      </w:r>
    </w:p>
    <w:p w:rsidR="65665192" w:rsidP="3B366774" w:rsidRDefault="65665192" w14:paraId="2F6709D0" w14:textId="4541597C">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58760D2A">
        <w:rPr>
          <w:rFonts w:ascii="Arial" w:hAnsi="Arial" w:eastAsia="Arial" w:cs="Arial"/>
          <w:b w:val="0"/>
          <w:bCs w:val="0"/>
          <w:noProof w:val="0"/>
          <w:sz w:val="22"/>
          <w:szCs w:val="22"/>
          <w:lang w:val="en-GB"/>
        </w:rPr>
        <w:t>Within this system, HRM practices signal organisational intent. When employees perceive practices such as training, recognition, and participation as supportive, they are likely to respond with greater engagement and commitment. For example, participative leadership has been shown to increase job satisfaction using cognitive empowerment and work engagement (</w:t>
      </w:r>
      <w:r w:rsidRPr="3B366774" w:rsidR="58760D2A">
        <w:rPr>
          <w:rFonts w:ascii="Arial" w:hAnsi="Arial" w:eastAsia="Arial" w:cs="Arial"/>
          <w:b w:val="0"/>
          <w:bCs w:val="0"/>
          <w:noProof w:val="0"/>
          <w:sz w:val="22"/>
          <w:szCs w:val="22"/>
          <w:lang w:val="en-GB"/>
        </w:rPr>
        <w:t>Fatoki</w:t>
      </w:r>
      <w:r w:rsidRPr="3B366774" w:rsidR="58760D2A">
        <w:rPr>
          <w:rFonts w:ascii="Arial" w:hAnsi="Arial" w:eastAsia="Arial" w:cs="Arial"/>
          <w:b w:val="0"/>
          <w:bCs w:val="0"/>
          <w:noProof w:val="0"/>
          <w:sz w:val="22"/>
          <w:szCs w:val="22"/>
          <w:lang w:val="en-GB"/>
        </w:rPr>
        <w:t>, 2021).</w:t>
      </w:r>
    </w:p>
    <w:p w:rsidR="65665192" w:rsidP="3B366774" w:rsidRDefault="65665192" w14:paraId="01933EA6" w14:textId="1371B0D6">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58760D2A">
        <w:rPr>
          <w:rFonts w:ascii="Arial" w:hAnsi="Arial" w:eastAsia="Arial" w:cs="Arial"/>
          <w:b w:val="0"/>
          <w:bCs w:val="0"/>
          <w:noProof w:val="0"/>
          <w:sz w:val="22"/>
          <w:szCs w:val="22"/>
          <w:lang w:val="en-GB"/>
        </w:rPr>
        <w:t xml:space="preserve">Empirical evidence supports this perspective. Studies </w:t>
      </w:r>
      <w:r w:rsidRPr="3B366774" w:rsidR="58760D2A">
        <w:rPr>
          <w:rFonts w:ascii="Arial" w:hAnsi="Arial" w:eastAsia="Arial" w:cs="Arial"/>
          <w:b w:val="0"/>
          <w:bCs w:val="0"/>
          <w:noProof w:val="0"/>
          <w:sz w:val="22"/>
          <w:szCs w:val="22"/>
          <w:lang w:val="en-GB"/>
        </w:rPr>
        <w:t>indicate</w:t>
      </w:r>
      <w:r w:rsidRPr="3B366774" w:rsidR="58760D2A">
        <w:rPr>
          <w:rFonts w:ascii="Arial" w:hAnsi="Arial" w:eastAsia="Arial" w:cs="Arial"/>
          <w:b w:val="0"/>
          <w:bCs w:val="0"/>
          <w:noProof w:val="0"/>
          <w:sz w:val="22"/>
          <w:szCs w:val="22"/>
          <w:lang w:val="en-GB"/>
        </w:rPr>
        <w:t xml:space="preserve"> that employees who perceive HR practices as beneficial show greater levels of engagement and retention, confirming the importance of reciprocal relationships.</w:t>
      </w:r>
    </w:p>
    <w:p w:rsidR="65665192" w:rsidP="3B366774" w:rsidRDefault="65665192" w14:paraId="44E7ECBC" w14:textId="3D39E0CE">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58760D2A">
        <w:rPr>
          <w:rFonts w:ascii="Arial" w:hAnsi="Arial" w:eastAsia="Arial" w:cs="Arial"/>
          <w:b w:val="0"/>
          <w:bCs w:val="0"/>
          <w:noProof w:val="0"/>
          <w:sz w:val="22"/>
          <w:szCs w:val="22"/>
          <w:lang w:val="en-GB"/>
        </w:rPr>
        <w:t xml:space="preserve">However, SET has limitations. It assumes </w:t>
      </w:r>
      <w:bookmarkStart w:name="_Int_aGaYcM2H" w:id="1437089433"/>
      <w:r w:rsidRPr="3B366774" w:rsidR="58760D2A">
        <w:rPr>
          <w:rFonts w:ascii="Arial" w:hAnsi="Arial" w:eastAsia="Arial" w:cs="Arial"/>
          <w:b w:val="0"/>
          <w:bCs w:val="0"/>
          <w:noProof w:val="0"/>
          <w:sz w:val="22"/>
          <w:szCs w:val="22"/>
          <w:lang w:val="en-GB"/>
        </w:rPr>
        <w:t>relatively balanced</w:t>
      </w:r>
      <w:bookmarkEnd w:id="1437089433"/>
      <w:r w:rsidRPr="3B366774" w:rsidR="58760D2A">
        <w:rPr>
          <w:rFonts w:ascii="Arial" w:hAnsi="Arial" w:eastAsia="Arial" w:cs="Arial"/>
          <w:b w:val="0"/>
          <w:bCs w:val="0"/>
          <w:noProof w:val="0"/>
          <w:sz w:val="22"/>
          <w:szCs w:val="22"/>
          <w:lang w:val="en-GB"/>
        </w:rPr>
        <w:t xml:space="preserve"> exchange relationships, which may not reflect the realities of all work contexts. In aviation, high job demands and operational pressures can disrupt this balance, leading to dissatisfaction despite the presence of HRM practices. Additionally, SET does not fully account for organisational constraints that may limit the implementation and effectiveness of HRM strategies.</w:t>
      </w:r>
    </w:p>
    <w:p w:rsidR="243BEF60" w:rsidP="3B366774" w:rsidRDefault="243BEF60" w14:paraId="123400B4" w14:textId="646FFF31">
      <w:pPr>
        <w:pStyle w:val="Heading2"/>
        <w:spacing w:line="360" w:lineRule="auto"/>
        <w:jc w:val="both"/>
        <w:rPr>
          <w:rFonts w:ascii="Arial" w:hAnsi="Arial" w:eastAsia="Arial" w:cs="Arial"/>
          <w:b w:val="0"/>
          <w:bCs w:val="0"/>
          <w:noProof w:val="0"/>
          <w:sz w:val="22"/>
          <w:szCs w:val="22"/>
          <w:lang w:val="en-GB"/>
        </w:rPr>
      </w:pPr>
      <w:bookmarkStart w:name="_Toc987531061" w:id="19849437"/>
      <w:r w:rsidRPr="3B366774" w:rsidR="39B9A988">
        <w:rPr>
          <w:rFonts w:ascii="Arial" w:hAnsi="Arial" w:eastAsia="Arial" w:cs="Arial"/>
          <w:noProof w:val="0"/>
          <w:sz w:val="22"/>
          <w:szCs w:val="22"/>
          <w:lang w:val="en-GB"/>
        </w:rPr>
        <w:t>Organisational Support, Resilience, Engagement and Job Satisfaction</w:t>
      </w:r>
      <w:bookmarkEnd w:id="19849437"/>
    </w:p>
    <w:p w:rsidR="243BEF60" w:rsidP="3B366774" w:rsidRDefault="243BEF60" w14:paraId="49265B1A" w14:textId="5E1E2508">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39B9A988">
        <w:rPr>
          <w:rFonts w:ascii="Arial" w:hAnsi="Arial" w:eastAsia="Arial" w:cs="Arial"/>
          <w:b w:val="0"/>
          <w:bCs w:val="0"/>
          <w:noProof w:val="0"/>
          <w:sz w:val="22"/>
          <w:szCs w:val="22"/>
          <w:lang w:val="en-GB"/>
        </w:rPr>
        <w:t xml:space="preserve">The relationship between organisational support, resilience, employee engagement, and job satisfaction has been widely explored in HRM literature. However, it </w:t>
      </w:r>
      <w:r w:rsidRPr="3B366774" w:rsidR="39B9A988">
        <w:rPr>
          <w:rFonts w:ascii="Arial" w:hAnsi="Arial" w:eastAsia="Arial" w:cs="Arial"/>
          <w:b w:val="0"/>
          <w:bCs w:val="0"/>
          <w:noProof w:val="0"/>
          <w:sz w:val="22"/>
          <w:szCs w:val="22"/>
          <w:lang w:val="en-GB"/>
        </w:rPr>
        <w:t>remains</w:t>
      </w:r>
      <w:r w:rsidRPr="3B366774" w:rsidR="39B9A988">
        <w:rPr>
          <w:rFonts w:ascii="Arial" w:hAnsi="Arial" w:eastAsia="Arial" w:cs="Arial"/>
          <w:b w:val="0"/>
          <w:bCs w:val="0"/>
          <w:noProof w:val="0"/>
          <w:sz w:val="22"/>
          <w:szCs w:val="22"/>
          <w:lang w:val="en-GB"/>
        </w:rPr>
        <w:t xml:space="preserve"> conceptually fragmented across disciplines. A central theme </w:t>
      </w:r>
      <w:r w:rsidRPr="3B366774" w:rsidR="39B9A988">
        <w:rPr>
          <w:rFonts w:ascii="Arial" w:hAnsi="Arial" w:eastAsia="Arial" w:cs="Arial"/>
          <w:b w:val="0"/>
          <w:bCs w:val="0"/>
          <w:noProof w:val="0"/>
          <w:sz w:val="22"/>
          <w:szCs w:val="22"/>
          <w:lang w:val="en-GB"/>
        </w:rPr>
        <w:t>emerging</w:t>
      </w:r>
      <w:r w:rsidRPr="3B366774" w:rsidR="39B9A988">
        <w:rPr>
          <w:rFonts w:ascii="Arial" w:hAnsi="Arial" w:eastAsia="Arial" w:cs="Arial"/>
          <w:b w:val="0"/>
          <w:bCs w:val="0"/>
          <w:noProof w:val="0"/>
          <w:sz w:val="22"/>
          <w:szCs w:val="22"/>
          <w:lang w:val="en-GB"/>
        </w:rPr>
        <w:t xml:space="preserve"> from this research is the importance of perceived organisational support (POS) as a mechanism through which HRM practices influence employee attitudes and behaviours. Sluss, Klimchak and Holmes (2008) conceptualise POS as a mediating construct that links relational exchange to organisational identification. Their study suggests that when employees perceive supportive organisational relationships, they are more likely to internalise organisational values and develop stronger organisational identification. This aligns with Social Exchange Theory. It strengthens the belief that positive practices generate reciprocal commitment. The study offers a strong theoretical contribution but is limited by its focus on relational exchange and insufficient consideration of contextual variables, such as organisational structure or industry-specific pressures, that may moderate these relationships.</w:t>
      </w:r>
    </w:p>
    <w:p w:rsidR="243BEF60" w:rsidP="3B366774" w:rsidRDefault="243BEF60" w14:paraId="7E2027A0" w14:textId="547D04F4">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39B9A988">
        <w:rPr>
          <w:rFonts w:ascii="Arial" w:hAnsi="Arial" w:eastAsia="Arial" w:cs="Arial"/>
          <w:b w:val="0"/>
          <w:bCs w:val="0"/>
          <w:noProof w:val="0"/>
          <w:sz w:val="22"/>
          <w:szCs w:val="22"/>
          <w:lang w:val="en-GB"/>
        </w:rPr>
        <w:t xml:space="preserve">Expanding beyond individual-level constructs, Muhr, Holck, and Just (2022) adopt a more sophisticated approach by examining organisational culture within the Greenland Police Force. Introducing the concept of "ambiguous culture," they challenge static views by offering a multidimensional framework that reflects competing values and institutional complexities, building directly on perceived organisational support (POS). By highlighting that employees do not always perceive organisational support, the authors move beyond linear models, </w:t>
      </w:r>
      <w:r w:rsidRPr="3B366774" w:rsidR="39B9A988">
        <w:rPr>
          <w:rFonts w:ascii="Arial" w:hAnsi="Arial" w:eastAsia="Arial" w:cs="Arial"/>
          <w:b w:val="0"/>
          <w:bCs w:val="0"/>
          <w:noProof w:val="0"/>
          <w:sz w:val="22"/>
          <w:szCs w:val="22"/>
          <w:lang w:val="en-GB"/>
        </w:rPr>
        <w:t>demonstrating</w:t>
      </w:r>
      <w:r w:rsidRPr="3B366774" w:rsidR="39B9A988">
        <w:rPr>
          <w:rFonts w:ascii="Arial" w:hAnsi="Arial" w:eastAsia="Arial" w:cs="Arial"/>
          <w:b w:val="0"/>
          <w:bCs w:val="0"/>
          <w:noProof w:val="0"/>
          <w:sz w:val="22"/>
          <w:szCs w:val="22"/>
          <w:lang w:val="en-GB"/>
        </w:rPr>
        <w:t xml:space="preserve"> that HRM practices may yield different outcomes depending on cultural viewpoints. However, their focus on a specific context raises questions about generalisability, particularly in private-sector or high-performance settings such as aviation.</w:t>
      </w:r>
    </w:p>
    <w:p w:rsidR="243BEF60" w:rsidP="3B366774" w:rsidRDefault="243BEF60" w14:paraId="15AB873A" w14:textId="095FDE88">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39B9A988">
        <w:rPr>
          <w:rFonts w:ascii="Arial" w:hAnsi="Arial" w:eastAsia="Arial" w:cs="Arial"/>
          <w:b w:val="0"/>
          <w:bCs w:val="0"/>
          <w:noProof w:val="0"/>
          <w:sz w:val="22"/>
          <w:szCs w:val="22"/>
          <w:lang w:val="en-GB"/>
        </w:rPr>
        <w:t xml:space="preserve">The role of organisational culture in resilience is further explored in </w:t>
      </w:r>
      <w:r w:rsidRPr="3B366774" w:rsidR="39B9A988">
        <w:rPr>
          <w:rFonts w:ascii="Arial" w:hAnsi="Arial" w:eastAsia="Arial" w:cs="Arial"/>
          <w:b w:val="0"/>
          <w:bCs w:val="0"/>
          <w:noProof w:val="0"/>
          <w:sz w:val="22"/>
          <w:szCs w:val="22"/>
          <w:lang w:val="en-GB"/>
        </w:rPr>
        <w:t>subsequent</w:t>
      </w:r>
      <w:r w:rsidRPr="3B366774" w:rsidR="39B9A988">
        <w:rPr>
          <w:rFonts w:ascii="Arial" w:hAnsi="Arial" w:eastAsia="Arial" w:cs="Arial"/>
          <w:b w:val="0"/>
          <w:bCs w:val="0"/>
          <w:noProof w:val="0"/>
          <w:sz w:val="22"/>
          <w:szCs w:val="22"/>
          <w:lang w:val="en-GB"/>
        </w:rPr>
        <w:t xml:space="preserve"> research. Su, </w:t>
      </w:r>
      <w:bookmarkStart w:name="_Int_LxcWpl67" w:id="1258830924"/>
      <w:r w:rsidRPr="3B366774" w:rsidR="39B9A988">
        <w:rPr>
          <w:rFonts w:ascii="Arial" w:hAnsi="Arial" w:eastAsia="Arial" w:cs="Arial"/>
          <w:b w:val="0"/>
          <w:bCs w:val="0"/>
          <w:noProof w:val="0"/>
          <w:sz w:val="22"/>
          <w:szCs w:val="22"/>
          <w:lang w:val="en-GB"/>
        </w:rPr>
        <w:t>Baird</w:t>
      </w:r>
      <w:bookmarkEnd w:id="1258830924"/>
      <w:r w:rsidRPr="3B366774" w:rsidR="39B9A988">
        <w:rPr>
          <w:rFonts w:ascii="Arial" w:hAnsi="Arial" w:eastAsia="Arial" w:cs="Arial"/>
          <w:b w:val="0"/>
          <w:bCs w:val="0"/>
          <w:noProof w:val="0"/>
          <w:sz w:val="22"/>
          <w:szCs w:val="22"/>
          <w:lang w:val="en-GB"/>
        </w:rPr>
        <w:t xml:space="preserve"> and Munir (2019) argue that organisational resilience is strongly influenced by cultural attributes—particularly adaptability, learning orientation, and shared values. Their life-cycle perspective adds to the literature by suggesting that the impact of culture on resilience varies across organisational development stages. Similarly, more recent work in </w:t>
      </w:r>
      <w:r w:rsidRPr="3B366774" w:rsidR="39B9A988">
        <w:rPr>
          <w:rFonts w:ascii="Arial" w:hAnsi="Arial" w:eastAsia="Arial" w:cs="Arial"/>
          <w:b w:val="0"/>
          <w:bCs w:val="0"/>
          <w:i w:val="1"/>
          <w:iCs w:val="1"/>
          <w:noProof w:val="0"/>
          <w:sz w:val="22"/>
          <w:szCs w:val="22"/>
          <w:lang w:val="en-GB"/>
        </w:rPr>
        <w:t>Continuity &amp; Resilience Review</w:t>
      </w:r>
      <w:r w:rsidRPr="3B366774" w:rsidR="39B9A988">
        <w:rPr>
          <w:rFonts w:ascii="Arial" w:hAnsi="Arial" w:eastAsia="Arial" w:cs="Arial"/>
          <w:b w:val="0"/>
          <w:bCs w:val="0"/>
          <w:noProof w:val="0"/>
          <w:sz w:val="22"/>
          <w:szCs w:val="22"/>
          <w:lang w:val="en-GB"/>
        </w:rPr>
        <w:t xml:space="preserve"> (2024) reinforces this by </w:t>
      </w:r>
      <w:r w:rsidRPr="3B366774" w:rsidR="39B9A988">
        <w:rPr>
          <w:rFonts w:ascii="Arial" w:hAnsi="Arial" w:eastAsia="Arial" w:cs="Arial"/>
          <w:b w:val="0"/>
          <w:bCs w:val="0"/>
          <w:noProof w:val="0"/>
          <w:sz w:val="22"/>
          <w:szCs w:val="22"/>
          <w:lang w:val="en-GB"/>
        </w:rPr>
        <w:t>demonstrating</w:t>
      </w:r>
      <w:r w:rsidRPr="3B366774" w:rsidR="39B9A988">
        <w:rPr>
          <w:rFonts w:ascii="Arial" w:hAnsi="Arial" w:eastAsia="Arial" w:cs="Arial"/>
          <w:b w:val="0"/>
          <w:bCs w:val="0"/>
          <w:noProof w:val="0"/>
          <w:sz w:val="22"/>
          <w:szCs w:val="22"/>
          <w:lang w:val="en-GB"/>
        </w:rPr>
        <w:t xml:space="preserve"> that early-stage organisations may rely more on flexible, innovative cultures, while mature organisations </w:t>
      </w:r>
      <w:r w:rsidRPr="3B366774" w:rsidR="39B9A988">
        <w:rPr>
          <w:rFonts w:ascii="Arial" w:hAnsi="Arial" w:eastAsia="Arial" w:cs="Arial"/>
          <w:b w:val="0"/>
          <w:bCs w:val="0"/>
          <w:noProof w:val="0"/>
          <w:sz w:val="22"/>
          <w:szCs w:val="22"/>
          <w:lang w:val="en-GB"/>
        </w:rPr>
        <w:t>benefit</w:t>
      </w:r>
      <w:r w:rsidRPr="3B366774" w:rsidR="39B9A988">
        <w:rPr>
          <w:rFonts w:ascii="Arial" w:hAnsi="Arial" w:eastAsia="Arial" w:cs="Arial"/>
          <w:b w:val="0"/>
          <w:bCs w:val="0"/>
          <w:noProof w:val="0"/>
          <w:sz w:val="22"/>
          <w:szCs w:val="22"/>
          <w:lang w:val="en-GB"/>
        </w:rPr>
        <w:t xml:space="preserve"> from stability and formalisation. However, while these studies offer valuable insights into the changing nature of resilience, they conceptualise culture broadly, </w:t>
      </w:r>
      <w:r w:rsidRPr="3B366774" w:rsidR="39B9A988">
        <w:rPr>
          <w:rFonts w:ascii="Arial" w:hAnsi="Arial" w:eastAsia="Arial" w:cs="Arial"/>
          <w:b w:val="0"/>
          <w:bCs w:val="0"/>
          <w:noProof w:val="0"/>
          <w:sz w:val="22"/>
          <w:szCs w:val="22"/>
          <w:lang w:val="en-GB"/>
        </w:rPr>
        <w:t>providing</w:t>
      </w:r>
      <w:r w:rsidRPr="3B366774" w:rsidR="39B9A988">
        <w:rPr>
          <w:rFonts w:ascii="Arial" w:hAnsi="Arial" w:eastAsia="Arial" w:cs="Arial"/>
          <w:b w:val="0"/>
          <w:bCs w:val="0"/>
          <w:noProof w:val="0"/>
          <w:sz w:val="22"/>
          <w:szCs w:val="22"/>
          <w:lang w:val="en-GB"/>
        </w:rPr>
        <w:t xml:space="preserve"> limited guidance on how specific HRM practices operationalise resilience.</w:t>
      </w:r>
    </w:p>
    <w:p w:rsidR="243BEF60" w:rsidP="3B366774" w:rsidRDefault="243BEF60" w14:paraId="29C219E3" w14:textId="48945407">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39B9A988">
        <w:rPr>
          <w:rFonts w:ascii="Arial" w:hAnsi="Arial" w:eastAsia="Arial" w:cs="Arial"/>
          <w:b w:val="0"/>
          <w:bCs w:val="0"/>
          <w:noProof w:val="0"/>
          <w:sz w:val="22"/>
          <w:szCs w:val="22"/>
          <w:lang w:val="en-GB"/>
        </w:rPr>
        <w:t xml:space="preserve">Leadership and communication are essential factors linking organisational support to employee outcomes. Ramírez Lozano et al. (2023), in their study of family businesses in Latin America, highlight that effective leadership and transparent communication enhance job satisfaction and employee engagement. Their findings further show that relational leadership styles foster trust and psychological safety—both essential components of organisational support. However, the study’s focus on family businesses introduces potential bias, as such organisations often </w:t>
      </w:r>
      <w:r w:rsidRPr="3B366774" w:rsidR="39B9A988">
        <w:rPr>
          <w:rFonts w:ascii="Arial" w:hAnsi="Arial" w:eastAsia="Arial" w:cs="Arial"/>
          <w:b w:val="0"/>
          <w:bCs w:val="0"/>
          <w:noProof w:val="0"/>
          <w:sz w:val="22"/>
          <w:szCs w:val="22"/>
          <w:lang w:val="en-GB"/>
        </w:rPr>
        <w:t>exhibit</w:t>
      </w:r>
      <w:r w:rsidRPr="3B366774" w:rsidR="39B9A988">
        <w:rPr>
          <w:rFonts w:ascii="Arial" w:hAnsi="Arial" w:eastAsia="Arial" w:cs="Arial"/>
          <w:b w:val="0"/>
          <w:bCs w:val="0"/>
          <w:noProof w:val="0"/>
          <w:sz w:val="22"/>
          <w:szCs w:val="22"/>
          <w:lang w:val="en-GB"/>
        </w:rPr>
        <w:t xml:space="preserve"> unique relational dynamics that may not translate directly to larger, more formalised organisations.</w:t>
      </w:r>
    </w:p>
    <w:p w:rsidR="243BEF60" w:rsidP="3B366774" w:rsidRDefault="243BEF60" w14:paraId="7B22FE80" w14:textId="078F6B0C">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39B9A988">
        <w:rPr>
          <w:rFonts w:ascii="Arial" w:hAnsi="Arial" w:eastAsia="Arial" w:cs="Arial"/>
          <w:b w:val="0"/>
          <w:bCs w:val="0"/>
          <w:noProof w:val="0"/>
          <w:sz w:val="22"/>
          <w:szCs w:val="22"/>
          <w:lang w:val="en-GB"/>
        </w:rPr>
        <w:t xml:space="preserve">Similarly, </w:t>
      </w:r>
      <w:r w:rsidRPr="3B366774" w:rsidR="39B9A988">
        <w:rPr>
          <w:rFonts w:ascii="Arial" w:hAnsi="Arial" w:eastAsia="Arial" w:cs="Arial"/>
          <w:b w:val="0"/>
          <w:bCs w:val="0"/>
          <w:noProof w:val="0"/>
          <w:sz w:val="22"/>
          <w:szCs w:val="22"/>
          <w:lang w:val="en-GB"/>
        </w:rPr>
        <w:t>Fatoki</w:t>
      </w:r>
      <w:r w:rsidRPr="3B366774" w:rsidR="39B9A988">
        <w:rPr>
          <w:rFonts w:ascii="Arial" w:hAnsi="Arial" w:eastAsia="Arial" w:cs="Arial"/>
          <w:b w:val="0"/>
          <w:bCs w:val="0"/>
          <w:noProof w:val="0"/>
          <w:sz w:val="22"/>
          <w:szCs w:val="22"/>
          <w:lang w:val="en-GB"/>
        </w:rPr>
        <w:t xml:space="preserve"> (2023) examines participative leadership and its impact on job satisfaction. The study </w:t>
      </w:r>
      <w:r w:rsidRPr="3B366774" w:rsidR="39B9A988">
        <w:rPr>
          <w:rFonts w:ascii="Arial" w:hAnsi="Arial" w:eastAsia="Arial" w:cs="Arial"/>
          <w:b w:val="0"/>
          <w:bCs w:val="0"/>
          <w:noProof w:val="0"/>
          <w:sz w:val="22"/>
          <w:szCs w:val="22"/>
          <w:lang w:val="en-GB"/>
        </w:rPr>
        <w:t>identifies</w:t>
      </w:r>
      <w:r w:rsidRPr="3B366774" w:rsidR="39B9A988">
        <w:rPr>
          <w:rFonts w:ascii="Arial" w:hAnsi="Arial" w:eastAsia="Arial" w:cs="Arial"/>
          <w:b w:val="0"/>
          <w:bCs w:val="0"/>
          <w:noProof w:val="0"/>
          <w:sz w:val="22"/>
          <w:szCs w:val="22"/>
          <w:lang w:val="en-GB"/>
        </w:rPr>
        <w:t xml:space="preserve"> cognitive empowerment and work engagement as key mediating variables. Building on the previously highlighted importance of leadership, it strengthens the argument that employee engagement is both an outcome and a mechanism through which organisational support influences job satisfaction. By using mediation analysis, </w:t>
      </w:r>
      <w:r w:rsidRPr="3B366774" w:rsidR="39B9A988">
        <w:rPr>
          <w:rFonts w:ascii="Arial" w:hAnsi="Arial" w:eastAsia="Arial" w:cs="Arial"/>
          <w:b w:val="0"/>
          <w:bCs w:val="0"/>
          <w:noProof w:val="0"/>
          <w:sz w:val="22"/>
          <w:szCs w:val="22"/>
          <w:lang w:val="en-GB"/>
        </w:rPr>
        <w:t>Fatoki</w:t>
      </w:r>
      <w:r w:rsidRPr="3B366774" w:rsidR="39B9A988">
        <w:rPr>
          <w:rFonts w:ascii="Arial" w:hAnsi="Arial" w:eastAsia="Arial" w:cs="Arial"/>
          <w:b w:val="0"/>
          <w:bCs w:val="0"/>
          <w:noProof w:val="0"/>
          <w:sz w:val="22"/>
          <w:szCs w:val="22"/>
          <w:lang w:val="en-GB"/>
        </w:rPr>
        <w:t xml:space="preserve"> </w:t>
      </w:r>
      <w:r w:rsidRPr="3B366774" w:rsidR="39B9A988">
        <w:rPr>
          <w:rFonts w:ascii="Arial" w:hAnsi="Arial" w:eastAsia="Arial" w:cs="Arial"/>
          <w:b w:val="0"/>
          <w:bCs w:val="0"/>
          <w:noProof w:val="0"/>
          <w:sz w:val="22"/>
          <w:szCs w:val="22"/>
          <w:lang w:val="en-GB"/>
        </w:rPr>
        <w:t>provides</w:t>
      </w:r>
      <w:r w:rsidRPr="3B366774" w:rsidR="39B9A988">
        <w:rPr>
          <w:rFonts w:ascii="Arial" w:hAnsi="Arial" w:eastAsia="Arial" w:cs="Arial"/>
          <w:b w:val="0"/>
          <w:bCs w:val="0"/>
          <w:noProof w:val="0"/>
          <w:sz w:val="22"/>
          <w:szCs w:val="22"/>
          <w:lang w:val="en-GB"/>
        </w:rPr>
        <w:t xml:space="preserve"> a more sophisticated insight into these relationships. However, the cross-sectional design limits causal inference, leaving it unclear whether engagement leads to satisfaction or vice versa.</w:t>
      </w:r>
    </w:p>
    <w:p w:rsidR="243BEF60" w:rsidP="3B366774" w:rsidRDefault="243BEF60" w14:paraId="30FBCC34" w14:textId="7CE61A63">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39B9A988">
        <w:rPr>
          <w:rFonts w:ascii="Arial" w:hAnsi="Arial" w:eastAsia="Arial" w:cs="Arial"/>
          <w:b w:val="0"/>
          <w:bCs w:val="0"/>
          <w:noProof w:val="0"/>
          <w:sz w:val="22"/>
          <w:szCs w:val="22"/>
          <w:lang w:val="en-GB"/>
        </w:rPr>
        <w:t xml:space="preserve">Turning to industry-specific research, Dubey and Rana (2022) </w:t>
      </w:r>
      <w:r w:rsidRPr="3B366774" w:rsidR="39B9A988">
        <w:rPr>
          <w:rFonts w:ascii="Arial" w:hAnsi="Arial" w:eastAsia="Arial" w:cs="Arial"/>
          <w:b w:val="0"/>
          <w:bCs w:val="0"/>
          <w:noProof w:val="0"/>
          <w:sz w:val="22"/>
          <w:szCs w:val="22"/>
          <w:lang w:val="en-GB"/>
        </w:rPr>
        <w:t>provide</w:t>
      </w:r>
      <w:r w:rsidRPr="3B366774" w:rsidR="39B9A988">
        <w:rPr>
          <w:rFonts w:ascii="Arial" w:hAnsi="Arial" w:eastAsia="Arial" w:cs="Arial"/>
          <w:b w:val="0"/>
          <w:bCs w:val="0"/>
          <w:noProof w:val="0"/>
          <w:sz w:val="22"/>
          <w:szCs w:val="22"/>
          <w:lang w:val="en-GB"/>
        </w:rPr>
        <w:t xml:space="preserve"> sector-specific insights on the aviation industry. Their evidence suggests that factors such as career development, work environment, and organisational support strongly affect employee engagement. In addition, the study highlights the high-pressure nature of aviation roles and proposes that resilience is a critical yet often overlooked factor in sustaining engagement. However, while the study pinpoints key drivers, it lacks a strong conceptual framework, which </w:t>
      </w:r>
      <w:bookmarkStart w:name="_Int_Aq1eqx0q" w:id="232519035"/>
      <w:r w:rsidRPr="3B366774" w:rsidR="39B9A988">
        <w:rPr>
          <w:rFonts w:ascii="Arial" w:hAnsi="Arial" w:eastAsia="Arial" w:cs="Arial"/>
          <w:b w:val="0"/>
          <w:bCs w:val="0"/>
          <w:noProof w:val="0"/>
          <w:sz w:val="22"/>
          <w:szCs w:val="22"/>
          <w:lang w:val="en-GB"/>
        </w:rPr>
        <w:t>ultimately limits</w:t>
      </w:r>
      <w:bookmarkEnd w:id="232519035"/>
      <w:r w:rsidRPr="3B366774" w:rsidR="39B9A988">
        <w:rPr>
          <w:rFonts w:ascii="Arial" w:hAnsi="Arial" w:eastAsia="Arial" w:cs="Arial"/>
          <w:b w:val="0"/>
          <w:bCs w:val="0"/>
          <w:noProof w:val="0"/>
          <w:sz w:val="22"/>
          <w:szCs w:val="22"/>
          <w:lang w:val="en-GB"/>
        </w:rPr>
        <w:t xml:space="preserve"> its contribution to broader HRM debates.</w:t>
      </w:r>
    </w:p>
    <w:p w:rsidR="243BEF60" w:rsidP="3B366774" w:rsidRDefault="243BEF60" w14:paraId="1C91E461" w14:textId="1DECD265">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39B9A988">
        <w:rPr>
          <w:rFonts w:ascii="Arial" w:hAnsi="Arial" w:eastAsia="Arial" w:cs="Arial"/>
          <w:b w:val="0"/>
          <w:bCs w:val="0"/>
          <w:noProof w:val="0"/>
          <w:sz w:val="22"/>
          <w:szCs w:val="22"/>
          <w:lang w:val="en-GB"/>
        </w:rPr>
        <w:t xml:space="preserve">Guest (2017) delivers a more comprehensive analytical framework by linking HRM practices to employee well-being. He argues that well-being </w:t>
      </w:r>
      <w:r w:rsidRPr="3B366774" w:rsidR="39B9A988">
        <w:rPr>
          <w:rFonts w:ascii="Arial" w:hAnsi="Arial" w:eastAsia="Arial" w:cs="Arial"/>
          <w:b w:val="0"/>
          <w:bCs w:val="0"/>
          <w:noProof w:val="0"/>
          <w:sz w:val="22"/>
          <w:szCs w:val="22"/>
          <w:lang w:val="en-GB"/>
        </w:rPr>
        <w:t>operates</w:t>
      </w:r>
      <w:r w:rsidRPr="3B366774" w:rsidR="39B9A988">
        <w:rPr>
          <w:rFonts w:ascii="Arial" w:hAnsi="Arial" w:eastAsia="Arial" w:cs="Arial"/>
          <w:b w:val="0"/>
          <w:bCs w:val="0"/>
          <w:noProof w:val="0"/>
          <w:sz w:val="22"/>
          <w:szCs w:val="22"/>
          <w:lang w:val="en-GB"/>
        </w:rPr>
        <w:t xml:space="preserve"> as a key mediator between HRM and organisational performance. This perspective closely aligns with the concept of organisational support, as practices that improve well-being are likely to be perceived positively by employees. Guest’s framework is important because it integrates outcomes, including job satisfaction and engagement, into a coherent model. However, some critics claim that the framework may downplay complex relationships. It assumes </w:t>
      </w:r>
      <w:r w:rsidRPr="3B366774" w:rsidR="410DF62C">
        <w:rPr>
          <w:rFonts w:ascii="Arial" w:hAnsi="Arial" w:eastAsia="Arial" w:cs="Arial"/>
          <w:b w:val="0"/>
          <w:bCs w:val="0"/>
          <w:noProof w:val="0"/>
          <w:sz w:val="22"/>
          <w:szCs w:val="22"/>
          <w:lang w:val="en-GB"/>
        </w:rPr>
        <w:t>positive</w:t>
      </w:r>
      <w:r w:rsidRPr="3B366774" w:rsidR="39B9A988">
        <w:rPr>
          <w:rFonts w:ascii="Arial" w:hAnsi="Arial" w:eastAsia="Arial" w:cs="Arial"/>
          <w:b w:val="0"/>
          <w:bCs w:val="0"/>
          <w:noProof w:val="0"/>
          <w:sz w:val="22"/>
          <w:szCs w:val="22"/>
          <w:lang w:val="en-GB"/>
        </w:rPr>
        <w:t xml:space="preserve"> outcomes and does not fully account for possible negative effects of HRM practices, such as work intensification.</w:t>
      </w:r>
    </w:p>
    <w:p w:rsidR="243BEF60" w:rsidP="3B366774" w:rsidRDefault="243BEF60" w14:paraId="2C9B73FD" w14:textId="16504D06">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39B9A988">
        <w:rPr>
          <w:rFonts w:ascii="Arial" w:hAnsi="Arial" w:eastAsia="Arial" w:cs="Arial"/>
          <w:b w:val="0"/>
          <w:bCs w:val="0"/>
          <w:noProof w:val="0"/>
          <w:sz w:val="22"/>
          <w:szCs w:val="22"/>
          <w:lang w:val="en-GB"/>
        </w:rPr>
        <w:t>Majowska</w:t>
      </w:r>
      <w:r w:rsidRPr="3B366774" w:rsidR="39B9A988">
        <w:rPr>
          <w:rFonts w:ascii="Arial" w:hAnsi="Arial" w:eastAsia="Arial" w:cs="Arial"/>
          <w:b w:val="0"/>
          <w:bCs w:val="0"/>
          <w:noProof w:val="0"/>
          <w:sz w:val="22"/>
          <w:szCs w:val="22"/>
          <w:lang w:val="en-GB"/>
        </w:rPr>
        <w:t xml:space="preserve"> and Austen (2019) introduce a multilevel perspective, arguing that HRM effectiveness must be analysed across individual, organisational, and contextual levels. Their approach particularly emphasises alignment between HRM practices and organisational strategy, as well as the role of external factors in shaping employee outcomes. This integrated perspective addresses limitations in earlier studies that focused primarily on individual-level variables. Nonetheless, the complexity of the multilevel framework may limit its real-world </w:t>
      </w:r>
      <w:r w:rsidRPr="3B366774" w:rsidR="7746B96B">
        <w:rPr>
          <w:rFonts w:ascii="Arial" w:hAnsi="Arial" w:eastAsia="Arial" w:cs="Arial"/>
          <w:b w:val="0"/>
          <w:bCs w:val="0"/>
          <w:noProof w:val="0"/>
          <w:sz w:val="22"/>
          <w:szCs w:val="22"/>
          <w:lang w:val="en-GB"/>
        </w:rPr>
        <w:t>applicability since</w:t>
      </w:r>
      <w:r w:rsidRPr="3B366774" w:rsidR="39B9A988">
        <w:rPr>
          <w:rFonts w:ascii="Arial" w:hAnsi="Arial" w:eastAsia="Arial" w:cs="Arial"/>
          <w:b w:val="0"/>
          <w:bCs w:val="0"/>
          <w:noProof w:val="0"/>
          <w:sz w:val="22"/>
          <w:szCs w:val="22"/>
          <w:lang w:val="en-GB"/>
        </w:rPr>
        <w:t xml:space="preserve"> it requires extensive data and sophisticated analysis.</w:t>
      </w:r>
    </w:p>
    <w:p w:rsidR="243BEF60" w:rsidP="3B366774" w:rsidRDefault="243BEF60" w14:paraId="3E7D8C4D" w14:textId="4109B397">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39B9A988">
        <w:rPr>
          <w:rFonts w:ascii="Arial" w:hAnsi="Arial" w:eastAsia="Arial" w:cs="Arial"/>
          <w:b w:val="0"/>
          <w:bCs w:val="0"/>
          <w:noProof w:val="0"/>
          <w:sz w:val="22"/>
          <w:szCs w:val="22"/>
          <w:lang w:val="en-GB"/>
        </w:rPr>
        <w:t xml:space="preserve">Harvey and Turnbull (2012) provide an in-depth examination of HRM practices within low-cost airlines and offer valuable insights into the aviation context. Specifically, their study underlines the tension between cost efficiency and worker well-being, showing that aggressive cost-saving strategies may undermine organisational support and negatively </w:t>
      </w:r>
      <w:r w:rsidRPr="3B366774" w:rsidR="39B9A988">
        <w:rPr>
          <w:rFonts w:ascii="Arial" w:hAnsi="Arial" w:eastAsia="Arial" w:cs="Arial"/>
          <w:b w:val="0"/>
          <w:bCs w:val="0"/>
          <w:noProof w:val="0"/>
          <w:sz w:val="22"/>
          <w:szCs w:val="22"/>
          <w:lang w:val="en-GB"/>
        </w:rPr>
        <w:t>impact</w:t>
      </w:r>
      <w:r w:rsidRPr="3B366774" w:rsidR="39B9A988">
        <w:rPr>
          <w:rFonts w:ascii="Arial" w:hAnsi="Arial" w:eastAsia="Arial" w:cs="Arial"/>
          <w:b w:val="0"/>
          <w:bCs w:val="0"/>
          <w:noProof w:val="0"/>
          <w:sz w:val="22"/>
          <w:szCs w:val="22"/>
          <w:lang w:val="en-GB"/>
        </w:rPr>
        <w:t xml:space="preserve"> engagement and job satisfaction. This finding is particularly relevant for organisational resilience, as it suggests that short-term efficiency gains may come at the expense of long-term sustainability. Nonetheless, the study’s critical viewpoint may overemphasise negative outcomes and potentially overlook instances in which low-cost models sustain efficiency with employee support.</w:t>
      </w:r>
    </w:p>
    <w:p w:rsidR="243BEF60" w:rsidP="3B366774" w:rsidRDefault="243BEF60" w14:paraId="08529495" w14:textId="20ECA0D9">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39B9A988">
        <w:rPr>
          <w:rFonts w:ascii="Arial" w:hAnsi="Arial" w:eastAsia="Arial" w:cs="Arial"/>
          <w:b w:val="0"/>
          <w:bCs w:val="0"/>
          <w:noProof w:val="0"/>
          <w:sz w:val="22"/>
          <w:szCs w:val="22"/>
          <w:lang w:val="en-GB"/>
        </w:rPr>
        <w:t xml:space="preserve">Overall, the literature </w:t>
      </w:r>
      <w:r w:rsidRPr="3B366774" w:rsidR="39B9A988">
        <w:rPr>
          <w:rFonts w:ascii="Arial" w:hAnsi="Arial" w:eastAsia="Arial" w:cs="Arial"/>
          <w:b w:val="0"/>
          <w:bCs w:val="0"/>
          <w:noProof w:val="0"/>
          <w:sz w:val="22"/>
          <w:szCs w:val="22"/>
          <w:lang w:val="en-GB"/>
        </w:rPr>
        <w:t>demonstrates</w:t>
      </w:r>
      <w:r w:rsidRPr="3B366774" w:rsidR="39B9A988">
        <w:rPr>
          <w:rFonts w:ascii="Arial" w:hAnsi="Arial" w:eastAsia="Arial" w:cs="Arial"/>
          <w:b w:val="0"/>
          <w:bCs w:val="0"/>
          <w:noProof w:val="0"/>
          <w:sz w:val="22"/>
          <w:szCs w:val="22"/>
          <w:lang w:val="en-GB"/>
        </w:rPr>
        <w:t xml:space="preserve"> that organisational support holds </w:t>
      </w:r>
      <w:r w:rsidRPr="3B366774" w:rsidR="31D2CBE5">
        <w:rPr>
          <w:rFonts w:ascii="Arial" w:hAnsi="Arial" w:eastAsia="Arial" w:cs="Arial"/>
          <w:b w:val="0"/>
          <w:bCs w:val="0"/>
          <w:noProof w:val="0"/>
          <w:sz w:val="22"/>
          <w:szCs w:val="22"/>
          <w:lang w:val="en-GB"/>
        </w:rPr>
        <w:t>a vital role</w:t>
      </w:r>
      <w:r w:rsidRPr="3B366774" w:rsidR="39B9A988">
        <w:rPr>
          <w:rFonts w:ascii="Arial" w:hAnsi="Arial" w:eastAsia="Arial" w:cs="Arial"/>
          <w:b w:val="0"/>
          <w:bCs w:val="0"/>
          <w:noProof w:val="0"/>
          <w:sz w:val="22"/>
          <w:szCs w:val="22"/>
          <w:lang w:val="en-GB"/>
        </w:rPr>
        <w:t xml:space="preserve"> in affecting employee engagement, job satisfaction, and resilience. Yet, integration between different strands of research </w:t>
      </w:r>
      <w:r w:rsidRPr="3B366774" w:rsidR="39B9A988">
        <w:rPr>
          <w:rFonts w:ascii="Arial" w:hAnsi="Arial" w:eastAsia="Arial" w:cs="Arial"/>
          <w:b w:val="0"/>
          <w:bCs w:val="0"/>
          <w:noProof w:val="0"/>
          <w:sz w:val="22"/>
          <w:szCs w:val="22"/>
          <w:lang w:val="en-GB"/>
        </w:rPr>
        <w:t>remains</w:t>
      </w:r>
      <w:r w:rsidRPr="3B366774" w:rsidR="39B9A988">
        <w:rPr>
          <w:rFonts w:ascii="Arial" w:hAnsi="Arial" w:eastAsia="Arial" w:cs="Arial"/>
          <w:b w:val="0"/>
          <w:bCs w:val="0"/>
          <w:noProof w:val="0"/>
          <w:sz w:val="22"/>
          <w:szCs w:val="22"/>
          <w:lang w:val="en-GB"/>
        </w:rPr>
        <w:t xml:space="preserve"> limited. While some studies emphasise relational and cognitive mechanisms, others focus on structural and cultural components; these perspectives are often not joined. Moreover, reliance on cross-sectional designs restricts researchers' ability to </w:t>
      </w:r>
      <w:r w:rsidRPr="3B366774" w:rsidR="39B9A988">
        <w:rPr>
          <w:rFonts w:ascii="Arial" w:hAnsi="Arial" w:eastAsia="Arial" w:cs="Arial"/>
          <w:b w:val="0"/>
          <w:bCs w:val="0"/>
          <w:noProof w:val="0"/>
          <w:sz w:val="22"/>
          <w:szCs w:val="22"/>
          <w:lang w:val="en-GB"/>
        </w:rPr>
        <w:t>determine</w:t>
      </w:r>
      <w:r w:rsidRPr="3B366774" w:rsidR="39B9A988">
        <w:rPr>
          <w:rFonts w:ascii="Arial" w:hAnsi="Arial" w:eastAsia="Arial" w:cs="Arial"/>
          <w:b w:val="0"/>
          <w:bCs w:val="0"/>
          <w:noProof w:val="0"/>
          <w:sz w:val="22"/>
          <w:szCs w:val="22"/>
          <w:lang w:val="en-GB"/>
        </w:rPr>
        <w:t xml:space="preserve"> causality. Many studies also tend to examine variables in isolation rather than considering the multifaceted interactions among organisational support, culture, leadership, and individual </w:t>
      </w:r>
      <w:r w:rsidRPr="3B366774" w:rsidR="39B9A988">
        <w:rPr>
          <w:rFonts w:ascii="Arial" w:hAnsi="Arial" w:eastAsia="Arial" w:cs="Arial"/>
          <w:b w:val="0"/>
          <w:bCs w:val="0"/>
          <w:noProof w:val="0"/>
          <w:sz w:val="22"/>
          <w:szCs w:val="22"/>
          <w:lang w:val="en-GB"/>
        </w:rPr>
        <w:t>perceptions</w:t>
      </w:r>
      <w:r w:rsidRPr="3B366774" w:rsidR="39B9A988">
        <w:rPr>
          <w:rFonts w:ascii="Arial" w:hAnsi="Arial" w:eastAsia="Arial" w:cs="Arial"/>
          <w:b w:val="0"/>
          <w:bCs w:val="0"/>
          <w:noProof w:val="0"/>
          <w:sz w:val="22"/>
          <w:szCs w:val="22"/>
          <w:lang w:val="en-GB"/>
        </w:rPr>
        <w:t>.</w:t>
      </w:r>
    </w:p>
    <w:p w:rsidR="243BEF60" w:rsidP="3B366774" w:rsidRDefault="243BEF60" w14:paraId="60B1292A" w14:textId="389FBBBE">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39B9A988">
        <w:rPr>
          <w:rFonts w:ascii="Arial" w:hAnsi="Arial" w:eastAsia="Arial" w:cs="Arial"/>
          <w:b w:val="0"/>
          <w:bCs w:val="0"/>
          <w:noProof w:val="0"/>
          <w:sz w:val="22"/>
          <w:szCs w:val="22"/>
          <w:lang w:val="en-GB"/>
        </w:rPr>
        <w:t xml:space="preserve">In high-stakes industries such as aviation, these gaps are especially important. The relationship between organisational support and resilience is critical within environments characterised by high pressure, safety requirements, and workforce shortages. </w:t>
      </w:r>
      <w:r w:rsidRPr="3B366774" w:rsidR="39B9A988">
        <w:rPr>
          <w:rFonts w:ascii="Arial" w:hAnsi="Arial" w:eastAsia="Arial" w:cs="Arial"/>
          <w:b w:val="0"/>
          <w:bCs w:val="0"/>
          <w:noProof w:val="0"/>
          <w:sz w:val="22"/>
          <w:szCs w:val="22"/>
          <w:lang w:val="en-GB"/>
        </w:rPr>
        <w:t>Subsequent</w:t>
      </w:r>
      <w:r w:rsidRPr="3B366774" w:rsidR="39B9A988">
        <w:rPr>
          <w:rFonts w:ascii="Arial" w:hAnsi="Arial" w:eastAsia="Arial" w:cs="Arial"/>
          <w:b w:val="0"/>
          <w:bCs w:val="0"/>
          <w:noProof w:val="0"/>
          <w:sz w:val="22"/>
          <w:szCs w:val="22"/>
          <w:lang w:val="en-GB"/>
        </w:rPr>
        <w:t xml:space="preserve"> research should therefore adopt more integrative and longitudinal approaches, combining conceptual models such as Social Exchange Theory with contextual analysis to better understand how organisational support influences employee outcomes over time.</w:t>
      </w:r>
    </w:p>
    <w:p w:rsidR="243BEF60" w:rsidP="3B366774" w:rsidRDefault="243BEF60" w14:paraId="2F3EA68D" w14:textId="1ACCE1C3">
      <w:pPr>
        <w:pStyle w:val="Heading2"/>
        <w:spacing w:line="360" w:lineRule="auto"/>
        <w:jc w:val="both"/>
        <w:rPr>
          <w:rFonts w:ascii="Arial" w:hAnsi="Arial" w:eastAsia="Arial" w:cs="Arial"/>
          <w:b w:val="0"/>
          <w:bCs w:val="0"/>
          <w:noProof w:val="0"/>
          <w:sz w:val="22"/>
          <w:szCs w:val="22"/>
          <w:lang w:val="en-GB"/>
        </w:rPr>
      </w:pPr>
      <w:bookmarkStart w:name="_Toc1595065281" w:id="681200486"/>
      <w:r w:rsidRPr="3B366774" w:rsidR="48F3D586">
        <w:rPr>
          <w:rFonts w:ascii="Arial" w:hAnsi="Arial" w:eastAsia="Arial" w:cs="Arial"/>
          <w:noProof w:val="0"/>
          <w:sz w:val="22"/>
          <w:szCs w:val="22"/>
          <w:lang w:val="en-GB"/>
        </w:rPr>
        <w:t>Recruitment</w:t>
      </w:r>
      <w:r w:rsidRPr="3B366774" w:rsidR="48F3D586">
        <w:rPr>
          <w:rFonts w:ascii="Arial" w:hAnsi="Arial" w:eastAsia="Arial" w:cs="Arial"/>
          <w:noProof w:val="0"/>
          <w:sz w:val="22"/>
          <w:szCs w:val="22"/>
          <w:lang w:val="en-GB"/>
        </w:rPr>
        <w:t xml:space="preserve"> and Retention</w:t>
      </w:r>
      <w:bookmarkEnd w:id="681200486"/>
    </w:p>
    <w:p w:rsidR="243BEF60" w:rsidP="3B366774" w:rsidRDefault="243BEF60" w14:paraId="6EBDD7CC" w14:textId="290B46A6">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126B43E6">
        <w:rPr>
          <w:rFonts w:ascii="Arial" w:hAnsi="Arial" w:eastAsia="Arial" w:cs="Arial"/>
          <w:b w:val="0"/>
          <w:bCs w:val="0"/>
          <w:noProof w:val="0"/>
          <w:sz w:val="22"/>
          <w:szCs w:val="22"/>
          <w:lang w:val="en-GB"/>
        </w:rPr>
        <w:t>Recruitment and retention are central pillars of Human Resource Management (HRM), specifically in industries characterised by high skill specificity, labour shortages, and sig</w:t>
      </w:r>
      <w:r w:rsidRPr="3B366774" w:rsidR="44C6BE6A">
        <w:rPr>
          <w:rFonts w:ascii="Arial" w:hAnsi="Arial" w:eastAsia="Arial" w:cs="Arial"/>
          <w:b w:val="0"/>
          <w:bCs w:val="0"/>
          <w:noProof w:val="0"/>
          <w:sz w:val="22"/>
          <w:szCs w:val="22"/>
          <w:lang w:val="en-GB"/>
        </w:rPr>
        <w:t>ni</w:t>
      </w:r>
      <w:r w:rsidRPr="3B366774" w:rsidR="126B43E6">
        <w:rPr>
          <w:rFonts w:ascii="Arial" w:hAnsi="Arial" w:eastAsia="Arial" w:cs="Arial"/>
          <w:b w:val="0"/>
          <w:bCs w:val="0"/>
          <w:noProof w:val="0"/>
          <w:sz w:val="22"/>
          <w:szCs w:val="22"/>
          <w:lang w:val="en-GB"/>
        </w:rPr>
        <w:t xml:space="preserve">ficant training investments, such as aviation. Increasingly, the literature conceptualises recruitment and retention not as isolated HR functions but as interdependent processes controlled by organisational practices, employee </w:t>
      </w:r>
      <w:r w:rsidRPr="3B366774" w:rsidR="126B43E6">
        <w:rPr>
          <w:rFonts w:ascii="Arial" w:hAnsi="Arial" w:eastAsia="Arial" w:cs="Arial"/>
          <w:b w:val="0"/>
          <w:bCs w:val="0"/>
          <w:noProof w:val="0"/>
          <w:sz w:val="22"/>
          <w:szCs w:val="22"/>
          <w:lang w:val="en-GB"/>
        </w:rPr>
        <w:t>perceptions</w:t>
      </w:r>
      <w:r w:rsidRPr="3B366774" w:rsidR="126B43E6">
        <w:rPr>
          <w:rFonts w:ascii="Arial" w:hAnsi="Arial" w:eastAsia="Arial" w:cs="Arial"/>
          <w:b w:val="0"/>
          <w:bCs w:val="0"/>
          <w:noProof w:val="0"/>
          <w:sz w:val="22"/>
          <w:szCs w:val="22"/>
          <w:lang w:val="en-GB"/>
        </w:rPr>
        <w:t xml:space="preserve">, and external labour-market dynamics. While recruitment </w:t>
      </w:r>
      <w:r w:rsidRPr="3B366774" w:rsidR="126B43E6">
        <w:rPr>
          <w:rFonts w:ascii="Arial" w:hAnsi="Arial" w:eastAsia="Arial" w:cs="Arial"/>
          <w:b w:val="0"/>
          <w:bCs w:val="0"/>
          <w:noProof w:val="0"/>
          <w:sz w:val="22"/>
          <w:szCs w:val="22"/>
          <w:lang w:val="en-GB"/>
        </w:rPr>
        <w:t>determines</w:t>
      </w:r>
      <w:r w:rsidRPr="3B366774" w:rsidR="126B43E6">
        <w:rPr>
          <w:rFonts w:ascii="Arial" w:hAnsi="Arial" w:eastAsia="Arial" w:cs="Arial"/>
          <w:b w:val="0"/>
          <w:bCs w:val="0"/>
          <w:noProof w:val="0"/>
          <w:sz w:val="22"/>
          <w:szCs w:val="22"/>
          <w:lang w:val="en-GB"/>
        </w:rPr>
        <w:t xml:space="preserve"> the quality and fit of incoming talent, retention reflects the organisation’s ability to sustain employee commitment over time. However, despite extensive research, conflicts persist over the most efficient tactics for matching these processes with organisational performance.</w:t>
      </w:r>
    </w:p>
    <w:p w:rsidR="243BEF60" w:rsidP="3B366774" w:rsidRDefault="243BEF60" w14:paraId="4034E68A" w14:textId="0C213F35">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126B43E6">
        <w:rPr>
          <w:rFonts w:ascii="Arial" w:hAnsi="Arial" w:eastAsia="Arial" w:cs="Arial"/>
          <w:b w:val="0"/>
          <w:bCs w:val="0"/>
          <w:noProof w:val="0"/>
          <w:sz w:val="22"/>
          <w:szCs w:val="22"/>
          <w:lang w:val="en-GB"/>
        </w:rPr>
        <w:t xml:space="preserve">Recruitment has evolved from a transactional activity focused on filling vacancies to a strategic function aimed at securing long-term organisational capability. Shanker (2019), in examining the Indian aviation sector, highlights that recruitment processes </w:t>
      </w:r>
      <w:bookmarkStart w:name="_Int_eY8Ip3hK" w:id="1982951947"/>
      <w:r w:rsidRPr="3B366774" w:rsidR="126B43E6">
        <w:rPr>
          <w:rFonts w:ascii="Arial" w:hAnsi="Arial" w:eastAsia="Arial" w:cs="Arial"/>
          <w:b w:val="0"/>
          <w:bCs w:val="0"/>
          <w:noProof w:val="0"/>
          <w:sz w:val="22"/>
          <w:szCs w:val="22"/>
          <w:lang w:val="en-GB"/>
        </w:rPr>
        <w:t>considerably affect</w:t>
      </w:r>
      <w:bookmarkEnd w:id="1982951947"/>
      <w:r w:rsidRPr="3B366774" w:rsidR="126B43E6">
        <w:rPr>
          <w:rFonts w:ascii="Arial" w:hAnsi="Arial" w:eastAsia="Arial" w:cs="Arial"/>
          <w:b w:val="0"/>
          <w:bCs w:val="0"/>
          <w:noProof w:val="0"/>
          <w:sz w:val="22"/>
          <w:szCs w:val="22"/>
          <w:lang w:val="en-GB"/>
        </w:rPr>
        <w:t xml:space="preserve"> pilot retention, particularly through aligning expectations between employers and employees. Realistic job previews, transparent communication, and </w:t>
      </w:r>
      <w:r w:rsidRPr="3B366774" w:rsidR="126B43E6">
        <w:rPr>
          <w:rFonts w:ascii="Arial" w:hAnsi="Arial" w:eastAsia="Arial" w:cs="Arial"/>
          <w:b w:val="0"/>
          <w:bCs w:val="0"/>
          <w:noProof w:val="0"/>
          <w:sz w:val="22"/>
          <w:szCs w:val="22"/>
          <w:lang w:val="en-GB"/>
        </w:rPr>
        <w:t>accurate</w:t>
      </w:r>
      <w:r w:rsidRPr="3B366774" w:rsidR="126B43E6">
        <w:rPr>
          <w:rFonts w:ascii="Arial" w:hAnsi="Arial" w:eastAsia="Arial" w:cs="Arial"/>
          <w:b w:val="0"/>
          <w:bCs w:val="0"/>
          <w:noProof w:val="0"/>
          <w:sz w:val="22"/>
          <w:szCs w:val="22"/>
          <w:lang w:val="en-GB"/>
        </w:rPr>
        <w:t xml:space="preserve"> role representations are found to reduce early turnover by minimising expectation gaps. This suggests that ineffective recruitment can create downstream retention problems, strengthening the argument that retention begins at the point of entry. However, Shanker’s study is context-specific and may not fully account for global variations in pilot labour markets, in which mobility and competitive salary structures often override organisational-level recruitment practices.</w:t>
      </w:r>
    </w:p>
    <w:p w:rsidR="243BEF60" w:rsidP="3B366774" w:rsidRDefault="243BEF60" w14:paraId="3720F3A9" w14:textId="7616A38E">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126B43E6">
        <w:rPr>
          <w:rFonts w:ascii="Arial" w:hAnsi="Arial" w:eastAsia="Arial" w:cs="Arial"/>
          <w:b w:val="0"/>
          <w:bCs w:val="0"/>
          <w:noProof w:val="0"/>
          <w:sz w:val="22"/>
          <w:szCs w:val="22"/>
          <w:lang w:val="en-GB"/>
        </w:rPr>
        <w:t xml:space="preserve">Similarly, </w:t>
      </w:r>
      <w:r w:rsidRPr="3B366774" w:rsidR="126B43E6">
        <w:rPr>
          <w:rFonts w:ascii="Arial" w:hAnsi="Arial" w:eastAsia="Arial" w:cs="Arial"/>
          <w:b w:val="0"/>
          <w:bCs w:val="0"/>
          <w:noProof w:val="0"/>
          <w:sz w:val="22"/>
          <w:szCs w:val="22"/>
          <w:lang w:val="en-GB"/>
        </w:rPr>
        <w:t>Belderbos</w:t>
      </w:r>
      <w:r w:rsidRPr="3B366774" w:rsidR="126B43E6">
        <w:rPr>
          <w:rFonts w:ascii="Arial" w:hAnsi="Arial" w:eastAsia="Arial" w:cs="Arial"/>
          <w:b w:val="0"/>
          <w:bCs w:val="0"/>
          <w:noProof w:val="0"/>
          <w:sz w:val="22"/>
          <w:szCs w:val="22"/>
          <w:lang w:val="en-GB"/>
        </w:rPr>
        <w:t xml:space="preserve"> et al. (2025) expand the recruitment discussion to a global context, emphasising the expanding reliance of multinational firms on skilled foreign labour to address talent shortages. Their data suggest that organisations are no longer constrained by national labour markets; they must now compete globally for talent. While this broadens r</w:t>
      </w:r>
      <w:r w:rsidRPr="3B366774" w:rsidR="315E7155">
        <w:rPr>
          <w:rFonts w:ascii="Arial" w:hAnsi="Arial" w:eastAsia="Arial" w:cs="Arial"/>
          <w:b w:val="0"/>
          <w:bCs w:val="0"/>
          <w:noProof w:val="0"/>
          <w:sz w:val="22"/>
          <w:szCs w:val="22"/>
          <w:lang w:val="en-GB"/>
        </w:rPr>
        <w:t>/</w:t>
      </w:r>
      <w:r w:rsidRPr="3B366774" w:rsidR="1AC07E11">
        <w:rPr>
          <w:rFonts w:ascii="Arial" w:hAnsi="Arial" w:eastAsia="Arial" w:cs="Arial"/>
          <w:b w:val="0"/>
          <w:bCs w:val="0"/>
          <w:noProof w:val="0"/>
          <w:sz w:val="22"/>
          <w:szCs w:val="22"/>
          <w:lang w:val="en-GB"/>
        </w:rPr>
        <w:t>recruitment</w:t>
      </w:r>
      <w:r w:rsidRPr="3B366774" w:rsidR="126B43E6">
        <w:rPr>
          <w:rFonts w:ascii="Arial" w:hAnsi="Arial" w:eastAsia="Arial" w:cs="Arial"/>
          <w:b w:val="0"/>
          <w:bCs w:val="0"/>
          <w:noProof w:val="0"/>
          <w:sz w:val="22"/>
          <w:szCs w:val="22"/>
          <w:lang w:val="en-GB"/>
        </w:rPr>
        <w:t xml:space="preserve"> opportunities, it also introduces new retention challenges, including cultural incorporation, relocation support, and career progression across international contexts. Critically, this highlights a limitation in conventional recruitment models, which often presume static, localised workforces. However, the study places greater emphasis on macro-level strategies, offering limited insight into how individual employee experiences influence retention outcomes.</w:t>
      </w:r>
    </w:p>
    <w:p w:rsidR="243BEF60" w:rsidP="3B366774" w:rsidRDefault="243BEF60" w14:paraId="6C6DEC23" w14:textId="05045F9A">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126B43E6">
        <w:rPr>
          <w:rFonts w:ascii="Arial" w:hAnsi="Arial" w:eastAsia="Arial" w:cs="Arial"/>
          <w:b w:val="0"/>
          <w:bCs w:val="0"/>
          <w:noProof w:val="0"/>
          <w:sz w:val="22"/>
          <w:szCs w:val="22"/>
          <w:lang w:val="en-GB"/>
        </w:rPr>
        <w:t>Odom and Hyams-</w:t>
      </w:r>
      <w:r w:rsidRPr="3B366774" w:rsidR="126B43E6">
        <w:rPr>
          <w:rFonts w:ascii="Arial" w:hAnsi="Arial" w:eastAsia="Arial" w:cs="Arial"/>
          <w:b w:val="0"/>
          <w:bCs w:val="0"/>
          <w:noProof w:val="0"/>
          <w:sz w:val="22"/>
          <w:szCs w:val="22"/>
          <w:lang w:val="en-GB"/>
        </w:rPr>
        <w:t>Ssekasi</w:t>
      </w:r>
      <w:r w:rsidRPr="3B366774" w:rsidR="126B43E6">
        <w:rPr>
          <w:rFonts w:ascii="Arial" w:hAnsi="Arial" w:eastAsia="Arial" w:cs="Arial"/>
          <w:b w:val="0"/>
          <w:bCs w:val="0"/>
          <w:noProof w:val="0"/>
          <w:sz w:val="22"/>
          <w:szCs w:val="22"/>
          <w:lang w:val="en-GB"/>
        </w:rPr>
        <w:t xml:space="preserve"> (2023) further examine the role of data-informed decision-making in recruitment and workforce planning, arguing that Human Resource (HR) analytics enhances organisations' ability to predict workforce needs and optimise recruitment plans. By employing data on employee performance, turnover patterns, and labour industry patterns, organisations can make more knowledgeable hiring decisions. While this embodies a significant advancement in strategic HRM, the authors acknowledge that analytics alone cannot entirely capture the complexity of human conduct and behaviour. Excessive reliance on quantitative indicators may overlook qualitative factors, such as organisational culture and employee well-being, which are critical to retention. This limitation </w:t>
      </w:r>
      <w:r w:rsidRPr="3B366774" w:rsidR="126B43E6">
        <w:rPr>
          <w:rFonts w:ascii="Arial" w:hAnsi="Arial" w:eastAsia="Arial" w:cs="Arial"/>
          <w:b w:val="0"/>
          <w:bCs w:val="0"/>
          <w:noProof w:val="0"/>
          <w:sz w:val="22"/>
          <w:szCs w:val="22"/>
          <w:lang w:val="en-GB"/>
        </w:rPr>
        <w:t>indicates</w:t>
      </w:r>
      <w:r w:rsidRPr="3B366774" w:rsidR="126B43E6">
        <w:rPr>
          <w:rFonts w:ascii="Arial" w:hAnsi="Arial" w:eastAsia="Arial" w:cs="Arial"/>
          <w:b w:val="0"/>
          <w:bCs w:val="0"/>
          <w:noProof w:val="0"/>
          <w:sz w:val="22"/>
          <w:szCs w:val="22"/>
          <w:lang w:val="en-GB"/>
        </w:rPr>
        <w:t xml:space="preserve"> that although HR analytics can improve efficiency, it needs to be complemented by more holistic, human-centred approaches.</w:t>
      </w:r>
    </w:p>
    <w:p w:rsidR="243BEF60" w:rsidP="3B366774" w:rsidRDefault="243BEF60" w14:paraId="53408B73" w14:textId="541A5255">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126B43E6">
        <w:rPr>
          <w:rFonts w:ascii="Arial" w:hAnsi="Arial" w:eastAsia="Arial" w:cs="Arial"/>
          <w:b w:val="0"/>
          <w:bCs w:val="0"/>
          <w:noProof w:val="0"/>
          <w:sz w:val="22"/>
          <w:szCs w:val="22"/>
          <w:lang w:val="en-GB"/>
        </w:rPr>
        <w:t xml:space="preserve">Retention, in contrast, has been more </w:t>
      </w:r>
      <w:r w:rsidRPr="3B366774" w:rsidR="09F7D287">
        <w:rPr>
          <w:rFonts w:ascii="Arial" w:hAnsi="Arial" w:eastAsia="Arial" w:cs="Arial"/>
          <w:b w:val="0"/>
          <w:bCs w:val="0"/>
          <w:noProof w:val="0"/>
          <w:sz w:val="22"/>
          <w:szCs w:val="22"/>
          <w:lang w:val="en-GB"/>
        </w:rPr>
        <w:t>strongly associated</w:t>
      </w:r>
      <w:r w:rsidRPr="3B366774" w:rsidR="126B43E6">
        <w:rPr>
          <w:rFonts w:ascii="Arial" w:hAnsi="Arial" w:eastAsia="Arial" w:cs="Arial"/>
          <w:b w:val="0"/>
          <w:bCs w:val="0"/>
          <w:noProof w:val="0"/>
          <w:sz w:val="22"/>
          <w:szCs w:val="22"/>
          <w:lang w:val="en-GB"/>
        </w:rPr>
        <w:t xml:space="preserve"> with employee attitudes and experiences within the organisation. </w:t>
      </w:r>
      <w:r w:rsidRPr="3B366774" w:rsidR="126B43E6">
        <w:rPr>
          <w:rFonts w:ascii="Arial" w:hAnsi="Arial" w:eastAsia="Arial" w:cs="Arial"/>
          <w:b w:val="0"/>
          <w:bCs w:val="0"/>
          <w:noProof w:val="0"/>
          <w:sz w:val="22"/>
          <w:szCs w:val="22"/>
          <w:lang w:val="en-GB"/>
        </w:rPr>
        <w:t>Muofhe</w:t>
      </w:r>
      <w:r w:rsidRPr="3B366774" w:rsidR="126B43E6">
        <w:rPr>
          <w:rFonts w:ascii="Arial" w:hAnsi="Arial" w:eastAsia="Arial" w:cs="Arial"/>
          <w:b w:val="0"/>
          <w:bCs w:val="0"/>
          <w:noProof w:val="0"/>
          <w:sz w:val="22"/>
          <w:szCs w:val="22"/>
          <w:lang w:val="en-GB"/>
        </w:rPr>
        <w:t xml:space="preserve"> </w:t>
      </w:r>
      <w:r w:rsidRPr="3B366774" w:rsidR="126B43E6">
        <w:rPr>
          <w:rFonts w:ascii="Arial" w:hAnsi="Arial" w:eastAsia="Arial" w:cs="Arial"/>
          <w:b w:val="0"/>
          <w:bCs w:val="0"/>
          <w:noProof w:val="0"/>
          <w:sz w:val="22"/>
          <w:szCs w:val="22"/>
          <w:lang w:val="en-GB"/>
        </w:rPr>
        <w:t>Nnditsheni</w:t>
      </w:r>
      <w:r w:rsidRPr="3B366774" w:rsidR="126B43E6">
        <w:rPr>
          <w:rFonts w:ascii="Arial" w:hAnsi="Arial" w:eastAsia="Arial" w:cs="Arial"/>
          <w:b w:val="0"/>
          <w:bCs w:val="0"/>
          <w:noProof w:val="0"/>
          <w:sz w:val="22"/>
          <w:szCs w:val="22"/>
          <w:lang w:val="en-GB"/>
        </w:rPr>
        <w:t xml:space="preserve"> John (2021) </w:t>
      </w:r>
      <w:r w:rsidRPr="3B366774" w:rsidR="126B43E6">
        <w:rPr>
          <w:rFonts w:ascii="Arial" w:hAnsi="Arial" w:eastAsia="Arial" w:cs="Arial"/>
          <w:b w:val="0"/>
          <w:bCs w:val="0"/>
          <w:noProof w:val="0"/>
          <w:sz w:val="22"/>
          <w:szCs w:val="22"/>
          <w:lang w:val="en-GB"/>
        </w:rPr>
        <w:t>identifies</w:t>
      </w:r>
      <w:r w:rsidRPr="3B366774" w:rsidR="126B43E6">
        <w:rPr>
          <w:rFonts w:ascii="Arial" w:hAnsi="Arial" w:eastAsia="Arial" w:cs="Arial"/>
          <w:b w:val="0"/>
          <w:bCs w:val="0"/>
          <w:noProof w:val="0"/>
          <w:sz w:val="22"/>
          <w:szCs w:val="22"/>
          <w:lang w:val="en-GB"/>
        </w:rPr>
        <w:t xml:space="preserve"> a strong relationship between job satisfaction and employee retention in the South African aviation industry, suggesting that satisfied employees are significantly more likely to remain with their organisation. Key drivers of satisfaction include working conditions, compensation, and prospects for career advancement. While these findings correspond with wider HRM literature, they also raise questions </w:t>
      </w:r>
      <w:r w:rsidRPr="3B366774" w:rsidR="126B43E6">
        <w:rPr>
          <w:rFonts w:ascii="Arial" w:hAnsi="Arial" w:eastAsia="Arial" w:cs="Arial"/>
          <w:b w:val="0"/>
          <w:bCs w:val="0"/>
          <w:noProof w:val="0"/>
          <w:sz w:val="22"/>
          <w:szCs w:val="22"/>
          <w:lang w:val="en-GB"/>
        </w:rPr>
        <w:t>regarding</w:t>
      </w:r>
      <w:r w:rsidRPr="3B366774" w:rsidR="126B43E6">
        <w:rPr>
          <w:rFonts w:ascii="Arial" w:hAnsi="Arial" w:eastAsia="Arial" w:cs="Arial"/>
          <w:b w:val="0"/>
          <w:bCs w:val="0"/>
          <w:noProof w:val="0"/>
          <w:sz w:val="22"/>
          <w:szCs w:val="22"/>
          <w:lang w:val="en-GB"/>
        </w:rPr>
        <w:t xml:space="preserve"> causality. It </w:t>
      </w:r>
      <w:r w:rsidRPr="3B366774" w:rsidR="126B43E6">
        <w:rPr>
          <w:rFonts w:ascii="Arial" w:hAnsi="Arial" w:eastAsia="Arial" w:cs="Arial"/>
          <w:b w:val="0"/>
          <w:bCs w:val="0"/>
          <w:noProof w:val="0"/>
          <w:sz w:val="22"/>
          <w:szCs w:val="22"/>
          <w:lang w:val="en-GB"/>
        </w:rPr>
        <w:t>remains</w:t>
      </w:r>
      <w:r w:rsidRPr="3B366774" w:rsidR="126B43E6">
        <w:rPr>
          <w:rFonts w:ascii="Arial" w:hAnsi="Arial" w:eastAsia="Arial" w:cs="Arial"/>
          <w:b w:val="0"/>
          <w:bCs w:val="0"/>
          <w:noProof w:val="0"/>
          <w:sz w:val="22"/>
          <w:szCs w:val="22"/>
          <w:lang w:val="en-GB"/>
        </w:rPr>
        <w:t xml:space="preserve"> unclear whether job satisfaction leads to retention or whether employees who </w:t>
      </w:r>
      <w:r w:rsidRPr="3B366774" w:rsidR="126B43E6">
        <w:rPr>
          <w:rFonts w:ascii="Arial" w:hAnsi="Arial" w:eastAsia="Arial" w:cs="Arial"/>
          <w:b w:val="0"/>
          <w:bCs w:val="0"/>
          <w:noProof w:val="0"/>
          <w:sz w:val="22"/>
          <w:szCs w:val="22"/>
          <w:lang w:val="en-GB"/>
        </w:rPr>
        <w:t>remain</w:t>
      </w:r>
      <w:r w:rsidRPr="3B366774" w:rsidR="126B43E6">
        <w:rPr>
          <w:rFonts w:ascii="Arial" w:hAnsi="Arial" w:eastAsia="Arial" w:cs="Arial"/>
          <w:b w:val="0"/>
          <w:bCs w:val="0"/>
          <w:noProof w:val="0"/>
          <w:sz w:val="22"/>
          <w:szCs w:val="22"/>
          <w:lang w:val="en-GB"/>
        </w:rPr>
        <w:t xml:space="preserve"> longer become more satisfied over time. Additionally, the study does not fully account for external labour-market factors, such as competing job opportunities, which may independently influence retention.</w:t>
      </w:r>
    </w:p>
    <w:p w:rsidR="243BEF60" w:rsidP="3B366774" w:rsidRDefault="243BEF60" w14:paraId="62C75DAA" w14:textId="2B6EA8B4">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126B43E6">
        <w:rPr>
          <w:rFonts w:ascii="Arial" w:hAnsi="Arial" w:eastAsia="Arial" w:cs="Arial"/>
          <w:b w:val="0"/>
          <w:bCs w:val="0"/>
          <w:noProof w:val="0"/>
          <w:sz w:val="22"/>
          <w:szCs w:val="22"/>
          <w:lang w:val="en-GB"/>
        </w:rPr>
        <w:t xml:space="preserve">Building on sector-specific insights, Efthymiou et al. (2021) examine retention among entry-level airline pilots at Ryanair and </w:t>
      </w:r>
      <w:r w:rsidRPr="3B366774" w:rsidR="126B43E6">
        <w:rPr>
          <w:rFonts w:ascii="Arial" w:hAnsi="Arial" w:eastAsia="Arial" w:cs="Arial"/>
          <w:b w:val="0"/>
          <w:bCs w:val="0"/>
          <w:noProof w:val="0"/>
          <w:sz w:val="22"/>
          <w:szCs w:val="22"/>
          <w:lang w:val="en-GB"/>
        </w:rPr>
        <w:t>identify</w:t>
      </w:r>
      <w:r w:rsidRPr="3B366774" w:rsidR="126B43E6">
        <w:rPr>
          <w:rFonts w:ascii="Arial" w:hAnsi="Arial" w:eastAsia="Arial" w:cs="Arial"/>
          <w:b w:val="0"/>
          <w:bCs w:val="0"/>
          <w:noProof w:val="0"/>
          <w:sz w:val="22"/>
          <w:szCs w:val="22"/>
          <w:lang w:val="en-GB"/>
        </w:rPr>
        <w:t xml:space="preserve"> career progression, </w:t>
      </w:r>
      <w:r w:rsidRPr="3B366774" w:rsidR="126B43E6">
        <w:rPr>
          <w:rFonts w:ascii="Arial" w:hAnsi="Arial" w:eastAsia="Arial" w:cs="Arial"/>
          <w:b w:val="0"/>
          <w:bCs w:val="0"/>
          <w:noProof w:val="0"/>
          <w:sz w:val="22"/>
          <w:szCs w:val="22"/>
          <w:lang w:val="en-GB"/>
        </w:rPr>
        <w:t>remuneration</w:t>
      </w:r>
      <w:r w:rsidRPr="3B366774" w:rsidR="126B43E6">
        <w:rPr>
          <w:rFonts w:ascii="Arial" w:hAnsi="Arial" w:eastAsia="Arial" w:cs="Arial"/>
          <w:b w:val="0"/>
          <w:bCs w:val="0"/>
          <w:noProof w:val="0"/>
          <w:sz w:val="22"/>
          <w:szCs w:val="22"/>
          <w:lang w:val="en-GB"/>
        </w:rPr>
        <w:t xml:space="preserve">, and contractual conditions as critical determinants. Notably, the study </w:t>
      </w:r>
      <w:r w:rsidRPr="3B366774" w:rsidR="126B43E6">
        <w:rPr>
          <w:rFonts w:ascii="Arial" w:hAnsi="Arial" w:eastAsia="Arial" w:cs="Arial"/>
          <w:b w:val="0"/>
          <w:bCs w:val="0"/>
          <w:noProof w:val="0"/>
          <w:sz w:val="22"/>
          <w:szCs w:val="22"/>
          <w:lang w:val="en-GB"/>
        </w:rPr>
        <w:t>indicates</w:t>
      </w:r>
      <w:r w:rsidRPr="3B366774" w:rsidR="126B43E6">
        <w:rPr>
          <w:rFonts w:ascii="Arial" w:hAnsi="Arial" w:eastAsia="Arial" w:cs="Arial"/>
          <w:b w:val="0"/>
          <w:bCs w:val="0"/>
          <w:noProof w:val="0"/>
          <w:sz w:val="22"/>
          <w:szCs w:val="22"/>
          <w:lang w:val="en-GB"/>
        </w:rPr>
        <w:t xml:space="preserve"> dissatisfaction with employment conditions, including job insecurity and limited career development opportunities, as main drivers of turnover. This reinforces the argument that retention is not entirely reliant on </w:t>
      </w:r>
      <w:r w:rsidRPr="3B366774" w:rsidR="126B43E6">
        <w:rPr>
          <w:rFonts w:ascii="Arial" w:hAnsi="Arial" w:eastAsia="Arial" w:cs="Arial"/>
          <w:b w:val="0"/>
          <w:bCs w:val="0"/>
          <w:noProof w:val="0"/>
          <w:sz w:val="22"/>
          <w:szCs w:val="22"/>
          <w:lang w:val="en-GB"/>
        </w:rPr>
        <w:t>initial</w:t>
      </w:r>
      <w:r w:rsidRPr="3B366774" w:rsidR="126B43E6">
        <w:rPr>
          <w:rFonts w:ascii="Arial" w:hAnsi="Arial" w:eastAsia="Arial" w:cs="Arial"/>
          <w:b w:val="0"/>
          <w:bCs w:val="0"/>
          <w:noProof w:val="0"/>
          <w:sz w:val="22"/>
          <w:szCs w:val="22"/>
          <w:lang w:val="en-GB"/>
        </w:rPr>
        <w:t xml:space="preserve"> recruitment but is </w:t>
      </w:r>
      <w:r w:rsidRPr="3B366774" w:rsidR="126B43E6">
        <w:rPr>
          <w:rFonts w:ascii="Arial" w:hAnsi="Arial" w:eastAsia="Arial" w:cs="Arial"/>
          <w:b w:val="0"/>
          <w:bCs w:val="0"/>
          <w:noProof w:val="0"/>
          <w:sz w:val="22"/>
          <w:szCs w:val="22"/>
          <w:lang w:val="en-GB"/>
        </w:rPr>
        <w:t>determined</w:t>
      </w:r>
      <w:r w:rsidRPr="3B366774" w:rsidR="126B43E6">
        <w:rPr>
          <w:rFonts w:ascii="Arial" w:hAnsi="Arial" w:eastAsia="Arial" w:cs="Arial"/>
          <w:b w:val="0"/>
          <w:bCs w:val="0"/>
          <w:noProof w:val="0"/>
          <w:sz w:val="22"/>
          <w:szCs w:val="22"/>
          <w:lang w:val="en-GB"/>
        </w:rPr>
        <w:t xml:space="preserve"> by ongoing HRM practices. However, the study’s focus on a single airline limits its generalisability, particularly given the diversity of employment models across the aviation industry.</w:t>
      </w:r>
    </w:p>
    <w:p w:rsidR="243BEF60" w:rsidP="3B366774" w:rsidRDefault="243BEF60" w14:paraId="3F0384C5" w14:textId="5280956B">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126B43E6">
        <w:rPr>
          <w:rFonts w:ascii="Arial" w:hAnsi="Arial" w:eastAsia="Arial" w:cs="Arial"/>
          <w:b w:val="0"/>
          <w:bCs w:val="0"/>
          <w:noProof w:val="0"/>
          <w:sz w:val="22"/>
          <w:szCs w:val="22"/>
          <w:lang w:val="en-GB"/>
        </w:rPr>
        <w:t xml:space="preserve">The importance of more extensive HRM practices in supporting retention is emphasised by Tej et al. (2021), who argue that training, performance management, and employee engagement initiatives are positively associated with employee commitment and retention. This is consistent with the concept of High-Performance Work Systems (HPWS), which integrate multiple HRM practices to strengthen employee outcomes. However, the authors adopt a </w:t>
      </w:r>
      <w:r w:rsidRPr="3B366774" w:rsidR="126B43E6">
        <w:rPr>
          <w:rFonts w:ascii="Arial" w:hAnsi="Arial" w:eastAsia="Arial" w:cs="Arial"/>
          <w:b w:val="0"/>
          <w:bCs w:val="0"/>
          <w:noProof w:val="0"/>
          <w:sz w:val="22"/>
          <w:szCs w:val="22"/>
          <w:lang w:val="en-GB"/>
        </w:rPr>
        <w:t>largely positive</w:t>
      </w:r>
      <w:r w:rsidRPr="3B366774" w:rsidR="126B43E6">
        <w:rPr>
          <w:rFonts w:ascii="Arial" w:hAnsi="Arial" w:eastAsia="Arial" w:cs="Arial"/>
          <w:b w:val="0"/>
          <w:bCs w:val="0"/>
          <w:noProof w:val="0"/>
          <w:sz w:val="22"/>
          <w:szCs w:val="22"/>
          <w:lang w:val="en-GB"/>
        </w:rPr>
        <w:t xml:space="preserve"> perspective, </w:t>
      </w:r>
      <w:r w:rsidRPr="3B366774" w:rsidR="126B43E6">
        <w:rPr>
          <w:rFonts w:ascii="Arial" w:hAnsi="Arial" w:eastAsia="Arial" w:cs="Arial"/>
          <w:b w:val="0"/>
          <w:bCs w:val="0"/>
          <w:noProof w:val="0"/>
          <w:sz w:val="22"/>
          <w:szCs w:val="22"/>
          <w:lang w:val="en-GB"/>
        </w:rPr>
        <w:t>possibly overlooking</w:t>
      </w:r>
      <w:r w:rsidRPr="3B366774" w:rsidR="126B43E6">
        <w:rPr>
          <w:rFonts w:ascii="Arial" w:hAnsi="Arial" w:eastAsia="Arial" w:cs="Arial"/>
          <w:b w:val="0"/>
          <w:bCs w:val="0"/>
          <w:noProof w:val="0"/>
          <w:sz w:val="22"/>
          <w:szCs w:val="22"/>
          <w:lang w:val="en-GB"/>
        </w:rPr>
        <w:t xml:space="preserve"> the possibility that such practices may also increase pressure and workload, </w:t>
      </w:r>
      <w:r w:rsidRPr="3B366774" w:rsidR="126B43E6">
        <w:rPr>
          <w:rFonts w:ascii="Arial" w:hAnsi="Arial" w:eastAsia="Arial" w:cs="Arial"/>
          <w:b w:val="0"/>
          <w:bCs w:val="0"/>
          <w:noProof w:val="0"/>
          <w:sz w:val="22"/>
          <w:szCs w:val="22"/>
          <w:lang w:val="en-GB"/>
        </w:rPr>
        <w:t>consequently</w:t>
      </w:r>
      <w:r w:rsidRPr="3B366774" w:rsidR="126B43E6">
        <w:rPr>
          <w:rFonts w:ascii="Arial" w:hAnsi="Arial" w:eastAsia="Arial" w:cs="Arial"/>
          <w:b w:val="0"/>
          <w:bCs w:val="0"/>
          <w:noProof w:val="0"/>
          <w:sz w:val="22"/>
          <w:szCs w:val="22"/>
          <w:lang w:val="en-GB"/>
        </w:rPr>
        <w:t xml:space="preserve"> contributing to employee stress and turnover. This critique is supported by Guest (2017), who draws attention to the dual nature of HRM practices, suggesting that although they </w:t>
      </w:r>
      <w:r w:rsidRPr="3B366774" w:rsidR="126B43E6">
        <w:rPr>
          <w:rFonts w:ascii="Arial" w:hAnsi="Arial" w:eastAsia="Arial" w:cs="Arial"/>
          <w:b w:val="0"/>
          <w:bCs w:val="0"/>
          <w:noProof w:val="0"/>
          <w:sz w:val="22"/>
          <w:szCs w:val="22"/>
          <w:lang w:val="en-GB"/>
        </w:rPr>
        <w:t>have the ability to</w:t>
      </w:r>
      <w:r w:rsidRPr="3B366774" w:rsidR="126B43E6">
        <w:rPr>
          <w:rFonts w:ascii="Arial" w:hAnsi="Arial" w:eastAsia="Arial" w:cs="Arial"/>
          <w:b w:val="0"/>
          <w:bCs w:val="0"/>
          <w:noProof w:val="0"/>
          <w:sz w:val="22"/>
          <w:szCs w:val="22"/>
          <w:lang w:val="en-GB"/>
        </w:rPr>
        <w:t xml:space="preserve"> enhance well-being and participation, they may also function as “demands” that negatively </w:t>
      </w:r>
      <w:r w:rsidRPr="3B366774" w:rsidR="126B43E6">
        <w:rPr>
          <w:rFonts w:ascii="Arial" w:hAnsi="Arial" w:eastAsia="Arial" w:cs="Arial"/>
          <w:b w:val="0"/>
          <w:bCs w:val="0"/>
          <w:noProof w:val="0"/>
          <w:sz w:val="22"/>
          <w:szCs w:val="22"/>
          <w:lang w:val="en-GB"/>
        </w:rPr>
        <w:t>impact</w:t>
      </w:r>
      <w:r w:rsidRPr="3B366774" w:rsidR="126B43E6">
        <w:rPr>
          <w:rFonts w:ascii="Arial" w:hAnsi="Arial" w:eastAsia="Arial" w:cs="Arial"/>
          <w:b w:val="0"/>
          <w:bCs w:val="0"/>
          <w:noProof w:val="0"/>
          <w:sz w:val="22"/>
          <w:szCs w:val="22"/>
          <w:lang w:val="en-GB"/>
        </w:rPr>
        <w:t xml:space="preserve"> employees when poorly implemented.</w:t>
      </w:r>
    </w:p>
    <w:p w:rsidR="243BEF60" w:rsidP="3B366774" w:rsidRDefault="243BEF60" w14:paraId="2388F852" w14:textId="2287C5EB">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126B43E6">
        <w:rPr>
          <w:rFonts w:ascii="Arial" w:hAnsi="Arial" w:eastAsia="Arial" w:cs="Arial"/>
          <w:b w:val="0"/>
          <w:bCs w:val="0"/>
          <w:noProof w:val="0"/>
          <w:sz w:val="22"/>
          <w:szCs w:val="22"/>
          <w:lang w:val="en-GB"/>
        </w:rPr>
        <w:t xml:space="preserve">A more subtle understanding of retention is provided by Renaud et al. (2015), who adopt a longitudinal approach to examine HRM practices in the Canadian IT sector. Their evidence suggests that retention of highly skilled employees is controlled by a combination of factors, including career development opportunities, recognition, and organisational support. Importantly, the longitudinal design enables a more robust analysis of causality, </w:t>
      </w:r>
      <w:r w:rsidRPr="3B366774" w:rsidR="126B43E6">
        <w:rPr>
          <w:rFonts w:ascii="Arial" w:hAnsi="Arial" w:eastAsia="Arial" w:cs="Arial"/>
          <w:b w:val="0"/>
          <w:bCs w:val="0"/>
          <w:noProof w:val="0"/>
          <w:sz w:val="22"/>
          <w:szCs w:val="22"/>
          <w:lang w:val="en-GB"/>
        </w:rPr>
        <w:t>demonstrating</w:t>
      </w:r>
      <w:r w:rsidRPr="3B366774" w:rsidR="126B43E6">
        <w:rPr>
          <w:rFonts w:ascii="Arial" w:hAnsi="Arial" w:eastAsia="Arial" w:cs="Arial"/>
          <w:b w:val="0"/>
          <w:bCs w:val="0"/>
          <w:noProof w:val="0"/>
          <w:sz w:val="22"/>
          <w:szCs w:val="22"/>
          <w:lang w:val="en-GB"/>
        </w:rPr>
        <w:t xml:space="preserve"> that retention is </w:t>
      </w:r>
      <w:r w:rsidRPr="3B366774" w:rsidR="126B43E6">
        <w:rPr>
          <w:rFonts w:ascii="Arial" w:hAnsi="Arial" w:eastAsia="Arial" w:cs="Arial"/>
          <w:b w:val="0"/>
          <w:bCs w:val="0"/>
          <w:noProof w:val="0"/>
          <w:sz w:val="22"/>
          <w:szCs w:val="22"/>
          <w:lang w:val="en-GB"/>
        </w:rPr>
        <w:t>determined</w:t>
      </w:r>
      <w:r w:rsidRPr="3B366774" w:rsidR="126B43E6">
        <w:rPr>
          <w:rFonts w:ascii="Arial" w:hAnsi="Arial" w:eastAsia="Arial" w:cs="Arial"/>
          <w:b w:val="0"/>
          <w:bCs w:val="0"/>
          <w:noProof w:val="0"/>
          <w:sz w:val="22"/>
          <w:szCs w:val="22"/>
          <w:lang w:val="en-GB"/>
        </w:rPr>
        <w:t xml:space="preserve"> by sustained HRM techniques rather than isolated interventions. However, the transferability of these conclusions to the aviation sector may be limited, given differences in job structure, regulation, and labour mobility.</w:t>
      </w:r>
    </w:p>
    <w:p w:rsidR="243BEF60" w:rsidP="3B366774" w:rsidRDefault="243BEF60" w14:paraId="53D862A4" w14:textId="2CDEFE1B">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126B43E6">
        <w:rPr>
          <w:rFonts w:ascii="Arial" w:hAnsi="Arial" w:eastAsia="Arial" w:cs="Arial"/>
          <w:b w:val="0"/>
          <w:bCs w:val="0"/>
          <w:noProof w:val="0"/>
          <w:sz w:val="22"/>
          <w:szCs w:val="22"/>
          <w:lang w:val="en-GB"/>
        </w:rPr>
        <w:t>Psychological factors also play a critical role in shaping retention intentions. Park and Pierce (2024) highlight the mediating effect of public service motivation and task self-efficacy on retention intention, suggesting that employees are more likely to remain in roles where they feel competent and aligned with organisational purpose. This perspective introduces an important psychological dimension to retention, moving beyond structural and financial factors. However, the study’s focus on public service contexts may limit its applicability to commercial industries such as aviation, where financial incentives and career progression may play a more prominent role.</w:t>
      </w:r>
    </w:p>
    <w:p w:rsidR="243BEF60" w:rsidP="3B366774" w:rsidRDefault="243BEF60" w14:paraId="419434D2" w14:textId="68352B81">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126B43E6">
        <w:rPr>
          <w:rFonts w:ascii="Arial" w:hAnsi="Arial" w:eastAsia="Arial" w:cs="Arial"/>
          <w:b w:val="0"/>
          <w:bCs w:val="0"/>
          <w:noProof w:val="0"/>
          <w:sz w:val="22"/>
          <w:szCs w:val="22"/>
          <w:lang w:val="en-GB"/>
        </w:rPr>
        <w:t>Across the literature, a recurring theme is the interaction between recruitment and retention, shaped by employee expectations and organisational experiences. Effective recruitment processes that provide realistic job previews and align candidate expectations with organisational realities can enhance retention by reducing early dissatisfaction. Conversely, even well-designed recruitment strategies may fail if organisational practices do not meet employee expectations over time. This highlights the importance of consistency between the “promises” made during recruitment and the “reality” employees experience.</w:t>
      </w:r>
    </w:p>
    <w:p w:rsidR="243BEF60" w:rsidP="3B366774" w:rsidRDefault="243BEF60" w14:paraId="473E3D58" w14:textId="7A5522F4">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126B43E6">
        <w:rPr>
          <w:rFonts w:ascii="Arial" w:hAnsi="Arial" w:eastAsia="Arial" w:cs="Arial"/>
          <w:b w:val="0"/>
          <w:bCs w:val="0"/>
          <w:noProof w:val="0"/>
          <w:sz w:val="22"/>
          <w:szCs w:val="22"/>
          <w:lang w:val="en-GB"/>
        </w:rPr>
        <w:t xml:space="preserve">Critically, the literature also reveals several gaps. Many studies adopt cross-sectional designs, limiting the ability to </w:t>
      </w:r>
      <w:r w:rsidRPr="3B366774" w:rsidR="126B43E6">
        <w:rPr>
          <w:rFonts w:ascii="Arial" w:hAnsi="Arial" w:eastAsia="Arial" w:cs="Arial"/>
          <w:b w:val="0"/>
          <w:bCs w:val="0"/>
          <w:noProof w:val="0"/>
          <w:sz w:val="22"/>
          <w:szCs w:val="22"/>
          <w:lang w:val="en-GB"/>
        </w:rPr>
        <w:t>establish</w:t>
      </w:r>
      <w:r w:rsidRPr="3B366774" w:rsidR="126B43E6">
        <w:rPr>
          <w:rFonts w:ascii="Arial" w:hAnsi="Arial" w:eastAsia="Arial" w:cs="Arial"/>
          <w:b w:val="0"/>
          <w:bCs w:val="0"/>
          <w:noProof w:val="0"/>
          <w:sz w:val="22"/>
          <w:szCs w:val="22"/>
          <w:lang w:val="en-GB"/>
        </w:rPr>
        <w:t xml:space="preserve"> causal relationships between HRM practices and retention outcomes. Additionally, there is a tendency to focus on individual factors, such as job satisfaction or motivation, without fully integrating organisational and contextual influences. The role of external labour markets, particularly in globally competitive industries such as aviation, is often underexplored. Furthermore, while HR analytics and global recruitment strategies offer new opportunities, they also introduce complexities that are not yet fully understood.</w:t>
      </w:r>
    </w:p>
    <w:p w:rsidR="243BEF60" w:rsidP="3B366774" w:rsidRDefault="243BEF60" w14:paraId="165944F4" w14:textId="05CDA699">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126B43E6">
        <w:rPr>
          <w:rFonts w:ascii="Arial" w:hAnsi="Arial" w:eastAsia="Arial" w:cs="Arial"/>
          <w:b w:val="0"/>
          <w:bCs w:val="0"/>
          <w:noProof w:val="0"/>
          <w:sz w:val="22"/>
          <w:szCs w:val="22"/>
          <w:lang w:val="en-GB"/>
        </w:rPr>
        <w:t xml:space="preserve">In the aviation industry, these issues are particularly pronounced. High training costs, regulatory requirements, and global labour mobility create significant challenges for both recruitment and retention. While financial incentives </w:t>
      </w:r>
      <w:r w:rsidRPr="3B366774" w:rsidR="126B43E6">
        <w:rPr>
          <w:rFonts w:ascii="Arial" w:hAnsi="Arial" w:eastAsia="Arial" w:cs="Arial"/>
          <w:b w:val="0"/>
          <w:bCs w:val="0"/>
          <w:noProof w:val="0"/>
          <w:sz w:val="22"/>
          <w:szCs w:val="22"/>
          <w:lang w:val="en-GB"/>
        </w:rPr>
        <w:t>remain</w:t>
      </w:r>
      <w:r w:rsidRPr="3B366774" w:rsidR="126B43E6">
        <w:rPr>
          <w:rFonts w:ascii="Arial" w:hAnsi="Arial" w:eastAsia="Arial" w:cs="Arial"/>
          <w:b w:val="0"/>
          <w:bCs w:val="0"/>
          <w:noProof w:val="0"/>
          <w:sz w:val="22"/>
          <w:szCs w:val="22"/>
          <w:lang w:val="en-GB"/>
        </w:rPr>
        <w:t xml:space="preserve"> important, they are insufficient on their own to ensure long-term retention. Instead, organisations must adopt </w:t>
      </w:r>
      <w:r w:rsidRPr="3B366774" w:rsidR="086BDC7B">
        <w:rPr>
          <w:rFonts w:ascii="Arial" w:hAnsi="Arial" w:eastAsia="Arial" w:cs="Arial"/>
          <w:b w:val="0"/>
          <w:bCs w:val="0"/>
          <w:noProof w:val="0"/>
          <w:sz w:val="22"/>
          <w:szCs w:val="22"/>
          <w:lang w:val="en-GB"/>
        </w:rPr>
        <w:t>a comprehensive approach</w:t>
      </w:r>
      <w:r w:rsidRPr="3B366774" w:rsidR="126B43E6">
        <w:rPr>
          <w:rFonts w:ascii="Arial" w:hAnsi="Arial" w:eastAsia="Arial" w:cs="Arial"/>
          <w:b w:val="0"/>
          <w:bCs w:val="0"/>
          <w:noProof w:val="0"/>
          <w:sz w:val="22"/>
          <w:szCs w:val="22"/>
          <w:lang w:val="en-GB"/>
        </w:rPr>
        <w:t xml:space="preserve"> that integrates effective recruitment, supportive HRM practices, and a focus on employee well-being and career development.</w:t>
      </w:r>
    </w:p>
    <w:p w:rsidR="243BEF60" w:rsidP="3B366774" w:rsidRDefault="243BEF60" w14:paraId="715014E9" w14:textId="52C33F9E">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126B43E6">
        <w:rPr>
          <w:rFonts w:ascii="Arial" w:hAnsi="Arial" w:eastAsia="Arial" w:cs="Arial"/>
          <w:b w:val="0"/>
          <w:bCs w:val="0"/>
          <w:noProof w:val="0"/>
          <w:sz w:val="22"/>
          <w:szCs w:val="22"/>
          <w:lang w:val="en-GB"/>
        </w:rPr>
        <w:t xml:space="preserve">Overall, the literature suggests that recruitment and retention are dynamic, interrelated processes shaped by a combination of organisational practices, employee </w:t>
      </w:r>
      <w:r w:rsidRPr="3B366774" w:rsidR="126B43E6">
        <w:rPr>
          <w:rFonts w:ascii="Arial" w:hAnsi="Arial" w:eastAsia="Arial" w:cs="Arial"/>
          <w:b w:val="0"/>
          <w:bCs w:val="0"/>
          <w:noProof w:val="0"/>
          <w:sz w:val="22"/>
          <w:szCs w:val="22"/>
          <w:lang w:val="en-GB"/>
        </w:rPr>
        <w:t>perceptions</w:t>
      </w:r>
      <w:r w:rsidRPr="3B366774" w:rsidR="126B43E6">
        <w:rPr>
          <w:rFonts w:ascii="Arial" w:hAnsi="Arial" w:eastAsia="Arial" w:cs="Arial"/>
          <w:b w:val="0"/>
          <w:bCs w:val="0"/>
          <w:noProof w:val="0"/>
          <w:sz w:val="22"/>
          <w:szCs w:val="22"/>
          <w:lang w:val="en-GB"/>
        </w:rPr>
        <w:t xml:space="preserve">, and external factors. While </w:t>
      </w:r>
      <w:r w:rsidRPr="3B366774" w:rsidR="69548731">
        <w:rPr>
          <w:rFonts w:ascii="Arial" w:hAnsi="Arial" w:eastAsia="Arial" w:cs="Arial"/>
          <w:b w:val="0"/>
          <w:bCs w:val="0"/>
          <w:noProof w:val="0"/>
          <w:sz w:val="22"/>
          <w:szCs w:val="22"/>
          <w:lang w:val="en-GB"/>
        </w:rPr>
        <w:t>considerable progress</w:t>
      </w:r>
      <w:r w:rsidRPr="3B366774" w:rsidR="126B43E6">
        <w:rPr>
          <w:rFonts w:ascii="Arial" w:hAnsi="Arial" w:eastAsia="Arial" w:cs="Arial"/>
          <w:b w:val="0"/>
          <w:bCs w:val="0"/>
          <w:noProof w:val="0"/>
          <w:sz w:val="22"/>
          <w:szCs w:val="22"/>
          <w:lang w:val="en-GB"/>
        </w:rPr>
        <w:t xml:space="preserve"> has been made in understanding these relationships, further research is needed to develop more integrated, context-sensitive frameworks, particularly in high-pressure, globally competitive industries such as aviation.</w:t>
      </w:r>
    </w:p>
    <w:p w:rsidR="33C7BA29" w:rsidP="3B366774" w:rsidRDefault="33C7BA29" w14:paraId="222EBBA4" w14:textId="7F0A9AFF">
      <w:pPr>
        <w:pStyle w:val="Heading2"/>
        <w:bidi w:val="0"/>
        <w:spacing w:line="360" w:lineRule="auto"/>
        <w:jc w:val="both"/>
        <w:rPr>
          <w:rFonts w:ascii="Arial" w:hAnsi="Arial" w:eastAsia="Arial" w:cs="Arial"/>
          <w:b w:val="0"/>
          <w:bCs w:val="0"/>
          <w:noProof w:val="0"/>
          <w:sz w:val="22"/>
          <w:szCs w:val="22"/>
          <w:lang w:val="en-GB"/>
        </w:rPr>
      </w:pPr>
      <w:bookmarkStart w:name="_Toc239026571" w:id="174716594"/>
      <w:r w:rsidRPr="3B366774" w:rsidR="33C7BA29">
        <w:rPr>
          <w:rFonts w:ascii="Arial" w:hAnsi="Arial" w:eastAsia="Arial" w:cs="Arial"/>
          <w:noProof w:val="0"/>
          <w:sz w:val="22"/>
          <w:szCs w:val="22"/>
          <w:lang w:val="en-GB"/>
        </w:rPr>
        <w:t>Pilot Supply Decline: Working and Training Conditions</w:t>
      </w:r>
      <w:bookmarkEnd w:id="174716594"/>
    </w:p>
    <w:p w:rsidR="33C7BA29" w:rsidP="3B366774" w:rsidRDefault="33C7BA29" w14:paraId="1E129A85" w14:textId="7D63D0F6">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33C7BA29">
        <w:rPr>
          <w:rFonts w:ascii="Arial" w:hAnsi="Arial" w:eastAsia="Arial" w:cs="Arial"/>
          <w:b w:val="0"/>
          <w:bCs w:val="0"/>
          <w:noProof w:val="0"/>
          <w:sz w:val="22"/>
          <w:szCs w:val="22"/>
          <w:lang w:val="en-GB"/>
        </w:rPr>
        <w:t xml:space="preserve">The global aviation industry faces a sustained decline in pilot supply, driven by </w:t>
      </w:r>
      <w:r w:rsidRPr="3B366774" w:rsidR="79F6B90B">
        <w:rPr>
          <w:rFonts w:ascii="Arial" w:hAnsi="Arial" w:eastAsia="Arial" w:cs="Arial"/>
          <w:b w:val="0"/>
          <w:bCs w:val="0"/>
          <w:noProof w:val="0"/>
          <w:sz w:val="22"/>
          <w:szCs w:val="22"/>
          <w:lang w:val="en-GB"/>
        </w:rPr>
        <w:t>labour</w:t>
      </w:r>
      <w:r w:rsidRPr="3B366774" w:rsidR="33C7BA29">
        <w:rPr>
          <w:rFonts w:ascii="Arial" w:hAnsi="Arial" w:eastAsia="Arial" w:cs="Arial"/>
          <w:b w:val="0"/>
          <w:bCs w:val="0"/>
          <w:noProof w:val="0"/>
          <w:sz w:val="22"/>
          <w:szCs w:val="22"/>
          <w:lang w:val="en-GB"/>
        </w:rPr>
        <w:t xml:space="preserve"> market dynamics, regulatory requirements, and deteriorating working conditions, despite increasing demand for air travel. Scholars characterize this as a persistent structural imbalance rather than a temporary shortage. The literature consistently links pilot supply challenges to concerns </w:t>
      </w:r>
      <w:r w:rsidRPr="3B366774" w:rsidR="33C7BA29">
        <w:rPr>
          <w:rFonts w:ascii="Arial" w:hAnsi="Arial" w:eastAsia="Arial" w:cs="Arial"/>
          <w:b w:val="0"/>
          <w:bCs w:val="0"/>
          <w:noProof w:val="0"/>
          <w:sz w:val="22"/>
          <w:szCs w:val="22"/>
          <w:lang w:val="en-GB"/>
        </w:rPr>
        <w:t>regarding</w:t>
      </w:r>
      <w:r w:rsidRPr="3B366774" w:rsidR="33C7BA29">
        <w:rPr>
          <w:rFonts w:ascii="Arial" w:hAnsi="Arial" w:eastAsia="Arial" w:cs="Arial"/>
          <w:b w:val="0"/>
          <w:bCs w:val="0"/>
          <w:noProof w:val="0"/>
          <w:sz w:val="22"/>
          <w:szCs w:val="22"/>
          <w:lang w:val="en-GB"/>
        </w:rPr>
        <w:t xml:space="preserve"> professional status, job quality, and barriers to entry into the profession.</w:t>
      </w:r>
    </w:p>
    <w:p w:rsidR="33C7BA29" w:rsidP="3B366774" w:rsidRDefault="33C7BA29" w14:paraId="475CAEB3" w14:textId="5336DAA9">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33C7BA29">
        <w:rPr>
          <w:rFonts w:ascii="Arial" w:hAnsi="Arial" w:eastAsia="Arial" w:cs="Arial"/>
          <w:b w:val="0"/>
          <w:bCs w:val="0"/>
          <w:noProof w:val="0"/>
          <w:sz w:val="22"/>
          <w:szCs w:val="22"/>
          <w:lang w:val="en-GB"/>
        </w:rPr>
        <w:t xml:space="preserve">A central theme in the literature is the declining attractiveness of the pilot profession. </w:t>
      </w:r>
      <w:r w:rsidRPr="3B366774" w:rsidR="5EC1B82B">
        <w:rPr>
          <w:rFonts w:ascii="Arial" w:hAnsi="Arial" w:eastAsia="Arial" w:cs="Arial"/>
          <w:b w:val="0"/>
          <w:bCs w:val="0"/>
          <w:noProof w:val="0"/>
          <w:sz w:val="22"/>
          <w:szCs w:val="22"/>
          <w:lang w:val="en-GB"/>
        </w:rPr>
        <w:t>Maxwell &amp; Grant</w:t>
      </w:r>
      <w:r w:rsidRPr="3B366774" w:rsidR="33C7BA29">
        <w:rPr>
          <w:rFonts w:ascii="Arial" w:hAnsi="Arial" w:eastAsia="Arial" w:cs="Arial"/>
          <w:b w:val="0"/>
          <w:bCs w:val="0"/>
          <w:noProof w:val="0"/>
          <w:sz w:val="22"/>
          <w:szCs w:val="22"/>
          <w:lang w:val="en-GB"/>
        </w:rPr>
        <w:t xml:space="preserve"> (2021) argue that airline pilots, particularly at low-cost carriers, experience reduced job </w:t>
      </w:r>
      <w:r w:rsidRPr="3B366774" w:rsidR="2B261116">
        <w:rPr>
          <w:rFonts w:ascii="Arial" w:hAnsi="Arial" w:eastAsia="Arial" w:cs="Arial"/>
          <w:b w:val="0"/>
          <w:bCs w:val="0"/>
          <w:noProof w:val="0"/>
          <w:sz w:val="22"/>
          <w:szCs w:val="22"/>
          <w:lang w:val="en-GB"/>
        </w:rPr>
        <w:t>security,</w:t>
      </w:r>
      <w:r w:rsidRPr="3B366774" w:rsidR="33C7BA29">
        <w:rPr>
          <w:rFonts w:ascii="Arial" w:hAnsi="Arial" w:eastAsia="Arial" w:cs="Arial"/>
          <w:b w:val="0"/>
          <w:bCs w:val="0"/>
          <w:noProof w:val="0"/>
          <w:sz w:val="22"/>
          <w:szCs w:val="22"/>
          <w:lang w:val="en-GB"/>
        </w:rPr>
        <w:t xml:space="preserve"> and prestige due to the rise of flexible contracts and self-employment. These developments undermine the traditional </w:t>
      </w:r>
      <w:r w:rsidRPr="3B366774" w:rsidR="33C7BA29">
        <w:rPr>
          <w:rFonts w:ascii="Arial" w:hAnsi="Arial" w:eastAsia="Arial" w:cs="Arial"/>
          <w:b w:val="0"/>
          <w:bCs w:val="0"/>
          <w:noProof w:val="0"/>
          <w:sz w:val="22"/>
          <w:szCs w:val="22"/>
          <w:lang w:val="en-GB"/>
        </w:rPr>
        <w:t>perception</w:t>
      </w:r>
      <w:r w:rsidRPr="3B366774" w:rsidR="33C7BA29">
        <w:rPr>
          <w:rFonts w:ascii="Arial" w:hAnsi="Arial" w:eastAsia="Arial" w:cs="Arial"/>
          <w:b w:val="0"/>
          <w:bCs w:val="0"/>
          <w:noProof w:val="0"/>
          <w:sz w:val="22"/>
          <w:szCs w:val="22"/>
          <w:lang w:val="en-GB"/>
        </w:rPr>
        <w:t xml:space="preserve"> of aviation careers as stable and prestigious. However, their analysis may insufficiently address external influences, such as alternative career opportunities and evolving generational values, that also shape the profession's appeal.</w:t>
      </w:r>
    </w:p>
    <w:p w:rsidR="33C7BA29" w:rsidP="3B366774" w:rsidRDefault="33C7BA29" w14:paraId="38EA3CED" w14:textId="0E0928CC">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33C7BA29">
        <w:rPr>
          <w:rFonts w:ascii="Arial" w:hAnsi="Arial" w:eastAsia="Arial" w:cs="Arial"/>
          <w:b w:val="0"/>
          <w:bCs w:val="0"/>
          <w:noProof w:val="0"/>
          <w:sz w:val="22"/>
          <w:szCs w:val="22"/>
          <w:lang w:val="en-GB"/>
        </w:rPr>
        <w:t xml:space="preserve">The issue of pilot shortages has been widely documented, with </w:t>
      </w:r>
      <w:r w:rsidRPr="3B366774" w:rsidR="5FD02165">
        <w:rPr>
          <w:rFonts w:ascii="Arial" w:hAnsi="Arial" w:eastAsia="Arial" w:cs="Arial"/>
          <w:b w:val="0"/>
          <w:bCs w:val="0"/>
          <w:noProof w:val="0"/>
          <w:sz w:val="22"/>
          <w:szCs w:val="22"/>
          <w:lang w:val="en-GB"/>
        </w:rPr>
        <w:t>Klapper &amp; Ruff-Stahl</w:t>
      </w:r>
      <w:r w:rsidRPr="3B366774" w:rsidR="33C7BA29">
        <w:rPr>
          <w:rFonts w:ascii="Arial" w:hAnsi="Arial" w:eastAsia="Arial" w:cs="Arial"/>
          <w:b w:val="0"/>
          <w:bCs w:val="0"/>
          <w:noProof w:val="0"/>
          <w:sz w:val="22"/>
          <w:szCs w:val="22"/>
          <w:lang w:val="en-GB"/>
        </w:rPr>
        <w:t xml:space="preserve"> (2019) forecasting significant operational disruptions, primarily in regional airline sectors. Their analysis finds that smaller carriers are disproportionately affected by their limited ability to compete with major airlines on salaries and career progression. Similarly, Leroux-Parra (2019) describes the pilot shortage as a “terminal” issue amid an aviation boom, highlighting the paradox of increasing demand alongside declining workforce supply. While these studies effectively </w:t>
      </w:r>
      <w:r w:rsidRPr="3B366774" w:rsidR="33C7BA29">
        <w:rPr>
          <w:rFonts w:ascii="Arial" w:hAnsi="Arial" w:eastAsia="Arial" w:cs="Arial"/>
          <w:b w:val="0"/>
          <w:bCs w:val="0"/>
          <w:noProof w:val="0"/>
          <w:sz w:val="22"/>
          <w:szCs w:val="22"/>
          <w:lang w:val="en-GB"/>
        </w:rPr>
        <w:t>demonstrate</w:t>
      </w:r>
      <w:r w:rsidRPr="3B366774" w:rsidR="33C7BA29">
        <w:rPr>
          <w:rFonts w:ascii="Arial" w:hAnsi="Arial" w:eastAsia="Arial" w:cs="Arial"/>
          <w:b w:val="0"/>
          <w:bCs w:val="0"/>
          <w:noProof w:val="0"/>
          <w:sz w:val="22"/>
          <w:szCs w:val="22"/>
          <w:lang w:val="en-GB"/>
        </w:rPr>
        <w:t xml:space="preserve"> the scale of the problem, they tend to adopt a </w:t>
      </w:r>
      <w:bookmarkStart w:name="_Int_TOJSGZv3" w:id="759841728"/>
      <w:r w:rsidRPr="3B366774" w:rsidR="33C7BA29">
        <w:rPr>
          <w:rFonts w:ascii="Arial" w:hAnsi="Arial" w:eastAsia="Arial" w:cs="Arial"/>
          <w:b w:val="0"/>
          <w:bCs w:val="0"/>
          <w:noProof w:val="0"/>
          <w:sz w:val="22"/>
          <w:szCs w:val="22"/>
          <w:lang w:val="en-GB"/>
        </w:rPr>
        <w:t>largely quantitative</w:t>
      </w:r>
      <w:bookmarkEnd w:id="759841728"/>
      <w:r w:rsidRPr="3B366774" w:rsidR="33C7BA29">
        <w:rPr>
          <w:rFonts w:ascii="Arial" w:hAnsi="Arial" w:eastAsia="Arial" w:cs="Arial"/>
          <w:b w:val="0"/>
          <w:bCs w:val="0"/>
          <w:noProof w:val="0"/>
          <w:sz w:val="22"/>
          <w:szCs w:val="22"/>
          <w:lang w:val="en-GB"/>
        </w:rPr>
        <w:t>, forecasting approach, offering limited insight concerning the underlying human and organisational variables contributing to the shortage.</w:t>
      </w:r>
    </w:p>
    <w:p w:rsidR="33C7BA29" w:rsidP="3B366774" w:rsidRDefault="33C7BA29" w14:paraId="79AF71F7" w14:textId="21F85E30">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33C7BA29">
        <w:rPr>
          <w:rFonts w:ascii="Arial" w:hAnsi="Arial" w:eastAsia="Arial" w:cs="Arial"/>
          <w:b w:val="0"/>
          <w:bCs w:val="0"/>
          <w:noProof w:val="0"/>
          <w:sz w:val="22"/>
          <w:szCs w:val="22"/>
          <w:lang w:val="en-GB"/>
        </w:rPr>
        <w:t xml:space="preserve">Regulatory systems also serve a critical function in shaping pilot supply. Caraway (2020) argues that existing regulations, especially those related to minimum flight hours, act as barriers to entry by increasing the time and financial investment </w:t>
      </w:r>
      <w:r w:rsidRPr="3B366774" w:rsidR="33C7BA29">
        <w:rPr>
          <w:rFonts w:ascii="Arial" w:hAnsi="Arial" w:eastAsia="Arial" w:cs="Arial"/>
          <w:b w:val="0"/>
          <w:bCs w:val="0"/>
          <w:noProof w:val="0"/>
          <w:sz w:val="22"/>
          <w:szCs w:val="22"/>
          <w:lang w:val="en-GB"/>
        </w:rPr>
        <w:t>required</w:t>
      </w:r>
      <w:r w:rsidRPr="3B366774" w:rsidR="33C7BA29">
        <w:rPr>
          <w:rFonts w:ascii="Arial" w:hAnsi="Arial" w:eastAsia="Arial" w:cs="Arial"/>
          <w:b w:val="0"/>
          <w:bCs w:val="0"/>
          <w:noProof w:val="0"/>
          <w:sz w:val="22"/>
          <w:szCs w:val="22"/>
          <w:lang w:val="en-GB"/>
        </w:rPr>
        <w:t xml:space="preserve"> to qualify as a commercial pilot. While such regulations are important for </w:t>
      </w:r>
      <w:r w:rsidRPr="3B366774" w:rsidR="33C7BA29">
        <w:rPr>
          <w:rFonts w:ascii="Arial" w:hAnsi="Arial" w:eastAsia="Arial" w:cs="Arial"/>
          <w:b w:val="0"/>
          <w:bCs w:val="0"/>
          <w:noProof w:val="0"/>
          <w:sz w:val="22"/>
          <w:szCs w:val="22"/>
          <w:lang w:val="en-GB"/>
        </w:rPr>
        <w:t>maintaining</w:t>
      </w:r>
      <w:r w:rsidRPr="3B366774" w:rsidR="33C7BA29">
        <w:rPr>
          <w:rFonts w:ascii="Arial" w:hAnsi="Arial" w:eastAsia="Arial" w:cs="Arial"/>
          <w:b w:val="0"/>
          <w:bCs w:val="0"/>
          <w:noProof w:val="0"/>
          <w:sz w:val="22"/>
          <w:szCs w:val="22"/>
          <w:lang w:val="en-GB"/>
        </w:rPr>
        <w:t xml:space="preserve"> safety standards, they could accidentally restrict the talent pipeline. This creates a tension among safety and reachability, with policymakers handling rigorous training requirements with the need to expand the workforce. However, proposals to relax regulations are contentious, as they risk jeopardizing safety in an already high-risk industry.</w:t>
      </w:r>
    </w:p>
    <w:p w:rsidR="33C7BA29" w:rsidP="3B366774" w:rsidRDefault="33C7BA29" w14:paraId="75789D4A" w14:textId="3582AEB4">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33C7BA29">
        <w:rPr>
          <w:rFonts w:ascii="Arial" w:hAnsi="Arial" w:eastAsia="Arial" w:cs="Arial"/>
          <w:b w:val="0"/>
          <w:bCs w:val="0"/>
          <w:noProof w:val="0"/>
          <w:sz w:val="22"/>
          <w:szCs w:val="22"/>
          <w:lang w:val="en-GB"/>
        </w:rPr>
        <w:t xml:space="preserve">Training pathways themselves represent a considerable barrier to entry. Lutte and Mills (2019) emphasise the benefit of collaboration between higher education institutions and the airline industry </w:t>
      </w:r>
      <w:r w:rsidRPr="3B366774" w:rsidR="33C7BA29">
        <w:rPr>
          <w:rFonts w:ascii="Arial" w:hAnsi="Arial" w:eastAsia="Arial" w:cs="Arial"/>
          <w:b w:val="0"/>
          <w:bCs w:val="0"/>
          <w:noProof w:val="0"/>
          <w:sz w:val="22"/>
          <w:szCs w:val="22"/>
          <w:lang w:val="en-GB"/>
        </w:rPr>
        <w:t>regarding</w:t>
      </w:r>
      <w:r w:rsidRPr="3B366774" w:rsidR="33C7BA29">
        <w:rPr>
          <w:rFonts w:ascii="Arial" w:hAnsi="Arial" w:eastAsia="Arial" w:cs="Arial"/>
          <w:b w:val="0"/>
          <w:bCs w:val="0"/>
          <w:noProof w:val="0"/>
          <w:sz w:val="22"/>
          <w:szCs w:val="22"/>
          <w:lang w:val="en-GB"/>
        </w:rPr>
        <w:t xml:space="preserve"> addressing pilot shortages. Their research reveals that partnerships </w:t>
      </w:r>
      <w:bookmarkStart w:name="_Int_RqEzWYub" w:id="1329926387"/>
      <w:r w:rsidRPr="3B366774" w:rsidR="33C7BA29">
        <w:rPr>
          <w:rFonts w:ascii="Arial" w:hAnsi="Arial" w:eastAsia="Arial" w:cs="Arial"/>
          <w:b w:val="0"/>
          <w:bCs w:val="0"/>
          <w:noProof w:val="0"/>
          <w:sz w:val="22"/>
          <w:szCs w:val="22"/>
          <w:lang w:val="en-GB"/>
        </w:rPr>
        <w:t>have the ability to</w:t>
      </w:r>
      <w:bookmarkEnd w:id="1329926387"/>
      <w:r w:rsidRPr="3B366774" w:rsidR="33C7BA29">
        <w:rPr>
          <w:rFonts w:ascii="Arial" w:hAnsi="Arial" w:eastAsia="Arial" w:cs="Arial"/>
          <w:b w:val="0"/>
          <w:bCs w:val="0"/>
          <w:noProof w:val="0"/>
          <w:sz w:val="22"/>
          <w:szCs w:val="22"/>
          <w:lang w:val="en-GB"/>
        </w:rPr>
        <w:t xml:space="preserve"> help reduce training costs, standardise curricula, and create clearer career pathways for aspiring pilots. Similarly, </w:t>
      </w:r>
      <w:r w:rsidRPr="3B366774" w:rsidR="33C7BA29">
        <w:rPr>
          <w:rFonts w:ascii="Arial" w:hAnsi="Arial" w:eastAsia="Arial" w:cs="Arial"/>
          <w:b w:val="0"/>
          <w:bCs w:val="0"/>
          <w:noProof w:val="0"/>
          <w:sz w:val="22"/>
          <w:szCs w:val="22"/>
          <w:lang w:val="en-GB"/>
        </w:rPr>
        <w:t>Ziakkas</w:t>
      </w:r>
      <w:r w:rsidRPr="3B366774" w:rsidR="33C7BA29">
        <w:rPr>
          <w:rFonts w:ascii="Arial" w:hAnsi="Arial" w:eastAsia="Arial" w:cs="Arial"/>
          <w:b w:val="0"/>
          <w:bCs w:val="0"/>
          <w:noProof w:val="0"/>
          <w:sz w:val="22"/>
          <w:szCs w:val="22"/>
          <w:lang w:val="en-GB"/>
        </w:rPr>
        <w:t xml:space="preserve">, Michael, and </w:t>
      </w:r>
      <w:r w:rsidRPr="3B366774" w:rsidR="33C7BA29">
        <w:rPr>
          <w:rFonts w:ascii="Arial" w:hAnsi="Arial" w:eastAsia="Arial" w:cs="Arial"/>
          <w:b w:val="0"/>
          <w:bCs w:val="0"/>
          <w:noProof w:val="0"/>
          <w:sz w:val="22"/>
          <w:szCs w:val="22"/>
          <w:lang w:val="en-GB"/>
        </w:rPr>
        <w:t>Pechlivanis</w:t>
      </w:r>
      <w:r w:rsidRPr="3B366774" w:rsidR="33C7BA29">
        <w:rPr>
          <w:rFonts w:ascii="Arial" w:hAnsi="Arial" w:eastAsia="Arial" w:cs="Arial"/>
          <w:b w:val="0"/>
          <w:bCs w:val="0"/>
          <w:noProof w:val="0"/>
          <w:sz w:val="22"/>
          <w:szCs w:val="22"/>
          <w:lang w:val="en-GB"/>
        </w:rPr>
        <w:t xml:space="preserve"> (2022) advocate implementing competency-based training and assessment (CBTA) frameworks which focus on skill development rather than fixed flight hours. This approach has the potential to improve training efficiency and more precisely align pilot competencies with commercial demands. However, while these innovations themselves bring promising solutions, their implementation calls for significant coordination and investment, which may limit their capacity for scaling throughout various regions and organisations.</w:t>
      </w:r>
    </w:p>
    <w:p w:rsidR="33C7BA29" w:rsidP="3B366774" w:rsidRDefault="33C7BA29" w14:paraId="6D8AF26D" w14:textId="2D6105AC">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33C7BA29">
        <w:rPr>
          <w:rFonts w:ascii="Arial" w:hAnsi="Arial" w:eastAsia="Arial" w:cs="Arial"/>
          <w:b w:val="0"/>
          <w:bCs w:val="0"/>
          <w:noProof w:val="0"/>
          <w:sz w:val="22"/>
          <w:szCs w:val="22"/>
          <w:lang w:val="en-GB"/>
        </w:rPr>
        <w:t xml:space="preserve">Beyond structural and organisational factors, working conditions serve an essential role in both attracting and </w:t>
      </w:r>
      <w:r w:rsidRPr="3B366774" w:rsidR="33C7BA29">
        <w:rPr>
          <w:rFonts w:ascii="Arial" w:hAnsi="Arial" w:eastAsia="Arial" w:cs="Arial"/>
          <w:b w:val="0"/>
          <w:bCs w:val="0"/>
          <w:noProof w:val="0"/>
          <w:sz w:val="22"/>
          <w:szCs w:val="22"/>
          <w:lang w:val="en-GB"/>
        </w:rPr>
        <w:t>retaining</w:t>
      </w:r>
      <w:r w:rsidRPr="3B366774" w:rsidR="33C7BA29">
        <w:rPr>
          <w:rFonts w:ascii="Arial" w:hAnsi="Arial" w:eastAsia="Arial" w:cs="Arial"/>
          <w:b w:val="0"/>
          <w:bCs w:val="0"/>
          <w:noProof w:val="0"/>
          <w:sz w:val="22"/>
          <w:szCs w:val="22"/>
          <w:lang w:val="en-GB"/>
        </w:rPr>
        <w:t xml:space="preserve"> pilots. Fatigue, for example, has long been recognised as a major issue within the profession. Jackson and Earl (2006) </w:t>
      </w:r>
      <w:r w:rsidRPr="3B366774" w:rsidR="33C7BA29">
        <w:rPr>
          <w:rFonts w:ascii="Arial" w:hAnsi="Arial" w:eastAsia="Arial" w:cs="Arial"/>
          <w:b w:val="0"/>
          <w:bCs w:val="0"/>
          <w:noProof w:val="0"/>
          <w:sz w:val="22"/>
          <w:szCs w:val="22"/>
          <w:lang w:val="en-GB"/>
        </w:rPr>
        <w:t>identify</w:t>
      </w:r>
      <w:r w:rsidRPr="3B366774" w:rsidR="33C7BA29">
        <w:rPr>
          <w:rFonts w:ascii="Arial" w:hAnsi="Arial" w:eastAsia="Arial" w:cs="Arial"/>
          <w:b w:val="0"/>
          <w:bCs w:val="0"/>
          <w:noProof w:val="0"/>
          <w:sz w:val="22"/>
          <w:szCs w:val="22"/>
          <w:lang w:val="en-GB"/>
        </w:rPr>
        <w:t xml:space="preserve"> a high prevalence of fatigue among commercial pilots, driven on account of irregular schedules, long working hours, and time zone disruptions. Despite the age of this study, its findings </w:t>
      </w:r>
      <w:r w:rsidRPr="3B366774" w:rsidR="33C7BA29">
        <w:rPr>
          <w:rFonts w:ascii="Arial" w:hAnsi="Arial" w:eastAsia="Arial" w:cs="Arial"/>
          <w:b w:val="0"/>
          <w:bCs w:val="0"/>
          <w:noProof w:val="0"/>
          <w:sz w:val="22"/>
          <w:szCs w:val="22"/>
          <w:lang w:val="en-GB"/>
        </w:rPr>
        <w:t>remain</w:t>
      </w:r>
      <w:r w:rsidRPr="3B366774" w:rsidR="33C7BA29">
        <w:rPr>
          <w:rFonts w:ascii="Arial" w:hAnsi="Arial" w:eastAsia="Arial" w:cs="Arial"/>
          <w:b w:val="0"/>
          <w:bCs w:val="0"/>
          <w:noProof w:val="0"/>
          <w:sz w:val="22"/>
          <w:szCs w:val="22"/>
          <w:lang w:val="en-GB"/>
        </w:rPr>
        <w:t xml:space="preserve"> highly relevant, as fatigue continues as a persistent concern in contemporary aviation. Fatigue not only affects a pilot's well-being but also has significant implications for safety and performance, prompting inquiry into the sustainability of current working practices.</w:t>
      </w:r>
    </w:p>
    <w:p w:rsidR="33C7BA29" w:rsidP="3B366774" w:rsidRDefault="33C7BA29" w14:paraId="67A2FBA6" w14:textId="32EE1717">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33C7BA29">
        <w:rPr>
          <w:rFonts w:ascii="Arial" w:hAnsi="Arial" w:eastAsia="Arial" w:cs="Arial"/>
          <w:b w:val="0"/>
          <w:bCs w:val="0"/>
          <w:noProof w:val="0"/>
          <w:sz w:val="22"/>
          <w:szCs w:val="22"/>
          <w:lang w:val="en-GB"/>
        </w:rPr>
        <w:t xml:space="preserve">Recent research considers resilience as a coping mechanism for adverse working conditions. Douglas and Pittenger (2020) examine resilience among female pilots, who </w:t>
      </w:r>
      <w:r w:rsidRPr="3B366774" w:rsidR="33C7BA29">
        <w:rPr>
          <w:rFonts w:ascii="Arial" w:hAnsi="Arial" w:eastAsia="Arial" w:cs="Arial"/>
          <w:b w:val="0"/>
          <w:bCs w:val="0"/>
          <w:noProof w:val="0"/>
          <w:sz w:val="22"/>
          <w:szCs w:val="22"/>
          <w:lang w:val="en-GB"/>
        </w:rPr>
        <w:t>encounter</w:t>
      </w:r>
      <w:r w:rsidRPr="3B366774" w:rsidR="33C7BA29">
        <w:rPr>
          <w:rFonts w:ascii="Arial" w:hAnsi="Arial" w:eastAsia="Arial" w:cs="Arial"/>
          <w:b w:val="0"/>
          <w:bCs w:val="0"/>
          <w:noProof w:val="0"/>
          <w:sz w:val="22"/>
          <w:szCs w:val="22"/>
          <w:lang w:val="en-GB"/>
        </w:rPr>
        <w:t xml:space="preserve"> </w:t>
      </w:r>
      <w:r w:rsidRPr="3B366774" w:rsidR="33C7BA29">
        <w:rPr>
          <w:rFonts w:ascii="Arial" w:hAnsi="Arial" w:eastAsia="Arial" w:cs="Arial"/>
          <w:b w:val="0"/>
          <w:bCs w:val="0"/>
          <w:noProof w:val="0"/>
          <w:sz w:val="22"/>
          <w:szCs w:val="22"/>
          <w:lang w:val="en-GB"/>
        </w:rPr>
        <w:t>additional</w:t>
      </w:r>
      <w:r w:rsidRPr="3B366774" w:rsidR="33C7BA29">
        <w:rPr>
          <w:rFonts w:ascii="Arial" w:hAnsi="Arial" w:eastAsia="Arial" w:cs="Arial"/>
          <w:b w:val="0"/>
          <w:bCs w:val="0"/>
          <w:noProof w:val="0"/>
          <w:sz w:val="22"/>
          <w:szCs w:val="22"/>
          <w:lang w:val="en-GB"/>
        </w:rPr>
        <w:t xml:space="preserve"> challenges such as gender bias and limited support networks. Their findings </w:t>
      </w:r>
      <w:r w:rsidRPr="3B366774" w:rsidR="33C7BA29">
        <w:rPr>
          <w:rFonts w:ascii="Arial" w:hAnsi="Arial" w:eastAsia="Arial" w:cs="Arial"/>
          <w:b w:val="0"/>
          <w:bCs w:val="0"/>
          <w:noProof w:val="0"/>
          <w:sz w:val="22"/>
          <w:szCs w:val="22"/>
          <w:lang w:val="en-GB"/>
        </w:rPr>
        <w:t>indicate</w:t>
      </w:r>
      <w:r w:rsidRPr="3B366774" w:rsidR="33C7BA29">
        <w:rPr>
          <w:rFonts w:ascii="Arial" w:hAnsi="Arial" w:eastAsia="Arial" w:cs="Arial"/>
          <w:b w:val="0"/>
          <w:bCs w:val="0"/>
          <w:noProof w:val="0"/>
          <w:sz w:val="22"/>
          <w:szCs w:val="22"/>
          <w:lang w:val="en-GB"/>
        </w:rPr>
        <w:t xml:space="preserve"> that resilience is shaped by both individual characteristics and </w:t>
      </w:r>
      <w:r w:rsidRPr="3B366774" w:rsidR="4E716085">
        <w:rPr>
          <w:rFonts w:ascii="Arial" w:hAnsi="Arial" w:eastAsia="Arial" w:cs="Arial"/>
          <w:b w:val="0"/>
          <w:bCs w:val="0"/>
          <w:noProof w:val="0"/>
          <w:sz w:val="22"/>
          <w:szCs w:val="22"/>
          <w:lang w:val="en-GB"/>
        </w:rPr>
        <w:t>organisation</w:t>
      </w:r>
      <w:r w:rsidRPr="3B366774" w:rsidR="33C7BA29">
        <w:rPr>
          <w:rFonts w:ascii="Arial" w:hAnsi="Arial" w:eastAsia="Arial" w:cs="Arial"/>
          <w:b w:val="0"/>
          <w:bCs w:val="0"/>
          <w:noProof w:val="0"/>
          <w:sz w:val="22"/>
          <w:szCs w:val="22"/>
          <w:lang w:val="en-GB"/>
        </w:rPr>
        <w:t>al culture. However, focusing exclusively on female pilots may not capture the full range of experiences within the broader pilot population.</w:t>
      </w:r>
    </w:p>
    <w:p w:rsidR="33C7BA29" w:rsidP="3B366774" w:rsidRDefault="33C7BA29" w14:paraId="19A60A33" w14:textId="5EDB0657">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33C7BA29">
        <w:rPr>
          <w:rFonts w:ascii="Arial" w:hAnsi="Arial" w:eastAsia="Arial" w:cs="Arial"/>
          <w:b w:val="0"/>
          <w:bCs w:val="0"/>
          <w:noProof w:val="0"/>
          <w:sz w:val="22"/>
          <w:szCs w:val="22"/>
          <w:lang w:val="en-GB"/>
        </w:rPr>
        <w:t xml:space="preserve">Steen et al. (2024) provide a complementary perspective by examining “hidden workarounds” in commercial aviation. Their study reveals that pilots often develop informal practices to manage operational pressures and preserve performance under demanding situations. While these workarounds </w:t>
      </w:r>
      <w:r w:rsidRPr="3B366774" w:rsidR="33C7BA29">
        <w:rPr>
          <w:rFonts w:ascii="Arial" w:hAnsi="Arial" w:eastAsia="Arial" w:cs="Arial"/>
          <w:b w:val="0"/>
          <w:bCs w:val="0"/>
          <w:noProof w:val="0"/>
          <w:sz w:val="22"/>
          <w:szCs w:val="22"/>
          <w:lang w:val="en-GB"/>
        </w:rPr>
        <w:t>demonstrate</w:t>
      </w:r>
      <w:r w:rsidRPr="3B366774" w:rsidR="33C7BA29">
        <w:rPr>
          <w:rFonts w:ascii="Arial" w:hAnsi="Arial" w:eastAsia="Arial" w:cs="Arial"/>
          <w:b w:val="0"/>
          <w:bCs w:val="0"/>
          <w:noProof w:val="0"/>
          <w:sz w:val="22"/>
          <w:szCs w:val="22"/>
          <w:lang w:val="en-GB"/>
        </w:rPr>
        <w:t xml:space="preserve"> flexibility and endurance, they also </w:t>
      </w:r>
      <w:r w:rsidRPr="3B366774" w:rsidR="33C7BA29">
        <w:rPr>
          <w:rFonts w:ascii="Arial" w:hAnsi="Arial" w:eastAsia="Arial" w:cs="Arial"/>
          <w:b w:val="0"/>
          <w:bCs w:val="0"/>
          <w:noProof w:val="0"/>
          <w:sz w:val="22"/>
          <w:szCs w:val="22"/>
          <w:lang w:val="en-GB"/>
        </w:rPr>
        <w:t>indicate</w:t>
      </w:r>
      <w:r w:rsidRPr="3B366774" w:rsidR="33C7BA29">
        <w:rPr>
          <w:rFonts w:ascii="Arial" w:hAnsi="Arial" w:eastAsia="Arial" w:cs="Arial"/>
          <w:b w:val="0"/>
          <w:bCs w:val="0"/>
          <w:noProof w:val="0"/>
          <w:sz w:val="22"/>
          <w:szCs w:val="22"/>
          <w:lang w:val="en-GB"/>
        </w:rPr>
        <w:t xml:space="preserve"> system-wide problems in organisational processes and safety management systems. Critically, reliance on informal practices may mask underlying problems, creating a false sense of stability while increasing long-term risk. This prompts essential inquiries about the extent to which resilience should be viewed as a positive attribute rather than a coping mechanism for organisational shortcomings.</w:t>
      </w:r>
    </w:p>
    <w:p w:rsidR="33C7BA29" w:rsidP="3B366774" w:rsidRDefault="33C7BA29" w14:paraId="70F2BCF6" w14:textId="6DC3A706">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33C7BA29">
        <w:rPr>
          <w:rFonts w:ascii="Arial" w:hAnsi="Arial" w:eastAsia="Arial" w:cs="Arial"/>
          <w:b w:val="0"/>
          <w:bCs w:val="0"/>
          <w:noProof w:val="0"/>
          <w:sz w:val="22"/>
          <w:szCs w:val="22"/>
          <w:lang w:val="en-GB"/>
        </w:rPr>
        <w:t xml:space="preserve">Retention is a critical aspect of the pilot supply challenge. </w:t>
      </w:r>
      <w:r w:rsidRPr="3B366774" w:rsidR="33C7BA29">
        <w:rPr>
          <w:rFonts w:ascii="Arial" w:hAnsi="Arial" w:eastAsia="Arial" w:cs="Arial"/>
          <w:b w:val="0"/>
          <w:bCs w:val="0"/>
          <w:noProof w:val="0"/>
          <w:sz w:val="22"/>
          <w:szCs w:val="22"/>
          <w:lang w:val="en-GB"/>
        </w:rPr>
        <w:t>Peyrat</w:t>
      </w:r>
      <w:r w:rsidRPr="3B366774" w:rsidR="33C7BA29">
        <w:rPr>
          <w:rFonts w:ascii="Arial" w:hAnsi="Arial" w:eastAsia="Arial" w:cs="Arial"/>
          <w:b w:val="0"/>
          <w:bCs w:val="0"/>
          <w:noProof w:val="0"/>
          <w:sz w:val="22"/>
          <w:szCs w:val="22"/>
          <w:lang w:val="en-GB"/>
        </w:rPr>
        <w:t xml:space="preserve">-Guillard, Grefe, and Subramanian (2023) introduce the concept of “quondam commitments,” referring to enduring attachments that motivate employees to remain with an </w:t>
      </w:r>
      <w:r w:rsidRPr="3B366774" w:rsidR="33C7BA29">
        <w:rPr>
          <w:rFonts w:ascii="Arial" w:hAnsi="Arial" w:eastAsia="Arial" w:cs="Arial"/>
          <w:b w:val="0"/>
          <w:bCs w:val="0"/>
          <w:noProof w:val="0"/>
          <w:sz w:val="22"/>
          <w:szCs w:val="22"/>
          <w:lang w:val="en-GB"/>
        </w:rPr>
        <w:t>organis</w:t>
      </w:r>
      <w:r w:rsidRPr="3B366774" w:rsidR="33C7BA29">
        <w:rPr>
          <w:rFonts w:ascii="Arial" w:hAnsi="Arial" w:eastAsia="Arial" w:cs="Arial"/>
          <w:b w:val="0"/>
          <w:bCs w:val="0"/>
          <w:noProof w:val="0"/>
          <w:sz w:val="22"/>
          <w:szCs w:val="22"/>
          <w:lang w:val="en-GB"/>
        </w:rPr>
        <w:t>ation</w:t>
      </w:r>
      <w:r w:rsidRPr="3B366774" w:rsidR="33C7BA29">
        <w:rPr>
          <w:rFonts w:ascii="Arial" w:hAnsi="Arial" w:eastAsia="Arial" w:cs="Arial"/>
          <w:b w:val="0"/>
          <w:bCs w:val="0"/>
          <w:noProof w:val="0"/>
          <w:sz w:val="22"/>
          <w:szCs w:val="22"/>
          <w:lang w:val="en-GB"/>
        </w:rPr>
        <w:t xml:space="preserve"> despite dissatisfaction. Pilots and crew may continue their employment for career investment, professional identity, or other reasons. This perspective adds nuance to the understanding of retention, although such commitments do not necessarily ensure long-term engagement or satisfaction.</w:t>
      </w:r>
    </w:p>
    <w:p w:rsidR="33C7BA29" w:rsidP="3B366774" w:rsidRDefault="33C7BA29" w14:paraId="30CDD1B9" w14:textId="059DAFD4">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33C7BA29">
        <w:rPr>
          <w:rFonts w:ascii="Arial" w:hAnsi="Arial" w:eastAsia="Arial" w:cs="Arial"/>
          <w:b w:val="0"/>
          <w:bCs w:val="0"/>
          <w:noProof w:val="0"/>
          <w:sz w:val="22"/>
          <w:szCs w:val="22"/>
          <w:lang w:val="en-GB"/>
        </w:rPr>
        <w:t xml:space="preserve">In summary, the literature </w:t>
      </w:r>
      <w:r w:rsidRPr="3B366774" w:rsidR="33C7BA29">
        <w:rPr>
          <w:rFonts w:ascii="Arial" w:hAnsi="Arial" w:eastAsia="Arial" w:cs="Arial"/>
          <w:b w:val="0"/>
          <w:bCs w:val="0"/>
          <w:noProof w:val="0"/>
          <w:sz w:val="22"/>
          <w:szCs w:val="22"/>
          <w:lang w:val="en-GB"/>
        </w:rPr>
        <w:t>indicates</w:t>
      </w:r>
      <w:r w:rsidRPr="3B366774" w:rsidR="33C7BA29">
        <w:rPr>
          <w:rFonts w:ascii="Arial" w:hAnsi="Arial" w:eastAsia="Arial" w:cs="Arial"/>
          <w:b w:val="0"/>
          <w:bCs w:val="0"/>
          <w:noProof w:val="0"/>
          <w:sz w:val="22"/>
          <w:szCs w:val="22"/>
          <w:lang w:val="en-GB"/>
        </w:rPr>
        <w:t xml:space="preserve"> that the decline in pilot supply is not solely attributable to training capacity. Rather, it arises from a combination of working conditions, professional identity, and </w:t>
      </w:r>
      <w:r w:rsidRPr="3B366774" w:rsidR="4E716085">
        <w:rPr>
          <w:rFonts w:ascii="Arial" w:hAnsi="Arial" w:eastAsia="Arial" w:cs="Arial"/>
          <w:b w:val="0"/>
          <w:bCs w:val="0"/>
          <w:noProof w:val="0"/>
          <w:sz w:val="22"/>
          <w:szCs w:val="22"/>
          <w:lang w:val="en-GB"/>
        </w:rPr>
        <w:t>organisation</w:t>
      </w:r>
      <w:r w:rsidRPr="3B366774" w:rsidR="33C7BA29">
        <w:rPr>
          <w:rFonts w:ascii="Arial" w:hAnsi="Arial" w:eastAsia="Arial" w:cs="Arial"/>
          <w:b w:val="0"/>
          <w:bCs w:val="0"/>
          <w:noProof w:val="0"/>
          <w:sz w:val="22"/>
          <w:szCs w:val="22"/>
          <w:lang w:val="en-GB"/>
        </w:rPr>
        <w:t xml:space="preserve">al practices within aviation. While solutions such as CBTA and educational partnerships offer partial remedies, they do not address fundamental concerns </w:t>
      </w:r>
      <w:r w:rsidRPr="3B366774" w:rsidR="33C7BA29">
        <w:rPr>
          <w:rFonts w:ascii="Arial" w:hAnsi="Arial" w:eastAsia="Arial" w:cs="Arial"/>
          <w:b w:val="0"/>
          <w:bCs w:val="0"/>
          <w:noProof w:val="0"/>
          <w:sz w:val="22"/>
          <w:szCs w:val="22"/>
          <w:lang w:val="en-GB"/>
        </w:rPr>
        <w:t>regarding</w:t>
      </w:r>
      <w:r w:rsidRPr="3B366774" w:rsidR="33C7BA29">
        <w:rPr>
          <w:rFonts w:ascii="Arial" w:hAnsi="Arial" w:eastAsia="Arial" w:cs="Arial"/>
          <w:b w:val="0"/>
          <w:bCs w:val="0"/>
          <w:noProof w:val="0"/>
          <w:sz w:val="22"/>
          <w:szCs w:val="22"/>
          <w:lang w:val="en-GB"/>
        </w:rPr>
        <w:t xml:space="preserve"> job quality and career stability. Emphasizing individual resilience may divert attention from systemic industry challenges.</w:t>
      </w:r>
    </w:p>
    <w:p w:rsidR="33C7BA29" w:rsidP="3B366774" w:rsidRDefault="33C7BA29" w14:paraId="798D8959" w14:textId="3E0ECEA2">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33C7BA29">
        <w:rPr>
          <w:rFonts w:ascii="Arial" w:hAnsi="Arial" w:eastAsia="Arial" w:cs="Arial"/>
          <w:b w:val="0"/>
          <w:bCs w:val="0"/>
          <w:noProof w:val="0"/>
          <w:sz w:val="22"/>
          <w:szCs w:val="22"/>
          <w:lang w:val="en-GB"/>
        </w:rPr>
        <w:t xml:space="preserve">Research on pilot shortages is </w:t>
      </w:r>
      <w:r w:rsidRPr="3B366774" w:rsidR="33C7BA29">
        <w:rPr>
          <w:rFonts w:ascii="Arial" w:hAnsi="Arial" w:eastAsia="Arial" w:cs="Arial"/>
          <w:b w:val="0"/>
          <w:bCs w:val="0"/>
          <w:noProof w:val="0"/>
          <w:sz w:val="22"/>
          <w:szCs w:val="22"/>
          <w:lang w:val="en-GB"/>
        </w:rPr>
        <w:t>frequently</w:t>
      </w:r>
      <w:r w:rsidRPr="3B366774" w:rsidR="33C7BA29">
        <w:rPr>
          <w:rFonts w:ascii="Arial" w:hAnsi="Arial" w:eastAsia="Arial" w:cs="Arial"/>
          <w:b w:val="0"/>
          <w:bCs w:val="0"/>
          <w:noProof w:val="0"/>
          <w:sz w:val="22"/>
          <w:szCs w:val="22"/>
          <w:lang w:val="en-GB"/>
        </w:rPr>
        <w:t xml:space="preserve"> divided between labour market forecasting and analyses of working conditions within airlines. Integrating these perspectives would enable policymakers and industry leaders to develop a more comprehensive understanding of the issue. Additionally, much of the existing research is region-specific, which limits the generalisability of findings across the global and diverse aviation sector.</w:t>
      </w:r>
    </w:p>
    <w:p w:rsidR="33C7BA29" w:rsidP="3B366774" w:rsidRDefault="33C7BA29" w14:paraId="4B57D741" w14:textId="625271C5">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33C7BA29">
        <w:rPr>
          <w:rFonts w:ascii="Arial" w:hAnsi="Arial" w:eastAsia="Arial" w:cs="Arial"/>
          <w:b w:val="0"/>
          <w:bCs w:val="0"/>
          <w:noProof w:val="0"/>
          <w:sz w:val="22"/>
          <w:szCs w:val="22"/>
          <w:lang w:val="en-GB"/>
        </w:rPr>
        <w:t>Challenges are particularly acute for low-cost carriers, where cost pressures lead to more precarious employment and harsher working conditions. These factors complicate both recruitment and retention of pilots. Addressing the decline in pilot supply requires not only expanding training capacity but also improving employment quality across the industry.</w:t>
      </w:r>
    </w:p>
    <w:p w:rsidR="33C7BA29" w:rsidP="3B366774" w:rsidRDefault="33C7BA29" w14:paraId="334EE501" w14:textId="44F712CF">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33C7BA29">
        <w:rPr>
          <w:rFonts w:ascii="Arial" w:hAnsi="Arial" w:eastAsia="Arial" w:cs="Arial"/>
          <w:b w:val="0"/>
          <w:bCs w:val="0"/>
          <w:noProof w:val="0"/>
          <w:sz w:val="22"/>
          <w:szCs w:val="22"/>
          <w:lang w:val="en-GB"/>
        </w:rPr>
        <w:t xml:space="preserve">Overall, the decline in pilot supply reflects a complex interplay of systemic, organisational, and individual factors. While innovations in training and regulation may offer some benefits, sustainable improvement depends on addressing job quality and professional identity. </w:t>
      </w:r>
      <w:r w:rsidRPr="3B366774" w:rsidR="50011661">
        <w:rPr>
          <w:rFonts w:ascii="Arial" w:hAnsi="Arial" w:eastAsia="Arial" w:cs="Arial"/>
          <w:b w:val="0"/>
          <w:bCs w:val="0"/>
          <w:noProof w:val="0"/>
          <w:sz w:val="22"/>
          <w:szCs w:val="22"/>
          <w:lang w:val="en-GB"/>
        </w:rPr>
        <w:t>A comprehensive approach</w:t>
      </w:r>
      <w:r w:rsidRPr="3B366774" w:rsidR="33C7BA29">
        <w:rPr>
          <w:rFonts w:ascii="Arial" w:hAnsi="Arial" w:eastAsia="Arial" w:cs="Arial"/>
          <w:b w:val="0"/>
          <w:bCs w:val="0"/>
          <w:noProof w:val="0"/>
          <w:sz w:val="22"/>
          <w:szCs w:val="22"/>
          <w:lang w:val="en-GB"/>
        </w:rPr>
        <w:t xml:space="preserve"> is essential for the aviation industry to successfully recruit and </w:t>
      </w:r>
      <w:r w:rsidRPr="3B366774" w:rsidR="33C7BA29">
        <w:rPr>
          <w:rFonts w:ascii="Arial" w:hAnsi="Arial" w:eastAsia="Arial" w:cs="Arial"/>
          <w:b w:val="0"/>
          <w:bCs w:val="0"/>
          <w:noProof w:val="0"/>
          <w:sz w:val="22"/>
          <w:szCs w:val="22"/>
          <w:lang w:val="en-GB"/>
        </w:rPr>
        <w:t>retain</w:t>
      </w:r>
      <w:r w:rsidRPr="3B366774" w:rsidR="33C7BA29">
        <w:rPr>
          <w:rFonts w:ascii="Arial" w:hAnsi="Arial" w:eastAsia="Arial" w:cs="Arial"/>
          <w:b w:val="0"/>
          <w:bCs w:val="0"/>
          <w:noProof w:val="0"/>
          <w:sz w:val="22"/>
          <w:szCs w:val="22"/>
          <w:lang w:val="en-GB"/>
        </w:rPr>
        <w:t xml:space="preserve"> future pilots.</w:t>
      </w:r>
    </w:p>
    <w:p w:rsidR="4E6F5AF1" w:rsidP="3B366774" w:rsidRDefault="4E6F5AF1" w14:paraId="678785B0" w14:textId="6FA49A22">
      <w:pPr>
        <w:pStyle w:val="Heading1"/>
        <w:bidi w:val="0"/>
        <w:spacing w:line="360" w:lineRule="auto"/>
        <w:jc w:val="both"/>
        <w:rPr>
          <w:rFonts w:ascii="Arial" w:hAnsi="Arial" w:eastAsia="Arial" w:cs="Arial"/>
          <w:b w:val="0"/>
          <w:bCs w:val="0"/>
          <w:noProof w:val="0"/>
          <w:sz w:val="22"/>
          <w:szCs w:val="22"/>
          <w:lang w:val="en-GB"/>
        </w:rPr>
      </w:pPr>
      <w:bookmarkStart w:name="_Toc1536416064" w:id="1647091379"/>
      <w:r w:rsidRPr="3B366774" w:rsidR="4E6F5AF1">
        <w:rPr>
          <w:rFonts w:ascii="Arial" w:hAnsi="Arial" w:eastAsia="Arial" w:cs="Arial"/>
          <w:noProof w:val="0"/>
          <w:sz w:val="22"/>
          <w:szCs w:val="22"/>
          <w:lang w:val="en-GB"/>
        </w:rPr>
        <w:t>Conceptual Framework</w:t>
      </w:r>
      <w:bookmarkEnd w:id="1647091379"/>
    </w:p>
    <w:p w:rsidR="4E6F5AF1" w:rsidP="3B366774" w:rsidRDefault="4E6F5AF1" w14:paraId="583065B7" w14:textId="687E627A">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4E6F5AF1">
        <w:rPr>
          <w:rFonts w:ascii="Arial" w:hAnsi="Arial" w:eastAsia="Arial" w:cs="Arial"/>
          <w:b w:val="0"/>
          <w:bCs w:val="0"/>
          <w:noProof w:val="0"/>
          <w:sz w:val="22"/>
          <w:szCs w:val="22"/>
          <w:lang w:val="en-GB"/>
        </w:rPr>
        <w:t>This study proposes a conceptual framework to explain the influence of Human Resource Management (HRM) practices on pilot engagement and retention within the strategic and operational constraints characteristic of low-cost airline (LCC) business models. The framework integrates perspectives from HRM, motivation theory, and organisational behaviour literature, providing a structured approach for analysing the research questions. It aims both to synthesise existing theoretical insights and to guide the empirical case analysis of easyJet.</w:t>
      </w:r>
    </w:p>
    <w:p w:rsidR="4E6F5AF1" w:rsidP="3B366774" w:rsidRDefault="4E6F5AF1" w14:paraId="58971A7A" w14:textId="00E0E713">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5D6EDA03">
        <w:drawing>
          <wp:inline wp14:editId="0EA9736B" wp14:anchorId="3D698167">
            <wp:extent cx="5724525" cy="4200525"/>
            <wp:effectExtent l="0" t="0" r="0" b="0"/>
            <wp:docPr id="1598240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824062" name="Picture 159824062"/>
                    <pic:cNvPicPr/>
                  </pic:nvPicPr>
                  <pic:blipFill>
                    <a:blip xmlns:r="http://schemas.openxmlformats.org/officeDocument/2006/relationships" r:embed="rId656822318">
                      <a:extLst>
                        <a:ext uri="{28A0092B-C50C-407E-A947-70E740481C1C}">
                          <a14:useLocalDpi xmlns:a14="http://schemas.microsoft.com/office/drawing/2010/main"/>
                        </a:ext>
                      </a:extLst>
                    </a:blip>
                    <a:stretch>
                      <a:fillRect/>
                    </a:stretch>
                  </pic:blipFill>
                  <pic:spPr>
                    <a:xfrm>
                      <a:off x="0" y="0"/>
                      <a:ext cx="5724525" cy="4200525"/>
                    </a:xfrm>
                    <a:prstGeom prst="rect">
                      <a:avLst/>
                    </a:prstGeom>
                  </pic:spPr>
                </pic:pic>
              </a:graphicData>
            </a:graphic>
          </wp:inline>
        </w:drawing>
      </w:r>
      <w:r w:rsidRPr="3B366774" w:rsidR="5D6EDA03">
        <w:rPr>
          <w:rFonts w:ascii="Arial" w:hAnsi="Arial" w:eastAsia="Arial" w:cs="Arial"/>
          <w:b w:val="0"/>
          <w:bCs w:val="0"/>
          <w:noProof w:val="0"/>
          <w:sz w:val="22"/>
          <w:szCs w:val="22"/>
          <w:lang w:val="en-GB"/>
        </w:rPr>
        <w:t xml:space="preserve">Figure 1- Thematic Map Source- </w:t>
      </w:r>
      <w:r w:rsidRPr="3B366774" w:rsidR="520B5212">
        <w:rPr>
          <w:rFonts w:ascii="Arial" w:hAnsi="Arial" w:eastAsia="Arial" w:cs="Arial"/>
          <w:b w:val="0"/>
          <w:bCs w:val="0"/>
          <w:noProof w:val="0"/>
          <w:sz w:val="22"/>
          <w:szCs w:val="22"/>
          <w:lang w:val="en-GB"/>
        </w:rPr>
        <w:t>Author</w:t>
      </w:r>
    </w:p>
    <w:p w:rsidR="4E6F5AF1" w:rsidP="3B366774" w:rsidRDefault="4E6F5AF1" w14:paraId="4054C10E" w14:textId="2ECCFFF9">
      <w:pPr>
        <w:bidi w:val="0"/>
        <w:spacing w:before="120" w:beforeAutospacing="off" w:after="120" w:afterAutospacing="off" w:line="360" w:lineRule="auto"/>
        <w:jc w:val="both"/>
        <w:rPr>
          <w:rFonts w:ascii="Arial" w:hAnsi="Arial" w:eastAsia="Arial" w:cs="Arial"/>
          <w:b w:val="0"/>
          <w:bCs w:val="0"/>
          <w:noProof w:val="0"/>
          <w:sz w:val="22"/>
          <w:szCs w:val="22"/>
          <w:lang w:val="en-GB"/>
        </w:rPr>
      </w:pPr>
    </w:p>
    <w:p w:rsidR="4E6F5AF1" w:rsidP="3B366774" w:rsidRDefault="4E6F5AF1" w14:paraId="431AAFE2" w14:textId="1E39110A">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4E6F5AF1">
        <w:rPr>
          <w:rFonts w:ascii="Arial" w:hAnsi="Arial" w:eastAsia="Arial" w:cs="Arial"/>
          <w:b w:val="0"/>
          <w:bCs w:val="0"/>
          <w:noProof w:val="0"/>
          <w:sz w:val="22"/>
          <w:szCs w:val="22"/>
          <w:lang w:val="en-GB"/>
        </w:rPr>
        <w:t>The framework positions HRM practices as the primary independent variable, influencing key employee outcomes, specifically engagement and retention, through a set of mediating mechanisms. Unlike linear models, this framework recognises that these relationships are shaped and constrained by organisational context and industry-specific factors, particularly those inherent to the low-cost airline model.</w:t>
      </w:r>
    </w:p>
    <w:p w:rsidR="4E6F5AF1" w:rsidP="3B366774" w:rsidRDefault="4E6F5AF1" w14:paraId="2AE1098C" w14:textId="722AFD27">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4E6F5AF1">
        <w:rPr>
          <w:rFonts w:ascii="Arial" w:hAnsi="Arial" w:eastAsia="Arial" w:cs="Arial"/>
          <w:b w:val="0"/>
          <w:bCs w:val="0"/>
          <w:noProof w:val="0"/>
          <w:sz w:val="22"/>
          <w:szCs w:val="22"/>
          <w:lang w:val="en-GB"/>
        </w:rPr>
        <w:t xml:space="preserve">The first </w:t>
      </w:r>
      <w:r w:rsidRPr="3B366774" w:rsidR="4E6F5AF1">
        <w:rPr>
          <w:rFonts w:ascii="Arial" w:hAnsi="Arial" w:eastAsia="Arial" w:cs="Arial"/>
          <w:b w:val="0"/>
          <w:bCs w:val="0"/>
          <w:noProof w:val="0"/>
          <w:sz w:val="22"/>
          <w:szCs w:val="22"/>
          <w:lang w:val="en-GB"/>
        </w:rPr>
        <w:t>component</w:t>
      </w:r>
      <w:r w:rsidRPr="3B366774" w:rsidR="4E6F5AF1">
        <w:rPr>
          <w:rFonts w:ascii="Arial" w:hAnsi="Arial" w:eastAsia="Arial" w:cs="Arial"/>
          <w:b w:val="0"/>
          <w:bCs w:val="0"/>
          <w:noProof w:val="0"/>
          <w:sz w:val="22"/>
          <w:szCs w:val="22"/>
          <w:lang w:val="en-GB"/>
        </w:rPr>
        <w:t xml:space="preserve"> of the framework addresses HRM practices, conceptualised as a set of organisational activities aimed at managing and developing employees. Drawing on High-Performance Work Systems (HPWS) literature, these practices encompass </w:t>
      </w:r>
      <w:r w:rsidRPr="3B366774" w:rsidR="4E6F5AF1">
        <w:rPr>
          <w:rFonts w:ascii="Arial" w:hAnsi="Arial" w:eastAsia="Arial" w:cs="Arial"/>
          <w:b w:val="0"/>
          <w:bCs w:val="0"/>
          <w:noProof w:val="0"/>
          <w:sz w:val="22"/>
          <w:szCs w:val="22"/>
          <w:lang w:val="en-GB"/>
        </w:rPr>
        <w:t>training and development</w:t>
      </w:r>
      <w:r w:rsidRPr="3B366774" w:rsidR="4E6F5AF1">
        <w:rPr>
          <w:rFonts w:ascii="Arial" w:hAnsi="Arial" w:eastAsia="Arial" w:cs="Arial"/>
          <w:b w:val="0"/>
          <w:bCs w:val="0"/>
          <w:noProof w:val="0"/>
          <w:sz w:val="22"/>
          <w:szCs w:val="22"/>
          <w:lang w:val="en-GB"/>
        </w:rPr>
        <w:t xml:space="preserve">, performance management, reward systems, communication, and career progression opportunities. Prior research </w:t>
      </w:r>
      <w:r w:rsidRPr="3B366774" w:rsidR="4E6F5AF1">
        <w:rPr>
          <w:rFonts w:ascii="Arial" w:hAnsi="Arial" w:eastAsia="Arial" w:cs="Arial"/>
          <w:b w:val="0"/>
          <w:bCs w:val="0"/>
          <w:noProof w:val="0"/>
          <w:sz w:val="22"/>
          <w:szCs w:val="22"/>
          <w:lang w:val="en-GB"/>
        </w:rPr>
        <w:t>indicates</w:t>
      </w:r>
      <w:r w:rsidRPr="3B366774" w:rsidR="4E6F5AF1">
        <w:rPr>
          <w:rFonts w:ascii="Arial" w:hAnsi="Arial" w:eastAsia="Arial" w:cs="Arial"/>
          <w:b w:val="0"/>
          <w:bCs w:val="0"/>
          <w:noProof w:val="0"/>
          <w:sz w:val="22"/>
          <w:szCs w:val="22"/>
          <w:lang w:val="en-GB"/>
        </w:rPr>
        <w:t xml:space="preserve"> that such practices can enhance employee attitudes and behaviours when implemented coherently</w:t>
      </w:r>
      <w:r w:rsidRPr="3B366774" w:rsidR="012BE6A4">
        <w:rPr>
          <w:rFonts w:ascii="Arial" w:hAnsi="Arial" w:eastAsia="Arial" w:cs="Arial"/>
          <w:b w:val="0"/>
          <w:bCs w:val="0"/>
          <w:noProof w:val="0"/>
          <w:sz w:val="22"/>
          <w:szCs w:val="22"/>
          <w:lang w:val="en-GB"/>
        </w:rPr>
        <w:t xml:space="preserve"> (Brune, Chyn &amp; Kerwin, 2020)</w:t>
      </w:r>
      <w:r w:rsidRPr="3B366774" w:rsidR="4E6F5AF1">
        <w:rPr>
          <w:rFonts w:ascii="Arial" w:hAnsi="Arial" w:eastAsia="Arial" w:cs="Arial"/>
          <w:b w:val="0"/>
          <w:bCs w:val="0"/>
          <w:noProof w:val="0"/>
          <w:sz w:val="22"/>
          <w:szCs w:val="22"/>
          <w:lang w:val="en-GB"/>
        </w:rPr>
        <w:t xml:space="preserve">. However, their effectiveness is contingent upon employee </w:t>
      </w:r>
      <w:bookmarkStart w:name="_Int_gFgWZPbm" w:id="1919899786"/>
      <w:r w:rsidRPr="3B366774" w:rsidR="4E6F5AF1">
        <w:rPr>
          <w:rFonts w:ascii="Arial" w:hAnsi="Arial" w:eastAsia="Arial" w:cs="Arial"/>
          <w:b w:val="0"/>
          <w:bCs w:val="0"/>
          <w:noProof w:val="0"/>
          <w:sz w:val="22"/>
          <w:szCs w:val="22"/>
          <w:lang w:val="en-GB"/>
        </w:rPr>
        <w:t>perceptions</w:t>
      </w:r>
      <w:bookmarkEnd w:id="1919899786"/>
      <w:r w:rsidRPr="3B366774" w:rsidR="4E6F5AF1">
        <w:rPr>
          <w:rFonts w:ascii="Arial" w:hAnsi="Arial" w:eastAsia="Arial" w:cs="Arial"/>
          <w:b w:val="0"/>
          <w:bCs w:val="0"/>
          <w:noProof w:val="0"/>
          <w:sz w:val="22"/>
          <w:szCs w:val="22"/>
          <w:lang w:val="en-GB"/>
        </w:rPr>
        <w:t xml:space="preserve"> and experiences, underscoring the need to consider psychological and relational dimensions in addition to structural aspects of HRM.</w:t>
      </w:r>
    </w:p>
    <w:p w:rsidR="4E6F5AF1" w:rsidP="3B366774" w:rsidRDefault="4E6F5AF1" w14:paraId="702192A5" w14:textId="26725117">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4E6F5AF1">
        <w:rPr>
          <w:rFonts w:ascii="Arial" w:hAnsi="Arial" w:eastAsia="Arial" w:cs="Arial"/>
          <w:b w:val="0"/>
          <w:bCs w:val="0"/>
          <w:noProof w:val="0"/>
          <w:sz w:val="22"/>
          <w:szCs w:val="22"/>
          <w:lang w:val="en-GB"/>
        </w:rPr>
        <w:t xml:space="preserve">To address this complexity, the framework incorporates Social Exchange Theory (SET) as a key mediating mechanism. SET posits that employees interpret HRM practices as indicators of organisational support, which </w:t>
      </w:r>
      <w:bookmarkStart w:name="_Int_SRmVBTYY" w:id="73330926"/>
      <w:r w:rsidRPr="3B366774" w:rsidR="4E6F5AF1">
        <w:rPr>
          <w:rFonts w:ascii="Arial" w:hAnsi="Arial" w:eastAsia="Arial" w:cs="Arial"/>
          <w:b w:val="0"/>
          <w:bCs w:val="0"/>
          <w:noProof w:val="0"/>
          <w:sz w:val="22"/>
          <w:szCs w:val="22"/>
          <w:lang w:val="en-GB"/>
        </w:rPr>
        <w:t>subsequently</w:t>
      </w:r>
      <w:bookmarkEnd w:id="73330926"/>
      <w:r w:rsidRPr="3B366774" w:rsidR="4E6F5AF1">
        <w:rPr>
          <w:rFonts w:ascii="Arial" w:hAnsi="Arial" w:eastAsia="Arial" w:cs="Arial"/>
          <w:b w:val="0"/>
          <w:bCs w:val="0"/>
          <w:noProof w:val="0"/>
          <w:sz w:val="22"/>
          <w:szCs w:val="22"/>
          <w:lang w:val="en-GB"/>
        </w:rPr>
        <w:t xml:space="preserve"> shape their attitudes and behaviours. When HRM practices are perceived as fair, supportive, and developmental, employees are more likely to reciprocate with increased engagement and commitment. Conversely, </w:t>
      </w:r>
      <w:r w:rsidRPr="3B366774" w:rsidR="4E6F5AF1">
        <w:rPr>
          <w:rFonts w:ascii="Arial" w:hAnsi="Arial" w:eastAsia="Arial" w:cs="Arial"/>
          <w:b w:val="0"/>
          <w:bCs w:val="0"/>
          <w:noProof w:val="0"/>
          <w:sz w:val="22"/>
          <w:szCs w:val="22"/>
          <w:lang w:val="en-GB"/>
        </w:rPr>
        <w:t>perceptions</w:t>
      </w:r>
      <w:r w:rsidRPr="3B366774" w:rsidR="4E6F5AF1">
        <w:rPr>
          <w:rFonts w:ascii="Arial" w:hAnsi="Arial" w:eastAsia="Arial" w:cs="Arial"/>
          <w:b w:val="0"/>
          <w:bCs w:val="0"/>
          <w:noProof w:val="0"/>
          <w:sz w:val="22"/>
          <w:szCs w:val="22"/>
          <w:lang w:val="en-GB"/>
        </w:rPr>
        <w:t xml:space="preserve"> of exploitative or inconsistent practices may result in disengagement and turnover intentions. This relational perspective is essential for understanding why similar HRM practices can yield different outcomes across organisational contexts.</w:t>
      </w:r>
    </w:p>
    <w:p w:rsidR="4E6F5AF1" w:rsidP="3B366774" w:rsidRDefault="4E6F5AF1" w14:paraId="00C83423" w14:textId="1D004DA2">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4E6F5AF1">
        <w:rPr>
          <w:rFonts w:ascii="Arial" w:hAnsi="Arial" w:eastAsia="Arial" w:cs="Arial"/>
          <w:b w:val="0"/>
          <w:bCs w:val="0"/>
          <w:noProof w:val="0"/>
          <w:sz w:val="22"/>
          <w:szCs w:val="22"/>
          <w:lang w:val="en-GB"/>
        </w:rPr>
        <w:t xml:space="preserve">Closely related to SET is the concept of perceived organisational support (POS), which functions as an intermediary variable within the framework. POS reflects employees’ beliefs </w:t>
      </w:r>
      <w:r w:rsidRPr="3B366774" w:rsidR="4E6F5AF1">
        <w:rPr>
          <w:rFonts w:ascii="Arial" w:hAnsi="Arial" w:eastAsia="Arial" w:cs="Arial"/>
          <w:b w:val="0"/>
          <w:bCs w:val="0"/>
          <w:noProof w:val="0"/>
          <w:sz w:val="22"/>
          <w:szCs w:val="22"/>
          <w:lang w:val="en-GB"/>
        </w:rPr>
        <w:t>regarding</w:t>
      </w:r>
      <w:r w:rsidRPr="3B366774" w:rsidR="4E6F5AF1">
        <w:rPr>
          <w:rFonts w:ascii="Arial" w:hAnsi="Arial" w:eastAsia="Arial" w:cs="Arial"/>
          <w:b w:val="0"/>
          <w:bCs w:val="0"/>
          <w:noProof w:val="0"/>
          <w:sz w:val="22"/>
          <w:szCs w:val="22"/>
          <w:lang w:val="en-GB"/>
        </w:rPr>
        <w:t xml:space="preserve"> the extent to which their organisation values their contributions and cares about their well-being. HRM practices such as communication, recognition, and managerial support influence POS. Elevated POS is associated with increased engagement, job satisfaction, and retention, as employees develop a sense of obligation and emotional attachment to the organisation. The inherently subjective nature of POS further underscores the significance of employee </w:t>
      </w:r>
      <w:r w:rsidRPr="3B366774" w:rsidR="4E6F5AF1">
        <w:rPr>
          <w:rFonts w:ascii="Arial" w:hAnsi="Arial" w:eastAsia="Arial" w:cs="Arial"/>
          <w:b w:val="0"/>
          <w:bCs w:val="0"/>
          <w:noProof w:val="0"/>
          <w:sz w:val="22"/>
          <w:szCs w:val="22"/>
          <w:lang w:val="en-GB"/>
        </w:rPr>
        <w:t>perceptions</w:t>
      </w:r>
      <w:r w:rsidRPr="3B366774" w:rsidR="4E6F5AF1">
        <w:rPr>
          <w:rFonts w:ascii="Arial" w:hAnsi="Arial" w:eastAsia="Arial" w:cs="Arial"/>
          <w:b w:val="0"/>
          <w:bCs w:val="0"/>
          <w:noProof w:val="0"/>
          <w:sz w:val="22"/>
          <w:szCs w:val="22"/>
          <w:lang w:val="en-GB"/>
        </w:rPr>
        <w:t xml:space="preserve"> in </w:t>
      </w:r>
      <w:r w:rsidRPr="3B366774" w:rsidR="4E6F5AF1">
        <w:rPr>
          <w:rFonts w:ascii="Arial" w:hAnsi="Arial" w:eastAsia="Arial" w:cs="Arial"/>
          <w:b w:val="0"/>
          <w:bCs w:val="0"/>
          <w:noProof w:val="0"/>
          <w:sz w:val="22"/>
          <w:szCs w:val="22"/>
          <w:lang w:val="en-GB"/>
        </w:rPr>
        <w:t>determining</w:t>
      </w:r>
      <w:r w:rsidRPr="3B366774" w:rsidR="4E6F5AF1">
        <w:rPr>
          <w:rFonts w:ascii="Arial" w:hAnsi="Arial" w:eastAsia="Arial" w:cs="Arial"/>
          <w:b w:val="0"/>
          <w:bCs w:val="0"/>
          <w:noProof w:val="0"/>
          <w:sz w:val="22"/>
          <w:szCs w:val="22"/>
          <w:lang w:val="en-GB"/>
        </w:rPr>
        <w:t xml:space="preserve"> HRM effectiveness.</w:t>
      </w:r>
    </w:p>
    <w:p w:rsidR="4E6F5AF1" w:rsidP="3B366774" w:rsidRDefault="4E6F5AF1" w14:paraId="638616D0" w14:textId="3CC0C4A3">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4E6F5AF1">
        <w:rPr>
          <w:rFonts w:ascii="Arial" w:hAnsi="Arial" w:eastAsia="Arial" w:cs="Arial"/>
          <w:b w:val="0"/>
          <w:bCs w:val="0"/>
          <w:noProof w:val="0"/>
          <w:sz w:val="22"/>
          <w:szCs w:val="22"/>
          <w:lang w:val="en-GB"/>
        </w:rPr>
        <w:t xml:space="preserve">The framework also integrates motivation theory to elucidate how HRM practices and POS translate into employee outcomes. Both intrinsic and extrinsic motivational factors are considered. Intrinsic motivation arises from meaningful work, autonomy, and opportunities for growth, </w:t>
      </w:r>
      <w:r w:rsidRPr="3B366774" w:rsidR="4E6F5AF1">
        <w:rPr>
          <w:rFonts w:ascii="Arial" w:hAnsi="Arial" w:eastAsia="Arial" w:cs="Arial"/>
          <w:b w:val="0"/>
          <w:bCs w:val="0"/>
          <w:noProof w:val="0"/>
          <w:sz w:val="22"/>
          <w:szCs w:val="22"/>
          <w:lang w:val="en-GB"/>
        </w:rPr>
        <w:t>whereas</w:t>
      </w:r>
      <w:r w:rsidRPr="3B366774" w:rsidR="4E6F5AF1">
        <w:rPr>
          <w:rFonts w:ascii="Arial" w:hAnsi="Arial" w:eastAsia="Arial" w:cs="Arial"/>
          <w:b w:val="0"/>
          <w:bCs w:val="0"/>
          <w:noProof w:val="0"/>
          <w:sz w:val="22"/>
          <w:szCs w:val="22"/>
          <w:lang w:val="en-GB"/>
        </w:rPr>
        <w:t xml:space="preserve"> extrinsic motivation is linked to financial rewards, job security, and working conditions. The interaction between these motivational dimensions is critical; extrinsic rewards may attract employees, but intrinsic factors are often more influential in sustaining long-term engagement. This distinction is especially pertinent in the aviation sector, where high responsibility and stress </w:t>
      </w:r>
      <w:bookmarkStart w:name="_Int_ULT5yKme" w:id="362280887"/>
      <w:r w:rsidRPr="3B366774" w:rsidR="4E6F5AF1">
        <w:rPr>
          <w:rFonts w:ascii="Arial" w:hAnsi="Arial" w:eastAsia="Arial" w:cs="Arial"/>
          <w:b w:val="0"/>
          <w:bCs w:val="0"/>
          <w:noProof w:val="0"/>
          <w:sz w:val="22"/>
          <w:szCs w:val="22"/>
          <w:lang w:val="en-GB"/>
        </w:rPr>
        <w:t>necessitate</w:t>
      </w:r>
      <w:bookmarkEnd w:id="362280887"/>
      <w:r w:rsidRPr="3B366774" w:rsidR="4E6F5AF1">
        <w:rPr>
          <w:rFonts w:ascii="Arial" w:hAnsi="Arial" w:eastAsia="Arial" w:cs="Arial"/>
          <w:b w:val="0"/>
          <w:bCs w:val="0"/>
          <w:noProof w:val="0"/>
          <w:sz w:val="22"/>
          <w:szCs w:val="22"/>
          <w:lang w:val="en-GB"/>
        </w:rPr>
        <w:t xml:space="preserve"> sustained psychological investment.</w:t>
      </w:r>
    </w:p>
    <w:p w:rsidR="4E6F5AF1" w:rsidP="3B366774" w:rsidRDefault="4E6F5AF1" w14:paraId="2374A6FB" w14:textId="51152F69">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4E6F5AF1">
        <w:rPr>
          <w:rFonts w:ascii="Arial" w:hAnsi="Arial" w:eastAsia="Arial" w:cs="Arial"/>
          <w:b w:val="0"/>
          <w:bCs w:val="0"/>
          <w:noProof w:val="0"/>
          <w:sz w:val="22"/>
          <w:szCs w:val="22"/>
          <w:lang w:val="en-GB"/>
        </w:rPr>
        <w:t xml:space="preserve">Building on these mediating mechanisms, the framework </w:t>
      </w:r>
      <w:bookmarkStart w:name="_Int_xe2jhqkR" w:id="671923872"/>
      <w:r w:rsidRPr="3B366774" w:rsidR="4E6F5AF1">
        <w:rPr>
          <w:rFonts w:ascii="Arial" w:hAnsi="Arial" w:eastAsia="Arial" w:cs="Arial"/>
          <w:b w:val="0"/>
          <w:bCs w:val="0"/>
          <w:noProof w:val="0"/>
          <w:sz w:val="22"/>
          <w:szCs w:val="22"/>
          <w:lang w:val="en-GB"/>
        </w:rPr>
        <w:t>identifies</w:t>
      </w:r>
      <w:bookmarkEnd w:id="671923872"/>
      <w:r w:rsidRPr="3B366774" w:rsidR="4E6F5AF1">
        <w:rPr>
          <w:rFonts w:ascii="Arial" w:hAnsi="Arial" w:eastAsia="Arial" w:cs="Arial"/>
          <w:b w:val="0"/>
          <w:bCs w:val="0"/>
          <w:noProof w:val="0"/>
          <w:sz w:val="22"/>
          <w:szCs w:val="22"/>
          <w:lang w:val="en-GB"/>
        </w:rPr>
        <w:t xml:space="preserve"> employee engagement as a proximal outcome. Engagement is defined as a positive, work-related psychological state characterised by vigour, dedication, and absorption, reflecting the degree of emotional and cognitive investment in work. Literature </w:t>
      </w:r>
      <w:bookmarkStart w:name="_Int_uaXpmeI5" w:id="1373716447"/>
      <w:r w:rsidRPr="3B366774" w:rsidR="4E6F5AF1">
        <w:rPr>
          <w:rFonts w:ascii="Arial" w:hAnsi="Arial" w:eastAsia="Arial" w:cs="Arial"/>
          <w:b w:val="0"/>
          <w:bCs w:val="0"/>
          <w:noProof w:val="0"/>
          <w:sz w:val="22"/>
          <w:szCs w:val="22"/>
          <w:lang w:val="en-GB"/>
        </w:rPr>
        <w:t>indicates</w:t>
      </w:r>
      <w:bookmarkEnd w:id="1373716447"/>
      <w:r w:rsidRPr="3B366774" w:rsidR="4E6F5AF1">
        <w:rPr>
          <w:rFonts w:ascii="Arial" w:hAnsi="Arial" w:eastAsia="Arial" w:cs="Arial"/>
          <w:b w:val="0"/>
          <w:bCs w:val="0"/>
          <w:noProof w:val="0"/>
          <w:sz w:val="22"/>
          <w:szCs w:val="22"/>
          <w:lang w:val="en-GB"/>
        </w:rPr>
        <w:t xml:space="preserve"> that engagement mediates the relationship between HRM practices and retention, as engaged employees are more likely to </w:t>
      </w:r>
      <w:r w:rsidRPr="3B366774" w:rsidR="4E6F5AF1">
        <w:rPr>
          <w:rFonts w:ascii="Arial" w:hAnsi="Arial" w:eastAsia="Arial" w:cs="Arial"/>
          <w:b w:val="0"/>
          <w:bCs w:val="0"/>
          <w:noProof w:val="0"/>
          <w:sz w:val="22"/>
          <w:szCs w:val="22"/>
          <w:lang w:val="en-GB"/>
        </w:rPr>
        <w:t>demonstrate</w:t>
      </w:r>
      <w:r w:rsidRPr="3B366774" w:rsidR="4E6F5AF1">
        <w:rPr>
          <w:rFonts w:ascii="Arial" w:hAnsi="Arial" w:eastAsia="Arial" w:cs="Arial"/>
          <w:b w:val="0"/>
          <w:bCs w:val="0"/>
          <w:noProof w:val="0"/>
          <w:sz w:val="22"/>
          <w:szCs w:val="22"/>
          <w:lang w:val="en-GB"/>
        </w:rPr>
        <w:t xml:space="preserve"> organisational commitment and reduced turnover intentions. However, engagement is also shaped by individual factors, such as resilience and personal motivation, and contextual factors, including workload and organisational culture.</w:t>
      </w:r>
    </w:p>
    <w:p w:rsidR="4E6F5AF1" w:rsidP="3B366774" w:rsidRDefault="4E6F5AF1" w14:paraId="6094A3A3" w14:textId="51820473">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4E6F5AF1">
        <w:rPr>
          <w:rFonts w:ascii="Arial" w:hAnsi="Arial" w:eastAsia="Arial" w:cs="Arial"/>
          <w:b w:val="0"/>
          <w:bCs w:val="0"/>
          <w:noProof w:val="0"/>
          <w:sz w:val="22"/>
          <w:szCs w:val="22"/>
          <w:lang w:val="en-GB"/>
        </w:rPr>
        <w:t xml:space="preserve">The ultimate outcome in the framework is employee retention, defined as the organisation’s capacity to </w:t>
      </w:r>
      <w:bookmarkStart w:name="_Int_ikiWKDnz" w:id="1121739690"/>
      <w:r w:rsidRPr="3B366774" w:rsidR="4E6F5AF1">
        <w:rPr>
          <w:rFonts w:ascii="Arial" w:hAnsi="Arial" w:eastAsia="Arial" w:cs="Arial"/>
          <w:b w:val="0"/>
          <w:bCs w:val="0"/>
          <w:noProof w:val="0"/>
          <w:sz w:val="22"/>
          <w:szCs w:val="22"/>
          <w:lang w:val="en-GB"/>
        </w:rPr>
        <w:t>retain</w:t>
      </w:r>
      <w:bookmarkEnd w:id="1121739690"/>
      <w:r w:rsidRPr="3B366774" w:rsidR="4E6F5AF1">
        <w:rPr>
          <w:rFonts w:ascii="Arial" w:hAnsi="Arial" w:eastAsia="Arial" w:cs="Arial"/>
          <w:b w:val="0"/>
          <w:bCs w:val="0"/>
          <w:noProof w:val="0"/>
          <w:sz w:val="22"/>
          <w:szCs w:val="22"/>
          <w:lang w:val="en-GB"/>
        </w:rPr>
        <w:t xml:space="preserve"> skilled employees over time. Retention is shaped by both attitudinal factors, such as job satisfaction and organisational commitment, and external factors, including labour market conditions and alternative job opportunities. The framework recognises that retention does not always result from positive engagement; employees may remain due to limited alternatives or prior career investment. This distinction underscores the importance of differentiating between genuine retention driven by engagement and reluctant retention driven by external constraints.</w:t>
      </w:r>
    </w:p>
    <w:p w:rsidR="4E6F5AF1" w:rsidP="3B366774" w:rsidRDefault="4E6F5AF1" w14:paraId="192DC0A0" w14:textId="37A13DF7">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4E6F5AF1">
        <w:rPr>
          <w:rFonts w:ascii="Arial" w:hAnsi="Arial" w:eastAsia="Arial" w:cs="Arial"/>
          <w:b w:val="0"/>
          <w:bCs w:val="0"/>
          <w:noProof w:val="0"/>
          <w:sz w:val="22"/>
          <w:szCs w:val="22"/>
          <w:lang w:val="en-GB"/>
        </w:rPr>
        <w:t xml:space="preserve">A key contribution of this framework is the inclusion of organisational and strategic constraints as moderating variables. In low-cost airlines, business models emphasise cost minimisation, operational efficiency, and standardised processes. These constraints can restrict the implementation of HRM practices, particularly those requiring substantial investment, such as comprehensive training programmes or elevated compensation. Consequently, there may be a misalignment between ideal HRM practices </w:t>
      </w:r>
      <w:r w:rsidRPr="3B366774" w:rsidR="4E6F5AF1">
        <w:rPr>
          <w:rFonts w:ascii="Arial" w:hAnsi="Arial" w:eastAsia="Arial" w:cs="Arial"/>
          <w:b w:val="0"/>
          <w:bCs w:val="0"/>
          <w:noProof w:val="0"/>
          <w:sz w:val="22"/>
          <w:szCs w:val="22"/>
          <w:lang w:val="en-GB"/>
        </w:rPr>
        <w:t>identified</w:t>
      </w:r>
      <w:r w:rsidRPr="3B366774" w:rsidR="4E6F5AF1">
        <w:rPr>
          <w:rFonts w:ascii="Arial" w:hAnsi="Arial" w:eastAsia="Arial" w:cs="Arial"/>
          <w:b w:val="0"/>
          <w:bCs w:val="0"/>
          <w:noProof w:val="0"/>
          <w:sz w:val="22"/>
          <w:szCs w:val="22"/>
          <w:lang w:val="en-GB"/>
        </w:rPr>
        <w:t xml:space="preserve"> in the literature and those </w:t>
      </w:r>
      <w:r w:rsidRPr="3B366774" w:rsidR="4E6F5AF1">
        <w:rPr>
          <w:rFonts w:ascii="Arial" w:hAnsi="Arial" w:eastAsia="Arial" w:cs="Arial"/>
          <w:b w:val="0"/>
          <w:bCs w:val="0"/>
          <w:noProof w:val="0"/>
          <w:sz w:val="22"/>
          <w:szCs w:val="22"/>
          <w:lang w:val="en-GB"/>
        </w:rPr>
        <w:t>feasible</w:t>
      </w:r>
      <w:r w:rsidRPr="3B366774" w:rsidR="4E6F5AF1">
        <w:rPr>
          <w:rFonts w:ascii="Arial" w:hAnsi="Arial" w:eastAsia="Arial" w:cs="Arial"/>
          <w:b w:val="0"/>
          <w:bCs w:val="0"/>
          <w:noProof w:val="0"/>
          <w:sz w:val="22"/>
          <w:szCs w:val="22"/>
          <w:lang w:val="en-GB"/>
        </w:rPr>
        <w:t xml:space="preserve"> in practice.</w:t>
      </w:r>
    </w:p>
    <w:p w:rsidR="4E6F5AF1" w:rsidP="3B366774" w:rsidRDefault="4E6F5AF1" w14:paraId="6293541D" w14:textId="2C91A7B8">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4E6F5AF1">
        <w:rPr>
          <w:rFonts w:ascii="Arial" w:hAnsi="Arial" w:eastAsia="Arial" w:cs="Arial"/>
          <w:b w:val="0"/>
          <w:bCs w:val="0"/>
          <w:noProof w:val="0"/>
          <w:sz w:val="22"/>
          <w:szCs w:val="22"/>
          <w:lang w:val="en-GB"/>
        </w:rPr>
        <w:t xml:space="preserve">For instance, although training and career development are recognised as important drivers of engagement and retention, LCCs may </w:t>
      </w:r>
      <w:r w:rsidRPr="3B366774" w:rsidR="4E6F5AF1">
        <w:rPr>
          <w:rFonts w:ascii="Arial" w:hAnsi="Arial" w:eastAsia="Arial" w:cs="Arial"/>
          <w:b w:val="0"/>
          <w:bCs w:val="0"/>
          <w:noProof w:val="0"/>
          <w:sz w:val="22"/>
          <w:szCs w:val="22"/>
          <w:lang w:val="en-GB"/>
        </w:rPr>
        <w:t>encounter</w:t>
      </w:r>
      <w:r w:rsidRPr="3B366774" w:rsidR="4E6F5AF1">
        <w:rPr>
          <w:rFonts w:ascii="Arial" w:hAnsi="Arial" w:eastAsia="Arial" w:cs="Arial"/>
          <w:b w:val="0"/>
          <w:bCs w:val="0"/>
          <w:noProof w:val="0"/>
          <w:sz w:val="22"/>
          <w:szCs w:val="22"/>
          <w:lang w:val="en-GB"/>
        </w:rPr>
        <w:t xml:space="preserve"> financial and operational constraints that limit their provision. Similarly, initiatives to improve work-life balance may be restricted by scheduling demands and operational requirements. These limitations underscore the significance of organisational context in shaping HRM effectiveness and reinforce the necessity of a contingency-based approach.</w:t>
      </w:r>
    </w:p>
    <w:p w:rsidR="4E6F5AF1" w:rsidP="3B366774" w:rsidRDefault="4E6F5AF1" w14:paraId="1C694D7B" w14:textId="517470EB">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4E6F5AF1">
        <w:rPr>
          <w:rFonts w:ascii="Arial" w:hAnsi="Arial" w:eastAsia="Arial" w:cs="Arial"/>
          <w:b w:val="0"/>
          <w:bCs w:val="0"/>
          <w:noProof w:val="0"/>
          <w:sz w:val="22"/>
          <w:szCs w:val="22"/>
          <w:lang w:val="en-GB"/>
        </w:rPr>
        <w:t xml:space="preserve">The framework also incorporates external labour market conditions as a moderating factor. In the aviation industry, global pilot shortages and high mobility contribute to a competitive labour market, increasing turnover risk. Even highly engaged employees may </w:t>
      </w:r>
      <w:r w:rsidRPr="3B366774" w:rsidR="4E6F5AF1">
        <w:rPr>
          <w:rFonts w:ascii="Arial" w:hAnsi="Arial" w:eastAsia="Arial" w:cs="Arial"/>
          <w:b w:val="0"/>
          <w:bCs w:val="0"/>
          <w:noProof w:val="0"/>
          <w:sz w:val="22"/>
          <w:szCs w:val="22"/>
          <w:lang w:val="en-GB"/>
        </w:rPr>
        <w:t>depart</w:t>
      </w:r>
      <w:r w:rsidRPr="3B366774" w:rsidR="4E6F5AF1">
        <w:rPr>
          <w:rFonts w:ascii="Arial" w:hAnsi="Arial" w:eastAsia="Arial" w:cs="Arial"/>
          <w:b w:val="0"/>
          <w:bCs w:val="0"/>
          <w:noProof w:val="0"/>
          <w:sz w:val="22"/>
          <w:szCs w:val="22"/>
          <w:lang w:val="en-GB"/>
        </w:rPr>
        <w:t xml:space="preserve"> if more attractive opportunities arise elsewhere. This highlights the necessity of aligning internal HRM practices with external market dynamics.</w:t>
      </w:r>
    </w:p>
    <w:p w:rsidR="4E6F5AF1" w:rsidP="3B366774" w:rsidRDefault="4E6F5AF1" w14:paraId="7008CFD5" w14:textId="2E4A829D">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4E6F5AF1">
        <w:rPr>
          <w:rFonts w:ascii="Arial" w:hAnsi="Arial" w:eastAsia="Arial" w:cs="Arial"/>
          <w:b w:val="0"/>
          <w:bCs w:val="0"/>
          <w:noProof w:val="0"/>
          <w:sz w:val="22"/>
          <w:szCs w:val="22"/>
          <w:lang w:val="en-GB"/>
        </w:rPr>
        <w:t>Additionally, the framework recognises the significance of organisational resilience and working conditions, especially in high-stress environments like aviation. Factors such as fatigue, workload, and job security can affect both engagement and retention, potentially counteracting the positive effects of HRM practices. This underscores the importance of considering the broader working environment alongside the presence of HRM practices.</w:t>
      </w:r>
    </w:p>
    <w:p w:rsidR="4E6F5AF1" w:rsidP="3B366774" w:rsidRDefault="4E6F5AF1" w14:paraId="42FA9F34" w14:textId="4FB7080B">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4E6F5AF1">
        <w:rPr>
          <w:rFonts w:ascii="Arial" w:hAnsi="Arial" w:eastAsia="Arial" w:cs="Arial"/>
          <w:b w:val="0"/>
          <w:bCs w:val="0"/>
          <w:noProof w:val="0"/>
          <w:sz w:val="22"/>
          <w:szCs w:val="22"/>
          <w:lang w:val="en-GB"/>
        </w:rPr>
        <w:t>In summary, the conceptual framework developed in this study offers a comprehensive model for understanding the relationship between HRM practices, engagement, and retention in low-cost airline contexts. It highlights the significance of mediating mechanisms such as perceived organisational support and motivation, as well as the moderating effects of organisational constraints and external labour market conditions. By integrating theoretical and contextual perspectives, the framework provides a robust basis for analysing the effectiveness of HRM practices in promoting sustainable pilot retention.</w:t>
      </w:r>
    </w:p>
    <w:p w:rsidR="034594A6" w:rsidP="3B366774" w:rsidRDefault="034594A6" w14:paraId="35A0665A" w14:textId="65E17961">
      <w:pPr>
        <w:pStyle w:val="Heading1"/>
        <w:bidi w:val="0"/>
        <w:spacing w:line="360" w:lineRule="auto"/>
        <w:jc w:val="both"/>
        <w:rPr>
          <w:rFonts w:ascii="Arial" w:hAnsi="Arial" w:eastAsia="Arial" w:cs="Arial"/>
          <w:noProof w:val="0"/>
          <w:sz w:val="22"/>
          <w:szCs w:val="22"/>
          <w:lang w:val="en-GB"/>
        </w:rPr>
      </w:pPr>
    </w:p>
    <w:p w:rsidR="034594A6" w:rsidP="3B366774" w:rsidRDefault="034594A6" w14:paraId="667A9794" w14:textId="1A03F0E6">
      <w:pPr>
        <w:spacing w:line="360" w:lineRule="auto"/>
        <w:jc w:val="both"/>
        <w:rPr>
          <w:rFonts w:ascii="Arial" w:hAnsi="Arial" w:eastAsia="Arial" w:cs="Arial"/>
          <w:sz w:val="22"/>
          <w:szCs w:val="22"/>
        </w:rPr>
      </w:pPr>
      <w:r w:rsidRPr="3B366774">
        <w:rPr>
          <w:rFonts w:ascii="Arial" w:hAnsi="Arial" w:eastAsia="Arial" w:cs="Arial"/>
          <w:sz w:val="22"/>
          <w:szCs w:val="22"/>
        </w:rPr>
        <w:br w:type="page"/>
      </w:r>
    </w:p>
    <w:p w:rsidR="42274C1B" w:rsidP="3B366774" w:rsidRDefault="42274C1B" w14:paraId="20E692AD" w14:textId="0051443C">
      <w:pPr>
        <w:pStyle w:val="Heading1"/>
        <w:bidi w:val="0"/>
        <w:spacing w:line="360" w:lineRule="auto"/>
        <w:jc w:val="both"/>
        <w:rPr>
          <w:rFonts w:ascii="Arial" w:hAnsi="Arial" w:eastAsia="Arial" w:cs="Arial"/>
          <w:b w:val="0"/>
          <w:bCs w:val="0"/>
          <w:noProof w:val="0"/>
          <w:sz w:val="22"/>
          <w:szCs w:val="22"/>
          <w:lang w:val="en-GB"/>
        </w:rPr>
      </w:pPr>
      <w:bookmarkStart w:name="_Toc1996541205" w:id="194283891"/>
      <w:r w:rsidRPr="3B366774" w:rsidR="42274C1B">
        <w:rPr>
          <w:rFonts w:ascii="Arial" w:hAnsi="Arial" w:eastAsia="Arial" w:cs="Arial"/>
          <w:noProof w:val="0"/>
          <w:sz w:val="22"/>
          <w:szCs w:val="22"/>
          <w:lang w:val="en-GB"/>
        </w:rPr>
        <w:t>Methodology</w:t>
      </w:r>
      <w:bookmarkEnd w:id="194283891"/>
    </w:p>
    <w:p w:rsidR="42274C1B" w:rsidP="3B366774" w:rsidRDefault="42274C1B" w14:paraId="1AE65EC7" w14:textId="5180AA6F">
      <w:pPr>
        <w:pStyle w:val="Heading2"/>
        <w:bidi w:val="0"/>
        <w:spacing w:line="360" w:lineRule="auto"/>
        <w:jc w:val="both"/>
        <w:rPr>
          <w:rFonts w:ascii="Arial" w:hAnsi="Arial" w:eastAsia="Arial" w:cs="Arial"/>
          <w:b w:val="0"/>
          <w:bCs w:val="0"/>
          <w:noProof w:val="0"/>
          <w:sz w:val="22"/>
          <w:szCs w:val="22"/>
          <w:lang w:val="en-GB"/>
        </w:rPr>
      </w:pPr>
      <w:bookmarkStart w:name="_Toc1332856949" w:id="1544477071"/>
      <w:r w:rsidRPr="3B366774" w:rsidR="42274C1B">
        <w:rPr>
          <w:rFonts w:ascii="Arial" w:hAnsi="Arial" w:eastAsia="Arial" w:cs="Arial"/>
          <w:noProof w:val="0"/>
          <w:sz w:val="22"/>
          <w:szCs w:val="22"/>
          <w:lang w:val="en-GB"/>
        </w:rPr>
        <w:t>Introduction</w:t>
      </w:r>
      <w:bookmarkEnd w:id="1544477071"/>
    </w:p>
    <w:p w:rsidR="42274C1B" w:rsidP="3B366774" w:rsidRDefault="42274C1B" w14:paraId="5DD6F397" w14:textId="112FAB87">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42274C1B">
        <w:rPr>
          <w:rFonts w:ascii="Arial" w:hAnsi="Arial" w:eastAsia="Arial" w:cs="Arial"/>
          <w:b w:val="0"/>
          <w:bCs w:val="0"/>
          <w:noProof w:val="0"/>
          <w:sz w:val="22"/>
          <w:szCs w:val="22"/>
          <w:lang w:val="en-GB"/>
        </w:rPr>
        <w:t xml:space="preserve">A theoretically grounded, systematic </w:t>
      </w:r>
      <w:r w:rsidRPr="3B366774" w:rsidR="3CAA3458">
        <w:rPr>
          <w:rFonts w:ascii="Arial" w:hAnsi="Arial" w:eastAsia="Arial" w:cs="Arial"/>
          <w:b w:val="0"/>
          <w:bCs w:val="0"/>
          <w:noProof w:val="0"/>
          <w:sz w:val="22"/>
          <w:szCs w:val="22"/>
          <w:lang w:val="en-GB"/>
        </w:rPr>
        <w:t xml:space="preserve">literature review </w:t>
      </w:r>
      <w:r w:rsidRPr="3B366774" w:rsidR="42274C1B">
        <w:rPr>
          <w:rFonts w:ascii="Arial" w:hAnsi="Arial" w:eastAsia="Arial" w:cs="Arial"/>
          <w:b w:val="0"/>
          <w:bCs w:val="0"/>
          <w:noProof w:val="0"/>
          <w:sz w:val="22"/>
          <w:szCs w:val="22"/>
          <w:lang w:val="en-GB"/>
        </w:rPr>
        <w:t xml:space="preserve">approach is adopted to review the influence of Human Resource Management (HRM) practices on pilot engagement and retention within the strategic and functional constraints of low-cost airline business models, with </w:t>
      </w:r>
      <w:r w:rsidRPr="3B366774" w:rsidR="42274C1B">
        <w:rPr>
          <w:rFonts w:ascii="Arial" w:hAnsi="Arial" w:eastAsia="Arial" w:cs="Arial"/>
          <w:b w:val="0"/>
          <w:bCs w:val="0"/>
          <w:i w:val="1"/>
          <w:iCs w:val="1"/>
          <w:noProof w:val="0"/>
          <w:sz w:val="22"/>
          <w:szCs w:val="22"/>
          <w:lang w:val="en-GB"/>
        </w:rPr>
        <w:t>easyJet</w:t>
      </w:r>
      <w:r w:rsidRPr="3B366774" w:rsidR="42274C1B">
        <w:rPr>
          <w:rFonts w:ascii="Arial" w:hAnsi="Arial" w:eastAsia="Arial" w:cs="Arial"/>
          <w:b w:val="0"/>
          <w:bCs w:val="0"/>
          <w:noProof w:val="0"/>
          <w:sz w:val="22"/>
          <w:szCs w:val="22"/>
          <w:lang w:val="en-GB"/>
        </w:rPr>
        <w:t xml:space="preserve"> serving as the contextual case. </w:t>
      </w:r>
      <w:r w:rsidRPr="3B366774" w:rsidR="3DB00CB3">
        <w:rPr>
          <w:rFonts w:ascii="Arial" w:hAnsi="Arial" w:eastAsia="Arial" w:cs="Arial"/>
          <w:b w:val="0"/>
          <w:bCs w:val="0"/>
          <w:noProof w:val="0"/>
          <w:sz w:val="22"/>
          <w:szCs w:val="22"/>
          <w:lang w:val="en-GB"/>
        </w:rPr>
        <w:t>Adopting a structured literature review approach, which enables the systematic identification, e</w:t>
      </w:r>
      <w:r w:rsidRPr="3B366774" w:rsidR="13CAB372">
        <w:rPr>
          <w:rFonts w:ascii="Arial" w:hAnsi="Arial" w:eastAsia="Arial" w:cs="Arial"/>
          <w:b w:val="0"/>
          <w:bCs w:val="0"/>
          <w:noProof w:val="0"/>
          <w:sz w:val="22"/>
          <w:szCs w:val="22"/>
          <w:lang w:val="en-GB"/>
        </w:rPr>
        <w:t xml:space="preserve">valuation, and synthesis of existing research to generate new insights (Snyder, 2019). </w:t>
      </w:r>
      <w:r w:rsidRPr="3B366774" w:rsidR="4DFA466E">
        <w:rPr>
          <w:rFonts w:ascii="Arial" w:hAnsi="Arial" w:eastAsia="Arial" w:cs="Arial"/>
          <w:b w:val="0"/>
          <w:bCs w:val="0"/>
          <w:noProof w:val="0"/>
          <w:sz w:val="22"/>
          <w:szCs w:val="22"/>
          <w:lang w:val="en-GB"/>
        </w:rPr>
        <w:t xml:space="preserve">As noted by Caraway (2020), </w:t>
      </w:r>
      <w:r w:rsidRPr="3B366774" w:rsidR="77C7A3E1">
        <w:rPr>
          <w:rFonts w:ascii="Arial" w:hAnsi="Arial" w:eastAsia="Arial" w:cs="Arial"/>
          <w:b w:val="0"/>
          <w:bCs w:val="0"/>
          <w:noProof w:val="0"/>
          <w:sz w:val="22"/>
          <w:szCs w:val="22"/>
          <w:lang w:val="en-GB"/>
        </w:rPr>
        <w:t>low-cost</w:t>
      </w:r>
      <w:r w:rsidRPr="3B366774" w:rsidR="2A56B56E">
        <w:rPr>
          <w:rFonts w:ascii="Arial" w:hAnsi="Arial" w:eastAsia="Arial" w:cs="Arial"/>
          <w:b w:val="0"/>
          <w:bCs w:val="0"/>
          <w:noProof w:val="0"/>
          <w:sz w:val="22"/>
          <w:szCs w:val="22"/>
          <w:lang w:val="en-GB"/>
        </w:rPr>
        <w:t xml:space="preserve"> carrier airlines face multi-</w:t>
      </w:r>
      <w:r w:rsidRPr="3B366774" w:rsidR="1BEC2282">
        <w:rPr>
          <w:rFonts w:ascii="Arial" w:hAnsi="Arial" w:eastAsia="Arial" w:cs="Arial"/>
          <w:b w:val="0"/>
          <w:bCs w:val="0"/>
          <w:noProof w:val="0"/>
          <w:sz w:val="22"/>
          <w:szCs w:val="22"/>
          <w:lang w:val="en-GB"/>
        </w:rPr>
        <w:t>dimensional</w:t>
      </w:r>
      <w:r w:rsidRPr="3B366774" w:rsidR="2A56B56E">
        <w:rPr>
          <w:rFonts w:ascii="Arial" w:hAnsi="Arial" w:eastAsia="Arial" w:cs="Arial"/>
          <w:b w:val="0"/>
          <w:bCs w:val="0"/>
          <w:noProof w:val="0"/>
          <w:sz w:val="22"/>
          <w:szCs w:val="22"/>
          <w:lang w:val="en-GB"/>
        </w:rPr>
        <w:t xml:space="preserve"> challenges </w:t>
      </w:r>
      <w:r w:rsidRPr="3B366774" w:rsidR="57BE8FF5">
        <w:rPr>
          <w:rFonts w:ascii="Arial" w:hAnsi="Arial" w:eastAsia="Arial" w:cs="Arial"/>
          <w:b w:val="0"/>
          <w:bCs w:val="0"/>
          <w:noProof w:val="0"/>
          <w:sz w:val="22"/>
          <w:szCs w:val="22"/>
          <w:lang w:val="en-GB"/>
        </w:rPr>
        <w:t xml:space="preserve">in terms of finding and </w:t>
      </w:r>
      <w:r w:rsidRPr="3B366774" w:rsidR="57BE8FF5">
        <w:rPr>
          <w:rFonts w:ascii="Arial" w:hAnsi="Arial" w:eastAsia="Arial" w:cs="Arial"/>
          <w:b w:val="0"/>
          <w:bCs w:val="0"/>
          <w:noProof w:val="0"/>
          <w:sz w:val="22"/>
          <w:szCs w:val="22"/>
          <w:lang w:val="en-GB"/>
        </w:rPr>
        <w:t>retaining</w:t>
      </w:r>
      <w:r w:rsidRPr="3B366774" w:rsidR="57BE8FF5">
        <w:rPr>
          <w:rFonts w:ascii="Arial" w:hAnsi="Arial" w:eastAsia="Arial" w:cs="Arial"/>
          <w:b w:val="0"/>
          <w:bCs w:val="0"/>
          <w:noProof w:val="0"/>
          <w:sz w:val="22"/>
          <w:szCs w:val="22"/>
          <w:lang w:val="en-GB"/>
        </w:rPr>
        <w:t xml:space="preserve"> pilots within the industry with particular focus on </w:t>
      </w:r>
      <w:r w:rsidRPr="3B366774" w:rsidR="6ED3F92E">
        <w:rPr>
          <w:rFonts w:ascii="Arial" w:hAnsi="Arial" w:eastAsia="Arial" w:cs="Arial"/>
          <w:b w:val="0"/>
          <w:bCs w:val="0"/>
          <w:noProof w:val="0"/>
          <w:sz w:val="22"/>
          <w:szCs w:val="22"/>
          <w:lang w:val="en-GB"/>
        </w:rPr>
        <w:t xml:space="preserve">industry-specific constraints. </w:t>
      </w:r>
      <w:r w:rsidRPr="3B366774" w:rsidR="42274C1B">
        <w:rPr>
          <w:rFonts w:ascii="Arial" w:hAnsi="Arial" w:eastAsia="Arial" w:cs="Arial"/>
          <w:b w:val="0"/>
          <w:bCs w:val="0"/>
          <w:noProof w:val="0"/>
          <w:sz w:val="22"/>
          <w:szCs w:val="22"/>
          <w:lang w:val="en-GB"/>
        </w:rPr>
        <w:t>Due to the complexity of the research problem, which lies at the intersection of HRM theory, employee behaviour, and industry-specific constraints, a strong and coherent methodological model is necessary to ensure analytical thoroughness and validity.</w:t>
      </w:r>
    </w:p>
    <w:p w:rsidR="42274C1B" w:rsidP="3B366774" w:rsidRDefault="42274C1B" w14:paraId="67A9326C" w14:textId="073F6EE8">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42274C1B">
        <w:rPr>
          <w:rFonts w:ascii="Arial" w:hAnsi="Arial" w:eastAsia="Arial" w:cs="Arial"/>
          <w:b w:val="0"/>
          <w:bCs w:val="0"/>
          <w:noProof w:val="0"/>
          <w:sz w:val="22"/>
          <w:szCs w:val="22"/>
          <w:lang w:val="en-GB"/>
        </w:rPr>
        <w:t xml:space="preserve">The research is guided by four research questions that collectively examine the identification, application, and effectiveness of HRM practices in skill-intensive environments, with a particular emphasis on the aviation sector. An integrated </w:t>
      </w:r>
      <w:r w:rsidRPr="3B366774" w:rsidR="42274C1B">
        <w:rPr>
          <w:rFonts w:ascii="Arial" w:hAnsi="Arial" w:eastAsia="Arial" w:cs="Arial"/>
          <w:b w:val="0"/>
          <w:bCs w:val="0"/>
          <w:noProof w:val="0"/>
          <w:sz w:val="22"/>
          <w:szCs w:val="22"/>
          <w:lang w:val="en-GB"/>
        </w:rPr>
        <w:t>mixed-method</w:t>
      </w:r>
      <w:r w:rsidRPr="3B366774" w:rsidR="42274C1B">
        <w:rPr>
          <w:rFonts w:ascii="Arial" w:hAnsi="Arial" w:eastAsia="Arial" w:cs="Arial"/>
          <w:b w:val="0"/>
          <w:bCs w:val="0"/>
          <w:noProof w:val="0"/>
          <w:sz w:val="22"/>
          <w:szCs w:val="22"/>
          <w:lang w:val="en-GB"/>
        </w:rPr>
        <w:t xml:space="preserve"> design is employed, combining </w:t>
      </w:r>
      <w:r w:rsidRPr="3B366774" w:rsidR="42274C1B">
        <w:rPr>
          <w:rFonts w:ascii="Arial" w:hAnsi="Arial" w:eastAsia="Arial" w:cs="Arial"/>
          <w:b w:val="0"/>
          <w:bCs w:val="0"/>
          <w:noProof w:val="0"/>
          <w:sz w:val="22"/>
          <w:szCs w:val="22"/>
          <w:lang w:val="en-GB"/>
        </w:rPr>
        <w:t>thematic synthesis</w:t>
      </w:r>
      <w:r w:rsidRPr="3B366774" w:rsidR="42274C1B">
        <w:rPr>
          <w:rFonts w:ascii="Arial" w:hAnsi="Arial" w:eastAsia="Arial" w:cs="Arial"/>
          <w:b w:val="0"/>
          <w:bCs w:val="0"/>
          <w:noProof w:val="0"/>
          <w:sz w:val="22"/>
          <w:szCs w:val="22"/>
          <w:lang w:val="en-GB"/>
        </w:rPr>
        <w:t xml:space="preserve"> of academic and industry literature with a narrative case-based analysis of publicly available organisational data. This approach </w:t>
      </w:r>
      <w:r w:rsidRPr="3B366774" w:rsidR="42274C1B">
        <w:rPr>
          <w:rFonts w:ascii="Arial" w:hAnsi="Arial" w:eastAsia="Arial" w:cs="Arial"/>
          <w:b w:val="0"/>
          <w:bCs w:val="0"/>
          <w:noProof w:val="0"/>
          <w:sz w:val="22"/>
          <w:szCs w:val="22"/>
          <w:lang w:val="en-GB"/>
        </w:rPr>
        <w:t>facilitates</w:t>
      </w:r>
      <w:r w:rsidRPr="3B366774" w:rsidR="42274C1B">
        <w:rPr>
          <w:rFonts w:ascii="Arial" w:hAnsi="Arial" w:eastAsia="Arial" w:cs="Arial"/>
          <w:b w:val="0"/>
          <w:bCs w:val="0"/>
          <w:noProof w:val="0"/>
          <w:sz w:val="22"/>
          <w:szCs w:val="22"/>
          <w:lang w:val="en-GB"/>
        </w:rPr>
        <w:t xml:space="preserve"> both </w:t>
      </w:r>
      <w:r w:rsidRPr="3B366774" w:rsidR="6698FCB0">
        <w:rPr>
          <w:rFonts w:ascii="Arial" w:hAnsi="Arial" w:eastAsia="Arial" w:cs="Arial"/>
          <w:b w:val="0"/>
          <w:bCs w:val="0"/>
          <w:noProof w:val="0"/>
          <w:sz w:val="22"/>
          <w:szCs w:val="22"/>
          <w:lang w:val="en-GB"/>
        </w:rPr>
        <w:t>theoretically based</w:t>
      </w:r>
      <w:r w:rsidRPr="3B366774" w:rsidR="42274C1B">
        <w:rPr>
          <w:rFonts w:ascii="Arial" w:hAnsi="Arial" w:eastAsia="Arial" w:cs="Arial"/>
          <w:b w:val="0"/>
          <w:bCs w:val="0"/>
          <w:noProof w:val="0"/>
          <w:sz w:val="22"/>
          <w:szCs w:val="22"/>
          <w:lang w:val="en-GB"/>
        </w:rPr>
        <w:t xml:space="preserve"> generalisation and contextual specificity.</w:t>
      </w:r>
      <w:r w:rsidRPr="3B366774" w:rsidR="5CEFFDAA">
        <w:rPr>
          <w:rFonts w:ascii="Arial" w:hAnsi="Arial" w:eastAsia="Arial" w:cs="Arial"/>
          <w:b w:val="0"/>
          <w:bCs w:val="0"/>
          <w:noProof w:val="0"/>
          <w:sz w:val="22"/>
          <w:szCs w:val="22"/>
          <w:lang w:val="en-GB"/>
        </w:rPr>
        <w:t xml:space="preserve"> </w:t>
      </w:r>
    </w:p>
    <w:p w:rsidR="42274C1B" w:rsidP="3B366774" w:rsidRDefault="42274C1B" w14:paraId="67FC21DE" w14:textId="4F441071">
      <w:pPr>
        <w:bidi w:val="0"/>
        <w:spacing w:before="120" w:beforeAutospacing="off" w:after="120" w:afterAutospacing="off" w:line="360" w:lineRule="auto"/>
        <w:jc w:val="both"/>
        <w:rPr>
          <w:rFonts w:ascii="Arial" w:hAnsi="Arial" w:eastAsia="Arial" w:cs="Arial"/>
          <w:b w:val="0"/>
          <w:bCs w:val="0"/>
          <w:noProof w:val="0"/>
          <w:sz w:val="22"/>
          <w:szCs w:val="22"/>
          <w:lang w:val="en-GB"/>
        </w:rPr>
      </w:pPr>
      <w:bookmarkStart w:name="_Toc956667191" w:id="576603281"/>
      <w:r w:rsidRPr="3B366774" w:rsidR="42274C1B">
        <w:rPr>
          <w:rStyle w:val="Heading2Char"/>
          <w:rFonts w:ascii="Arial" w:hAnsi="Arial" w:eastAsia="Arial" w:cs="Arial"/>
          <w:noProof w:val="0"/>
          <w:sz w:val="22"/>
          <w:szCs w:val="22"/>
          <w:lang w:val="en-GB"/>
        </w:rPr>
        <w:t>Research Philosophy and Assumptions</w:t>
      </w:r>
      <w:bookmarkEnd w:id="576603281"/>
    </w:p>
    <w:p w:rsidR="42274C1B" w:rsidP="3B366774" w:rsidRDefault="42274C1B" w14:paraId="2596608B" w14:textId="5978F949">
      <w:pPr>
        <w:pStyle w:val="Normal"/>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42274C1B">
        <w:rPr>
          <w:rFonts w:ascii="Arial" w:hAnsi="Arial" w:eastAsia="Arial" w:cs="Arial"/>
          <w:b w:val="0"/>
          <w:bCs w:val="0"/>
          <w:noProof w:val="0"/>
          <w:sz w:val="22"/>
          <w:szCs w:val="22"/>
          <w:lang w:val="en-GB"/>
        </w:rPr>
        <w:t xml:space="preserve">At the philosophical level, the research is underpinned by a pragmatist paradigm that unites elements of both positivism and interpretivism. Pragmatism is particularly </w:t>
      </w:r>
      <w:r w:rsidRPr="3B366774" w:rsidR="42274C1B">
        <w:rPr>
          <w:rFonts w:ascii="Arial" w:hAnsi="Arial" w:eastAsia="Arial" w:cs="Arial"/>
          <w:b w:val="0"/>
          <w:bCs w:val="0"/>
          <w:noProof w:val="0"/>
          <w:sz w:val="22"/>
          <w:szCs w:val="22"/>
          <w:lang w:val="en-GB"/>
        </w:rPr>
        <w:t>appropriate because</w:t>
      </w:r>
      <w:r w:rsidRPr="3B366774" w:rsidR="42274C1B">
        <w:rPr>
          <w:rFonts w:ascii="Arial" w:hAnsi="Arial" w:eastAsia="Arial" w:cs="Arial"/>
          <w:b w:val="0"/>
          <w:bCs w:val="0"/>
          <w:noProof w:val="0"/>
          <w:sz w:val="22"/>
          <w:szCs w:val="22"/>
          <w:lang w:val="en-GB"/>
        </w:rPr>
        <w:t xml:space="preserve"> it prioritises the research problem over strict adherence to a single epistemological stance, thereby </w:t>
      </w:r>
      <w:r w:rsidRPr="3B366774" w:rsidR="42274C1B">
        <w:rPr>
          <w:rFonts w:ascii="Arial" w:hAnsi="Arial" w:eastAsia="Arial" w:cs="Arial"/>
          <w:b w:val="0"/>
          <w:bCs w:val="0"/>
          <w:noProof w:val="0"/>
          <w:sz w:val="22"/>
          <w:szCs w:val="22"/>
          <w:lang w:val="en-GB"/>
        </w:rPr>
        <w:t>facilitating</w:t>
      </w:r>
      <w:r w:rsidRPr="3B366774" w:rsidR="42274C1B">
        <w:rPr>
          <w:rFonts w:ascii="Arial" w:hAnsi="Arial" w:eastAsia="Arial" w:cs="Arial"/>
          <w:b w:val="0"/>
          <w:bCs w:val="0"/>
          <w:noProof w:val="0"/>
          <w:sz w:val="22"/>
          <w:szCs w:val="22"/>
          <w:lang w:val="en-GB"/>
        </w:rPr>
        <w:t xml:space="preserve"> methodological flexibility (</w:t>
      </w:r>
      <w:r w:rsidRPr="3B366774" w:rsidR="376A8F35">
        <w:rPr>
          <w:rFonts w:ascii="Arial" w:hAnsi="Arial" w:eastAsia="Arial" w:cs="Arial"/>
          <w:b w:val="0"/>
          <w:bCs w:val="0"/>
          <w:noProof w:val="0"/>
          <w:sz w:val="22"/>
          <w:szCs w:val="22"/>
          <w:lang w:val="en-GB"/>
        </w:rPr>
        <w:t>Saunders, Lewis &amp; Thornhill,</w:t>
      </w:r>
      <w:r w:rsidRPr="3B366774" w:rsidR="42274C1B">
        <w:rPr>
          <w:rFonts w:ascii="Arial" w:hAnsi="Arial" w:eastAsia="Arial" w:cs="Arial"/>
          <w:b w:val="0"/>
          <w:bCs w:val="0"/>
          <w:noProof w:val="0"/>
          <w:sz w:val="22"/>
          <w:szCs w:val="22"/>
          <w:lang w:val="en-GB"/>
        </w:rPr>
        <w:t xml:space="preserve"> 2019).</w:t>
      </w:r>
    </w:p>
    <w:p w:rsidR="42274C1B" w:rsidP="3B366774" w:rsidRDefault="42274C1B" w14:paraId="5264B4B9" w14:textId="765A18E2">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42274C1B">
        <w:rPr>
          <w:rFonts w:ascii="Arial" w:hAnsi="Arial" w:eastAsia="Arial" w:cs="Arial"/>
          <w:b w:val="0"/>
          <w:bCs w:val="0"/>
          <w:noProof w:val="0"/>
          <w:sz w:val="22"/>
          <w:szCs w:val="22"/>
          <w:lang w:val="en-GB"/>
        </w:rPr>
        <w:t xml:space="preserve">From a positivist perspective, the study draws on established HRM theories and empirical findings to </w:t>
      </w:r>
      <w:r w:rsidRPr="3B366774" w:rsidR="42274C1B">
        <w:rPr>
          <w:rFonts w:ascii="Arial" w:hAnsi="Arial" w:eastAsia="Arial" w:cs="Arial"/>
          <w:b w:val="0"/>
          <w:bCs w:val="0"/>
          <w:noProof w:val="0"/>
          <w:sz w:val="22"/>
          <w:szCs w:val="22"/>
          <w:lang w:val="en-GB"/>
        </w:rPr>
        <w:t>identify</w:t>
      </w:r>
      <w:r w:rsidRPr="3B366774" w:rsidR="42274C1B">
        <w:rPr>
          <w:rFonts w:ascii="Arial" w:hAnsi="Arial" w:eastAsia="Arial" w:cs="Arial"/>
          <w:b w:val="0"/>
          <w:bCs w:val="0"/>
          <w:noProof w:val="0"/>
          <w:sz w:val="22"/>
          <w:szCs w:val="22"/>
          <w:lang w:val="en-GB"/>
        </w:rPr>
        <w:t xml:space="preserve"> generalisable patterns in the relationships among HRM practices, engagement, and retention. This is </w:t>
      </w:r>
      <w:r w:rsidRPr="3B366774" w:rsidR="42274C1B">
        <w:rPr>
          <w:rFonts w:ascii="Arial" w:hAnsi="Arial" w:eastAsia="Arial" w:cs="Arial"/>
          <w:b w:val="0"/>
          <w:bCs w:val="0"/>
          <w:noProof w:val="0"/>
          <w:sz w:val="22"/>
          <w:szCs w:val="22"/>
          <w:lang w:val="en-GB"/>
        </w:rPr>
        <w:t>apparent</w:t>
      </w:r>
      <w:r w:rsidRPr="3B366774" w:rsidR="42274C1B">
        <w:rPr>
          <w:rFonts w:ascii="Arial" w:hAnsi="Arial" w:eastAsia="Arial" w:cs="Arial"/>
          <w:b w:val="0"/>
          <w:bCs w:val="0"/>
          <w:noProof w:val="0"/>
          <w:sz w:val="22"/>
          <w:szCs w:val="22"/>
          <w:lang w:val="en-GB"/>
        </w:rPr>
        <w:t xml:space="preserve"> in the systematic synthesis of available literature addressing Research Question 1. Positivism supports the use of structured analysis and the identification of causal relationships, particularly in examining how HRM practices influence quantifiable effects such as retention.</w:t>
      </w:r>
    </w:p>
    <w:p w:rsidR="42274C1B" w:rsidP="3B366774" w:rsidRDefault="42274C1B" w14:paraId="2B038DF5" w14:textId="4C343538">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42274C1B">
        <w:rPr>
          <w:rFonts w:ascii="Arial" w:hAnsi="Arial" w:eastAsia="Arial" w:cs="Arial"/>
          <w:b w:val="0"/>
          <w:bCs w:val="0"/>
          <w:noProof w:val="0"/>
          <w:sz w:val="22"/>
          <w:szCs w:val="22"/>
          <w:lang w:val="en-GB"/>
        </w:rPr>
        <w:t xml:space="preserve">However, the study also incorporates an interpretivist dimension, particularly in the analysis of </w:t>
      </w:r>
      <w:r w:rsidRPr="3B366774" w:rsidR="42274C1B">
        <w:rPr>
          <w:rFonts w:ascii="Arial" w:hAnsi="Arial" w:eastAsia="Arial" w:cs="Arial"/>
          <w:b w:val="0"/>
          <w:bCs w:val="0"/>
          <w:i w:val="1"/>
          <w:iCs w:val="1"/>
          <w:noProof w:val="0"/>
          <w:sz w:val="22"/>
          <w:szCs w:val="22"/>
          <w:lang w:val="en-GB"/>
        </w:rPr>
        <w:t>easyJet’s</w:t>
      </w:r>
      <w:r w:rsidRPr="3B366774" w:rsidR="42274C1B">
        <w:rPr>
          <w:rFonts w:ascii="Arial" w:hAnsi="Arial" w:eastAsia="Arial" w:cs="Arial"/>
          <w:b w:val="0"/>
          <w:bCs w:val="0"/>
          <w:noProof w:val="0"/>
          <w:sz w:val="22"/>
          <w:szCs w:val="22"/>
          <w:lang w:val="en-GB"/>
        </w:rPr>
        <w:t xml:space="preserve"> HRM practices. Organisational practices are not simply objective phenomena; they are socially constructed and interpreted differently by stakeholders. Understanding how HRM practices </w:t>
      </w:r>
      <w:r w:rsidRPr="3B366774" w:rsidR="42274C1B">
        <w:rPr>
          <w:rFonts w:ascii="Arial" w:hAnsi="Arial" w:eastAsia="Arial" w:cs="Arial"/>
          <w:b w:val="0"/>
          <w:bCs w:val="0"/>
          <w:noProof w:val="0"/>
          <w:sz w:val="22"/>
          <w:szCs w:val="22"/>
          <w:lang w:val="en-GB"/>
        </w:rPr>
        <w:t>operate</w:t>
      </w:r>
      <w:r w:rsidRPr="3B366774" w:rsidR="42274C1B">
        <w:rPr>
          <w:rFonts w:ascii="Arial" w:hAnsi="Arial" w:eastAsia="Arial" w:cs="Arial"/>
          <w:b w:val="0"/>
          <w:bCs w:val="0"/>
          <w:noProof w:val="0"/>
          <w:sz w:val="22"/>
          <w:szCs w:val="22"/>
          <w:lang w:val="en-GB"/>
        </w:rPr>
        <w:t xml:space="preserve"> within the specific context of a low-cost airline requires an appreciation of organisational culture, strategic priorities, and operational restrictions. This is consistent with interpretivist assumptions that reality is subjective and </w:t>
      </w:r>
      <w:r w:rsidRPr="3B366774" w:rsidR="34EF6E75">
        <w:rPr>
          <w:rFonts w:ascii="Arial" w:hAnsi="Arial" w:eastAsia="Arial" w:cs="Arial"/>
          <w:b w:val="0"/>
          <w:bCs w:val="0"/>
          <w:noProof w:val="0"/>
          <w:sz w:val="22"/>
          <w:szCs w:val="22"/>
          <w:lang w:val="en-GB"/>
        </w:rPr>
        <w:t>context specific</w:t>
      </w:r>
      <w:r w:rsidRPr="3B366774" w:rsidR="42274C1B">
        <w:rPr>
          <w:rFonts w:ascii="Arial" w:hAnsi="Arial" w:eastAsia="Arial" w:cs="Arial"/>
          <w:b w:val="0"/>
          <w:bCs w:val="0"/>
          <w:noProof w:val="0"/>
          <w:sz w:val="22"/>
          <w:szCs w:val="22"/>
          <w:lang w:val="en-GB"/>
        </w:rPr>
        <w:t>.</w:t>
      </w:r>
    </w:p>
    <w:p w:rsidR="42274C1B" w:rsidP="3B366774" w:rsidRDefault="42274C1B" w14:paraId="70D75D8F" w14:textId="5D9E651B">
      <w:pPr>
        <w:pStyle w:val="Normal"/>
        <w:bidi w:val="0"/>
        <w:spacing w:before="120" w:beforeAutospacing="off" w:after="120" w:afterAutospacing="off" w:line="360" w:lineRule="auto"/>
        <w:jc w:val="both"/>
        <w:rPr>
          <w:rFonts w:ascii="Arial" w:hAnsi="Arial" w:eastAsia="Arial" w:cs="Arial"/>
          <w:b w:val="0"/>
          <w:bCs w:val="0"/>
          <w:noProof w:val="0"/>
          <w:color w:val="auto"/>
          <w:sz w:val="22"/>
          <w:szCs w:val="22"/>
          <w:lang w:val="en-GB"/>
        </w:rPr>
      </w:pPr>
      <w:r w:rsidRPr="3B366774" w:rsidR="42274C1B">
        <w:rPr>
          <w:rFonts w:ascii="Arial" w:hAnsi="Arial" w:eastAsia="Arial" w:cs="Arial"/>
          <w:b w:val="0"/>
          <w:bCs w:val="0"/>
          <w:noProof w:val="0"/>
          <w:color w:val="auto"/>
          <w:sz w:val="22"/>
          <w:szCs w:val="22"/>
          <w:lang w:val="en-GB"/>
        </w:rPr>
        <w:t xml:space="preserve">The adoption of a pragmatist philosophy is justified because it enables the combination of objective analysis and contextual interpretation. This is especially important given the combined focus on general HRM theory and its application within a specific organisational setting. </w:t>
      </w:r>
      <w:r w:rsidRPr="3B366774" w:rsidR="48949F93">
        <w:rPr>
          <w:rFonts w:ascii="Arial" w:hAnsi="Arial" w:eastAsia="Arial" w:cs="Arial"/>
          <w:b w:val="0"/>
          <w:bCs w:val="0"/>
          <w:noProof w:val="0"/>
          <w:color w:val="auto"/>
          <w:sz w:val="22"/>
          <w:szCs w:val="22"/>
          <w:lang w:val="en-GB"/>
        </w:rPr>
        <w:t>The pragmatist approach offers aims to solve real-world problems with practical solut</w:t>
      </w:r>
      <w:r w:rsidRPr="3B366774" w:rsidR="01E2C1A9">
        <w:rPr>
          <w:rFonts w:ascii="Arial" w:hAnsi="Arial" w:eastAsia="Arial" w:cs="Arial"/>
          <w:b w:val="0"/>
          <w:bCs w:val="0"/>
          <w:noProof w:val="0"/>
          <w:color w:val="auto"/>
          <w:sz w:val="22"/>
          <w:szCs w:val="22"/>
          <w:lang w:val="en-GB"/>
        </w:rPr>
        <w:t>ions (</w:t>
      </w:r>
      <w:r w:rsidRPr="3B366774" w:rsidR="326A88D1">
        <w:rPr>
          <w:rFonts w:ascii="Arial" w:hAnsi="Arial" w:eastAsia="Arial" w:cs="Arial"/>
          <w:b w:val="0"/>
          <w:bCs w:val="0"/>
          <w:i w:val="0"/>
          <w:iCs w:val="0"/>
          <w:caps w:val="0"/>
          <w:smallCaps w:val="0"/>
          <w:noProof w:val="0"/>
          <w:color w:val="auto"/>
          <w:sz w:val="22"/>
          <w:szCs w:val="22"/>
          <w:lang w:val="en-GB"/>
        </w:rPr>
        <w:t>Saunders, Lewis &amp; Thornhill, 2019</w:t>
      </w:r>
      <w:r w:rsidRPr="3B366774" w:rsidR="01E2C1A9">
        <w:rPr>
          <w:rFonts w:ascii="Arial" w:hAnsi="Arial" w:eastAsia="Arial" w:cs="Arial"/>
          <w:b w:val="0"/>
          <w:bCs w:val="0"/>
          <w:i w:val="0"/>
          <w:iCs w:val="0"/>
          <w:caps w:val="0"/>
          <w:smallCaps w:val="0"/>
          <w:noProof w:val="0"/>
          <w:color w:val="auto"/>
          <w:sz w:val="22"/>
          <w:szCs w:val="22"/>
          <w:lang w:val="en-GB"/>
        </w:rPr>
        <w:t>).</w:t>
      </w:r>
      <w:r w:rsidRPr="3B366774" w:rsidR="01E2C1A9">
        <w:rPr>
          <w:rFonts w:ascii="Arial" w:hAnsi="Arial" w:eastAsia="Arial" w:cs="Arial"/>
          <w:b w:val="0"/>
          <w:bCs w:val="0"/>
          <w:noProof w:val="0"/>
          <w:color w:val="auto"/>
          <w:sz w:val="22"/>
          <w:szCs w:val="22"/>
          <w:lang w:val="en-GB"/>
        </w:rPr>
        <w:t xml:space="preserve"> </w:t>
      </w:r>
      <w:r w:rsidRPr="3B366774" w:rsidR="42274C1B">
        <w:rPr>
          <w:rFonts w:ascii="Arial" w:hAnsi="Arial" w:eastAsia="Arial" w:cs="Arial"/>
          <w:b w:val="0"/>
          <w:bCs w:val="0"/>
          <w:noProof w:val="0"/>
          <w:color w:val="auto"/>
          <w:sz w:val="22"/>
          <w:szCs w:val="22"/>
          <w:lang w:val="en-GB"/>
        </w:rPr>
        <w:t>However, pragmatism may lead to methodological pluralism, which can undermine consistency. This limitation is mitigated through a clearly defined research design and analytical method.</w:t>
      </w:r>
    </w:p>
    <w:p w:rsidR="42274C1B" w:rsidP="3B366774" w:rsidRDefault="42274C1B" w14:paraId="3D052AB0" w14:textId="2A68F661">
      <w:pPr>
        <w:bidi w:val="0"/>
        <w:spacing w:before="120" w:beforeAutospacing="off" w:after="120" w:afterAutospacing="off" w:line="360" w:lineRule="auto"/>
        <w:jc w:val="both"/>
        <w:rPr>
          <w:rFonts w:ascii="Arial" w:hAnsi="Arial" w:eastAsia="Arial" w:cs="Arial"/>
          <w:b w:val="0"/>
          <w:bCs w:val="0"/>
          <w:noProof w:val="0"/>
          <w:sz w:val="22"/>
          <w:szCs w:val="22"/>
          <w:lang w:val="en-GB"/>
        </w:rPr>
      </w:pPr>
      <w:bookmarkStart w:name="_Toc1064661452" w:id="2043868234"/>
      <w:r w:rsidRPr="3B366774" w:rsidR="42274C1B">
        <w:rPr>
          <w:rStyle w:val="Heading2Char"/>
          <w:rFonts w:ascii="Arial" w:hAnsi="Arial" w:eastAsia="Arial" w:cs="Arial"/>
          <w:noProof w:val="0"/>
          <w:sz w:val="22"/>
          <w:szCs w:val="22"/>
          <w:lang w:val="en-GB"/>
        </w:rPr>
        <w:t>Research Design</w:t>
      </w:r>
      <w:bookmarkEnd w:id="2043868234"/>
    </w:p>
    <w:p w:rsidR="42274C1B" w:rsidP="3B366774" w:rsidRDefault="42274C1B" w14:paraId="7D30138C" w14:textId="560B1781">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42274C1B">
        <w:rPr>
          <w:rFonts w:ascii="Arial" w:hAnsi="Arial" w:eastAsia="Arial" w:cs="Arial"/>
          <w:b w:val="0"/>
          <w:bCs w:val="0"/>
          <w:noProof w:val="0"/>
          <w:sz w:val="22"/>
          <w:szCs w:val="22"/>
          <w:lang w:val="en-GB"/>
        </w:rPr>
        <w:t>The research design is best characterised as a</w:t>
      </w:r>
      <w:r w:rsidRPr="3B366774" w:rsidR="6D5AA630">
        <w:rPr>
          <w:rFonts w:ascii="Arial" w:hAnsi="Arial" w:eastAsia="Arial" w:cs="Arial"/>
          <w:b w:val="0"/>
          <w:bCs w:val="0"/>
          <w:noProof w:val="0"/>
          <w:sz w:val="22"/>
          <w:szCs w:val="22"/>
          <w:lang w:val="en-GB"/>
        </w:rPr>
        <w:t xml:space="preserve"> </w:t>
      </w:r>
      <w:r w:rsidRPr="3B366774" w:rsidR="42274C1B">
        <w:rPr>
          <w:rFonts w:ascii="Arial" w:hAnsi="Arial" w:eastAsia="Arial" w:cs="Arial"/>
          <w:b w:val="0"/>
          <w:bCs w:val="0"/>
          <w:noProof w:val="0"/>
          <w:sz w:val="22"/>
          <w:szCs w:val="22"/>
          <w:lang w:val="en-GB"/>
        </w:rPr>
        <w:t>mixed-method approach, combining systematic literature review, thematic synthesis, and</w:t>
      </w:r>
      <w:r w:rsidRPr="3B366774" w:rsidR="02B5E450">
        <w:rPr>
          <w:rFonts w:ascii="Arial" w:hAnsi="Arial" w:eastAsia="Arial" w:cs="Arial"/>
          <w:b w:val="0"/>
          <w:bCs w:val="0"/>
          <w:noProof w:val="0"/>
          <w:sz w:val="22"/>
          <w:szCs w:val="22"/>
          <w:lang w:val="en-GB"/>
        </w:rPr>
        <w:t xml:space="preserve"> a narrative</w:t>
      </w:r>
      <w:r w:rsidRPr="3B366774" w:rsidR="42274C1B">
        <w:rPr>
          <w:rFonts w:ascii="Arial" w:hAnsi="Arial" w:eastAsia="Arial" w:cs="Arial"/>
          <w:b w:val="0"/>
          <w:bCs w:val="0"/>
          <w:noProof w:val="0"/>
          <w:sz w:val="22"/>
          <w:szCs w:val="22"/>
          <w:lang w:val="en-GB"/>
        </w:rPr>
        <w:t xml:space="preserve"> case study analysis.</w:t>
      </w:r>
      <w:r w:rsidRPr="3B366774" w:rsidR="1B6004DA">
        <w:rPr>
          <w:rFonts w:ascii="Arial" w:hAnsi="Arial" w:eastAsia="Arial" w:cs="Arial"/>
          <w:b w:val="0"/>
          <w:bCs w:val="0"/>
          <w:noProof w:val="0"/>
          <w:sz w:val="22"/>
          <w:szCs w:val="22"/>
          <w:lang w:val="en-GB"/>
        </w:rPr>
        <w:t xml:space="preserve"> Thematic synthesis was employed to </w:t>
      </w:r>
      <w:r w:rsidRPr="3B366774" w:rsidR="1B6004DA">
        <w:rPr>
          <w:rFonts w:ascii="Arial" w:hAnsi="Arial" w:eastAsia="Arial" w:cs="Arial"/>
          <w:b w:val="0"/>
          <w:bCs w:val="0"/>
          <w:noProof w:val="0"/>
          <w:sz w:val="22"/>
          <w:szCs w:val="22"/>
          <w:lang w:val="en-GB"/>
        </w:rPr>
        <w:t>identify</w:t>
      </w:r>
      <w:r w:rsidRPr="3B366774" w:rsidR="1B6004DA">
        <w:rPr>
          <w:rFonts w:ascii="Arial" w:hAnsi="Arial" w:eastAsia="Arial" w:cs="Arial"/>
          <w:b w:val="0"/>
          <w:bCs w:val="0"/>
          <w:noProof w:val="0"/>
          <w:sz w:val="22"/>
          <w:szCs w:val="22"/>
          <w:lang w:val="en-GB"/>
        </w:rPr>
        <w:t xml:space="preserve"> patterns across the literature, consistent with Snyder’s (2019) argum</w:t>
      </w:r>
      <w:r w:rsidRPr="3B366774" w:rsidR="3817183C">
        <w:rPr>
          <w:rFonts w:ascii="Arial" w:hAnsi="Arial" w:eastAsia="Arial" w:cs="Arial"/>
          <w:b w:val="0"/>
          <w:bCs w:val="0"/>
          <w:noProof w:val="0"/>
          <w:sz w:val="22"/>
          <w:szCs w:val="22"/>
          <w:lang w:val="en-GB"/>
        </w:rPr>
        <w:t>ent that literature reviews can be used to develop new conceptual insights through systematic categorisation</w:t>
      </w:r>
      <w:r w:rsidRPr="3B366774" w:rsidR="34D83902">
        <w:rPr>
          <w:rFonts w:ascii="Arial" w:hAnsi="Arial" w:eastAsia="Arial" w:cs="Arial"/>
          <w:b w:val="0"/>
          <w:bCs w:val="0"/>
          <w:noProof w:val="0"/>
          <w:sz w:val="22"/>
          <w:szCs w:val="22"/>
          <w:lang w:val="en-GB"/>
        </w:rPr>
        <w:t xml:space="preserve"> and </w:t>
      </w:r>
      <w:r w:rsidRPr="3B366774" w:rsidR="34D83902">
        <w:rPr>
          <w:rFonts w:ascii="Arial" w:hAnsi="Arial" w:eastAsia="Arial" w:cs="Arial"/>
          <w:b w:val="0"/>
          <w:bCs w:val="0"/>
          <w:noProof w:val="0"/>
          <w:sz w:val="22"/>
          <w:szCs w:val="22"/>
          <w:lang w:val="en-GB"/>
        </w:rPr>
        <w:t>interpretation</w:t>
      </w:r>
      <w:r w:rsidRPr="3B366774" w:rsidR="34D83902">
        <w:rPr>
          <w:rFonts w:ascii="Arial" w:hAnsi="Arial" w:eastAsia="Arial" w:cs="Arial"/>
          <w:b w:val="0"/>
          <w:bCs w:val="0"/>
          <w:noProof w:val="0"/>
          <w:sz w:val="22"/>
          <w:szCs w:val="22"/>
          <w:lang w:val="en-GB"/>
        </w:rPr>
        <w:t>.</w:t>
      </w:r>
      <w:r w:rsidRPr="3B366774" w:rsidR="42274C1B">
        <w:rPr>
          <w:rFonts w:ascii="Arial" w:hAnsi="Arial" w:eastAsia="Arial" w:cs="Arial"/>
          <w:b w:val="0"/>
          <w:bCs w:val="0"/>
          <w:noProof w:val="0"/>
          <w:sz w:val="22"/>
          <w:szCs w:val="22"/>
          <w:lang w:val="en-GB"/>
        </w:rPr>
        <w:t xml:space="preserve"> This design is justified due to the need to address multiple research questions spanning both theoretical and applied domains.</w:t>
      </w:r>
    </w:p>
    <w:p w:rsidR="42274C1B" w:rsidP="3B366774" w:rsidRDefault="42274C1B" w14:paraId="482C0F7A" w14:textId="3196F698">
      <w:pPr>
        <w:pStyle w:val="Normal"/>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42274C1B">
        <w:rPr>
          <w:rFonts w:ascii="Arial" w:hAnsi="Arial" w:eastAsia="Arial" w:cs="Arial"/>
          <w:b w:val="0"/>
          <w:bCs w:val="0"/>
          <w:noProof w:val="0"/>
          <w:sz w:val="22"/>
          <w:szCs w:val="22"/>
          <w:lang w:val="en-GB"/>
        </w:rPr>
        <w:t xml:space="preserve">Firstly, the study implements a thematic synthesis of academic and industry literature to address Research Question 1. This entails </w:t>
      </w:r>
      <w:r w:rsidRPr="3B366774" w:rsidR="42274C1B">
        <w:rPr>
          <w:rFonts w:ascii="Arial" w:hAnsi="Arial" w:eastAsia="Arial" w:cs="Arial"/>
          <w:b w:val="0"/>
          <w:bCs w:val="0"/>
          <w:noProof w:val="0"/>
          <w:sz w:val="22"/>
          <w:szCs w:val="22"/>
          <w:lang w:val="en-GB"/>
        </w:rPr>
        <w:t>identifying</w:t>
      </w:r>
      <w:r w:rsidRPr="3B366774" w:rsidR="42274C1B">
        <w:rPr>
          <w:rFonts w:ascii="Arial" w:hAnsi="Arial" w:eastAsia="Arial" w:cs="Arial"/>
          <w:b w:val="0"/>
          <w:bCs w:val="0"/>
          <w:noProof w:val="0"/>
          <w:sz w:val="22"/>
          <w:szCs w:val="22"/>
          <w:lang w:val="en-GB"/>
        </w:rPr>
        <w:t>, analysing, and synthesising key themes related to HRM practices influencing engagement and retention in skill-intensive industries</w:t>
      </w:r>
      <w:r w:rsidRPr="3B366774" w:rsidR="42274C1B">
        <w:rPr>
          <w:rFonts w:ascii="Arial" w:hAnsi="Arial" w:eastAsia="Arial" w:cs="Arial"/>
          <w:b w:val="0"/>
          <w:bCs w:val="0"/>
          <w:noProof w:val="0"/>
          <w:sz w:val="22"/>
          <w:szCs w:val="22"/>
          <w:lang w:val="en-GB"/>
        </w:rPr>
        <w:t xml:space="preserve">. </w:t>
      </w:r>
    </w:p>
    <w:p w:rsidR="42274C1B" w:rsidP="3B366774" w:rsidRDefault="42274C1B" w14:paraId="01AF5092" w14:textId="1E6B2A3C">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42274C1B">
        <w:rPr>
          <w:rFonts w:ascii="Arial" w:hAnsi="Arial" w:eastAsia="Arial" w:cs="Arial"/>
          <w:b w:val="0"/>
          <w:bCs w:val="0"/>
          <w:noProof w:val="0"/>
          <w:sz w:val="22"/>
          <w:szCs w:val="22"/>
          <w:lang w:val="en-GB"/>
        </w:rPr>
        <w:t xml:space="preserve">Secondly, the study adopts a narrative synthesis approach to analyse </w:t>
      </w:r>
      <w:r w:rsidRPr="3B366774" w:rsidR="42274C1B">
        <w:rPr>
          <w:rFonts w:ascii="Arial" w:hAnsi="Arial" w:eastAsia="Arial" w:cs="Arial"/>
          <w:b w:val="0"/>
          <w:bCs w:val="0"/>
          <w:i w:val="1"/>
          <w:iCs w:val="1"/>
          <w:noProof w:val="0"/>
          <w:sz w:val="22"/>
          <w:szCs w:val="22"/>
          <w:lang w:val="en-GB"/>
        </w:rPr>
        <w:t>easyJet’s</w:t>
      </w:r>
      <w:r w:rsidRPr="3B366774" w:rsidR="42274C1B">
        <w:rPr>
          <w:rFonts w:ascii="Arial" w:hAnsi="Arial" w:eastAsia="Arial" w:cs="Arial"/>
          <w:b w:val="0"/>
          <w:bCs w:val="0"/>
          <w:noProof w:val="0"/>
          <w:sz w:val="22"/>
          <w:szCs w:val="22"/>
          <w:lang w:val="en-GB"/>
        </w:rPr>
        <w:t xml:space="preserve"> publicly reported HRM practices (Research Questions 2 and 3). Narrative synthesis is suitable for this context, as it enables the interpretation of qualitative data from multiple sources, including annual reports, sustainability disclosures, and industry publications</w:t>
      </w:r>
      <w:r w:rsidRPr="3B366774" w:rsidR="1639698B">
        <w:rPr>
          <w:rFonts w:ascii="Arial" w:hAnsi="Arial" w:eastAsia="Arial" w:cs="Arial"/>
          <w:b w:val="0"/>
          <w:bCs w:val="0"/>
          <w:noProof w:val="0"/>
          <w:sz w:val="22"/>
          <w:szCs w:val="22"/>
          <w:lang w:val="en-GB"/>
        </w:rPr>
        <w:t xml:space="preserve"> to synthesise with academic literature </w:t>
      </w:r>
      <w:r w:rsidRPr="3B366774" w:rsidR="1639698B">
        <w:rPr>
          <w:rFonts w:ascii="Arial" w:hAnsi="Arial" w:eastAsia="Arial" w:cs="Arial"/>
          <w:b w:val="0"/>
          <w:bCs w:val="0"/>
          <w:noProof w:val="0"/>
          <w:sz w:val="22"/>
          <w:szCs w:val="22"/>
          <w:lang w:val="en-GB"/>
        </w:rPr>
        <w:t>demonstrating</w:t>
      </w:r>
      <w:r w:rsidRPr="3B366774" w:rsidR="1639698B">
        <w:rPr>
          <w:rFonts w:ascii="Arial" w:hAnsi="Arial" w:eastAsia="Arial" w:cs="Arial"/>
          <w:b w:val="0"/>
          <w:bCs w:val="0"/>
          <w:noProof w:val="0"/>
          <w:sz w:val="22"/>
          <w:szCs w:val="22"/>
          <w:lang w:val="en-GB"/>
        </w:rPr>
        <w:t xml:space="preserve"> a </w:t>
      </w:r>
      <w:r w:rsidRPr="3B366774" w:rsidR="56515D32">
        <w:rPr>
          <w:rFonts w:ascii="Arial" w:hAnsi="Arial" w:eastAsia="Arial" w:cs="Arial"/>
          <w:b w:val="0"/>
          <w:bCs w:val="0"/>
          <w:noProof w:val="0"/>
          <w:sz w:val="22"/>
          <w:szCs w:val="22"/>
          <w:lang w:val="en-GB"/>
        </w:rPr>
        <w:t>theoretically grounded exploration of HRM practices within easyJet</w:t>
      </w:r>
      <w:r w:rsidRPr="3B366774" w:rsidR="42274C1B">
        <w:rPr>
          <w:rFonts w:ascii="Arial" w:hAnsi="Arial" w:eastAsia="Arial" w:cs="Arial"/>
          <w:b w:val="0"/>
          <w:bCs w:val="0"/>
          <w:noProof w:val="0"/>
          <w:sz w:val="22"/>
          <w:szCs w:val="22"/>
          <w:lang w:val="en-GB"/>
        </w:rPr>
        <w:t>.</w:t>
      </w:r>
      <w:r w:rsidRPr="3B366774" w:rsidR="11801EC8">
        <w:rPr>
          <w:rFonts w:ascii="Arial" w:hAnsi="Arial" w:eastAsia="Arial" w:cs="Arial"/>
          <w:b w:val="0"/>
          <w:bCs w:val="0"/>
          <w:noProof w:val="0"/>
          <w:sz w:val="22"/>
          <w:szCs w:val="22"/>
          <w:lang w:val="en-GB"/>
        </w:rPr>
        <w:t xml:space="preserve"> Narrative synthesis is particularly suited to this study, as it enables interpretation of HRM practic</w:t>
      </w:r>
      <w:r w:rsidRPr="3B366774" w:rsidR="6919B3E4">
        <w:rPr>
          <w:rFonts w:ascii="Arial" w:hAnsi="Arial" w:eastAsia="Arial" w:cs="Arial"/>
          <w:b w:val="0"/>
          <w:bCs w:val="0"/>
          <w:noProof w:val="0"/>
          <w:sz w:val="22"/>
          <w:szCs w:val="22"/>
          <w:lang w:val="en-GB"/>
        </w:rPr>
        <w:t>es and their interaction with strategic and operational constraints, where quantitative aggregation is neith</w:t>
      </w:r>
      <w:r w:rsidRPr="3B366774" w:rsidR="216BEB33">
        <w:rPr>
          <w:rFonts w:ascii="Arial" w:hAnsi="Arial" w:eastAsia="Arial" w:cs="Arial"/>
          <w:b w:val="0"/>
          <w:bCs w:val="0"/>
          <w:noProof w:val="0"/>
          <w:sz w:val="22"/>
          <w:szCs w:val="22"/>
          <w:lang w:val="en-GB"/>
        </w:rPr>
        <w:t>er feasible nor appropriate (Snyder, 2019).</w:t>
      </w:r>
      <w:r w:rsidRPr="3B366774" w:rsidR="42274C1B">
        <w:rPr>
          <w:rFonts w:ascii="Arial" w:hAnsi="Arial" w:eastAsia="Arial" w:cs="Arial"/>
          <w:b w:val="0"/>
          <w:bCs w:val="0"/>
          <w:noProof w:val="0"/>
          <w:sz w:val="22"/>
          <w:szCs w:val="22"/>
          <w:lang w:val="en-GB"/>
        </w:rPr>
        <w:t xml:space="preserve"> This approa</w:t>
      </w:r>
      <w:r w:rsidRPr="3B366774" w:rsidR="42274C1B">
        <w:rPr>
          <w:rFonts w:ascii="Arial" w:hAnsi="Arial" w:eastAsia="Arial" w:cs="Arial"/>
          <w:b w:val="0"/>
          <w:bCs w:val="0"/>
          <w:noProof w:val="0"/>
          <w:sz w:val="22"/>
          <w:szCs w:val="22"/>
          <w:lang w:val="en-GB"/>
        </w:rPr>
        <w:t xml:space="preserve">ch </w:t>
      </w:r>
      <w:r w:rsidRPr="3B366774" w:rsidR="42274C1B">
        <w:rPr>
          <w:rFonts w:ascii="Arial" w:hAnsi="Arial" w:eastAsia="Arial" w:cs="Arial"/>
          <w:b w:val="0"/>
          <w:bCs w:val="0"/>
          <w:noProof w:val="0"/>
          <w:sz w:val="22"/>
          <w:szCs w:val="22"/>
          <w:lang w:val="en-GB"/>
        </w:rPr>
        <w:t>assists</w:t>
      </w:r>
      <w:r w:rsidRPr="3B366774" w:rsidR="42274C1B">
        <w:rPr>
          <w:rFonts w:ascii="Arial" w:hAnsi="Arial" w:eastAsia="Arial" w:cs="Arial"/>
          <w:b w:val="0"/>
          <w:bCs w:val="0"/>
          <w:noProof w:val="0"/>
          <w:sz w:val="22"/>
          <w:szCs w:val="22"/>
          <w:lang w:val="en-GB"/>
        </w:rPr>
        <w:t xml:space="preserve"> in the examination of how HRM practices are implemented in practice and how they interact with organisational constraints.</w:t>
      </w:r>
    </w:p>
    <w:p w:rsidR="42274C1B" w:rsidP="3B366774" w:rsidRDefault="42274C1B" w14:paraId="0438C478" w14:textId="249A8680">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42274C1B">
        <w:rPr>
          <w:rFonts w:ascii="Arial" w:hAnsi="Arial" w:eastAsia="Arial" w:cs="Arial"/>
          <w:b w:val="0"/>
          <w:bCs w:val="0"/>
          <w:noProof w:val="0"/>
          <w:sz w:val="22"/>
          <w:szCs w:val="22"/>
          <w:lang w:val="en-GB"/>
        </w:rPr>
        <w:t xml:space="preserve">The inclusion of a single-case study design strengthens the thoroughness of analysis by delivering a detailed examination of a specific organisational context. </w:t>
      </w:r>
      <w:r w:rsidRPr="3B366774" w:rsidR="42274C1B">
        <w:rPr>
          <w:rFonts w:ascii="Arial" w:hAnsi="Arial" w:eastAsia="Arial" w:cs="Arial"/>
          <w:b w:val="0"/>
          <w:bCs w:val="0"/>
          <w:i w:val="1"/>
          <w:iCs w:val="1"/>
          <w:noProof w:val="0"/>
          <w:sz w:val="22"/>
          <w:szCs w:val="22"/>
          <w:lang w:val="en-GB"/>
        </w:rPr>
        <w:t>easyJet</w:t>
      </w:r>
      <w:r w:rsidRPr="3B366774" w:rsidR="42274C1B">
        <w:rPr>
          <w:rFonts w:ascii="Arial" w:hAnsi="Arial" w:eastAsia="Arial" w:cs="Arial"/>
          <w:b w:val="0"/>
          <w:bCs w:val="0"/>
          <w:noProof w:val="0"/>
          <w:sz w:val="22"/>
          <w:szCs w:val="22"/>
          <w:lang w:val="en-GB"/>
        </w:rPr>
        <w:t xml:space="preserve"> is selected as a representative low-cost airline, making it a relevant and</w:t>
      </w:r>
      <w:r w:rsidRPr="3B366774" w:rsidR="7768B1A0">
        <w:rPr>
          <w:rFonts w:ascii="Arial" w:hAnsi="Arial" w:eastAsia="Arial" w:cs="Arial"/>
          <w:b w:val="0"/>
          <w:bCs w:val="0"/>
          <w:noProof w:val="0"/>
          <w:sz w:val="22"/>
          <w:szCs w:val="22"/>
          <w:lang w:val="en-GB"/>
        </w:rPr>
        <w:t xml:space="preserve"> </w:t>
      </w:r>
      <w:r w:rsidRPr="3B366774" w:rsidR="42274C1B">
        <w:rPr>
          <w:rFonts w:ascii="Arial" w:hAnsi="Arial" w:eastAsia="Arial" w:cs="Arial"/>
          <w:b w:val="0"/>
          <w:bCs w:val="0"/>
          <w:noProof w:val="0"/>
          <w:sz w:val="22"/>
          <w:szCs w:val="22"/>
          <w:lang w:val="en-GB"/>
        </w:rPr>
        <w:t>appropriate case</w:t>
      </w:r>
      <w:r w:rsidRPr="3B366774" w:rsidR="42274C1B">
        <w:rPr>
          <w:rFonts w:ascii="Arial" w:hAnsi="Arial" w:eastAsia="Arial" w:cs="Arial"/>
          <w:b w:val="0"/>
          <w:bCs w:val="0"/>
          <w:noProof w:val="0"/>
          <w:sz w:val="22"/>
          <w:szCs w:val="22"/>
          <w:lang w:val="en-GB"/>
        </w:rPr>
        <w:t xml:space="preserve"> for exploring the research questions. However, using </w:t>
      </w:r>
      <w:r w:rsidRPr="3B366774" w:rsidR="13EE2E6F">
        <w:rPr>
          <w:rFonts w:ascii="Arial" w:hAnsi="Arial" w:eastAsia="Arial" w:cs="Arial"/>
          <w:b w:val="0"/>
          <w:bCs w:val="0"/>
          <w:noProof w:val="0"/>
          <w:sz w:val="22"/>
          <w:szCs w:val="22"/>
          <w:lang w:val="en-GB"/>
        </w:rPr>
        <w:t>a solitary case</w:t>
      </w:r>
      <w:r w:rsidRPr="3B366774" w:rsidR="42274C1B">
        <w:rPr>
          <w:rFonts w:ascii="Arial" w:hAnsi="Arial" w:eastAsia="Arial" w:cs="Arial"/>
          <w:b w:val="0"/>
          <w:bCs w:val="0"/>
          <w:noProof w:val="0"/>
          <w:sz w:val="22"/>
          <w:szCs w:val="22"/>
          <w:lang w:val="en-GB"/>
        </w:rPr>
        <w:t xml:space="preserve"> also introduces restrictions in terms of generalisability. To reduce this, the case study findings are continuously compared with insights from the wider literature.</w:t>
      </w:r>
    </w:p>
    <w:p w:rsidR="42274C1B" w:rsidP="3B366774" w:rsidRDefault="42274C1B" w14:paraId="1F090015" w14:textId="4A1CFFD4">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42274C1B">
        <w:rPr>
          <w:rFonts w:ascii="Arial" w:hAnsi="Arial" w:eastAsia="Arial" w:cs="Arial"/>
          <w:b w:val="0"/>
          <w:bCs w:val="0"/>
          <w:noProof w:val="0"/>
          <w:sz w:val="22"/>
          <w:szCs w:val="22"/>
          <w:lang w:val="en-GB"/>
        </w:rPr>
        <w:t>Overall, the selected research design is justified as it enables both breadth through literature synthesis and depth through case analysis. However, reliance on secondary data may limit the ability to capture employee perspectives directly.</w:t>
      </w:r>
    </w:p>
    <w:p w:rsidR="42274C1B" w:rsidP="3B366774" w:rsidRDefault="42274C1B" w14:paraId="0C035DBC" w14:textId="22BAB0CD">
      <w:pPr>
        <w:pStyle w:val="Heading2"/>
        <w:bidi w:val="0"/>
        <w:spacing w:line="360" w:lineRule="auto"/>
        <w:jc w:val="both"/>
        <w:rPr>
          <w:rFonts w:ascii="Arial" w:hAnsi="Arial" w:eastAsia="Arial" w:cs="Arial"/>
          <w:b w:val="0"/>
          <w:bCs w:val="0"/>
          <w:noProof w:val="0"/>
          <w:sz w:val="22"/>
          <w:szCs w:val="22"/>
          <w:lang w:val="en-GB"/>
        </w:rPr>
      </w:pPr>
      <w:bookmarkStart w:name="_Toc507290696" w:id="172272556"/>
      <w:r w:rsidRPr="3B366774" w:rsidR="42274C1B">
        <w:rPr>
          <w:rFonts w:ascii="Arial" w:hAnsi="Arial" w:eastAsia="Arial" w:cs="Arial"/>
          <w:noProof w:val="0"/>
          <w:sz w:val="22"/>
          <w:szCs w:val="22"/>
          <w:lang w:val="en-GB"/>
        </w:rPr>
        <w:t>Research Approach</w:t>
      </w:r>
      <w:bookmarkEnd w:id="172272556"/>
    </w:p>
    <w:p w:rsidR="1B644951" w:rsidP="3B366774" w:rsidRDefault="1B644951" w14:paraId="1080327A" w14:textId="66175DB4">
      <w:pPr>
        <w:bidi w:val="0"/>
        <w:spacing w:before="0" w:beforeAutospacing="off" w:after="0" w:afterAutospacing="off" w:line="360" w:lineRule="auto"/>
        <w:jc w:val="both"/>
        <w:rPr>
          <w:rFonts w:ascii="Arial" w:hAnsi="Arial" w:eastAsia="Arial" w:cs="Arial"/>
          <w:noProof w:val="0"/>
          <w:color w:val="0E101A"/>
          <w:sz w:val="22"/>
          <w:szCs w:val="22"/>
          <w:lang w:val="en-GB"/>
        </w:rPr>
      </w:pPr>
      <w:r w:rsidRPr="3B366774" w:rsidR="1B644951">
        <w:rPr>
          <w:rFonts w:ascii="Arial" w:hAnsi="Arial" w:eastAsia="Arial" w:cs="Arial"/>
          <w:noProof w:val="0"/>
          <w:color w:val="0E101A"/>
          <w:sz w:val="22"/>
          <w:szCs w:val="22"/>
          <w:lang w:val="en-GB"/>
        </w:rPr>
        <w:t xml:space="preserve">This study adopts a deductive research approach, grounded in </w:t>
      </w:r>
      <w:r w:rsidRPr="3B366774" w:rsidR="1B644951">
        <w:rPr>
          <w:rFonts w:ascii="Arial" w:hAnsi="Arial" w:eastAsia="Arial" w:cs="Arial"/>
          <w:noProof w:val="0"/>
          <w:color w:val="0E101A"/>
          <w:sz w:val="22"/>
          <w:szCs w:val="22"/>
          <w:lang w:val="en-GB"/>
        </w:rPr>
        <w:t>established</w:t>
      </w:r>
      <w:r w:rsidRPr="3B366774" w:rsidR="1B644951">
        <w:rPr>
          <w:rFonts w:ascii="Arial" w:hAnsi="Arial" w:eastAsia="Arial" w:cs="Arial"/>
          <w:noProof w:val="0"/>
          <w:color w:val="0E101A"/>
          <w:sz w:val="22"/>
          <w:szCs w:val="22"/>
          <w:lang w:val="en-GB"/>
        </w:rPr>
        <w:t xml:space="preserve"> theoretical frameworks within Human Resource Management (HRM) and organisational behaviour. Deductive reasoning involves the development of a conceptual framework based on existing theory, followed by the application of thi</w:t>
      </w:r>
      <w:r w:rsidRPr="3B366774" w:rsidR="1B644951">
        <w:rPr>
          <w:rFonts w:ascii="Arial" w:hAnsi="Arial" w:eastAsia="Arial" w:cs="Arial"/>
          <w:noProof w:val="0"/>
          <w:color w:val="0E101A"/>
          <w:sz w:val="22"/>
          <w:szCs w:val="22"/>
          <w:lang w:val="en-GB"/>
        </w:rPr>
        <w:t xml:space="preserve">s framework to empirical data </w:t>
      </w:r>
      <w:bookmarkStart w:name="_Int_dBd2txxW" w:id="517655722"/>
      <w:r w:rsidRPr="3B366774" w:rsidR="1B644951">
        <w:rPr>
          <w:rFonts w:ascii="Arial" w:hAnsi="Arial" w:eastAsia="Arial" w:cs="Arial"/>
          <w:noProof w:val="0"/>
          <w:color w:val="0E101A"/>
          <w:sz w:val="22"/>
          <w:szCs w:val="22"/>
          <w:lang w:val="en-GB"/>
        </w:rPr>
        <w:t>in order to</w:t>
      </w:r>
      <w:bookmarkEnd w:id="517655722"/>
      <w:r w:rsidRPr="3B366774" w:rsidR="1B644951">
        <w:rPr>
          <w:rFonts w:ascii="Arial" w:hAnsi="Arial" w:eastAsia="Arial" w:cs="Arial"/>
          <w:noProof w:val="0"/>
          <w:color w:val="0E101A"/>
          <w:sz w:val="22"/>
          <w:szCs w:val="22"/>
          <w:lang w:val="en-GB"/>
        </w:rPr>
        <w:t xml:space="preserve"> test its explanatory relevance</w:t>
      </w:r>
      <w:r w:rsidRPr="3B366774" w:rsidR="4749E9C1">
        <w:rPr>
          <w:rFonts w:ascii="Arial" w:hAnsi="Arial" w:eastAsia="Arial" w:cs="Arial"/>
          <w:noProof w:val="0"/>
          <w:color w:val="0E101A"/>
          <w:sz w:val="22"/>
          <w:szCs w:val="22"/>
          <w:lang w:val="en-GB"/>
        </w:rPr>
        <w:t xml:space="preserve"> (Snyder, 2019</w:t>
      </w:r>
      <w:r w:rsidRPr="3B366774" w:rsidR="68F3FA13">
        <w:rPr>
          <w:rFonts w:ascii="Arial" w:hAnsi="Arial" w:eastAsia="Arial" w:cs="Arial"/>
          <w:noProof w:val="0"/>
          <w:color w:val="0E101A"/>
          <w:sz w:val="22"/>
          <w:szCs w:val="22"/>
          <w:lang w:val="en-GB"/>
        </w:rPr>
        <w:t>)</w:t>
      </w:r>
      <w:r w:rsidRPr="3B366774" w:rsidR="1B644951">
        <w:rPr>
          <w:rFonts w:ascii="Arial" w:hAnsi="Arial" w:eastAsia="Arial" w:cs="Arial"/>
          <w:noProof w:val="0"/>
          <w:color w:val="0E101A"/>
          <w:sz w:val="22"/>
          <w:szCs w:val="22"/>
          <w:lang w:val="en-GB"/>
        </w:rPr>
        <w:t xml:space="preserve">. This approach is particularly </w:t>
      </w:r>
      <w:r w:rsidRPr="3B366774" w:rsidR="1B644951">
        <w:rPr>
          <w:rFonts w:ascii="Arial" w:hAnsi="Arial" w:eastAsia="Arial" w:cs="Arial"/>
          <w:noProof w:val="0"/>
          <w:color w:val="0E101A"/>
          <w:sz w:val="22"/>
          <w:szCs w:val="22"/>
          <w:lang w:val="en-GB"/>
        </w:rPr>
        <w:t>appropriate for</w:t>
      </w:r>
      <w:r w:rsidRPr="3B366774" w:rsidR="1B644951">
        <w:rPr>
          <w:rFonts w:ascii="Arial" w:hAnsi="Arial" w:eastAsia="Arial" w:cs="Arial"/>
          <w:noProof w:val="0"/>
          <w:color w:val="0E101A"/>
          <w:sz w:val="22"/>
          <w:szCs w:val="22"/>
          <w:lang w:val="en-GB"/>
        </w:rPr>
        <w:t xml:space="preserve"> the present study, as it </w:t>
      </w:r>
      <w:r w:rsidRPr="3B366774" w:rsidR="1B644951">
        <w:rPr>
          <w:rFonts w:ascii="Arial" w:hAnsi="Arial" w:eastAsia="Arial" w:cs="Arial"/>
          <w:noProof w:val="0"/>
          <w:color w:val="0E101A"/>
          <w:sz w:val="22"/>
          <w:szCs w:val="22"/>
          <w:lang w:val="en-GB"/>
        </w:rPr>
        <w:t>seeks</w:t>
      </w:r>
      <w:r w:rsidRPr="3B366774" w:rsidR="1B644951">
        <w:rPr>
          <w:rFonts w:ascii="Arial" w:hAnsi="Arial" w:eastAsia="Arial" w:cs="Arial"/>
          <w:noProof w:val="0"/>
          <w:color w:val="0E101A"/>
          <w:sz w:val="22"/>
          <w:szCs w:val="22"/>
          <w:lang w:val="en-GB"/>
        </w:rPr>
        <w:t xml:space="preserve"> to evaluate how well established HRM theories explain pilot engagement and retention within the specific context of low-cost airline operations.</w:t>
      </w:r>
    </w:p>
    <w:p w:rsidR="034594A6" w:rsidP="3B366774" w:rsidRDefault="034594A6" w14:paraId="1A8C3B07" w14:textId="57EF6128">
      <w:pPr>
        <w:bidi w:val="0"/>
        <w:spacing w:before="0" w:beforeAutospacing="off" w:after="0" w:afterAutospacing="off" w:line="360" w:lineRule="auto"/>
        <w:jc w:val="both"/>
        <w:rPr>
          <w:rFonts w:ascii="Arial" w:hAnsi="Arial" w:eastAsia="Arial" w:cs="Arial"/>
          <w:noProof w:val="0"/>
          <w:color w:val="0E101A"/>
          <w:sz w:val="22"/>
          <w:szCs w:val="22"/>
          <w:lang w:val="en-GB"/>
        </w:rPr>
      </w:pPr>
    </w:p>
    <w:p w:rsidR="1B644951" w:rsidP="3B366774" w:rsidRDefault="1B644951" w14:paraId="1E83250E" w14:textId="653B216D">
      <w:pPr>
        <w:bidi w:val="0"/>
        <w:spacing w:before="0" w:beforeAutospacing="off" w:after="0" w:afterAutospacing="off" w:line="360" w:lineRule="auto"/>
        <w:jc w:val="both"/>
        <w:rPr>
          <w:rFonts w:ascii="Arial" w:hAnsi="Arial" w:eastAsia="Arial" w:cs="Arial"/>
          <w:noProof w:val="0"/>
          <w:color w:val="0E101A"/>
          <w:sz w:val="22"/>
          <w:szCs w:val="22"/>
          <w:lang w:val="en-GB"/>
        </w:rPr>
      </w:pPr>
      <w:r w:rsidRPr="3B366774" w:rsidR="1B644951">
        <w:rPr>
          <w:rFonts w:ascii="Arial" w:hAnsi="Arial" w:eastAsia="Arial" w:cs="Arial"/>
          <w:noProof w:val="0"/>
          <w:color w:val="0E101A"/>
          <w:sz w:val="22"/>
          <w:szCs w:val="22"/>
          <w:lang w:val="en-GB"/>
        </w:rPr>
        <w:t xml:space="preserve">The research draws on key theoretical perspectives </w:t>
      </w:r>
      <w:r w:rsidRPr="3B366774" w:rsidR="1B644951">
        <w:rPr>
          <w:rFonts w:ascii="Arial" w:hAnsi="Arial" w:eastAsia="Arial" w:cs="Arial"/>
          <w:noProof w:val="0"/>
          <w:color w:val="0E101A"/>
          <w:sz w:val="22"/>
          <w:szCs w:val="22"/>
          <w:lang w:val="en-GB"/>
        </w:rPr>
        <w:t>identified</w:t>
      </w:r>
      <w:r w:rsidRPr="3B366774" w:rsidR="1B644951">
        <w:rPr>
          <w:rFonts w:ascii="Arial" w:hAnsi="Arial" w:eastAsia="Arial" w:cs="Arial"/>
          <w:noProof w:val="0"/>
          <w:color w:val="0E101A"/>
          <w:sz w:val="22"/>
          <w:szCs w:val="22"/>
          <w:lang w:val="en-GB"/>
        </w:rPr>
        <w:t xml:space="preserve"> in the literature review, including Social Exchange Theory (SET), motivation theory, and High-Performance Work Systems (HPWS). These frameworks collectively suggest that HRM practices influence employee outcomes through mediating mechanisms such as perceived organisational support, engagement, and job satisfaction</w:t>
      </w:r>
      <w:r w:rsidRPr="3B366774" w:rsidR="290C282C">
        <w:rPr>
          <w:rFonts w:ascii="Arial" w:hAnsi="Arial" w:eastAsia="Arial" w:cs="Arial"/>
          <w:noProof w:val="0"/>
          <w:color w:val="0E101A"/>
          <w:sz w:val="22"/>
          <w:szCs w:val="22"/>
          <w:lang w:val="en-GB"/>
        </w:rPr>
        <w:t xml:space="preserve"> (Pahos </w:t>
      </w:r>
      <w:r w:rsidRPr="3B366774" w:rsidR="2972BA74">
        <w:rPr>
          <w:rFonts w:ascii="Arial" w:hAnsi="Arial" w:eastAsia="Arial" w:cs="Arial"/>
          <w:noProof w:val="0"/>
          <w:color w:val="0E101A"/>
          <w:sz w:val="22"/>
          <w:szCs w:val="22"/>
          <w:lang w:val="en-GB"/>
        </w:rPr>
        <w:t xml:space="preserve">&amp; </w:t>
      </w:r>
      <w:r w:rsidRPr="3B366774" w:rsidR="2972BA74">
        <w:rPr>
          <w:rFonts w:ascii="Arial" w:hAnsi="Arial" w:eastAsia="Arial" w:cs="Arial"/>
          <w:noProof w:val="0"/>
          <w:color w:val="0E101A"/>
          <w:sz w:val="22"/>
          <w:szCs w:val="22"/>
          <w:lang w:val="en-GB"/>
        </w:rPr>
        <w:t>Galanaki</w:t>
      </w:r>
      <w:r w:rsidRPr="3B366774" w:rsidR="2972BA74">
        <w:rPr>
          <w:rFonts w:ascii="Arial" w:hAnsi="Arial" w:eastAsia="Arial" w:cs="Arial"/>
          <w:noProof w:val="0"/>
          <w:color w:val="0E101A"/>
          <w:sz w:val="22"/>
          <w:szCs w:val="22"/>
          <w:lang w:val="en-GB"/>
        </w:rPr>
        <w:t>, 2022</w:t>
      </w:r>
      <w:r w:rsidRPr="3B366774" w:rsidR="29C843A9">
        <w:rPr>
          <w:rFonts w:ascii="Arial" w:hAnsi="Arial" w:eastAsia="Arial" w:cs="Arial"/>
          <w:noProof w:val="0"/>
          <w:color w:val="0E101A"/>
          <w:sz w:val="22"/>
          <w:szCs w:val="22"/>
          <w:lang w:val="en-GB"/>
        </w:rPr>
        <w:t>; Guest, 2017; Dincer</w:t>
      </w:r>
      <w:r w:rsidRPr="3B366774" w:rsidR="23B4F052">
        <w:rPr>
          <w:rFonts w:ascii="Arial" w:hAnsi="Arial" w:eastAsia="Arial" w:cs="Arial"/>
          <w:noProof w:val="0"/>
          <w:color w:val="0E101A"/>
          <w:sz w:val="22"/>
          <w:szCs w:val="22"/>
          <w:lang w:val="en-GB"/>
        </w:rPr>
        <w:t xml:space="preserve"> &amp; </w:t>
      </w:r>
      <w:r w:rsidRPr="3B366774" w:rsidR="23B4F052">
        <w:rPr>
          <w:rFonts w:ascii="Arial" w:hAnsi="Arial" w:eastAsia="Arial" w:cs="Arial"/>
          <w:noProof w:val="0"/>
          <w:color w:val="0E101A"/>
          <w:sz w:val="22"/>
          <w:szCs w:val="22"/>
          <w:lang w:val="en-GB"/>
        </w:rPr>
        <w:t>Yirmibesoglu</w:t>
      </w:r>
      <w:r w:rsidRPr="3B366774" w:rsidR="23B4F052">
        <w:rPr>
          <w:rFonts w:ascii="Arial" w:hAnsi="Arial" w:eastAsia="Arial" w:cs="Arial"/>
          <w:noProof w:val="0"/>
          <w:color w:val="0E101A"/>
          <w:sz w:val="22"/>
          <w:szCs w:val="22"/>
          <w:lang w:val="en-GB"/>
        </w:rPr>
        <w:t>, 2024)</w:t>
      </w:r>
      <w:r w:rsidRPr="3B366774" w:rsidR="1B644951">
        <w:rPr>
          <w:rFonts w:ascii="Arial" w:hAnsi="Arial" w:eastAsia="Arial" w:cs="Arial"/>
          <w:noProof w:val="0"/>
          <w:color w:val="0E101A"/>
          <w:sz w:val="22"/>
          <w:szCs w:val="22"/>
          <w:lang w:val="en-GB"/>
        </w:rPr>
        <w:t>. From a deductive standpoint, these theoretical relationships inform the development of a structured analytical lens through which the research questions are examined.</w:t>
      </w:r>
    </w:p>
    <w:p w:rsidR="034594A6" w:rsidP="3B366774" w:rsidRDefault="034594A6" w14:paraId="470D3AE6" w14:textId="51CCE277">
      <w:pPr>
        <w:bidi w:val="0"/>
        <w:spacing w:before="0" w:beforeAutospacing="off" w:after="0" w:afterAutospacing="off" w:line="360" w:lineRule="auto"/>
        <w:jc w:val="both"/>
        <w:rPr>
          <w:rFonts w:ascii="Arial" w:hAnsi="Arial" w:eastAsia="Arial" w:cs="Arial"/>
          <w:noProof w:val="0"/>
          <w:color w:val="0E101A"/>
          <w:sz w:val="22"/>
          <w:szCs w:val="22"/>
          <w:lang w:val="en-GB"/>
        </w:rPr>
      </w:pPr>
    </w:p>
    <w:p w:rsidR="1B644951" w:rsidP="3B366774" w:rsidRDefault="1B644951" w14:paraId="3EAA8769" w14:textId="2AF45ACB">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1B644951">
        <w:rPr>
          <w:rFonts w:ascii="Arial" w:hAnsi="Arial" w:eastAsia="Arial" w:cs="Arial"/>
          <w:noProof w:val="0"/>
          <w:color w:val="0E101A"/>
          <w:sz w:val="22"/>
          <w:szCs w:val="22"/>
          <w:lang w:val="en-GB"/>
        </w:rPr>
        <w:t xml:space="preserve">In addressing Research Question 1, the study synthesises existing literature to </w:t>
      </w:r>
      <w:r w:rsidRPr="3B366774" w:rsidR="1B644951">
        <w:rPr>
          <w:rFonts w:ascii="Arial" w:hAnsi="Arial" w:eastAsia="Arial" w:cs="Arial"/>
          <w:noProof w:val="0"/>
          <w:color w:val="0E101A"/>
          <w:sz w:val="22"/>
          <w:szCs w:val="22"/>
          <w:lang w:val="en-GB"/>
        </w:rPr>
        <w:t>identify</w:t>
      </w:r>
      <w:r w:rsidRPr="3B366774" w:rsidR="1B644951">
        <w:rPr>
          <w:rFonts w:ascii="Arial" w:hAnsi="Arial" w:eastAsia="Arial" w:cs="Arial"/>
          <w:noProof w:val="0"/>
          <w:color w:val="0E101A"/>
          <w:sz w:val="22"/>
          <w:szCs w:val="22"/>
          <w:lang w:val="en-GB"/>
        </w:rPr>
        <w:t xml:space="preserve"> commonly recognised HRM practices associated with engagement and retention in skill-intensive industries.</w:t>
      </w:r>
      <w:r w:rsidRPr="3B366774" w:rsidR="4C84ED3B">
        <w:rPr>
          <w:rFonts w:ascii="Arial" w:hAnsi="Arial" w:eastAsia="Arial" w:cs="Arial"/>
          <w:noProof w:val="0"/>
          <w:color w:val="0E101A"/>
          <w:sz w:val="22"/>
          <w:szCs w:val="22"/>
          <w:lang w:val="en-GB"/>
        </w:rPr>
        <w:t xml:space="preserve"> </w:t>
      </w:r>
      <w:r w:rsidRPr="3B366774" w:rsidR="4C84ED3B">
        <w:rPr>
          <w:rFonts w:ascii="Arial" w:hAnsi="Arial" w:eastAsia="Arial" w:cs="Arial"/>
          <w:b w:val="0"/>
          <w:bCs w:val="0"/>
          <w:noProof w:val="0"/>
          <w:sz w:val="22"/>
          <w:szCs w:val="22"/>
          <w:lang w:val="en-GB"/>
        </w:rPr>
        <w:t xml:space="preserve">Thematic synthesis is particularly </w:t>
      </w:r>
      <w:r w:rsidRPr="3B366774" w:rsidR="4C84ED3B">
        <w:rPr>
          <w:rFonts w:ascii="Arial" w:hAnsi="Arial" w:eastAsia="Arial" w:cs="Arial"/>
          <w:b w:val="0"/>
          <w:bCs w:val="0"/>
          <w:noProof w:val="0"/>
          <w:sz w:val="22"/>
          <w:szCs w:val="22"/>
          <w:lang w:val="en-GB"/>
        </w:rPr>
        <w:t>appropriate because</w:t>
      </w:r>
      <w:r w:rsidRPr="3B366774" w:rsidR="4C84ED3B">
        <w:rPr>
          <w:rFonts w:ascii="Arial" w:hAnsi="Arial" w:eastAsia="Arial" w:cs="Arial"/>
          <w:b w:val="0"/>
          <w:bCs w:val="0"/>
          <w:noProof w:val="0"/>
          <w:sz w:val="22"/>
          <w:szCs w:val="22"/>
          <w:lang w:val="en-GB"/>
        </w:rPr>
        <w:t xml:space="preserve"> it </w:t>
      </w:r>
      <w:r w:rsidRPr="3B366774" w:rsidR="4C84ED3B">
        <w:rPr>
          <w:rFonts w:ascii="Arial" w:hAnsi="Arial" w:eastAsia="Arial" w:cs="Arial"/>
          <w:b w:val="0"/>
          <w:bCs w:val="0"/>
          <w:noProof w:val="0"/>
          <w:sz w:val="22"/>
          <w:szCs w:val="22"/>
          <w:lang w:val="en-GB"/>
        </w:rPr>
        <w:t>consolidates</w:t>
      </w:r>
      <w:r w:rsidRPr="3B366774" w:rsidR="4C84ED3B">
        <w:rPr>
          <w:rFonts w:ascii="Arial" w:hAnsi="Arial" w:eastAsia="Arial" w:cs="Arial"/>
          <w:b w:val="0"/>
          <w:bCs w:val="0"/>
          <w:noProof w:val="0"/>
          <w:sz w:val="22"/>
          <w:szCs w:val="22"/>
          <w:lang w:val="en-GB"/>
        </w:rPr>
        <w:t xml:space="preserve"> findings from diverse studies, </w:t>
      </w:r>
      <w:r w:rsidRPr="3B366774" w:rsidR="4C84ED3B">
        <w:rPr>
          <w:rFonts w:ascii="Arial" w:hAnsi="Arial" w:eastAsia="Arial" w:cs="Arial"/>
          <w:b w:val="0"/>
          <w:bCs w:val="0"/>
          <w:noProof w:val="0"/>
          <w:sz w:val="22"/>
          <w:szCs w:val="22"/>
          <w:lang w:val="en-GB"/>
        </w:rPr>
        <w:t>permitting</w:t>
      </w:r>
      <w:r w:rsidRPr="3B366774" w:rsidR="4C84ED3B">
        <w:rPr>
          <w:rFonts w:ascii="Arial" w:hAnsi="Arial" w:eastAsia="Arial" w:cs="Arial"/>
          <w:b w:val="0"/>
          <w:bCs w:val="0"/>
          <w:noProof w:val="0"/>
          <w:sz w:val="22"/>
          <w:szCs w:val="22"/>
          <w:lang w:val="en-GB"/>
        </w:rPr>
        <w:t xml:space="preserve"> the development of an extensive understanding of the topic (Snyder, 2019), guided by a six-step approach to knowledge synthesis to ensure analytical rigour and transparency (Barry, </w:t>
      </w:r>
      <w:r w:rsidRPr="3B366774" w:rsidR="4C84ED3B">
        <w:rPr>
          <w:rFonts w:ascii="Arial" w:hAnsi="Arial" w:eastAsia="Arial" w:cs="Arial"/>
          <w:b w:val="0"/>
          <w:bCs w:val="0"/>
          <w:noProof w:val="0"/>
          <w:sz w:val="22"/>
          <w:szCs w:val="22"/>
          <w:lang w:val="en-GB"/>
        </w:rPr>
        <w:t>Merkebu</w:t>
      </w:r>
      <w:r w:rsidRPr="3B366774" w:rsidR="4C84ED3B">
        <w:rPr>
          <w:rFonts w:ascii="Arial" w:hAnsi="Arial" w:eastAsia="Arial" w:cs="Arial"/>
          <w:b w:val="0"/>
          <w:bCs w:val="0"/>
          <w:noProof w:val="0"/>
          <w:sz w:val="22"/>
          <w:szCs w:val="22"/>
          <w:lang w:val="en-GB"/>
        </w:rPr>
        <w:t xml:space="preserve"> and </w:t>
      </w:r>
      <w:r w:rsidRPr="3B366774" w:rsidR="4C84ED3B">
        <w:rPr>
          <w:rFonts w:ascii="Arial" w:hAnsi="Arial" w:eastAsia="Arial" w:cs="Arial"/>
          <w:b w:val="0"/>
          <w:bCs w:val="0"/>
          <w:noProof w:val="0"/>
          <w:sz w:val="22"/>
          <w:szCs w:val="22"/>
          <w:lang w:val="en-GB"/>
        </w:rPr>
        <w:t>Varpio</w:t>
      </w:r>
      <w:r w:rsidRPr="3B366774" w:rsidR="4C84ED3B">
        <w:rPr>
          <w:rFonts w:ascii="Arial" w:hAnsi="Arial" w:eastAsia="Arial" w:cs="Arial"/>
          <w:b w:val="0"/>
          <w:bCs w:val="0"/>
          <w:noProof w:val="0"/>
          <w:sz w:val="22"/>
          <w:szCs w:val="22"/>
          <w:lang w:val="en-GB"/>
        </w:rPr>
        <w:t xml:space="preserve">, 2022). The six steps include 1- defining the research question, 2- </w:t>
      </w:r>
      <w:r w:rsidRPr="3B366774" w:rsidR="4C84ED3B">
        <w:rPr>
          <w:rFonts w:ascii="Arial" w:hAnsi="Arial" w:eastAsia="Arial" w:cs="Arial"/>
          <w:b w:val="0"/>
          <w:bCs w:val="0"/>
          <w:noProof w:val="0"/>
          <w:sz w:val="22"/>
          <w:szCs w:val="22"/>
          <w:lang w:val="en-GB"/>
        </w:rPr>
        <w:t>identifying</w:t>
      </w:r>
      <w:r w:rsidRPr="3B366774" w:rsidR="4C84ED3B">
        <w:rPr>
          <w:rFonts w:ascii="Arial" w:hAnsi="Arial" w:eastAsia="Arial" w:cs="Arial"/>
          <w:b w:val="0"/>
          <w:bCs w:val="0"/>
          <w:noProof w:val="0"/>
          <w:sz w:val="22"/>
          <w:szCs w:val="22"/>
          <w:lang w:val="en-GB"/>
        </w:rPr>
        <w:t xml:space="preserve"> relevant literature, 3- selecting studies based on inclusion criteria, 4-Critically appraising studies, 5- synthesising findings through thematic analysis, and 6- presenting results in a coherent analytical framework. In doing so, patterns in HRM in highly skilled sectors can be </w:t>
      </w:r>
      <w:r w:rsidRPr="3B366774" w:rsidR="4C84ED3B">
        <w:rPr>
          <w:rFonts w:ascii="Arial" w:hAnsi="Arial" w:eastAsia="Arial" w:cs="Arial"/>
          <w:b w:val="0"/>
          <w:bCs w:val="0"/>
          <w:noProof w:val="0"/>
          <w:sz w:val="22"/>
          <w:szCs w:val="22"/>
          <w:lang w:val="en-GB"/>
        </w:rPr>
        <w:t>established</w:t>
      </w:r>
      <w:r w:rsidRPr="3B366774" w:rsidR="4C84ED3B">
        <w:rPr>
          <w:rFonts w:ascii="Arial" w:hAnsi="Arial" w:eastAsia="Arial" w:cs="Arial"/>
          <w:b w:val="0"/>
          <w:bCs w:val="0"/>
          <w:noProof w:val="0"/>
          <w:sz w:val="22"/>
          <w:szCs w:val="22"/>
          <w:lang w:val="en-GB"/>
        </w:rPr>
        <w:t xml:space="preserve"> and analysed to support the research question.</w:t>
      </w:r>
    </w:p>
    <w:p w:rsidR="1B644951" w:rsidP="3B366774" w:rsidRDefault="1B644951" w14:paraId="0FE66D51" w14:textId="1E8DA342">
      <w:pPr>
        <w:bidi w:val="0"/>
        <w:spacing w:before="0" w:beforeAutospacing="off" w:after="0" w:afterAutospacing="off" w:line="360" w:lineRule="auto"/>
        <w:jc w:val="both"/>
        <w:rPr>
          <w:rFonts w:ascii="Arial" w:hAnsi="Arial" w:eastAsia="Arial" w:cs="Arial"/>
          <w:noProof w:val="0"/>
          <w:color w:val="0E101A"/>
          <w:sz w:val="22"/>
          <w:szCs w:val="22"/>
          <w:lang w:val="en-GB"/>
        </w:rPr>
      </w:pPr>
      <w:r w:rsidRPr="3B366774" w:rsidR="1B644951">
        <w:rPr>
          <w:rFonts w:ascii="Arial" w:hAnsi="Arial" w:eastAsia="Arial" w:cs="Arial"/>
          <w:noProof w:val="0"/>
          <w:color w:val="0E101A"/>
          <w:sz w:val="22"/>
          <w:szCs w:val="22"/>
          <w:lang w:val="en-GB"/>
        </w:rPr>
        <w:t xml:space="preserve"> This stage reinforces the theoretical propositions derived from the literature, </w:t>
      </w:r>
      <w:r w:rsidRPr="3B366774" w:rsidR="1B644951">
        <w:rPr>
          <w:rFonts w:ascii="Arial" w:hAnsi="Arial" w:eastAsia="Arial" w:cs="Arial"/>
          <w:noProof w:val="0"/>
          <w:color w:val="0E101A"/>
          <w:sz w:val="22"/>
          <w:szCs w:val="22"/>
          <w:lang w:val="en-GB"/>
        </w:rPr>
        <w:t>establishing</w:t>
      </w:r>
      <w:r w:rsidRPr="3B366774" w:rsidR="1B644951">
        <w:rPr>
          <w:rFonts w:ascii="Arial" w:hAnsi="Arial" w:eastAsia="Arial" w:cs="Arial"/>
          <w:noProof w:val="0"/>
          <w:color w:val="0E101A"/>
          <w:sz w:val="22"/>
          <w:szCs w:val="22"/>
          <w:lang w:val="en-GB"/>
        </w:rPr>
        <w:t xml:space="preserve"> a foundation for </w:t>
      </w:r>
      <w:r w:rsidRPr="3B366774" w:rsidR="1B644951">
        <w:rPr>
          <w:rFonts w:ascii="Arial" w:hAnsi="Arial" w:eastAsia="Arial" w:cs="Arial"/>
          <w:noProof w:val="0"/>
          <w:color w:val="0E101A"/>
          <w:sz w:val="22"/>
          <w:szCs w:val="22"/>
          <w:lang w:val="en-GB"/>
        </w:rPr>
        <w:t>subsequent</w:t>
      </w:r>
      <w:r w:rsidRPr="3B366774" w:rsidR="1B644951">
        <w:rPr>
          <w:rFonts w:ascii="Arial" w:hAnsi="Arial" w:eastAsia="Arial" w:cs="Arial"/>
          <w:noProof w:val="0"/>
          <w:color w:val="0E101A"/>
          <w:sz w:val="22"/>
          <w:szCs w:val="22"/>
          <w:lang w:val="en-GB"/>
        </w:rPr>
        <w:t xml:space="preserve"> analysis. The deductive approach is further applied in Research Questions 2 and 3, where these theoretical insights are used to evaluate </w:t>
      </w:r>
      <w:r w:rsidRPr="3B366774" w:rsidR="1B644951">
        <w:rPr>
          <w:rFonts w:ascii="Arial" w:hAnsi="Arial" w:eastAsia="Arial" w:cs="Arial"/>
          <w:noProof w:val="0"/>
          <w:color w:val="0E101A"/>
          <w:sz w:val="22"/>
          <w:szCs w:val="22"/>
          <w:u w:val="none"/>
          <w:lang w:val="en-GB"/>
        </w:rPr>
        <w:t>easyJet</w:t>
      </w:r>
      <w:r w:rsidRPr="3B366774" w:rsidR="1B644951">
        <w:rPr>
          <w:rFonts w:ascii="Arial" w:hAnsi="Arial" w:eastAsia="Arial" w:cs="Arial"/>
          <w:noProof w:val="0"/>
          <w:color w:val="0E101A"/>
          <w:sz w:val="22"/>
          <w:szCs w:val="22"/>
          <w:u w:val="none"/>
          <w:lang w:val="en-GB"/>
        </w:rPr>
        <w:t>’s</w:t>
      </w:r>
      <w:r w:rsidRPr="3B366774" w:rsidR="1B644951">
        <w:rPr>
          <w:rFonts w:ascii="Arial" w:hAnsi="Arial" w:eastAsia="Arial" w:cs="Arial"/>
          <w:noProof w:val="0"/>
          <w:color w:val="0E101A"/>
          <w:sz w:val="22"/>
          <w:szCs w:val="22"/>
          <w:lang w:val="en-GB"/>
        </w:rPr>
        <w:t xml:space="preserve"> publicly reported HRM practices. Specifically, the study examines whether the organisation’s practices align with theoretically supported drivers of engagement and retention, and how their effectiveness may be shaped by operational and strategic constraints inherent in the low-cost airline model.</w:t>
      </w:r>
    </w:p>
    <w:p w:rsidR="034594A6" w:rsidP="3B366774" w:rsidRDefault="034594A6" w14:paraId="33B4F94C" w14:textId="51839AC6">
      <w:pPr>
        <w:bidi w:val="0"/>
        <w:spacing w:before="0" w:beforeAutospacing="off" w:after="0" w:afterAutospacing="off" w:line="360" w:lineRule="auto"/>
        <w:jc w:val="both"/>
        <w:rPr>
          <w:rFonts w:ascii="Arial" w:hAnsi="Arial" w:eastAsia="Arial" w:cs="Arial"/>
          <w:noProof w:val="0"/>
          <w:color w:val="0E101A"/>
          <w:sz w:val="22"/>
          <w:szCs w:val="22"/>
          <w:lang w:val="en-GB"/>
        </w:rPr>
      </w:pPr>
    </w:p>
    <w:p w:rsidR="1B644951" w:rsidP="3B366774" w:rsidRDefault="1B644951" w14:paraId="3A79B6F9" w14:textId="1C0B2E59">
      <w:pPr>
        <w:bidi w:val="0"/>
        <w:spacing w:before="0" w:beforeAutospacing="off" w:after="0" w:afterAutospacing="off" w:line="360" w:lineRule="auto"/>
        <w:jc w:val="both"/>
        <w:rPr>
          <w:rFonts w:ascii="Arial" w:hAnsi="Arial" w:eastAsia="Arial" w:cs="Arial"/>
          <w:noProof w:val="0"/>
          <w:color w:val="0E101A"/>
          <w:sz w:val="22"/>
          <w:szCs w:val="22"/>
          <w:lang w:val="en-GB"/>
        </w:rPr>
      </w:pPr>
      <w:r w:rsidRPr="3B366774" w:rsidR="1B644951">
        <w:rPr>
          <w:rFonts w:ascii="Arial" w:hAnsi="Arial" w:eastAsia="Arial" w:cs="Arial"/>
          <w:noProof w:val="0"/>
          <w:color w:val="0E101A"/>
          <w:sz w:val="22"/>
          <w:szCs w:val="22"/>
          <w:lang w:val="en-GB"/>
        </w:rPr>
        <w:t xml:space="preserve">This approach enables a systematic comparison between theoretical expectations and </w:t>
      </w:r>
      <w:r w:rsidRPr="3B366774" w:rsidR="1B644951">
        <w:rPr>
          <w:rFonts w:ascii="Arial" w:hAnsi="Arial" w:eastAsia="Arial" w:cs="Arial"/>
          <w:noProof w:val="0"/>
          <w:color w:val="0E101A"/>
          <w:sz w:val="22"/>
          <w:szCs w:val="22"/>
          <w:lang w:val="en-GB"/>
        </w:rPr>
        <w:t>observed</w:t>
      </w:r>
      <w:r w:rsidRPr="3B366774" w:rsidR="1B644951">
        <w:rPr>
          <w:rFonts w:ascii="Arial" w:hAnsi="Arial" w:eastAsia="Arial" w:cs="Arial"/>
          <w:noProof w:val="0"/>
          <w:color w:val="0E101A"/>
          <w:sz w:val="22"/>
          <w:szCs w:val="22"/>
          <w:lang w:val="en-GB"/>
        </w:rPr>
        <w:t xml:space="preserve"> organisational practices, allowing for the identification of consistencies, gaps, and contextual limitations</w:t>
      </w:r>
      <w:r w:rsidRPr="3B366774" w:rsidR="1B644951">
        <w:rPr>
          <w:rFonts w:ascii="Arial" w:hAnsi="Arial" w:eastAsia="Arial" w:cs="Arial"/>
          <w:noProof w:val="0"/>
          <w:color w:val="0E101A"/>
          <w:sz w:val="22"/>
          <w:szCs w:val="22"/>
          <w:lang w:val="en-GB"/>
        </w:rPr>
        <w:t xml:space="preserve">. For example, while theory may predict that investment in training and career development enhances retention, the analysis considers whether such practices are </w:t>
      </w:r>
      <w:r w:rsidRPr="3B366774" w:rsidR="1B644951">
        <w:rPr>
          <w:rFonts w:ascii="Arial" w:hAnsi="Arial" w:eastAsia="Arial" w:cs="Arial"/>
          <w:noProof w:val="0"/>
          <w:color w:val="0E101A"/>
          <w:sz w:val="22"/>
          <w:szCs w:val="22"/>
          <w:lang w:val="en-GB"/>
        </w:rPr>
        <w:t>feasible</w:t>
      </w:r>
      <w:r w:rsidRPr="3B366774" w:rsidR="1B644951">
        <w:rPr>
          <w:rFonts w:ascii="Arial" w:hAnsi="Arial" w:eastAsia="Arial" w:cs="Arial"/>
          <w:noProof w:val="0"/>
          <w:color w:val="0E101A"/>
          <w:sz w:val="22"/>
          <w:szCs w:val="22"/>
          <w:lang w:val="en-GB"/>
        </w:rPr>
        <w:t xml:space="preserve"> within cost-driven business models and how this affects their implementation and outcomes.</w:t>
      </w:r>
    </w:p>
    <w:p w:rsidR="034594A6" w:rsidP="3B366774" w:rsidRDefault="034594A6" w14:paraId="66776695" w14:textId="18A8AA7A">
      <w:pPr>
        <w:bidi w:val="0"/>
        <w:spacing w:before="0" w:beforeAutospacing="off" w:after="0" w:afterAutospacing="off" w:line="360" w:lineRule="auto"/>
        <w:jc w:val="both"/>
        <w:rPr>
          <w:rFonts w:ascii="Arial" w:hAnsi="Arial" w:eastAsia="Arial" w:cs="Arial"/>
          <w:noProof w:val="0"/>
          <w:color w:val="0E101A"/>
          <w:sz w:val="22"/>
          <w:szCs w:val="22"/>
          <w:lang w:val="en-GB"/>
        </w:rPr>
      </w:pPr>
    </w:p>
    <w:p w:rsidR="1B644951" w:rsidP="3B366774" w:rsidRDefault="1B644951" w14:paraId="1A44C8F0" w14:textId="7AFF2EA5">
      <w:pPr>
        <w:bidi w:val="0"/>
        <w:spacing w:before="0" w:beforeAutospacing="off" w:after="0" w:afterAutospacing="off" w:line="360" w:lineRule="auto"/>
        <w:jc w:val="both"/>
        <w:rPr>
          <w:rFonts w:ascii="Arial" w:hAnsi="Arial" w:eastAsia="Arial" w:cs="Arial"/>
          <w:noProof w:val="0"/>
          <w:color w:val="0E101A"/>
          <w:sz w:val="22"/>
          <w:szCs w:val="22"/>
          <w:lang w:val="en-GB"/>
        </w:rPr>
      </w:pPr>
      <w:r w:rsidRPr="3B366774" w:rsidR="1B644951">
        <w:rPr>
          <w:rFonts w:ascii="Arial" w:hAnsi="Arial" w:eastAsia="Arial" w:cs="Arial"/>
          <w:noProof w:val="0"/>
          <w:color w:val="0E101A"/>
          <w:sz w:val="22"/>
          <w:szCs w:val="22"/>
          <w:lang w:val="en-GB"/>
        </w:rPr>
        <w:t>The use of a deductive approach is justified for several reasons. Firstly, the research is theory-driven, aiming to apply and evaluate established frameworks rather than generate entirely new theory</w:t>
      </w:r>
      <w:r w:rsidRPr="3B366774" w:rsidR="5455DE25">
        <w:rPr>
          <w:rFonts w:ascii="Arial" w:hAnsi="Arial" w:eastAsia="Arial" w:cs="Arial"/>
          <w:noProof w:val="0"/>
          <w:color w:val="0E101A"/>
          <w:sz w:val="22"/>
          <w:szCs w:val="22"/>
          <w:lang w:val="en-GB"/>
        </w:rPr>
        <w:t xml:space="preserve"> (Saunders</w:t>
      </w:r>
      <w:r w:rsidRPr="3B366774" w:rsidR="6A383E11">
        <w:rPr>
          <w:rFonts w:ascii="Arial" w:hAnsi="Arial" w:eastAsia="Arial" w:cs="Arial"/>
          <w:noProof w:val="0"/>
          <w:color w:val="0E101A"/>
          <w:sz w:val="22"/>
          <w:szCs w:val="22"/>
          <w:lang w:val="en-GB"/>
        </w:rPr>
        <w:t>, Lewis &amp; Thornhill</w:t>
      </w:r>
      <w:r w:rsidRPr="3B366774" w:rsidR="5455DE25">
        <w:rPr>
          <w:rFonts w:ascii="Arial" w:hAnsi="Arial" w:eastAsia="Arial" w:cs="Arial"/>
          <w:noProof w:val="0"/>
          <w:color w:val="0E101A"/>
          <w:sz w:val="22"/>
          <w:szCs w:val="22"/>
          <w:lang w:val="en-GB"/>
        </w:rPr>
        <w:t>, 2019)</w:t>
      </w:r>
      <w:r w:rsidRPr="3B366774" w:rsidR="1B644951">
        <w:rPr>
          <w:rFonts w:ascii="Arial" w:hAnsi="Arial" w:eastAsia="Arial" w:cs="Arial"/>
          <w:noProof w:val="0"/>
          <w:color w:val="0E101A"/>
          <w:sz w:val="22"/>
          <w:szCs w:val="22"/>
          <w:lang w:val="en-GB"/>
        </w:rPr>
        <w:t>. Secondly, it provides a clear and structured method for analysing complex relationships between HRM practices and employee outcomes. Thirdly, it enhances the analytical rigour of the study by grounding interpretations in well-established academic literature.</w:t>
      </w:r>
    </w:p>
    <w:p w:rsidR="034594A6" w:rsidP="3B366774" w:rsidRDefault="034594A6" w14:paraId="74D3C8E1" w14:textId="79485D33">
      <w:pPr>
        <w:bidi w:val="0"/>
        <w:spacing w:before="0" w:beforeAutospacing="off" w:after="0" w:afterAutospacing="off" w:line="360" w:lineRule="auto"/>
        <w:jc w:val="both"/>
        <w:rPr>
          <w:rFonts w:ascii="Arial" w:hAnsi="Arial" w:eastAsia="Arial" w:cs="Arial"/>
          <w:noProof w:val="0"/>
          <w:color w:val="0E101A"/>
          <w:sz w:val="22"/>
          <w:szCs w:val="22"/>
          <w:lang w:val="en-GB"/>
        </w:rPr>
      </w:pPr>
    </w:p>
    <w:p w:rsidR="1B644951" w:rsidP="3B366774" w:rsidRDefault="1B644951" w14:paraId="13096511" w14:textId="61C80BFB">
      <w:pPr>
        <w:bidi w:val="0"/>
        <w:spacing w:before="0" w:beforeAutospacing="off" w:after="0" w:afterAutospacing="off" w:line="360" w:lineRule="auto"/>
        <w:jc w:val="both"/>
        <w:rPr>
          <w:rFonts w:ascii="Arial" w:hAnsi="Arial" w:eastAsia="Arial" w:cs="Arial"/>
          <w:noProof w:val="0"/>
          <w:color w:val="0E101A"/>
          <w:sz w:val="22"/>
          <w:szCs w:val="22"/>
          <w:lang w:val="en-GB"/>
        </w:rPr>
      </w:pPr>
      <w:r w:rsidRPr="3B366774" w:rsidR="1B644951">
        <w:rPr>
          <w:rFonts w:ascii="Arial" w:hAnsi="Arial" w:eastAsia="Arial" w:cs="Arial"/>
          <w:noProof w:val="0"/>
          <w:color w:val="0E101A"/>
          <w:sz w:val="22"/>
          <w:szCs w:val="22"/>
          <w:lang w:val="en-GB"/>
        </w:rPr>
        <w:t>However, the deductive approach is not without limitations. It may constrain the analysis by prioritising existing theoretical constructs, potentially overlooking novel or context-specific insights</w:t>
      </w:r>
      <w:r w:rsidRPr="3B366774" w:rsidR="52992C0A">
        <w:rPr>
          <w:rFonts w:ascii="Arial" w:hAnsi="Arial" w:eastAsia="Arial" w:cs="Arial"/>
          <w:noProof w:val="0"/>
          <w:color w:val="0E101A"/>
          <w:sz w:val="22"/>
          <w:szCs w:val="22"/>
          <w:lang w:val="en-GB"/>
        </w:rPr>
        <w:t xml:space="preserve"> (Mason et al., 2018)</w:t>
      </w:r>
      <w:r w:rsidRPr="3B366774" w:rsidR="1B644951">
        <w:rPr>
          <w:rFonts w:ascii="Arial" w:hAnsi="Arial" w:eastAsia="Arial" w:cs="Arial"/>
          <w:noProof w:val="0"/>
          <w:color w:val="0E101A"/>
          <w:sz w:val="22"/>
          <w:szCs w:val="22"/>
          <w:lang w:val="en-GB"/>
        </w:rPr>
        <w:t xml:space="preserve">. Additionally, the reliance on secondary data limits the ability to directly test causal relationships, meaning that conclusions are based on inferred rather than </w:t>
      </w:r>
      <w:r w:rsidRPr="3B366774" w:rsidR="1B644951">
        <w:rPr>
          <w:rFonts w:ascii="Arial" w:hAnsi="Arial" w:eastAsia="Arial" w:cs="Arial"/>
          <w:noProof w:val="0"/>
          <w:color w:val="0E101A"/>
          <w:sz w:val="22"/>
          <w:szCs w:val="22"/>
          <w:lang w:val="en-GB"/>
        </w:rPr>
        <w:t>observed</w:t>
      </w:r>
      <w:r w:rsidRPr="3B366774" w:rsidR="1B644951">
        <w:rPr>
          <w:rFonts w:ascii="Arial" w:hAnsi="Arial" w:eastAsia="Arial" w:cs="Arial"/>
          <w:noProof w:val="0"/>
          <w:color w:val="0E101A"/>
          <w:sz w:val="22"/>
          <w:szCs w:val="22"/>
          <w:lang w:val="en-GB"/>
        </w:rPr>
        <w:t xml:space="preserve"> employee experiences. Despite these limitations, the deductive approach remains </w:t>
      </w:r>
      <w:r w:rsidRPr="3B366774" w:rsidR="1B644951">
        <w:rPr>
          <w:rFonts w:ascii="Arial" w:hAnsi="Arial" w:eastAsia="Arial" w:cs="Arial"/>
          <w:noProof w:val="0"/>
          <w:color w:val="0E101A"/>
          <w:sz w:val="22"/>
          <w:szCs w:val="22"/>
          <w:lang w:val="en-GB"/>
        </w:rPr>
        <w:t>appropriate given</w:t>
      </w:r>
      <w:r w:rsidRPr="3B366774" w:rsidR="1B644951">
        <w:rPr>
          <w:rFonts w:ascii="Arial" w:hAnsi="Arial" w:eastAsia="Arial" w:cs="Arial"/>
          <w:noProof w:val="0"/>
          <w:color w:val="0E101A"/>
          <w:sz w:val="22"/>
          <w:szCs w:val="22"/>
          <w:lang w:val="en-GB"/>
        </w:rPr>
        <w:t xml:space="preserve"> the study’s </w:t>
      </w:r>
      <w:r w:rsidRPr="3B366774" w:rsidR="1B644951">
        <w:rPr>
          <w:rFonts w:ascii="Arial" w:hAnsi="Arial" w:eastAsia="Arial" w:cs="Arial"/>
          <w:noProof w:val="0"/>
          <w:color w:val="0E101A"/>
          <w:sz w:val="22"/>
          <w:szCs w:val="22"/>
          <w:lang w:val="en-GB"/>
        </w:rPr>
        <w:t>objectives</w:t>
      </w:r>
      <w:r w:rsidRPr="3B366774" w:rsidR="1B644951">
        <w:rPr>
          <w:rFonts w:ascii="Arial" w:hAnsi="Arial" w:eastAsia="Arial" w:cs="Arial"/>
          <w:noProof w:val="0"/>
          <w:color w:val="0E101A"/>
          <w:sz w:val="22"/>
          <w:szCs w:val="22"/>
          <w:lang w:val="en-GB"/>
        </w:rPr>
        <w:t xml:space="preserve"> and its focus on evaluating theory within a specific organisational context.</w:t>
      </w:r>
    </w:p>
    <w:p w:rsidR="034594A6" w:rsidP="3B366774" w:rsidRDefault="034594A6" w14:paraId="3485500E" w14:textId="683DA36E">
      <w:pPr>
        <w:bidi w:val="0"/>
        <w:spacing w:before="0" w:beforeAutospacing="off" w:after="0" w:afterAutospacing="off" w:line="360" w:lineRule="auto"/>
        <w:jc w:val="both"/>
        <w:rPr>
          <w:rFonts w:ascii="Arial" w:hAnsi="Arial" w:eastAsia="Arial" w:cs="Arial"/>
          <w:noProof w:val="0"/>
          <w:color w:val="0E101A"/>
          <w:sz w:val="22"/>
          <w:szCs w:val="22"/>
          <w:lang w:val="en-GB"/>
        </w:rPr>
      </w:pPr>
    </w:p>
    <w:p w:rsidR="1B644951" w:rsidP="3B366774" w:rsidRDefault="1B644951" w14:paraId="0C918451" w14:textId="1F77287C">
      <w:pPr>
        <w:bidi w:val="0"/>
        <w:spacing w:before="0" w:beforeAutospacing="off" w:after="0" w:afterAutospacing="off" w:line="360" w:lineRule="auto"/>
        <w:jc w:val="both"/>
        <w:rPr>
          <w:rFonts w:ascii="Arial" w:hAnsi="Arial" w:eastAsia="Arial" w:cs="Arial"/>
          <w:noProof w:val="0"/>
          <w:color w:val="0E101A"/>
          <w:sz w:val="22"/>
          <w:szCs w:val="22"/>
          <w:lang w:val="en-GB"/>
        </w:rPr>
      </w:pPr>
      <w:r w:rsidRPr="3B366774" w:rsidR="1B644951">
        <w:rPr>
          <w:rFonts w:ascii="Arial" w:hAnsi="Arial" w:eastAsia="Arial" w:cs="Arial"/>
          <w:noProof w:val="0"/>
          <w:color w:val="0E101A"/>
          <w:sz w:val="22"/>
          <w:szCs w:val="22"/>
          <w:lang w:val="en-GB"/>
        </w:rPr>
        <w:t xml:space="preserve">Overall, the deductive research approach provides a coherent and theoretically grounded framework for analysing the relationship between HRM practices, pilot engagement, and retention, while enabling critical evaluation of how these relationships </w:t>
      </w:r>
      <w:r w:rsidRPr="3B366774" w:rsidR="1B644951">
        <w:rPr>
          <w:rFonts w:ascii="Arial" w:hAnsi="Arial" w:eastAsia="Arial" w:cs="Arial"/>
          <w:noProof w:val="0"/>
          <w:color w:val="0E101A"/>
          <w:sz w:val="22"/>
          <w:szCs w:val="22"/>
          <w:lang w:val="en-GB"/>
        </w:rPr>
        <w:t>operate</w:t>
      </w:r>
      <w:r w:rsidRPr="3B366774" w:rsidR="1B644951">
        <w:rPr>
          <w:rFonts w:ascii="Arial" w:hAnsi="Arial" w:eastAsia="Arial" w:cs="Arial"/>
          <w:noProof w:val="0"/>
          <w:color w:val="0E101A"/>
          <w:sz w:val="22"/>
          <w:szCs w:val="22"/>
          <w:lang w:val="en-GB"/>
        </w:rPr>
        <w:t xml:space="preserve"> within the constraints of the low-cost airline industry.</w:t>
      </w:r>
    </w:p>
    <w:p w:rsidR="034594A6" w:rsidP="3B366774" w:rsidRDefault="034594A6" w14:paraId="19B5B805" w14:textId="4729D318">
      <w:pPr>
        <w:bidi w:val="0"/>
        <w:spacing w:before="120" w:beforeAutospacing="off" w:after="120" w:afterAutospacing="off" w:line="360" w:lineRule="auto"/>
        <w:jc w:val="both"/>
        <w:rPr>
          <w:rFonts w:ascii="Arial" w:hAnsi="Arial" w:eastAsia="Arial" w:cs="Arial"/>
          <w:b w:val="0"/>
          <w:bCs w:val="0"/>
          <w:noProof w:val="0"/>
          <w:sz w:val="22"/>
          <w:szCs w:val="22"/>
          <w:lang w:val="en-GB"/>
        </w:rPr>
      </w:pPr>
    </w:p>
    <w:p w:rsidR="42274C1B" w:rsidP="3B366774" w:rsidRDefault="42274C1B" w14:paraId="5F0E6D50" w14:textId="15B2DAC3">
      <w:pPr>
        <w:pStyle w:val="Heading2"/>
        <w:bidi w:val="0"/>
        <w:spacing w:line="360" w:lineRule="auto"/>
        <w:jc w:val="both"/>
        <w:rPr>
          <w:rFonts w:ascii="Arial" w:hAnsi="Arial" w:eastAsia="Arial" w:cs="Arial"/>
          <w:b w:val="0"/>
          <w:bCs w:val="0"/>
          <w:noProof w:val="0"/>
          <w:sz w:val="22"/>
          <w:szCs w:val="22"/>
          <w:lang w:val="en-GB"/>
        </w:rPr>
      </w:pPr>
      <w:bookmarkStart w:name="_Toc586817102" w:id="1904975538"/>
      <w:r w:rsidRPr="3B366774" w:rsidR="42274C1B">
        <w:rPr>
          <w:rFonts w:ascii="Arial" w:hAnsi="Arial" w:eastAsia="Arial" w:cs="Arial"/>
          <w:noProof w:val="0"/>
          <w:sz w:val="22"/>
          <w:szCs w:val="22"/>
          <w:lang w:val="en-GB"/>
        </w:rPr>
        <w:t>Data Collection Methods</w:t>
      </w:r>
      <w:bookmarkEnd w:id="1904975538"/>
    </w:p>
    <w:p w:rsidR="42274C1B" w:rsidP="3B366774" w:rsidRDefault="42274C1B" w14:paraId="77243BAE" w14:textId="4F046568">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42274C1B">
        <w:rPr>
          <w:rFonts w:ascii="Arial" w:hAnsi="Arial" w:eastAsia="Arial" w:cs="Arial"/>
          <w:b w:val="0"/>
          <w:bCs w:val="0"/>
          <w:noProof w:val="0"/>
          <w:sz w:val="22"/>
          <w:szCs w:val="22"/>
          <w:lang w:val="en-GB"/>
        </w:rPr>
        <w:t>The research relies exclusively on secondary data, collected from two primary sources: academic literature and publicly available organisational data.</w:t>
      </w:r>
    </w:p>
    <w:p w:rsidR="42274C1B" w:rsidP="3B366774" w:rsidRDefault="42274C1B" w14:paraId="262E2434" w14:textId="540CC020">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42274C1B">
        <w:rPr>
          <w:rStyle w:val="Heading2Char"/>
          <w:rFonts w:ascii="Arial" w:hAnsi="Arial" w:eastAsia="Arial" w:cs="Arial"/>
          <w:noProof w:val="0"/>
          <w:sz w:val="22"/>
          <w:szCs w:val="22"/>
          <w:lang w:val="en-GB"/>
        </w:rPr>
        <w:t xml:space="preserve"> </w:t>
      </w:r>
      <w:bookmarkStart w:name="_Toc2081640931" w:id="353465051"/>
      <w:r w:rsidRPr="3B366774" w:rsidR="42274C1B">
        <w:rPr>
          <w:rStyle w:val="Heading2Char"/>
          <w:rFonts w:ascii="Arial" w:hAnsi="Arial" w:eastAsia="Arial" w:cs="Arial"/>
          <w:noProof w:val="0"/>
          <w:sz w:val="22"/>
          <w:szCs w:val="22"/>
          <w:lang w:val="en-GB"/>
        </w:rPr>
        <w:t>Academic and Industry Literature</w:t>
      </w:r>
      <w:bookmarkEnd w:id="353465051"/>
    </w:p>
    <w:p w:rsidR="42274C1B" w:rsidP="3B366774" w:rsidRDefault="42274C1B" w14:paraId="5FDC3708" w14:textId="49556140">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42274C1B">
        <w:rPr>
          <w:rFonts w:ascii="Arial" w:hAnsi="Arial" w:eastAsia="Arial" w:cs="Arial"/>
          <w:b w:val="0"/>
          <w:bCs w:val="0"/>
          <w:noProof w:val="0"/>
          <w:sz w:val="22"/>
          <w:szCs w:val="22"/>
          <w:lang w:val="en-GB"/>
        </w:rPr>
        <w:t>To address Research Question 1, a systematic search of academic repositories, including Google Scholar, Scopus, and Web of Science, was conducted. Keywords included “HRM practices,” “employee engagement,” “retention,” “aviation industry,”</w:t>
      </w:r>
      <w:r w:rsidRPr="3B366774" w:rsidR="089BD9A6">
        <w:rPr>
          <w:rFonts w:ascii="Arial" w:hAnsi="Arial" w:eastAsia="Arial" w:cs="Arial"/>
          <w:b w:val="0"/>
          <w:bCs w:val="0"/>
          <w:noProof w:val="0"/>
          <w:sz w:val="22"/>
          <w:szCs w:val="22"/>
          <w:lang w:val="en-GB"/>
        </w:rPr>
        <w:t xml:space="preserve"> “High-Performance work systems,”</w:t>
      </w:r>
      <w:r w:rsidRPr="3B366774" w:rsidR="42274C1B">
        <w:rPr>
          <w:rFonts w:ascii="Arial" w:hAnsi="Arial" w:eastAsia="Arial" w:cs="Arial"/>
          <w:b w:val="0"/>
          <w:bCs w:val="0"/>
          <w:noProof w:val="0"/>
          <w:sz w:val="22"/>
          <w:szCs w:val="22"/>
          <w:lang w:val="en-GB"/>
        </w:rPr>
        <w:t xml:space="preserve"> and “pilot shortage.” Inclusion criteria were applied to ensure relevance and quality, focusing on peer-reviewed journal articles and reputable sector reports published within the last </w:t>
      </w:r>
      <w:r w:rsidRPr="3B366774" w:rsidR="5CC2F7C3">
        <w:rPr>
          <w:rFonts w:ascii="Arial" w:hAnsi="Arial" w:eastAsia="Arial" w:cs="Arial"/>
          <w:b w:val="0"/>
          <w:bCs w:val="0"/>
          <w:noProof w:val="0"/>
          <w:sz w:val="22"/>
          <w:szCs w:val="22"/>
          <w:lang w:val="en-GB"/>
        </w:rPr>
        <w:t xml:space="preserve">15 </w:t>
      </w:r>
      <w:r w:rsidRPr="3B366774" w:rsidR="42274C1B">
        <w:rPr>
          <w:rFonts w:ascii="Arial" w:hAnsi="Arial" w:eastAsia="Arial" w:cs="Arial"/>
          <w:b w:val="0"/>
          <w:bCs w:val="0"/>
          <w:noProof w:val="0"/>
          <w:sz w:val="22"/>
          <w:szCs w:val="22"/>
          <w:lang w:val="en-GB"/>
        </w:rPr>
        <w:t>years.</w:t>
      </w:r>
    </w:p>
    <w:p w:rsidR="42274C1B" w:rsidP="3B366774" w:rsidRDefault="42274C1B" w14:paraId="70CACAAB" w14:textId="2BE2A20F">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42274C1B">
        <w:rPr>
          <w:rFonts w:ascii="Arial" w:hAnsi="Arial" w:eastAsia="Arial" w:cs="Arial"/>
          <w:b w:val="0"/>
          <w:bCs w:val="0"/>
          <w:noProof w:val="0"/>
          <w:sz w:val="22"/>
          <w:szCs w:val="22"/>
          <w:lang w:val="en-GB"/>
        </w:rPr>
        <w:t>The use of secondary literature is justified as it enables the synthesis of a wide spectrum of perspectives and empirical findings. However, conceivable biases, including publication bias and the overrepresentation of certain geographical contexts, must be recognised.</w:t>
      </w:r>
    </w:p>
    <w:p w:rsidR="42274C1B" w:rsidP="3B366774" w:rsidRDefault="42274C1B" w14:paraId="4503C83D" w14:textId="3D4F7042">
      <w:pPr>
        <w:pStyle w:val="Normal"/>
        <w:bidi w:val="0"/>
        <w:spacing w:line="360" w:lineRule="auto"/>
        <w:jc w:val="both"/>
        <w:rPr>
          <w:rFonts w:ascii="Arial" w:hAnsi="Arial" w:eastAsia="Arial" w:cs="Arial"/>
          <w:b w:val="0"/>
          <w:bCs w:val="0"/>
          <w:noProof w:val="0"/>
          <w:sz w:val="22"/>
          <w:szCs w:val="22"/>
          <w:lang w:val="en-GB"/>
        </w:rPr>
      </w:pPr>
      <w:r w:rsidRPr="3B366774" w:rsidR="42274C1B">
        <w:rPr>
          <w:rFonts w:ascii="Arial" w:hAnsi="Arial" w:eastAsia="Arial" w:cs="Arial"/>
          <w:noProof w:val="0"/>
          <w:sz w:val="22"/>
          <w:szCs w:val="22"/>
          <w:lang w:val="en-GB"/>
        </w:rPr>
        <w:t xml:space="preserve"> </w:t>
      </w:r>
      <w:r w:rsidRPr="3B366774" w:rsidR="42274C1B">
        <w:rPr>
          <w:rStyle w:val="Heading2Char"/>
          <w:rFonts w:ascii="Arial" w:hAnsi="Arial" w:eastAsia="Arial" w:cs="Arial"/>
          <w:noProof w:val="0"/>
          <w:sz w:val="22"/>
          <w:szCs w:val="22"/>
          <w:lang w:val="en-GB"/>
        </w:rPr>
        <w:t>Organisational Data (easyJet Case Study)</w:t>
      </w:r>
    </w:p>
    <w:p w:rsidR="034594A6" w:rsidP="3B366774" w:rsidRDefault="034594A6" w14:paraId="373CEBE6" w14:textId="632B7F2D">
      <w:pPr>
        <w:bidi w:val="0"/>
        <w:spacing w:before="120" w:beforeAutospacing="off" w:after="120" w:afterAutospacing="off" w:line="360" w:lineRule="auto"/>
        <w:jc w:val="both"/>
        <w:rPr>
          <w:rFonts w:ascii="Arial" w:hAnsi="Arial" w:eastAsia="Arial" w:cs="Arial"/>
          <w:noProof w:val="0"/>
          <w:sz w:val="22"/>
          <w:szCs w:val="22"/>
          <w:lang w:val="en-GB"/>
        </w:rPr>
      </w:pPr>
      <w:r w:rsidRPr="3B366774" w:rsidR="6B828EB4">
        <w:rPr>
          <w:rFonts w:ascii="Arial" w:hAnsi="Arial" w:eastAsia="Arial" w:cs="Arial"/>
          <w:noProof w:val="0"/>
          <w:sz w:val="22"/>
          <w:szCs w:val="22"/>
          <w:lang w:val="en-GB"/>
        </w:rPr>
        <w:t xml:space="preserve">To address Research Questions 2 and 3, data were systematically collected from a range of publicly available sources relating to easyJet, including annual reports, sustainability and ESG disclosures, corporate website content, industry analyses, media reports, and relevant academic literature. The use of multiple data sources enables </w:t>
      </w:r>
      <w:r w:rsidRPr="3B366774" w:rsidR="6B828EB4">
        <w:rPr>
          <w:rFonts w:ascii="Arial" w:hAnsi="Arial" w:eastAsia="Arial" w:cs="Arial"/>
          <w:noProof w:val="0"/>
          <w:sz w:val="22"/>
          <w:szCs w:val="22"/>
          <w:lang w:val="en-GB"/>
        </w:rPr>
        <w:t>a</w:t>
      </w:r>
      <w:r w:rsidRPr="3B366774" w:rsidR="6B828EB4">
        <w:rPr>
          <w:rFonts w:ascii="Arial" w:hAnsi="Arial" w:eastAsia="Arial" w:cs="Arial"/>
          <w:noProof w:val="0"/>
          <w:sz w:val="22"/>
          <w:szCs w:val="22"/>
          <w:lang w:val="en-GB"/>
        </w:rPr>
        <w:t xml:space="preserve"> in-depth understanding of the organisation’s HRM practices, strategic priorities, and operational restrictions, supporting a more holistic analysis of retention dynamics. Drawing on diverse sources is consistent with recommendations for narrative synthesis, which emphasise integrating heterogeneous evidence to recognise patterns and relationships within complicated organisational contexts (</w:t>
      </w:r>
      <w:r w:rsidRPr="3B366774" w:rsidR="37BF6EE0">
        <w:rPr>
          <w:rFonts w:ascii="Arial" w:hAnsi="Arial" w:eastAsia="Arial" w:cs="Arial"/>
          <w:noProof w:val="0"/>
          <w:sz w:val="22"/>
          <w:szCs w:val="22"/>
          <w:lang w:val="en-GB"/>
        </w:rPr>
        <w:t>Rogers</w:t>
      </w:r>
      <w:r w:rsidRPr="3B366774" w:rsidR="6B828EB4">
        <w:rPr>
          <w:rFonts w:ascii="Arial" w:hAnsi="Arial" w:eastAsia="Arial" w:cs="Arial"/>
          <w:noProof w:val="0"/>
          <w:sz w:val="22"/>
          <w:szCs w:val="22"/>
          <w:lang w:val="en-GB"/>
        </w:rPr>
        <w:t xml:space="preserve"> et al., 200</w:t>
      </w:r>
      <w:r w:rsidRPr="3B366774" w:rsidR="1CC0554E">
        <w:rPr>
          <w:rFonts w:ascii="Arial" w:hAnsi="Arial" w:eastAsia="Arial" w:cs="Arial"/>
          <w:noProof w:val="0"/>
          <w:sz w:val="22"/>
          <w:szCs w:val="22"/>
          <w:lang w:val="en-GB"/>
        </w:rPr>
        <w:t>9</w:t>
      </w:r>
      <w:r w:rsidRPr="3B366774" w:rsidR="6B828EB4">
        <w:rPr>
          <w:rFonts w:ascii="Arial" w:hAnsi="Arial" w:eastAsia="Arial" w:cs="Arial"/>
          <w:noProof w:val="0"/>
          <w:sz w:val="22"/>
          <w:szCs w:val="22"/>
          <w:lang w:val="en-GB"/>
        </w:rPr>
        <w:t>; Snyder, 2019).</w:t>
      </w:r>
    </w:p>
    <w:p w:rsidR="034594A6" w:rsidP="3B366774" w:rsidRDefault="034594A6" w14:paraId="57FFD40E" w14:textId="6C072E28">
      <w:pPr>
        <w:bidi w:val="0"/>
        <w:spacing w:before="120" w:beforeAutospacing="off" w:after="120" w:afterAutospacing="off" w:line="360" w:lineRule="auto"/>
        <w:jc w:val="both"/>
        <w:rPr>
          <w:rFonts w:ascii="Arial" w:hAnsi="Arial" w:eastAsia="Arial" w:cs="Arial"/>
          <w:noProof w:val="0"/>
          <w:sz w:val="22"/>
          <w:szCs w:val="22"/>
          <w:lang w:val="en-GB"/>
        </w:rPr>
      </w:pPr>
      <w:r w:rsidRPr="3B366774" w:rsidR="6B828EB4">
        <w:rPr>
          <w:rFonts w:ascii="Arial" w:hAnsi="Arial" w:eastAsia="Arial" w:cs="Arial"/>
          <w:noProof w:val="0"/>
          <w:sz w:val="22"/>
          <w:szCs w:val="22"/>
          <w:lang w:val="en-GB"/>
        </w:rPr>
        <w:t xml:space="preserve">The dependence on publicly available data increases transparency and replicability, as all sources can be independently accessed and verified. However, this approach also introduces limitations, as such materials are often curated for external stakeholders and may present a favourable or selective representation of organisational practices. This potential bias is widely acknowledged in secondary data research, where corporate disclosures may prioritise reputational considerations over critical reflection (Snyder, 2019). To reduce this limitation, the study triangulates organisational data with academic literature and industry analyses, allowing a more balanced and critical narrative synthesis. This approach strengthens analytical rigour by guaranteeing that interpretations are not exclusively reliant on organisational self-reporting but are contextualised within more extensive empirical and theoretical perspectives (Barry, </w:t>
      </w:r>
      <w:r w:rsidRPr="3B366774" w:rsidR="6B828EB4">
        <w:rPr>
          <w:rFonts w:ascii="Arial" w:hAnsi="Arial" w:eastAsia="Arial" w:cs="Arial"/>
          <w:noProof w:val="0"/>
          <w:sz w:val="22"/>
          <w:szCs w:val="22"/>
          <w:lang w:val="en-GB"/>
        </w:rPr>
        <w:t>Merkebu</w:t>
      </w:r>
      <w:r w:rsidRPr="3B366774" w:rsidR="6B828EB4">
        <w:rPr>
          <w:rFonts w:ascii="Arial" w:hAnsi="Arial" w:eastAsia="Arial" w:cs="Arial"/>
          <w:noProof w:val="0"/>
          <w:sz w:val="22"/>
          <w:szCs w:val="22"/>
          <w:lang w:val="en-GB"/>
        </w:rPr>
        <w:t xml:space="preserve"> and </w:t>
      </w:r>
      <w:r w:rsidRPr="3B366774" w:rsidR="6B828EB4">
        <w:rPr>
          <w:rFonts w:ascii="Arial" w:hAnsi="Arial" w:eastAsia="Arial" w:cs="Arial"/>
          <w:noProof w:val="0"/>
          <w:sz w:val="22"/>
          <w:szCs w:val="22"/>
          <w:lang w:val="en-GB"/>
        </w:rPr>
        <w:t>Varpio</w:t>
      </w:r>
      <w:r w:rsidRPr="3B366774" w:rsidR="6B828EB4">
        <w:rPr>
          <w:rFonts w:ascii="Arial" w:hAnsi="Arial" w:eastAsia="Arial" w:cs="Arial"/>
          <w:noProof w:val="0"/>
          <w:sz w:val="22"/>
          <w:szCs w:val="22"/>
          <w:lang w:val="en-GB"/>
        </w:rPr>
        <w:t>, 2022).</w:t>
      </w:r>
    </w:p>
    <w:p w:rsidR="42274C1B" w:rsidP="3B366774" w:rsidRDefault="42274C1B" w14:paraId="046C1FA7" w14:textId="1E23E0E7">
      <w:pPr>
        <w:pStyle w:val="Heading2"/>
        <w:bidi w:val="0"/>
        <w:spacing w:line="360" w:lineRule="auto"/>
        <w:jc w:val="both"/>
        <w:rPr>
          <w:rFonts w:ascii="Arial" w:hAnsi="Arial" w:eastAsia="Arial" w:cs="Arial"/>
          <w:b w:val="0"/>
          <w:bCs w:val="0"/>
          <w:noProof w:val="0"/>
          <w:sz w:val="22"/>
          <w:szCs w:val="22"/>
          <w:lang w:val="en-GB"/>
        </w:rPr>
      </w:pPr>
      <w:bookmarkStart w:name="_Toc1863305692" w:id="916316483"/>
      <w:r w:rsidRPr="3B366774" w:rsidR="42274C1B">
        <w:rPr>
          <w:rFonts w:ascii="Arial" w:hAnsi="Arial" w:eastAsia="Arial" w:cs="Arial"/>
          <w:noProof w:val="0"/>
          <w:sz w:val="22"/>
          <w:szCs w:val="22"/>
          <w:lang w:val="en-GB"/>
        </w:rPr>
        <w:t>Data Analysis Methods</w:t>
      </w:r>
      <w:bookmarkEnd w:id="916316483"/>
    </w:p>
    <w:p w:rsidR="2A46C741" w:rsidP="3B366774" w:rsidRDefault="2A46C741" w14:paraId="47726948" w14:textId="6F85ABC2">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2A46C741">
        <w:rPr>
          <w:rFonts w:ascii="Arial" w:hAnsi="Arial" w:eastAsia="Arial" w:cs="Arial"/>
          <w:b w:val="0"/>
          <w:bCs w:val="0"/>
          <w:noProof w:val="0"/>
          <w:sz w:val="22"/>
          <w:szCs w:val="22"/>
          <w:lang w:val="en-GB"/>
        </w:rPr>
        <w:t>The study selection process followed a structured screening approach consistent with systematic literature review guidelines (Snyder, 2019). An initial pool of 80 sources was identified across academic databases and industry publications. After duplicates and irrelevant records were removed, 50 studies were assessed for eligibility through full-text review. Of these, 45 were selected for inclusion in the thematic synthesis based on relevance to HRM practices, employee engagement, and retention within skill-intensive industries.</w:t>
      </w:r>
    </w:p>
    <w:p w:rsidR="2A46C741" w:rsidP="3B366774" w:rsidRDefault="2A46C741" w14:paraId="08322F70" w14:textId="5F75F584">
      <w:pPr>
        <w:pStyle w:val="Heading2"/>
        <w:bidi w:val="0"/>
      </w:pPr>
      <w:r w:rsidRPr="3B366774" w:rsidR="2A46C741">
        <w:rPr>
          <w:noProof w:val="0"/>
          <w:lang w:val="en-GB"/>
        </w:rPr>
        <w:t>Study Selection Process Overview</w:t>
      </w:r>
    </w:p>
    <w:p w:rsidR="2A46C741" w:rsidP="3B366774" w:rsidRDefault="2A46C741" w14:paraId="72A15C58" w14:textId="498F479C">
      <w:pPr>
        <w:pStyle w:val="Normal"/>
        <w:bidi w:val="0"/>
        <w:spacing w:before="120" w:beforeAutospacing="off" w:after="120" w:afterAutospacing="off" w:line="360" w:lineRule="auto"/>
        <w:jc w:val="both"/>
      </w:pPr>
      <w:r w:rsidRPr="3B366774" w:rsidR="2A46C741">
        <w:rPr>
          <w:rFonts w:ascii="Arial" w:hAnsi="Arial" w:eastAsia="Arial" w:cs="Arial"/>
          <w:b w:val="0"/>
          <w:bCs w:val="0"/>
          <w:noProof w:val="0"/>
          <w:sz w:val="22"/>
          <w:szCs w:val="22"/>
          <w:lang w:val="en-GB"/>
        </w:rPr>
        <w:t>A methodical and transparent approach was adopted for the identification, screening, and selection of literature, consistent with best practice guidance for systematic and narrative literature reviews (Snyder, 2019). This process was implemented to ensure methodological rigour, minimise selection bias, and provide a clear audit trail of source inclusion in the final analysis.</w:t>
      </w:r>
    </w:p>
    <w:p w:rsidR="2A46C741" w:rsidP="3B366774" w:rsidRDefault="2A46C741" w14:paraId="4803046F" w14:textId="286F038A">
      <w:pPr>
        <w:pStyle w:val="Normal"/>
        <w:bidi w:val="0"/>
        <w:spacing w:before="120" w:beforeAutospacing="off" w:after="120" w:afterAutospacing="off" w:line="360" w:lineRule="auto"/>
        <w:jc w:val="both"/>
      </w:pPr>
      <w:r w:rsidRPr="3B366774" w:rsidR="2A46C741">
        <w:rPr>
          <w:rFonts w:ascii="Arial" w:hAnsi="Arial" w:eastAsia="Arial" w:cs="Arial"/>
          <w:b w:val="0"/>
          <w:bCs w:val="0"/>
          <w:noProof w:val="0"/>
          <w:sz w:val="22"/>
          <w:szCs w:val="22"/>
          <w:lang w:val="en-GB"/>
        </w:rPr>
        <w:t>Figure 3 illustrates the selection process, which follows the PRISMA (Preferred Reporting Items for Systematic Reviews and Meta-Analyses) framework. This approach enhances the transparency and replicability of the research by documenting each stage of the review process.</w:t>
      </w:r>
    </w:p>
    <w:p w:rsidR="2A46C741" w:rsidP="3B366774" w:rsidRDefault="2A46C741" w14:paraId="54409422" w14:textId="6D15CC36">
      <w:pPr>
        <w:pStyle w:val="Heading2"/>
        <w:bidi w:val="0"/>
      </w:pPr>
      <w:r w:rsidRPr="3B366774" w:rsidR="2A46C741">
        <w:rPr>
          <w:noProof w:val="0"/>
          <w:lang w:val="en-GB"/>
        </w:rPr>
        <w:t>Identification of Sources</w:t>
      </w:r>
    </w:p>
    <w:p w:rsidR="2A46C741" w:rsidP="3B366774" w:rsidRDefault="2A46C741" w14:paraId="29B559C6" w14:textId="3A85EC07">
      <w:pPr>
        <w:pStyle w:val="Normal"/>
        <w:bidi w:val="0"/>
        <w:spacing w:before="120" w:beforeAutospacing="off" w:after="120" w:afterAutospacing="off" w:line="360" w:lineRule="auto"/>
        <w:jc w:val="both"/>
      </w:pPr>
      <w:r w:rsidRPr="3B366774" w:rsidR="2A46C741">
        <w:rPr>
          <w:rFonts w:ascii="Arial" w:hAnsi="Arial" w:eastAsia="Arial" w:cs="Arial"/>
          <w:b w:val="0"/>
          <w:bCs w:val="0"/>
          <w:noProof w:val="0"/>
          <w:sz w:val="22"/>
          <w:szCs w:val="22"/>
          <w:lang w:val="en-GB"/>
        </w:rPr>
        <w:t>An initial pool of 80 records was identified through a combination of academic databases and industry sources:</w:t>
      </w:r>
    </w:p>
    <w:p w:rsidR="2A46C741" w:rsidP="3B366774" w:rsidRDefault="2A46C741" w14:paraId="2204AE61" w14:textId="192721F3">
      <w:pPr>
        <w:pStyle w:val="Normal"/>
        <w:bidi w:val="0"/>
        <w:spacing w:before="120" w:beforeAutospacing="off" w:after="120" w:afterAutospacing="off" w:line="360" w:lineRule="auto"/>
        <w:jc w:val="both"/>
      </w:pPr>
      <w:r w:rsidRPr="3B366774" w:rsidR="2A46C741">
        <w:rPr>
          <w:rFonts w:ascii="Arial" w:hAnsi="Arial" w:eastAsia="Arial" w:cs="Arial"/>
          <w:b w:val="0"/>
          <w:bCs w:val="0"/>
          <w:noProof w:val="0"/>
          <w:sz w:val="22"/>
          <w:szCs w:val="22"/>
          <w:lang w:val="en-GB"/>
        </w:rPr>
        <w:t>Academic databases (n = 65):</w:t>
      </w:r>
    </w:p>
    <w:p w:rsidR="2A46C741" w:rsidP="3B366774" w:rsidRDefault="2A46C741" w14:paraId="62040F54" w14:textId="3A414AB7">
      <w:pPr>
        <w:pStyle w:val="Normal"/>
        <w:bidi w:val="0"/>
        <w:spacing w:before="120" w:beforeAutospacing="off" w:after="120" w:afterAutospacing="off" w:line="360" w:lineRule="auto"/>
        <w:jc w:val="both"/>
      </w:pPr>
      <w:r w:rsidRPr="3B366774" w:rsidR="2A46C741">
        <w:rPr>
          <w:rFonts w:ascii="Arial" w:hAnsi="Arial" w:eastAsia="Arial" w:cs="Arial"/>
          <w:b w:val="0"/>
          <w:bCs w:val="0"/>
          <w:noProof w:val="0"/>
          <w:sz w:val="22"/>
          <w:szCs w:val="22"/>
          <w:lang w:val="en-GB"/>
        </w:rPr>
        <w:t xml:space="preserve">   Scopus, Google Scholar, ScienceDirect</w:t>
      </w:r>
    </w:p>
    <w:p w:rsidR="2A46C741" w:rsidP="3B366774" w:rsidRDefault="2A46C741" w14:paraId="5452BC28" w14:textId="1D97BD40">
      <w:pPr>
        <w:pStyle w:val="Normal"/>
        <w:bidi w:val="0"/>
        <w:spacing w:before="120" w:beforeAutospacing="off" w:after="120" w:afterAutospacing="off" w:line="360" w:lineRule="auto"/>
        <w:jc w:val="both"/>
      </w:pPr>
      <w:r w:rsidRPr="3B366774" w:rsidR="2A46C741">
        <w:rPr>
          <w:rFonts w:ascii="Arial" w:hAnsi="Arial" w:eastAsia="Arial" w:cs="Arial"/>
          <w:b w:val="0"/>
          <w:bCs w:val="0"/>
          <w:noProof w:val="0"/>
          <w:sz w:val="22"/>
          <w:szCs w:val="22"/>
          <w:lang w:val="en-GB"/>
        </w:rPr>
        <w:t>Industry and organisational sources (n = 15):</w:t>
      </w:r>
    </w:p>
    <w:p w:rsidR="2A46C741" w:rsidP="3B366774" w:rsidRDefault="2A46C741" w14:paraId="354CCAD3" w14:textId="584923EA">
      <w:pPr>
        <w:pStyle w:val="Normal"/>
        <w:bidi w:val="0"/>
        <w:spacing w:before="120" w:beforeAutospacing="off" w:after="120" w:afterAutospacing="off" w:line="360" w:lineRule="auto"/>
        <w:jc w:val="both"/>
      </w:pPr>
      <w:r w:rsidRPr="3B366774" w:rsidR="2A46C741">
        <w:rPr>
          <w:rFonts w:ascii="Arial" w:hAnsi="Arial" w:eastAsia="Arial" w:cs="Arial"/>
          <w:b w:val="0"/>
          <w:bCs w:val="0"/>
          <w:noProof w:val="0"/>
          <w:sz w:val="22"/>
          <w:szCs w:val="22"/>
          <w:lang w:val="en-GB"/>
        </w:rPr>
        <w:t xml:space="preserve">   Aviation reports, company disclosures (including easyJet annual reports), and relevant industry publications</w:t>
      </w:r>
    </w:p>
    <w:p w:rsidR="2A46C741" w:rsidP="3B366774" w:rsidRDefault="2A46C741" w14:paraId="6CAFCFA0" w14:textId="01809B19">
      <w:pPr>
        <w:pStyle w:val="Normal"/>
        <w:bidi w:val="0"/>
        <w:spacing w:before="120" w:beforeAutospacing="off" w:after="120" w:afterAutospacing="off" w:line="360" w:lineRule="auto"/>
        <w:jc w:val="both"/>
      </w:pPr>
      <w:r w:rsidRPr="3B366774" w:rsidR="2A46C741">
        <w:rPr>
          <w:rFonts w:ascii="Arial" w:hAnsi="Arial" w:eastAsia="Arial" w:cs="Arial"/>
          <w:b w:val="0"/>
          <w:bCs w:val="0"/>
          <w:noProof w:val="0"/>
          <w:sz w:val="22"/>
          <w:szCs w:val="22"/>
          <w:lang w:val="en-GB"/>
        </w:rPr>
        <w:t>The inclusion of both academic and industry sources reflects a mixed-methods design, enabling the integration of theoretical and practical insights.</w:t>
      </w:r>
    </w:p>
    <w:p w:rsidR="2A46C741" w:rsidP="3B366774" w:rsidRDefault="2A46C741" w14:paraId="311CBB41" w14:textId="7A72E196">
      <w:pPr>
        <w:pStyle w:val="Heading2"/>
        <w:bidi w:val="0"/>
      </w:pPr>
      <w:r w:rsidRPr="3B366774" w:rsidR="2A46C741">
        <w:rPr>
          <w:noProof w:val="0"/>
          <w:lang w:val="en-GB"/>
        </w:rPr>
        <w:t>Screening Process</w:t>
      </w:r>
    </w:p>
    <w:p w:rsidR="2A46C741" w:rsidP="3B366774" w:rsidRDefault="2A46C741" w14:paraId="5A5C53DC" w14:textId="6C68AC5D">
      <w:pPr>
        <w:pStyle w:val="Normal"/>
        <w:bidi w:val="0"/>
        <w:spacing w:before="120" w:beforeAutospacing="off" w:after="120" w:afterAutospacing="off" w:line="360" w:lineRule="auto"/>
        <w:jc w:val="both"/>
      </w:pPr>
      <w:r w:rsidRPr="3B366774" w:rsidR="2A46C741">
        <w:rPr>
          <w:rFonts w:ascii="Arial" w:hAnsi="Arial" w:eastAsia="Arial" w:cs="Arial"/>
          <w:b w:val="0"/>
          <w:bCs w:val="0"/>
          <w:noProof w:val="0"/>
          <w:sz w:val="22"/>
          <w:szCs w:val="22"/>
          <w:lang w:val="en-GB"/>
        </w:rPr>
        <w:t>Following identification, duplicate and clearly irrelevant records were removed:</w:t>
      </w:r>
    </w:p>
    <w:p w:rsidR="2A46C741" w:rsidP="3B366774" w:rsidRDefault="2A46C741" w14:paraId="3C07B74C" w14:textId="53BFADB6">
      <w:pPr>
        <w:pStyle w:val="Normal"/>
        <w:bidi w:val="0"/>
        <w:spacing w:before="120" w:beforeAutospacing="off" w:after="120" w:afterAutospacing="off" w:line="360" w:lineRule="auto"/>
        <w:jc w:val="both"/>
      </w:pPr>
      <w:r w:rsidRPr="3B366774" w:rsidR="2A46C741">
        <w:rPr>
          <w:rFonts w:ascii="Arial" w:hAnsi="Arial" w:eastAsia="Arial" w:cs="Arial"/>
          <w:b w:val="0"/>
          <w:bCs w:val="0"/>
          <w:noProof w:val="0"/>
          <w:sz w:val="22"/>
          <w:szCs w:val="22"/>
          <w:lang w:val="en-GB"/>
        </w:rPr>
        <w:t>Duplicate records removed: n = 18</w:t>
      </w:r>
    </w:p>
    <w:p w:rsidR="2A46C741" w:rsidP="3B366774" w:rsidRDefault="2A46C741" w14:paraId="7230E241" w14:textId="6FE1D74E">
      <w:pPr>
        <w:pStyle w:val="Normal"/>
        <w:bidi w:val="0"/>
        <w:spacing w:before="120" w:beforeAutospacing="off" w:after="120" w:afterAutospacing="off" w:line="360" w:lineRule="auto"/>
        <w:jc w:val="both"/>
      </w:pPr>
      <w:r w:rsidRPr="3B366774" w:rsidR="2A46C741">
        <w:rPr>
          <w:rFonts w:ascii="Arial" w:hAnsi="Arial" w:eastAsia="Arial" w:cs="Arial"/>
          <w:b w:val="0"/>
          <w:bCs w:val="0"/>
          <w:noProof w:val="0"/>
          <w:sz w:val="22"/>
          <w:szCs w:val="22"/>
          <w:lang w:val="en-GB"/>
        </w:rPr>
        <w:t>Irrelevant records (based on title screening): n = 2</w:t>
      </w:r>
    </w:p>
    <w:p w:rsidR="2A46C741" w:rsidP="3B366774" w:rsidRDefault="2A46C741" w14:paraId="69D4A8CE" w14:textId="2C7EE4AB">
      <w:pPr>
        <w:pStyle w:val="Normal"/>
        <w:bidi w:val="0"/>
        <w:spacing w:before="120" w:beforeAutospacing="off" w:after="120" w:afterAutospacing="off" w:line="360" w:lineRule="auto"/>
        <w:jc w:val="both"/>
      </w:pPr>
      <w:r w:rsidRPr="3B366774" w:rsidR="2A46C741">
        <w:rPr>
          <w:rFonts w:ascii="Arial" w:hAnsi="Arial" w:eastAsia="Arial" w:cs="Arial"/>
          <w:b w:val="0"/>
          <w:bCs w:val="0"/>
          <w:noProof w:val="0"/>
          <w:sz w:val="22"/>
          <w:szCs w:val="22"/>
          <w:lang w:val="en-GB"/>
        </w:rPr>
        <w:t>This resulted in 60 records progressing to the screening stage.</w:t>
      </w:r>
    </w:p>
    <w:p w:rsidR="2A46C741" w:rsidP="3B366774" w:rsidRDefault="2A46C741" w14:paraId="105739B1" w14:textId="3312CCBB">
      <w:pPr>
        <w:pStyle w:val="Normal"/>
        <w:bidi w:val="0"/>
        <w:spacing w:before="120" w:beforeAutospacing="off" w:after="120" w:afterAutospacing="off" w:line="360" w:lineRule="auto"/>
        <w:jc w:val="both"/>
      </w:pPr>
      <w:r w:rsidRPr="3B366774" w:rsidR="2A46C741">
        <w:rPr>
          <w:rFonts w:ascii="Arial" w:hAnsi="Arial" w:eastAsia="Arial" w:cs="Arial"/>
          <w:b w:val="0"/>
          <w:bCs w:val="0"/>
          <w:noProof w:val="0"/>
          <w:sz w:val="22"/>
          <w:szCs w:val="22"/>
          <w:lang w:val="en-GB"/>
        </w:rPr>
        <w:t>Titles and abstracts were then reviewed against the inclusion criteria, leading to the exclusion of:</w:t>
      </w:r>
    </w:p>
    <w:p w:rsidR="2A46C741" w:rsidP="3B366774" w:rsidRDefault="2A46C741" w14:paraId="603E28B5" w14:textId="5E127972">
      <w:pPr>
        <w:pStyle w:val="Normal"/>
        <w:bidi w:val="0"/>
        <w:spacing w:before="120" w:beforeAutospacing="off" w:after="120" w:afterAutospacing="off" w:line="360" w:lineRule="auto"/>
        <w:jc w:val="both"/>
      </w:pPr>
      <w:r w:rsidRPr="3B366774" w:rsidR="2A46C741">
        <w:rPr>
          <w:rFonts w:ascii="Arial" w:hAnsi="Arial" w:eastAsia="Arial" w:cs="Arial"/>
          <w:b w:val="0"/>
          <w:bCs w:val="0"/>
          <w:noProof w:val="0"/>
          <w:sz w:val="22"/>
          <w:szCs w:val="22"/>
          <w:lang w:val="en-GB"/>
        </w:rPr>
        <w:t>Records excluded: n = 10</w:t>
      </w:r>
    </w:p>
    <w:p w:rsidR="2A46C741" w:rsidP="3B366774" w:rsidRDefault="2A46C741" w14:paraId="58C7FE4C" w14:textId="5EFFD966">
      <w:pPr>
        <w:pStyle w:val="Normal"/>
        <w:bidi w:val="0"/>
        <w:spacing w:before="120" w:beforeAutospacing="off" w:after="120" w:afterAutospacing="off" w:line="360" w:lineRule="auto"/>
        <w:jc w:val="both"/>
      </w:pPr>
      <w:r w:rsidRPr="3B366774" w:rsidR="2A46C741">
        <w:rPr>
          <w:rFonts w:ascii="Arial" w:hAnsi="Arial" w:eastAsia="Arial" w:cs="Arial"/>
          <w:b w:val="0"/>
          <w:bCs w:val="0"/>
          <w:noProof w:val="0"/>
          <w:sz w:val="22"/>
          <w:szCs w:val="22"/>
          <w:lang w:val="en-GB"/>
        </w:rPr>
        <w:t>These were removed due to a lack of relevance to:</w:t>
      </w:r>
    </w:p>
    <w:p w:rsidR="2A46C741" w:rsidP="3B366774" w:rsidRDefault="2A46C741" w14:paraId="022F39DC" w14:textId="15863477">
      <w:pPr>
        <w:pStyle w:val="Normal"/>
        <w:bidi w:val="0"/>
        <w:spacing w:before="120" w:beforeAutospacing="off" w:after="120" w:afterAutospacing="off" w:line="360" w:lineRule="auto"/>
        <w:jc w:val="both"/>
      </w:pPr>
      <w:r w:rsidRPr="3B366774" w:rsidR="2A46C741">
        <w:rPr>
          <w:rFonts w:ascii="Arial" w:hAnsi="Arial" w:eastAsia="Arial" w:cs="Arial"/>
          <w:b w:val="0"/>
          <w:bCs w:val="0"/>
          <w:noProof w:val="0"/>
          <w:sz w:val="22"/>
          <w:szCs w:val="22"/>
          <w:lang w:val="en-GB"/>
        </w:rPr>
        <w:t>Human Resource Management</w:t>
      </w:r>
    </w:p>
    <w:p w:rsidR="2A46C741" w:rsidP="3B366774" w:rsidRDefault="2A46C741" w14:paraId="265431FC" w14:textId="4C43054A">
      <w:pPr>
        <w:pStyle w:val="Normal"/>
        <w:bidi w:val="0"/>
        <w:spacing w:before="120" w:beforeAutospacing="off" w:after="120" w:afterAutospacing="off" w:line="360" w:lineRule="auto"/>
        <w:jc w:val="both"/>
      </w:pPr>
      <w:r w:rsidRPr="3B366774" w:rsidR="2A46C741">
        <w:rPr>
          <w:rFonts w:ascii="Arial" w:hAnsi="Arial" w:eastAsia="Arial" w:cs="Arial"/>
          <w:b w:val="0"/>
          <w:bCs w:val="0"/>
          <w:noProof w:val="0"/>
          <w:sz w:val="22"/>
          <w:szCs w:val="22"/>
          <w:lang w:val="en-GB"/>
        </w:rPr>
        <w:t>Employee engagement or retention</w:t>
      </w:r>
    </w:p>
    <w:p w:rsidR="2A46C741" w:rsidP="3B366774" w:rsidRDefault="2A46C741" w14:paraId="79787943" w14:textId="4758E88F">
      <w:pPr>
        <w:pStyle w:val="Normal"/>
        <w:bidi w:val="0"/>
        <w:spacing w:before="120" w:beforeAutospacing="off" w:after="120" w:afterAutospacing="off" w:line="360" w:lineRule="auto"/>
        <w:jc w:val="both"/>
      </w:pPr>
      <w:r w:rsidRPr="3B366774" w:rsidR="2A46C741">
        <w:rPr>
          <w:rFonts w:ascii="Arial" w:hAnsi="Arial" w:eastAsia="Arial" w:cs="Arial"/>
          <w:b w:val="0"/>
          <w:bCs w:val="0"/>
          <w:noProof w:val="0"/>
          <w:sz w:val="22"/>
          <w:szCs w:val="22"/>
          <w:lang w:val="en-GB"/>
        </w:rPr>
        <w:t>Skill-intensive industries</w:t>
      </w:r>
    </w:p>
    <w:p w:rsidR="2A46C741" w:rsidP="3B366774" w:rsidRDefault="2A46C741" w14:paraId="63318F29" w14:textId="2A1F4421">
      <w:pPr>
        <w:pStyle w:val="Normal"/>
        <w:bidi w:val="0"/>
        <w:spacing w:before="120" w:beforeAutospacing="off" w:after="120" w:afterAutospacing="off" w:line="360" w:lineRule="auto"/>
        <w:jc w:val="both"/>
      </w:pPr>
      <w:r w:rsidRPr="3B366774" w:rsidR="2A46C741">
        <w:rPr>
          <w:rFonts w:ascii="Arial" w:hAnsi="Arial" w:eastAsia="Arial" w:cs="Arial"/>
          <w:b w:val="0"/>
          <w:bCs w:val="0"/>
          <w:noProof w:val="0"/>
          <w:sz w:val="22"/>
          <w:szCs w:val="22"/>
          <w:lang w:val="en-GB"/>
        </w:rPr>
        <w:t>This stage resulted in 50 studies being retained for full-text review.</w:t>
      </w:r>
    </w:p>
    <w:p w:rsidR="2A46C741" w:rsidP="3B366774" w:rsidRDefault="2A46C741" w14:paraId="2104EBF8" w14:textId="113D28E2">
      <w:pPr>
        <w:pStyle w:val="Heading2"/>
        <w:bidi w:val="0"/>
      </w:pPr>
      <w:r w:rsidRPr="3B366774" w:rsidR="2A46C741">
        <w:rPr>
          <w:noProof w:val="0"/>
          <w:lang w:val="en-GB"/>
        </w:rPr>
        <w:t>Eligibility Assessment</w:t>
      </w:r>
    </w:p>
    <w:p w:rsidR="2A46C741" w:rsidP="3B366774" w:rsidRDefault="2A46C741" w14:paraId="6202E2A7" w14:textId="029C3B2B">
      <w:pPr>
        <w:pStyle w:val="Normal"/>
        <w:bidi w:val="0"/>
        <w:spacing w:before="120" w:beforeAutospacing="off" w:after="120" w:afterAutospacing="off" w:line="360" w:lineRule="auto"/>
        <w:jc w:val="both"/>
      </w:pPr>
      <w:r w:rsidRPr="3B366774" w:rsidR="2A46C741">
        <w:rPr>
          <w:rFonts w:ascii="Arial" w:hAnsi="Arial" w:eastAsia="Arial" w:cs="Arial"/>
          <w:b w:val="0"/>
          <w:bCs w:val="0"/>
          <w:noProof w:val="0"/>
          <w:sz w:val="22"/>
          <w:szCs w:val="22"/>
          <w:lang w:val="en-GB"/>
        </w:rPr>
        <w:t>Full-text screening was conducted on the remaining 50 studies to assess their pertinence and methodological suitability.</w:t>
      </w:r>
    </w:p>
    <w:p w:rsidR="2A46C741" w:rsidP="3B366774" w:rsidRDefault="2A46C741" w14:paraId="28E448E8" w14:textId="2638B79A">
      <w:pPr>
        <w:pStyle w:val="Normal"/>
        <w:bidi w:val="0"/>
        <w:spacing w:before="120" w:beforeAutospacing="off" w:after="120" w:afterAutospacing="off" w:line="360" w:lineRule="auto"/>
        <w:jc w:val="both"/>
      </w:pPr>
      <w:r w:rsidRPr="3B366774" w:rsidR="2A46C741">
        <w:rPr>
          <w:rFonts w:ascii="Arial" w:hAnsi="Arial" w:eastAsia="Arial" w:cs="Arial"/>
          <w:b w:val="0"/>
          <w:bCs w:val="0"/>
          <w:noProof w:val="0"/>
          <w:sz w:val="22"/>
          <w:szCs w:val="22"/>
          <w:lang w:val="en-GB"/>
        </w:rPr>
        <w:t>A total of 5 studies were excluded at this stage for the following reasons:</w:t>
      </w:r>
    </w:p>
    <w:p w:rsidR="2A46C741" w:rsidP="3B366774" w:rsidRDefault="2A46C741" w14:paraId="62D49E2B" w14:textId="38614276">
      <w:pPr>
        <w:pStyle w:val="Normal"/>
        <w:bidi w:val="0"/>
        <w:spacing w:before="120" w:beforeAutospacing="off" w:after="120" w:afterAutospacing="off" w:line="360" w:lineRule="auto"/>
        <w:jc w:val="both"/>
      </w:pPr>
      <w:r w:rsidRPr="3B366774" w:rsidR="2A46C741">
        <w:rPr>
          <w:rFonts w:ascii="Arial" w:hAnsi="Arial" w:eastAsia="Arial" w:cs="Arial"/>
          <w:b w:val="0"/>
          <w:bCs w:val="0"/>
          <w:noProof w:val="0"/>
          <w:sz w:val="22"/>
          <w:szCs w:val="22"/>
          <w:lang w:val="en-GB"/>
        </w:rPr>
        <w:t>Not directly focused on employee retention (n = 2)</w:t>
      </w:r>
    </w:p>
    <w:p w:rsidR="2A46C741" w:rsidP="3B366774" w:rsidRDefault="2A46C741" w14:paraId="51FE9293" w14:textId="18992B52">
      <w:pPr>
        <w:pStyle w:val="Normal"/>
        <w:bidi w:val="0"/>
        <w:spacing w:before="120" w:beforeAutospacing="off" w:after="120" w:afterAutospacing="off" w:line="360" w:lineRule="auto"/>
        <w:jc w:val="both"/>
      </w:pPr>
      <w:r w:rsidRPr="3B366774" w:rsidR="2A46C741">
        <w:rPr>
          <w:rFonts w:ascii="Arial" w:hAnsi="Arial" w:eastAsia="Arial" w:cs="Arial"/>
          <w:b w:val="0"/>
          <w:bCs w:val="0"/>
          <w:noProof w:val="0"/>
          <w:sz w:val="22"/>
          <w:szCs w:val="22"/>
          <w:lang w:val="en-GB"/>
        </w:rPr>
        <w:t>Not relevant to skill-intensive or comparable industries (n = 1)</w:t>
      </w:r>
    </w:p>
    <w:p w:rsidR="2A46C741" w:rsidP="3B366774" w:rsidRDefault="2A46C741" w14:paraId="3AF20782" w14:textId="78D641A1">
      <w:pPr>
        <w:pStyle w:val="Normal"/>
        <w:bidi w:val="0"/>
        <w:spacing w:before="120" w:beforeAutospacing="off" w:after="120" w:afterAutospacing="off" w:line="360" w:lineRule="auto"/>
        <w:jc w:val="both"/>
      </w:pPr>
      <w:r w:rsidRPr="3B366774" w:rsidR="2A46C741">
        <w:rPr>
          <w:rFonts w:ascii="Arial" w:hAnsi="Arial" w:eastAsia="Arial" w:cs="Arial"/>
          <w:b w:val="0"/>
          <w:bCs w:val="0"/>
          <w:noProof w:val="0"/>
          <w:sz w:val="22"/>
          <w:szCs w:val="22"/>
          <w:lang w:val="en-GB"/>
        </w:rPr>
        <w:t>Conceptual discussion without empirical or applied relevance (n = 2)</w:t>
      </w:r>
    </w:p>
    <w:p w:rsidR="2A46C741" w:rsidP="3B366774" w:rsidRDefault="2A46C741" w14:paraId="2C53E504" w14:textId="044F91E9">
      <w:pPr>
        <w:pStyle w:val="Normal"/>
        <w:bidi w:val="0"/>
        <w:spacing w:before="120" w:beforeAutospacing="off" w:after="120" w:afterAutospacing="off" w:line="360" w:lineRule="auto"/>
        <w:jc w:val="both"/>
      </w:pPr>
      <w:r w:rsidRPr="3B366774" w:rsidR="2A46C741">
        <w:rPr>
          <w:rFonts w:ascii="Arial" w:hAnsi="Arial" w:eastAsia="Arial" w:cs="Arial"/>
          <w:b w:val="0"/>
          <w:bCs w:val="0"/>
          <w:noProof w:val="0"/>
          <w:sz w:val="22"/>
          <w:szCs w:val="22"/>
          <w:lang w:val="en-GB"/>
        </w:rPr>
        <w:t>This process resulted in a final sample of 45 studies.</w:t>
      </w:r>
    </w:p>
    <w:p w:rsidR="2A46C741" w:rsidP="3B366774" w:rsidRDefault="2A46C741" w14:paraId="1D279470" w14:textId="4EB09DB3">
      <w:pPr>
        <w:pStyle w:val="Heading2"/>
        <w:bidi w:val="0"/>
      </w:pPr>
      <w:r w:rsidRPr="3B366774" w:rsidR="2A46C741">
        <w:rPr>
          <w:noProof w:val="0"/>
          <w:lang w:val="en-GB"/>
        </w:rPr>
        <w:t>Included Studies</w:t>
      </w:r>
    </w:p>
    <w:p w:rsidR="2A46C741" w:rsidP="3B366774" w:rsidRDefault="2A46C741" w14:paraId="6957C924" w14:textId="2C80F7C9">
      <w:pPr>
        <w:pStyle w:val="Normal"/>
        <w:bidi w:val="0"/>
        <w:spacing w:before="120" w:beforeAutospacing="off" w:after="120" w:afterAutospacing="off" w:line="360" w:lineRule="auto"/>
        <w:jc w:val="both"/>
      </w:pPr>
      <w:r w:rsidRPr="3B366774" w:rsidR="2A46C741">
        <w:rPr>
          <w:rFonts w:ascii="Arial" w:hAnsi="Arial" w:eastAsia="Arial" w:cs="Arial"/>
          <w:b w:val="0"/>
          <w:bCs w:val="0"/>
          <w:noProof w:val="0"/>
          <w:sz w:val="22"/>
          <w:szCs w:val="22"/>
          <w:lang w:val="en-GB"/>
        </w:rPr>
        <w:t>A total of 45 studies were included in the thematic synthesis. These studies formed the basis for addressing Research Question 1, supporting the identification of key HRM practices influencing employee engagement and retention.</w:t>
      </w:r>
    </w:p>
    <w:p w:rsidR="2A46C741" w:rsidP="3B366774" w:rsidRDefault="2A46C741" w14:paraId="582BB37F" w14:textId="5444C5C7">
      <w:pPr>
        <w:pStyle w:val="Normal"/>
        <w:bidi w:val="0"/>
        <w:spacing w:before="120" w:beforeAutospacing="off" w:after="120" w:afterAutospacing="off" w:line="360" w:lineRule="auto"/>
        <w:jc w:val="both"/>
      </w:pPr>
      <w:r w:rsidRPr="3B366774" w:rsidR="2A46C741">
        <w:rPr>
          <w:rFonts w:ascii="Arial" w:hAnsi="Arial" w:eastAsia="Arial" w:cs="Arial"/>
          <w:b w:val="0"/>
          <w:bCs w:val="0"/>
          <w:noProof w:val="0"/>
          <w:sz w:val="22"/>
          <w:szCs w:val="22"/>
          <w:lang w:val="en-GB"/>
        </w:rPr>
        <w:t>The distinction between:</w:t>
      </w:r>
    </w:p>
    <w:p w:rsidR="2A46C741" w:rsidP="3B366774" w:rsidRDefault="2A46C741" w14:paraId="214C272D" w14:textId="228B2B7B">
      <w:pPr>
        <w:pStyle w:val="Normal"/>
        <w:bidi w:val="0"/>
        <w:spacing w:before="120" w:beforeAutospacing="off" w:after="120" w:afterAutospacing="off" w:line="360" w:lineRule="auto"/>
        <w:jc w:val="both"/>
      </w:pPr>
      <w:r w:rsidRPr="3B366774" w:rsidR="2A46C741">
        <w:rPr>
          <w:rFonts w:ascii="Arial" w:hAnsi="Arial" w:eastAsia="Arial" w:cs="Arial"/>
          <w:b w:val="0"/>
          <w:bCs w:val="0"/>
          <w:noProof w:val="0"/>
          <w:sz w:val="22"/>
          <w:szCs w:val="22"/>
          <w:lang w:val="en-GB"/>
        </w:rPr>
        <w:t>50 studies in the literature review, and</w:t>
      </w:r>
    </w:p>
    <w:p w:rsidR="2A46C741" w:rsidP="3B366774" w:rsidRDefault="2A46C741" w14:paraId="4239BFE4" w14:textId="157EB89E">
      <w:pPr>
        <w:pStyle w:val="Normal"/>
        <w:bidi w:val="0"/>
        <w:spacing w:before="120" w:beforeAutospacing="off" w:after="120" w:afterAutospacing="off" w:line="360" w:lineRule="auto"/>
        <w:jc w:val="both"/>
      </w:pPr>
      <w:r w:rsidRPr="3B366774" w:rsidR="2A46C741">
        <w:rPr>
          <w:rFonts w:ascii="Arial" w:hAnsi="Arial" w:eastAsia="Arial" w:cs="Arial"/>
          <w:b w:val="0"/>
          <w:bCs w:val="0"/>
          <w:noProof w:val="0"/>
          <w:sz w:val="22"/>
          <w:szCs w:val="22"/>
          <w:lang w:val="en-GB"/>
        </w:rPr>
        <w:t>45 studies in the thematic analysis</w:t>
      </w:r>
    </w:p>
    <w:p w:rsidR="2A46C741" w:rsidP="3B366774" w:rsidRDefault="2A46C741" w14:paraId="64822CDB" w14:textId="07BACBA8">
      <w:pPr>
        <w:pStyle w:val="Normal"/>
        <w:bidi w:val="0"/>
        <w:spacing w:before="120" w:beforeAutospacing="off" w:after="120" w:afterAutospacing="off" w:line="360" w:lineRule="auto"/>
        <w:jc w:val="both"/>
      </w:pPr>
      <w:r w:rsidRPr="3B366774" w:rsidR="2A46C741">
        <w:rPr>
          <w:rFonts w:ascii="Arial" w:hAnsi="Arial" w:eastAsia="Arial" w:cs="Arial"/>
          <w:b w:val="0"/>
          <w:bCs w:val="0"/>
          <w:noProof w:val="0"/>
          <w:sz w:val="22"/>
          <w:szCs w:val="22"/>
          <w:lang w:val="en-GB"/>
        </w:rPr>
        <w:t>reflects the application of stricter inclusion criteria for analytical synthesis, making certain that only the most relevant and robust sources informed the findings.</w:t>
      </w:r>
    </w:p>
    <w:p w:rsidR="2A46C741" w:rsidP="3B366774" w:rsidRDefault="2A46C741" w14:paraId="1F2C9524" w14:textId="52393F5A">
      <w:pPr>
        <w:pStyle w:val="Heading2"/>
        <w:bidi w:val="0"/>
      </w:pPr>
      <w:r w:rsidRPr="3B366774" w:rsidR="2A46C741">
        <w:rPr>
          <w:noProof w:val="0"/>
          <w:lang w:val="en-GB"/>
        </w:rPr>
        <w:t>Integration with Case Study Data</w:t>
      </w:r>
    </w:p>
    <w:p w:rsidR="2A46C741" w:rsidP="3B366774" w:rsidRDefault="2A46C741" w14:paraId="6D55C996" w14:textId="45FD786C">
      <w:pPr>
        <w:pStyle w:val="Normal"/>
        <w:bidi w:val="0"/>
        <w:spacing w:before="120" w:beforeAutospacing="off" w:after="120" w:afterAutospacing="off" w:line="360" w:lineRule="auto"/>
        <w:jc w:val="both"/>
      </w:pPr>
      <w:r w:rsidRPr="3B366774" w:rsidR="2A46C741">
        <w:rPr>
          <w:rFonts w:ascii="Arial" w:hAnsi="Arial" w:eastAsia="Arial" w:cs="Arial"/>
          <w:b w:val="0"/>
          <w:bCs w:val="0"/>
          <w:noProof w:val="0"/>
          <w:sz w:val="22"/>
          <w:szCs w:val="22"/>
          <w:lang w:val="en-GB"/>
        </w:rPr>
        <w:t>In addition to academic literature, the study incorporated secondary organisational data for the narrative synthesis (Research Questions 2 and 3), including:</w:t>
      </w:r>
    </w:p>
    <w:p w:rsidR="2A46C741" w:rsidP="3B366774" w:rsidRDefault="2A46C741" w14:paraId="09A494E4" w14:textId="527904EB">
      <w:pPr>
        <w:pStyle w:val="ListParagraph"/>
        <w:numPr>
          <w:ilvl w:val="0"/>
          <w:numId w:val="10"/>
        </w:num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2A46C741">
        <w:rPr>
          <w:rFonts w:ascii="Arial" w:hAnsi="Arial" w:eastAsia="Arial" w:cs="Arial"/>
          <w:b w:val="0"/>
          <w:bCs w:val="0"/>
          <w:noProof w:val="0"/>
          <w:sz w:val="22"/>
          <w:szCs w:val="22"/>
          <w:lang w:val="en-GB"/>
        </w:rPr>
        <w:t>easyJet annual reports</w:t>
      </w:r>
    </w:p>
    <w:p w:rsidR="2A46C741" w:rsidP="3B366774" w:rsidRDefault="2A46C741" w14:paraId="77898472" w14:textId="62A61637">
      <w:pPr>
        <w:pStyle w:val="ListParagraph"/>
        <w:numPr>
          <w:ilvl w:val="0"/>
          <w:numId w:val="9"/>
        </w:num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2A46C741">
        <w:rPr>
          <w:rFonts w:ascii="Arial" w:hAnsi="Arial" w:eastAsia="Arial" w:cs="Arial"/>
          <w:b w:val="0"/>
          <w:bCs w:val="0"/>
          <w:noProof w:val="0"/>
          <w:sz w:val="22"/>
          <w:szCs w:val="22"/>
          <w:lang w:val="en-GB"/>
        </w:rPr>
        <w:t>Sustainability and ESG disclosures</w:t>
      </w:r>
    </w:p>
    <w:p w:rsidR="2A46C741" w:rsidP="3B366774" w:rsidRDefault="2A46C741" w14:paraId="547262BB" w14:textId="5CBBEAEA">
      <w:pPr>
        <w:pStyle w:val="ListParagraph"/>
        <w:numPr>
          <w:ilvl w:val="0"/>
          <w:numId w:val="11"/>
        </w:num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2A46C741">
        <w:rPr>
          <w:rFonts w:ascii="Arial" w:hAnsi="Arial" w:eastAsia="Arial" w:cs="Arial"/>
          <w:b w:val="0"/>
          <w:bCs w:val="0"/>
          <w:noProof w:val="0"/>
          <w:sz w:val="22"/>
          <w:szCs w:val="22"/>
          <w:lang w:val="en-GB"/>
        </w:rPr>
        <w:t>Corporate communications</w:t>
      </w:r>
    </w:p>
    <w:p w:rsidR="2A46C741" w:rsidP="3B366774" w:rsidRDefault="2A46C741" w14:paraId="08D77CB9" w14:textId="695A3308">
      <w:pPr>
        <w:pStyle w:val="ListParagraph"/>
        <w:numPr>
          <w:ilvl w:val="0"/>
          <w:numId w:val="12"/>
        </w:num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2A46C741">
        <w:rPr>
          <w:rFonts w:ascii="Arial" w:hAnsi="Arial" w:eastAsia="Arial" w:cs="Arial"/>
          <w:b w:val="0"/>
          <w:bCs w:val="0"/>
          <w:noProof w:val="0"/>
          <w:sz w:val="22"/>
          <w:szCs w:val="22"/>
          <w:lang w:val="en-GB"/>
        </w:rPr>
        <w:t>Industry analyses</w:t>
      </w:r>
    </w:p>
    <w:p w:rsidR="2A46C741" w:rsidP="3B366774" w:rsidRDefault="2A46C741" w14:paraId="5331EFD4" w14:textId="7152E937">
      <w:pPr>
        <w:pStyle w:val="ListParagraph"/>
        <w:numPr>
          <w:ilvl w:val="0"/>
          <w:numId w:val="13"/>
        </w:num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2A46C741">
        <w:rPr>
          <w:rFonts w:ascii="Arial" w:hAnsi="Arial" w:eastAsia="Arial" w:cs="Arial"/>
          <w:b w:val="0"/>
          <w:bCs w:val="0"/>
          <w:noProof w:val="0"/>
          <w:sz w:val="22"/>
          <w:szCs w:val="22"/>
          <w:lang w:val="en-GB"/>
        </w:rPr>
        <w:t>Supporting academic sources</w:t>
      </w:r>
    </w:p>
    <w:p w:rsidR="2A46C741" w:rsidP="3B366774" w:rsidRDefault="2A46C741" w14:paraId="20A88D23" w14:textId="507485A2">
      <w:pPr>
        <w:pStyle w:val="Normal"/>
        <w:bidi w:val="0"/>
        <w:spacing w:before="120" w:beforeAutospacing="off" w:after="120" w:afterAutospacing="off" w:line="360" w:lineRule="auto"/>
        <w:jc w:val="both"/>
      </w:pPr>
      <w:r w:rsidRPr="3B366774" w:rsidR="2A46C741">
        <w:rPr>
          <w:rFonts w:ascii="Arial" w:hAnsi="Arial" w:eastAsia="Arial" w:cs="Arial"/>
          <w:b w:val="0"/>
          <w:bCs w:val="0"/>
          <w:noProof w:val="0"/>
          <w:sz w:val="22"/>
          <w:szCs w:val="22"/>
          <w:lang w:val="en-GB"/>
        </w:rPr>
        <w:t>This integration supports a mixed-methods approach, combining thematic synthesis with contextual case analysis to enhance both the breadth and depth of insight.</w:t>
      </w:r>
    </w:p>
    <w:p w:rsidR="5E4B0088" w:rsidP="3B366774" w:rsidRDefault="5E4B0088" w14:paraId="4E79029E" w14:textId="761D825C">
      <w:pPr>
        <w:pStyle w:val="Normal"/>
        <w:bidi w:val="0"/>
        <w:spacing w:before="120" w:beforeAutospacing="off" w:after="120" w:afterAutospacing="off" w:line="360" w:lineRule="auto"/>
        <w:jc w:val="both"/>
        <w:rPr>
          <w:rFonts w:ascii="Arial" w:hAnsi="Arial" w:eastAsia="Arial" w:cs="Arial"/>
          <w:noProof w:val="0"/>
          <w:sz w:val="22"/>
          <w:szCs w:val="22"/>
          <w:lang w:val="en-GB"/>
        </w:rPr>
      </w:pPr>
      <w:r w:rsidR="5E4B0088">
        <w:drawing>
          <wp:inline wp14:editId="17F893A2" wp14:anchorId="339A9639">
            <wp:extent cx="3067208" cy="3511730"/>
            <wp:effectExtent l="0" t="0" r="0" b="0"/>
            <wp:docPr id="4939882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86511431" name="Picture 786511431"/>
                    <pic:cNvPicPr/>
                  </pic:nvPicPr>
                  <pic:blipFill>
                    <a:blip xmlns:r="http://schemas.openxmlformats.org/officeDocument/2006/relationships" r:embed="rId596676118">
                      <a:extLst>
                        <a:ext uri="{28A0092B-C50C-407E-A947-70E740481C1C}">
                          <a14:useLocalDpi xmlns:a14="http://schemas.microsoft.com/office/drawing/2010/main"/>
                        </a:ext>
                      </a:extLst>
                    </a:blip>
                    <a:stretch>
                      <a:fillRect/>
                    </a:stretch>
                  </pic:blipFill>
                  <pic:spPr>
                    <a:xfrm>
                      <a:off x="0" y="0"/>
                      <a:ext cx="3067208" cy="3511730"/>
                    </a:xfrm>
                    <a:prstGeom prst="rect">
                      <a:avLst/>
                    </a:prstGeom>
                  </pic:spPr>
                </pic:pic>
              </a:graphicData>
            </a:graphic>
          </wp:inline>
        </w:drawing>
      </w:r>
    </w:p>
    <w:p w:rsidR="2A46C741" w:rsidP="3B366774" w:rsidRDefault="2A46C741" w14:paraId="65589537" w14:textId="07673520">
      <w:pPr>
        <w:pStyle w:val="Heading3"/>
        <w:bidi w:val="0"/>
      </w:pPr>
      <w:r w:rsidRPr="3B366774" w:rsidR="2A46C741">
        <w:rPr>
          <w:noProof w:val="0"/>
          <w:lang w:val="en-GB"/>
        </w:rPr>
        <w:t>Summary</w:t>
      </w:r>
    </w:p>
    <w:p w:rsidR="2A46C741" w:rsidP="3B366774" w:rsidRDefault="2A46C741" w14:paraId="50207159" w14:textId="705254AF">
      <w:pPr>
        <w:pStyle w:val="Normal"/>
        <w:bidi w:val="0"/>
        <w:spacing w:before="120" w:beforeAutospacing="off" w:after="120" w:afterAutospacing="off" w:line="360" w:lineRule="auto"/>
        <w:jc w:val="both"/>
      </w:pPr>
      <w:r w:rsidRPr="3B366774" w:rsidR="2A46C741">
        <w:rPr>
          <w:rFonts w:ascii="Arial" w:hAnsi="Arial" w:eastAsia="Arial" w:cs="Arial"/>
          <w:b w:val="0"/>
          <w:bCs w:val="0"/>
          <w:noProof w:val="0"/>
          <w:sz w:val="22"/>
          <w:szCs w:val="22"/>
          <w:lang w:val="en-GB"/>
        </w:rPr>
        <w:t>The structured selection process grounds the study in a systematic, transparent, and replicable methodology, thereby strengthening the credibility of the findings. The combination of rigorous screening and critical evaluation ensures that the final dataset provides a robust foundation for analysing HRM practices and their impact on pilot retention within the low-cost airline context.</w:t>
      </w:r>
    </w:p>
    <w:p w:rsidR="3B366774" w:rsidP="3B366774" w:rsidRDefault="3B366774" w14:paraId="707EFB02" w14:textId="59A20602">
      <w:pPr>
        <w:bidi w:val="0"/>
        <w:spacing w:before="120" w:beforeAutospacing="off" w:after="120" w:afterAutospacing="off" w:line="360" w:lineRule="auto"/>
        <w:jc w:val="both"/>
        <w:rPr>
          <w:rFonts w:ascii="Arial" w:hAnsi="Arial" w:eastAsia="Arial" w:cs="Arial"/>
          <w:b w:val="0"/>
          <w:bCs w:val="0"/>
          <w:noProof w:val="0"/>
          <w:sz w:val="22"/>
          <w:szCs w:val="22"/>
          <w:lang w:val="en-GB"/>
        </w:rPr>
      </w:pPr>
    </w:p>
    <w:p w:rsidR="42274C1B" w:rsidP="3B366774" w:rsidRDefault="42274C1B" w14:paraId="5B6CF493" w14:textId="112665F5">
      <w:pPr>
        <w:pStyle w:val="Heading2"/>
        <w:bidi w:val="0"/>
        <w:spacing w:line="360" w:lineRule="auto"/>
        <w:jc w:val="both"/>
        <w:rPr>
          <w:rFonts w:ascii="Arial" w:hAnsi="Arial" w:eastAsia="Arial" w:cs="Arial"/>
          <w:b w:val="0"/>
          <w:bCs w:val="0"/>
          <w:noProof w:val="0"/>
          <w:sz w:val="22"/>
          <w:szCs w:val="22"/>
          <w:lang w:val="en-GB"/>
        </w:rPr>
      </w:pPr>
      <w:bookmarkStart w:name="_Toc1111332954" w:id="818774606"/>
      <w:r w:rsidRPr="3B366774" w:rsidR="42274C1B">
        <w:rPr>
          <w:rFonts w:ascii="Arial" w:hAnsi="Arial" w:eastAsia="Arial" w:cs="Arial"/>
          <w:noProof w:val="0"/>
          <w:sz w:val="22"/>
          <w:szCs w:val="22"/>
          <w:lang w:val="en-GB"/>
        </w:rPr>
        <w:t>Ethical Considerations</w:t>
      </w:r>
      <w:bookmarkEnd w:id="818774606"/>
    </w:p>
    <w:p w:rsidR="42274C1B" w:rsidP="3B366774" w:rsidRDefault="42274C1B" w14:paraId="2ACA181E" w14:textId="55CBAB07">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42274C1B">
        <w:rPr>
          <w:rFonts w:ascii="Arial" w:hAnsi="Arial" w:eastAsia="Arial" w:cs="Arial"/>
          <w:b w:val="0"/>
          <w:bCs w:val="0"/>
          <w:noProof w:val="0"/>
          <w:sz w:val="22"/>
          <w:szCs w:val="22"/>
          <w:lang w:val="en-GB"/>
        </w:rPr>
        <w:t xml:space="preserve">The research adheres to </w:t>
      </w:r>
      <w:r w:rsidRPr="3B366774" w:rsidR="42274C1B">
        <w:rPr>
          <w:rFonts w:ascii="Arial" w:hAnsi="Arial" w:eastAsia="Arial" w:cs="Arial"/>
          <w:b w:val="0"/>
          <w:bCs w:val="0"/>
          <w:noProof w:val="0"/>
          <w:sz w:val="22"/>
          <w:szCs w:val="22"/>
          <w:lang w:val="en-GB"/>
        </w:rPr>
        <w:t>established</w:t>
      </w:r>
      <w:r w:rsidRPr="3B366774" w:rsidR="42274C1B">
        <w:rPr>
          <w:rFonts w:ascii="Arial" w:hAnsi="Arial" w:eastAsia="Arial" w:cs="Arial"/>
          <w:b w:val="0"/>
          <w:bCs w:val="0"/>
          <w:noProof w:val="0"/>
          <w:sz w:val="22"/>
          <w:szCs w:val="22"/>
          <w:lang w:val="en-GB"/>
        </w:rPr>
        <w:t xml:space="preserve"> ethical standards in academic research, despite relying exclusively on secondary data. It is based entirely on peer-reviewed journal articles, sector reports, and publicly available organisational publications, with no primary data collection undertaken. Consequently, there are no direct human participants involved and no associated risks relating to informed consent, anonymity, confidentiality, or psychological harm. While this reduces certain ethical intricacies typically associated with empirical research, it does not </w:t>
      </w:r>
      <w:r w:rsidRPr="3B366774" w:rsidR="42274C1B">
        <w:rPr>
          <w:rFonts w:ascii="Arial" w:hAnsi="Arial" w:eastAsia="Arial" w:cs="Arial"/>
          <w:b w:val="0"/>
          <w:bCs w:val="0"/>
          <w:noProof w:val="0"/>
          <w:sz w:val="22"/>
          <w:szCs w:val="22"/>
          <w:lang w:val="en-GB"/>
        </w:rPr>
        <w:t>eliminate</w:t>
      </w:r>
      <w:r w:rsidRPr="3B366774" w:rsidR="42274C1B">
        <w:rPr>
          <w:rFonts w:ascii="Arial" w:hAnsi="Arial" w:eastAsia="Arial" w:cs="Arial"/>
          <w:b w:val="0"/>
          <w:bCs w:val="0"/>
          <w:noProof w:val="0"/>
          <w:sz w:val="22"/>
          <w:szCs w:val="22"/>
          <w:lang w:val="en-GB"/>
        </w:rPr>
        <w:t xml:space="preserve"> the responsibility to ensure integrity, transparency, and accuracy throughout the study.</w:t>
      </w:r>
    </w:p>
    <w:p w:rsidR="42274C1B" w:rsidP="3B366774" w:rsidRDefault="42274C1B" w14:paraId="749A9776" w14:textId="3371BD0C">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42274C1B">
        <w:rPr>
          <w:rFonts w:ascii="Arial" w:hAnsi="Arial" w:eastAsia="Arial" w:cs="Arial"/>
          <w:b w:val="0"/>
          <w:bCs w:val="0"/>
          <w:noProof w:val="0"/>
          <w:sz w:val="22"/>
          <w:szCs w:val="22"/>
          <w:lang w:val="en-GB"/>
        </w:rPr>
        <w:t xml:space="preserve">A primary ethical responsibility in this research is the </w:t>
      </w:r>
      <w:r w:rsidRPr="3B366774" w:rsidR="42274C1B">
        <w:rPr>
          <w:rFonts w:ascii="Arial" w:hAnsi="Arial" w:eastAsia="Arial" w:cs="Arial"/>
          <w:b w:val="0"/>
          <w:bCs w:val="0"/>
          <w:noProof w:val="0"/>
          <w:sz w:val="22"/>
          <w:szCs w:val="22"/>
          <w:lang w:val="en-GB"/>
        </w:rPr>
        <w:t>accurate</w:t>
      </w:r>
      <w:r w:rsidRPr="3B366774" w:rsidR="42274C1B">
        <w:rPr>
          <w:rFonts w:ascii="Arial" w:hAnsi="Arial" w:eastAsia="Arial" w:cs="Arial"/>
          <w:b w:val="0"/>
          <w:bCs w:val="0"/>
          <w:noProof w:val="0"/>
          <w:sz w:val="22"/>
          <w:szCs w:val="22"/>
          <w:lang w:val="en-GB"/>
        </w:rPr>
        <w:t xml:space="preserve"> representation of the original authors’ findings. Given the dependence upon existing literature, it is essential that arguments, interpretations, and conclusions drawn from sources are presented faithfully and without distortion. This includes avoiding selective citation or confirmation bias, whereby only evidence supporting the research argument is included. Instead, the study adopts a critical approach which incorporates both supporting and contradictory perspectives, guaranteeing a balanced and academically in-depth analysis.</w:t>
      </w:r>
    </w:p>
    <w:p w:rsidR="42274C1B" w:rsidP="3B366774" w:rsidRDefault="42274C1B" w14:paraId="26EC5054" w14:textId="13B356AA">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42274C1B">
        <w:rPr>
          <w:rFonts w:ascii="Arial" w:hAnsi="Arial" w:eastAsia="Arial" w:cs="Arial"/>
          <w:b w:val="0"/>
          <w:bCs w:val="0"/>
          <w:noProof w:val="0"/>
          <w:sz w:val="22"/>
          <w:szCs w:val="22"/>
          <w:lang w:val="en-GB"/>
        </w:rPr>
        <w:t xml:space="preserve">In addition, the research </w:t>
      </w:r>
      <w:r w:rsidRPr="3B366774" w:rsidR="42274C1B">
        <w:rPr>
          <w:rFonts w:ascii="Arial" w:hAnsi="Arial" w:eastAsia="Arial" w:cs="Arial"/>
          <w:b w:val="0"/>
          <w:bCs w:val="0"/>
          <w:noProof w:val="0"/>
          <w:sz w:val="22"/>
          <w:szCs w:val="22"/>
          <w:lang w:val="en-GB"/>
        </w:rPr>
        <w:t>maintains</w:t>
      </w:r>
      <w:r w:rsidRPr="3B366774" w:rsidR="42274C1B">
        <w:rPr>
          <w:rFonts w:ascii="Arial" w:hAnsi="Arial" w:eastAsia="Arial" w:cs="Arial"/>
          <w:b w:val="0"/>
          <w:bCs w:val="0"/>
          <w:noProof w:val="0"/>
          <w:sz w:val="22"/>
          <w:szCs w:val="22"/>
          <w:lang w:val="en-GB"/>
        </w:rPr>
        <w:t xml:space="preserve"> clarity in its source selection, explicitly outlining the inclusion and exclusion criteria for the literature reviewed. This guarantees that data collection is systematic rather than arbitrary, increasing the credibility and replicability of the study. All sources are fully and appropriately referenced </w:t>
      </w:r>
      <w:r w:rsidRPr="3B366774" w:rsidR="42274C1B">
        <w:rPr>
          <w:rFonts w:ascii="Arial" w:hAnsi="Arial" w:eastAsia="Arial" w:cs="Arial"/>
          <w:b w:val="0"/>
          <w:bCs w:val="0"/>
          <w:noProof w:val="0"/>
          <w:sz w:val="22"/>
          <w:szCs w:val="22"/>
          <w:lang w:val="en-GB"/>
        </w:rPr>
        <w:t>in accordance with</w:t>
      </w:r>
      <w:r w:rsidRPr="3B366774" w:rsidR="42274C1B">
        <w:rPr>
          <w:rFonts w:ascii="Arial" w:hAnsi="Arial" w:eastAsia="Arial" w:cs="Arial"/>
          <w:b w:val="0"/>
          <w:bCs w:val="0"/>
          <w:noProof w:val="0"/>
          <w:sz w:val="22"/>
          <w:szCs w:val="22"/>
          <w:lang w:val="en-GB"/>
        </w:rPr>
        <w:t xml:space="preserve"> academic conventions to prevent plagiarism and sustain standards of academic integrity.</w:t>
      </w:r>
    </w:p>
    <w:p w:rsidR="42274C1B" w:rsidP="3B366774" w:rsidRDefault="42274C1B" w14:paraId="5A482FB6" w14:textId="372EF105">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42274C1B">
        <w:rPr>
          <w:rFonts w:ascii="Arial" w:hAnsi="Arial" w:eastAsia="Arial" w:cs="Arial"/>
          <w:b w:val="0"/>
          <w:bCs w:val="0"/>
          <w:noProof w:val="0"/>
          <w:sz w:val="22"/>
          <w:szCs w:val="22"/>
          <w:lang w:val="en-GB"/>
        </w:rPr>
        <w:t xml:space="preserve">Specific ethical matters also arise in relation to the case analysis of easyJet. As the study relies on publicly available information, it is important to recognise that such data may present a curated representation of organisational practices. The </w:t>
      </w:r>
      <w:r w:rsidRPr="3B366774" w:rsidR="65256694">
        <w:rPr>
          <w:rFonts w:ascii="Arial" w:hAnsi="Arial" w:eastAsia="Arial" w:cs="Arial"/>
          <w:b w:val="0"/>
          <w:bCs w:val="0"/>
          <w:noProof w:val="0"/>
          <w:sz w:val="22"/>
          <w:szCs w:val="22"/>
          <w:lang w:val="en-GB"/>
        </w:rPr>
        <w:t>research,</w:t>
      </w:r>
      <w:r w:rsidRPr="3B366774" w:rsidR="42274C1B">
        <w:rPr>
          <w:rFonts w:ascii="Arial" w:hAnsi="Arial" w:eastAsia="Arial" w:cs="Arial"/>
          <w:b w:val="0"/>
          <w:bCs w:val="0"/>
          <w:noProof w:val="0"/>
          <w:sz w:val="22"/>
          <w:szCs w:val="22"/>
          <w:lang w:val="en-GB"/>
        </w:rPr>
        <w:t xml:space="preserve"> therefore, avoids speculative claims about internal processes or unverified practices, guaranteeing that all analysis is grounded in verifiable evidence. Furthermore, a clear distinction is </w:t>
      </w:r>
      <w:r w:rsidRPr="3B366774" w:rsidR="42274C1B">
        <w:rPr>
          <w:rFonts w:ascii="Arial" w:hAnsi="Arial" w:eastAsia="Arial" w:cs="Arial"/>
          <w:b w:val="0"/>
          <w:bCs w:val="0"/>
          <w:noProof w:val="0"/>
          <w:sz w:val="22"/>
          <w:szCs w:val="22"/>
          <w:lang w:val="en-GB"/>
        </w:rPr>
        <w:t>maintained</w:t>
      </w:r>
      <w:r w:rsidRPr="3B366774" w:rsidR="42274C1B">
        <w:rPr>
          <w:rFonts w:ascii="Arial" w:hAnsi="Arial" w:eastAsia="Arial" w:cs="Arial"/>
          <w:b w:val="0"/>
          <w:bCs w:val="0"/>
          <w:noProof w:val="0"/>
          <w:sz w:val="22"/>
          <w:szCs w:val="22"/>
          <w:lang w:val="en-GB"/>
        </w:rPr>
        <w:t xml:space="preserve"> between empirical evidence and the researcher’s interpretation, </w:t>
      </w:r>
      <w:r w:rsidRPr="3B366774" w:rsidR="42274C1B">
        <w:rPr>
          <w:rFonts w:ascii="Arial" w:hAnsi="Arial" w:eastAsia="Arial" w:cs="Arial"/>
          <w:b w:val="0"/>
          <w:bCs w:val="0"/>
          <w:noProof w:val="0"/>
          <w:sz w:val="22"/>
          <w:szCs w:val="22"/>
          <w:lang w:val="en-GB"/>
        </w:rPr>
        <w:t>permitting</w:t>
      </w:r>
      <w:r w:rsidRPr="3B366774" w:rsidR="42274C1B">
        <w:rPr>
          <w:rFonts w:ascii="Arial" w:hAnsi="Arial" w:eastAsia="Arial" w:cs="Arial"/>
          <w:b w:val="0"/>
          <w:bCs w:val="0"/>
          <w:noProof w:val="0"/>
          <w:sz w:val="22"/>
          <w:szCs w:val="22"/>
          <w:lang w:val="en-GB"/>
        </w:rPr>
        <w:t xml:space="preserve"> readers to differentiate between verifiable reporting and analytical insight.</w:t>
      </w:r>
    </w:p>
    <w:p w:rsidR="42274C1B" w:rsidP="3B366774" w:rsidRDefault="42274C1B" w14:paraId="27FA262B" w14:textId="73751F64">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42274C1B">
        <w:rPr>
          <w:rFonts w:ascii="Arial" w:hAnsi="Arial" w:eastAsia="Arial" w:cs="Arial"/>
          <w:b w:val="0"/>
          <w:bCs w:val="0"/>
          <w:noProof w:val="0"/>
          <w:sz w:val="22"/>
          <w:szCs w:val="22"/>
          <w:lang w:val="en-GB"/>
        </w:rPr>
        <w:t xml:space="preserve">To avoid possible reputational harm, the study avoids making unsupported or excessively critical assertions about the organisation. Instead, it adopts an analytical rather than judgmental tone, focusing on evaluating HRM practices within their wider strategic and operational context. This approach confirms that the research </w:t>
      </w:r>
      <w:r w:rsidRPr="3B366774" w:rsidR="42274C1B">
        <w:rPr>
          <w:rFonts w:ascii="Arial" w:hAnsi="Arial" w:eastAsia="Arial" w:cs="Arial"/>
          <w:b w:val="0"/>
          <w:bCs w:val="0"/>
          <w:noProof w:val="0"/>
          <w:sz w:val="22"/>
          <w:szCs w:val="22"/>
          <w:lang w:val="en-GB"/>
        </w:rPr>
        <w:t>remains</w:t>
      </w:r>
      <w:r w:rsidRPr="3B366774" w:rsidR="42274C1B">
        <w:rPr>
          <w:rFonts w:ascii="Arial" w:hAnsi="Arial" w:eastAsia="Arial" w:cs="Arial"/>
          <w:b w:val="0"/>
          <w:bCs w:val="0"/>
          <w:noProof w:val="0"/>
          <w:sz w:val="22"/>
          <w:szCs w:val="22"/>
          <w:lang w:val="en-GB"/>
        </w:rPr>
        <w:t xml:space="preserve"> unbiased, balanced, and respectful, while still providing meaningful critical analysis.</w:t>
      </w:r>
    </w:p>
    <w:p w:rsidR="42274C1B" w:rsidP="3B366774" w:rsidRDefault="42274C1B" w14:paraId="39DB5376" w14:textId="1029DBF8">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42274C1B">
        <w:rPr>
          <w:rFonts w:ascii="Arial" w:hAnsi="Arial" w:eastAsia="Arial" w:cs="Arial"/>
          <w:b w:val="0"/>
          <w:bCs w:val="0"/>
          <w:noProof w:val="0"/>
          <w:sz w:val="22"/>
          <w:szCs w:val="22"/>
          <w:lang w:val="en-GB"/>
        </w:rPr>
        <w:t>Overall, although the use of secondary data reduces certain ethical risks, the research shows a strong devotion to ethical research practice through accuracy, transparency, critical balance, and responsible interpretation.</w:t>
      </w:r>
    </w:p>
    <w:p w:rsidR="42274C1B" w:rsidP="3B366774" w:rsidRDefault="42274C1B" w14:paraId="4E5BB838" w14:textId="2F33A9B7">
      <w:pPr>
        <w:pStyle w:val="Heading2"/>
        <w:bidi w:val="0"/>
        <w:spacing w:line="360" w:lineRule="auto"/>
        <w:jc w:val="both"/>
        <w:rPr>
          <w:rFonts w:ascii="Arial" w:hAnsi="Arial" w:eastAsia="Arial" w:cs="Arial"/>
          <w:b w:val="0"/>
          <w:bCs w:val="0"/>
          <w:noProof w:val="0"/>
          <w:sz w:val="22"/>
          <w:szCs w:val="22"/>
          <w:lang w:val="en-GB"/>
        </w:rPr>
      </w:pPr>
      <w:bookmarkStart w:name="_Toc690328725" w:id="327787078"/>
      <w:r w:rsidRPr="3B366774" w:rsidR="42274C1B">
        <w:rPr>
          <w:rFonts w:ascii="Arial" w:hAnsi="Arial" w:eastAsia="Arial" w:cs="Arial"/>
          <w:noProof w:val="0"/>
          <w:sz w:val="22"/>
          <w:szCs w:val="22"/>
          <w:lang w:val="en-GB"/>
        </w:rPr>
        <w:t>Conclusion</w:t>
      </w:r>
      <w:bookmarkEnd w:id="327787078"/>
    </w:p>
    <w:p w:rsidR="42274C1B" w:rsidP="3B366774" w:rsidRDefault="42274C1B" w14:paraId="3E3CB637" w14:textId="3FF5F33B">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42274C1B">
        <w:rPr>
          <w:rFonts w:ascii="Arial" w:hAnsi="Arial" w:eastAsia="Arial" w:cs="Arial"/>
          <w:b w:val="0"/>
          <w:bCs w:val="0"/>
          <w:noProof w:val="0"/>
          <w:sz w:val="22"/>
          <w:szCs w:val="22"/>
          <w:lang w:val="en-GB"/>
        </w:rPr>
        <w:t xml:space="preserve">This </w:t>
      </w:r>
      <w:r w:rsidRPr="3B366774" w:rsidR="42274C1B">
        <w:rPr>
          <w:rFonts w:ascii="Arial" w:hAnsi="Arial" w:eastAsia="Arial" w:cs="Arial"/>
          <w:b w:val="0"/>
          <w:bCs w:val="0"/>
          <w:noProof w:val="0"/>
          <w:sz w:val="22"/>
          <w:szCs w:val="22"/>
          <w:lang w:val="en-GB"/>
        </w:rPr>
        <w:t>methodology</w:t>
      </w:r>
      <w:r w:rsidRPr="3B366774" w:rsidR="42274C1B">
        <w:rPr>
          <w:rFonts w:ascii="Arial" w:hAnsi="Arial" w:eastAsia="Arial" w:cs="Arial"/>
          <w:b w:val="0"/>
          <w:bCs w:val="0"/>
          <w:noProof w:val="0"/>
          <w:sz w:val="22"/>
          <w:szCs w:val="22"/>
          <w:lang w:val="en-GB"/>
        </w:rPr>
        <w:t xml:space="preserve"> outlines a rigorous and coherent approach to investigating the relationships among HRM practices, pilot engagement, and retention in low-cost airline contexts. By adopting a pragmatist philosophy, an integrated mixed-methods design, and a deductive</w:t>
      </w:r>
      <w:r w:rsidRPr="3B366774" w:rsidR="7A4F271E">
        <w:rPr>
          <w:rFonts w:ascii="Arial" w:hAnsi="Arial" w:eastAsia="Arial" w:cs="Arial"/>
          <w:b w:val="0"/>
          <w:bCs w:val="0"/>
          <w:noProof w:val="0"/>
          <w:sz w:val="22"/>
          <w:szCs w:val="22"/>
          <w:lang w:val="en-GB"/>
        </w:rPr>
        <w:t xml:space="preserve"> reasoning</w:t>
      </w:r>
      <w:r w:rsidRPr="3B366774" w:rsidR="42274C1B">
        <w:rPr>
          <w:rFonts w:ascii="Arial" w:hAnsi="Arial" w:eastAsia="Arial" w:cs="Arial"/>
          <w:b w:val="0"/>
          <w:bCs w:val="0"/>
          <w:noProof w:val="0"/>
          <w:sz w:val="22"/>
          <w:szCs w:val="22"/>
          <w:lang w:val="en-GB"/>
        </w:rPr>
        <w:t xml:space="preserve"> approach, the research is well-positioned to address its research questions.</w:t>
      </w:r>
    </w:p>
    <w:p w:rsidR="42274C1B" w:rsidP="3B366774" w:rsidRDefault="42274C1B" w14:paraId="71E66D12" w14:textId="3C863047">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42274C1B">
        <w:rPr>
          <w:rFonts w:ascii="Arial" w:hAnsi="Arial" w:eastAsia="Arial" w:cs="Arial"/>
          <w:b w:val="0"/>
          <w:bCs w:val="0"/>
          <w:noProof w:val="0"/>
          <w:sz w:val="22"/>
          <w:szCs w:val="22"/>
          <w:lang w:val="en-GB"/>
        </w:rPr>
        <w:t xml:space="preserve">The use of thematic and narrative synthesis offers both analytic and contextual insights, while the case study of </w:t>
      </w:r>
      <w:r w:rsidRPr="3B366774" w:rsidR="42274C1B">
        <w:rPr>
          <w:rFonts w:ascii="Arial" w:hAnsi="Arial" w:eastAsia="Arial" w:cs="Arial"/>
          <w:b w:val="0"/>
          <w:bCs w:val="0"/>
          <w:i w:val="0"/>
          <w:iCs w:val="0"/>
          <w:noProof w:val="0"/>
          <w:sz w:val="22"/>
          <w:szCs w:val="22"/>
          <w:lang w:val="en-GB"/>
        </w:rPr>
        <w:t>easyJet</w:t>
      </w:r>
      <w:r w:rsidRPr="3B366774" w:rsidR="42274C1B">
        <w:rPr>
          <w:rFonts w:ascii="Arial" w:hAnsi="Arial" w:eastAsia="Arial" w:cs="Arial"/>
          <w:b w:val="0"/>
          <w:bCs w:val="0"/>
          <w:i w:val="0"/>
          <w:iCs w:val="0"/>
          <w:noProof w:val="0"/>
          <w:sz w:val="22"/>
          <w:szCs w:val="22"/>
          <w:lang w:val="en-GB"/>
        </w:rPr>
        <w:t xml:space="preserve"> </w:t>
      </w:r>
      <w:r w:rsidRPr="3B366774" w:rsidR="42274C1B">
        <w:rPr>
          <w:rFonts w:ascii="Arial" w:hAnsi="Arial" w:eastAsia="Arial" w:cs="Arial"/>
          <w:b w:val="0"/>
          <w:bCs w:val="0"/>
          <w:noProof w:val="0"/>
          <w:sz w:val="22"/>
          <w:szCs w:val="22"/>
          <w:lang w:val="en-GB"/>
        </w:rPr>
        <w:t>supplies practical relevance. However, limitations related to the use of secondary data and the lack of primary data collection are acknowledged.</w:t>
      </w:r>
    </w:p>
    <w:p w:rsidR="42274C1B" w:rsidP="3B366774" w:rsidRDefault="42274C1B" w14:paraId="4BD3A7A4" w14:textId="0BEA7921">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42274C1B">
        <w:rPr>
          <w:rFonts w:ascii="Arial" w:hAnsi="Arial" w:eastAsia="Arial" w:cs="Arial"/>
          <w:b w:val="0"/>
          <w:bCs w:val="0"/>
          <w:noProof w:val="0"/>
          <w:sz w:val="22"/>
          <w:szCs w:val="22"/>
          <w:lang w:val="en-GB"/>
        </w:rPr>
        <w:t xml:space="preserve">Overall, the methodological framework confirms that the research is both analytically robust and </w:t>
      </w:r>
      <w:bookmarkStart w:name="_Int_U0NMD1FV" w:id="1761411728"/>
      <w:r w:rsidRPr="3B366774" w:rsidR="42274C1B">
        <w:rPr>
          <w:rFonts w:ascii="Arial" w:hAnsi="Arial" w:eastAsia="Arial" w:cs="Arial"/>
          <w:b w:val="0"/>
          <w:bCs w:val="0"/>
          <w:noProof w:val="0"/>
          <w:sz w:val="22"/>
          <w:szCs w:val="22"/>
          <w:lang w:val="en-GB"/>
        </w:rPr>
        <w:t>practically relevant</w:t>
      </w:r>
      <w:bookmarkEnd w:id="1761411728"/>
      <w:r w:rsidRPr="3B366774" w:rsidR="42274C1B">
        <w:rPr>
          <w:rFonts w:ascii="Arial" w:hAnsi="Arial" w:eastAsia="Arial" w:cs="Arial"/>
          <w:b w:val="0"/>
          <w:bCs w:val="0"/>
          <w:noProof w:val="0"/>
          <w:sz w:val="22"/>
          <w:szCs w:val="22"/>
          <w:lang w:val="en-GB"/>
        </w:rPr>
        <w:t>, thereby helping develop evidence-based HRM strategies for sustainable pilot retention.</w:t>
      </w:r>
    </w:p>
    <w:p w:rsidR="3B366774" w:rsidP="3B366774" w:rsidRDefault="3B366774" w14:paraId="6DFB2233" w14:textId="55F4EF21">
      <w:pPr>
        <w:bidi w:val="0"/>
        <w:spacing w:before="120" w:beforeAutospacing="off" w:after="120" w:afterAutospacing="off" w:line="360" w:lineRule="auto"/>
        <w:jc w:val="both"/>
        <w:rPr>
          <w:rFonts w:ascii="Arial" w:hAnsi="Arial" w:eastAsia="Arial" w:cs="Arial"/>
          <w:b w:val="0"/>
          <w:bCs w:val="0"/>
          <w:noProof w:val="0"/>
          <w:sz w:val="22"/>
          <w:szCs w:val="22"/>
          <w:lang w:val="en-GB"/>
        </w:rPr>
      </w:pPr>
    </w:p>
    <w:p w:rsidR="3B366774" w:rsidP="3B366774" w:rsidRDefault="3B366774" w14:paraId="1DA6B1E5" w14:textId="7DEEA17C">
      <w:pPr>
        <w:bidi w:val="0"/>
        <w:spacing w:line="360" w:lineRule="auto"/>
        <w:jc w:val="both"/>
        <w:rPr>
          <w:rFonts w:ascii="Arial" w:hAnsi="Arial" w:eastAsia="Arial" w:cs="Arial"/>
          <w:sz w:val="22"/>
          <w:szCs w:val="22"/>
        </w:rPr>
      </w:pPr>
      <w:r w:rsidRPr="3B366774">
        <w:rPr>
          <w:rFonts w:ascii="Arial" w:hAnsi="Arial" w:eastAsia="Arial" w:cs="Arial"/>
          <w:sz w:val="22"/>
          <w:szCs w:val="22"/>
        </w:rPr>
        <w:br w:type="page"/>
      </w:r>
    </w:p>
    <w:p w:rsidR="2D1AE827" w:rsidP="3B366774" w:rsidRDefault="2D1AE827" w14:paraId="3DA2FC4B" w14:textId="588EC326">
      <w:pPr>
        <w:pStyle w:val="Heading1"/>
        <w:bidi w:val="0"/>
        <w:spacing w:before="120" w:beforeAutospacing="off" w:after="120" w:afterAutospacing="off" w:line="360" w:lineRule="auto"/>
        <w:jc w:val="both"/>
        <w:rPr>
          <w:rFonts w:ascii="Arial" w:hAnsi="Arial" w:eastAsia="Arial" w:cs="Arial"/>
          <w:noProof w:val="0"/>
          <w:sz w:val="22"/>
          <w:szCs w:val="22"/>
          <w:lang w:val="en-GB"/>
        </w:rPr>
      </w:pPr>
      <w:bookmarkStart w:name="_Toc747912573" w:id="338199291"/>
      <w:r w:rsidRPr="3B366774" w:rsidR="2D1AE827">
        <w:rPr>
          <w:rFonts w:ascii="Arial" w:hAnsi="Arial" w:eastAsia="Arial" w:cs="Arial"/>
          <w:noProof w:val="0"/>
          <w:sz w:val="22"/>
          <w:szCs w:val="22"/>
          <w:lang w:val="en-GB"/>
        </w:rPr>
        <w:t>Findings</w:t>
      </w:r>
      <w:bookmarkEnd w:id="338199291"/>
    </w:p>
    <w:p w:rsidR="46D1F1A9" w:rsidP="3B366774" w:rsidRDefault="46D1F1A9" w14:paraId="60AB460A" w14:textId="64F8150C">
      <w:pPr>
        <w:bidi w:val="0"/>
        <w:spacing w:before="120" w:beforeAutospacing="off" w:after="120" w:afterAutospacing="off" w:line="360" w:lineRule="auto"/>
        <w:jc w:val="both"/>
        <w:rPr>
          <w:rFonts w:ascii="Arial" w:hAnsi="Arial" w:eastAsia="Arial" w:cs="Arial"/>
          <w:noProof w:val="0"/>
          <w:sz w:val="22"/>
          <w:szCs w:val="22"/>
          <w:lang w:val="en-GB"/>
        </w:rPr>
      </w:pPr>
      <w:r w:rsidRPr="3B366774" w:rsidR="46D1F1A9">
        <w:rPr>
          <w:rFonts w:ascii="Arial" w:hAnsi="Arial" w:eastAsia="Arial" w:cs="Arial"/>
          <w:noProof w:val="0"/>
          <w:sz w:val="22"/>
          <w:szCs w:val="22"/>
          <w:lang w:val="en-GB"/>
        </w:rPr>
        <w:t xml:space="preserve">This chapter presents the findings derived from a thematic synthesis of the literature (RQ1) and a narrative synthesis of organisational evidence from easyJet (RQ2–RQ3). The findings are structured around four interconnected themes: HRM practices, retention mechanisms, organisational constraints, and external labour-market forces. This structure enables a critical interrogation of both the theoretical and practical dimensions of pilot retention in the low-cost airline sector. By stressing the relationship between organisational and external factors, the discussion transcends a narrow attention on internal HRM levers and instead positions retention as a multi-layered phenomenon shaped by broader institutional forces. In doing so, the chapter aims to advance a more subtle understanding of why conventional retention strategies </w:t>
      </w:r>
      <w:r w:rsidRPr="3B366774" w:rsidR="46D1F1A9">
        <w:rPr>
          <w:rFonts w:ascii="Arial" w:hAnsi="Arial" w:eastAsia="Arial" w:cs="Arial"/>
          <w:noProof w:val="0"/>
          <w:sz w:val="22"/>
          <w:szCs w:val="22"/>
          <w:lang w:val="en-GB"/>
        </w:rPr>
        <w:t>frequently</w:t>
      </w:r>
      <w:r w:rsidRPr="3B366774" w:rsidR="46D1F1A9">
        <w:rPr>
          <w:rFonts w:ascii="Arial" w:hAnsi="Arial" w:eastAsia="Arial" w:cs="Arial"/>
          <w:noProof w:val="0"/>
          <w:sz w:val="22"/>
          <w:szCs w:val="22"/>
          <w:lang w:val="en-GB"/>
        </w:rPr>
        <w:t xml:space="preserve"> yield limited results in contexts such as aviation, where labour employment market dynamics and organisational imperatives are in constant tension.</w:t>
      </w:r>
    </w:p>
    <w:p w:rsidR="46D1F1A9" w:rsidP="3B366774" w:rsidRDefault="46D1F1A9" w14:paraId="0BD2C0B6" w14:textId="4CE26F2B">
      <w:pPr>
        <w:bidi w:val="0"/>
        <w:spacing w:before="120" w:beforeAutospacing="off" w:after="120" w:afterAutospacing="off" w:line="360" w:lineRule="auto"/>
        <w:jc w:val="both"/>
        <w:rPr>
          <w:rFonts w:ascii="Arial" w:hAnsi="Arial" w:eastAsia="Arial" w:cs="Arial"/>
          <w:b w:val="0"/>
          <w:bCs w:val="0"/>
          <w:noProof w:val="0"/>
          <w:sz w:val="22"/>
          <w:szCs w:val="22"/>
          <w:lang w:val="en-GB"/>
        </w:rPr>
      </w:pPr>
      <w:r w:rsidRPr="3B366774" w:rsidR="46D1F1A9">
        <w:rPr>
          <w:rFonts w:ascii="Arial" w:hAnsi="Arial" w:eastAsia="Arial" w:cs="Arial"/>
          <w:noProof w:val="0"/>
          <w:sz w:val="22"/>
          <w:szCs w:val="22"/>
          <w:lang w:val="en-GB"/>
        </w:rPr>
        <w:t>Instead of dealing with these themes in isolation, the analysis foregrounds their interdependence, particularly in developing pilot retention in the low-cost airline sector. The evidence reveals that the boundaries between internal HRM practices and external labour market forces are porous and constantly negotiated</w:t>
      </w:r>
      <w:r w:rsidRPr="3B366774" w:rsidR="53DE9789">
        <w:rPr>
          <w:rFonts w:ascii="Arial" w:hAnsi="Arial" w:eastAsia="Arial" w:cs="Arial"/>
          <w:noProof w:val="0"/>
          <w:sz w:val="22"/>
          <w:szCs w:val="22"/>
          <w:lang w:val="en-GB"/>
        </w:rPr>
        <w:t xml:space="preserve"> (</w:t>
      </w:r>
      <w:r w:rsidRPr="3B366774" w:rsidR="53DE9789">
        <w:rPr>
          <w:rFonts w:ascii="Arial" w:hAnsi="Arial" w:eastAsia="Arial" w:cs="Arial"/>
          <w:noProof w:val="0"/>
          <w:sz w:val="22"/>
          <w:szCs w:val="22"/>
          <w:lang w:val="en-GB"/>
        </w:rPr>
        <w:t>Peyrat</w:t>
      </w:r>
      <w:r w:rsidRPr="3B366774" w:rsidR="53DE9789">
        <w:rPr>
          <w:rFonts w:ascii="Arial" w:hAnsi="Arial" w:eastAsia="Arial" w:cs="Arial"/>
          <w:noProof w:val="0"/>
          <w:sz w:val="22"/>
          <w:szCs w:val="22"/>
          <w:lang w:val="en-GB"/>
        </w:rPr>
        <w:t xml:space="preserve">-Guillard, Grefe &amp; </w:t>
      </w:r>
      <w:r w:rsidRPr="3B366774" w:rsidR="53DE9789">
        <w:rPr>
          <w:rFonts w:ascii="Arial" w:hAnsi="Arial" w:eastAsia="Arial" w:cs="Arial"/>
          <w:noProof w:val="0"/>
          <w:sz w:val="22"/>
          <w:szCs w:val="22"/>
          <w:lang w:val="en-GB"/>
        </w:rPr>
        <w:t>Subramian</w:t>
      </w:r>
      <w:r w:rsidRPr="3B366774" w:rsidR="53DE9789">
        <w:rPr>
          <w:rFonts w:ascii="Arial" w:hAnsi="Arial" w:eastAsia="Arial" w:cs="Arial"/>
          <w:noProof w:val="0"/>
          <w:sz w:val="22"/>
          <w:szCs w:val="22"/>
          <w:lang w:val="en-GB"/>
        </w:rPr>
        <w:t>, 2022)</w:t>
      </w:r>
      <w:r w:rsidRPr="3B366774" w:rsidR="46D1F1A9">
        <w:rPr>
          <w:rFonts w:ascii="Arial" w:hAnsi="Arial" w:eastAsia="Arial" w:cs="Arial"/>
          <w:noProof w:val="0"/>
          <w:sz w:val="22"/>
          <w:szCs w:val="22"/>
          <w:lang w:val="en-GB"/>
        </w:rPr>
        <w:t xml:space="preserve">. For example, improvements in compensation or engagement may be undermined by industry-wide pilot shortages or more attractive opportunities abroad. Thus, the analysis not only </w:t>
      </w:r>
      <w:r w:rsidRPr="3B366774" w:rsidR="46D1F1A9">
        <w:rPr>
          <w:rFonts w:ascii="Arial" w:hAnsi="Arial" w:eastAsia="Arial" w:cs="Arial"/>
          <w:noProof w:val="0"/>
          <w:sz w:val="22"/>
          <w:szCs w:val="22"/>
          <w:lang w:val="en-GB"/>
        </w:rPr>
        <w:t>identifies</w:t>
      </w:r>
      <w:r w:rsidRPr="3B366774" w:rsidR="46D1F1A9">
        <w:rPr>
          <w:rFonts w:ascii="Arial" w:hAnsi="Arial" w:eastAsia="Arial" w:cs="Arial"/>
          <w:noProof w:val="0"/>
          <w:sz w:val="22"/>
          <w:szCs w:val="22"/>
          <w:lang w:val="en-GB"/>
        </w:rPr>
        <w:t xml:space="preserve"> the mutual influence of these themes but also highlights the limitations of interventions that target a single domain. The results presented in this chapter underpin the critical interpretati</w:t>
      </w:r>
      <w:r w:rsidRPr="3B366774" w:rsidR="35A2EDC6">
        <w:rPr>
          <w:rFonts w:ascii="Arial" w:hAnsi="Arial" w:eastAsia="Arial" w:cs="Arial"/>
          <w:noProof w:val="0"/>
          <w:sz w:val="22"/>
          <w:szCs w:val="22"/>
          <w:lang w:val="en-GB"/>
        </w:rPr>
        <w:t>on</w:t>
      </w:r>
      <w:r w:rsidRPr="3B366774" w:rsidR="46D1F1A9">
        <w:rPr>
          <w:rFonts w:ascii="Arial" w:hAnsi="Arial" w:eastAsia="Arial" w:cs="Arial"/>
          <w:noProof w:val="0"/>
          <w:sz w:val="22"/>
          <w:szCs w:val="22"/>
          <w:lang w:val="en-GB"/>
        </w:rPr>
        <w:t xml:space="preserve"> where the effects on HR theory and practice are rigorously evaluated.</w:t>
      </w:r>
      <w:r w:rsidRPr="3B366774" w:rsidR="42255568">
        <w:rPr>
          <w:rFonts w:ascii="Arial" w:hAnsi="Arial" w:eastAsia="Arial" w:cs="Arial"/>
          <w:noProof w:val="0"/>
          <w:sz w:val="22"/>
          <w:szCs w:val="22"/>
          <w:lang w:val="en-GB"/>
        </w:rPr>
        <w:t xml:space="preserve"> A full thematic synthesis table is included in appendix 1 with the coding frequencies displayed in figure 1.</w:t>
      </w:r>
    </w:p>
    <w:p w:rsidR="3B366774" w:rsidP="3B366774" w:rsidRDefault="3B366774" w14:paraId="3331074E" w14:textId="3D08C995">
      <w:pPr>
        <w:bidi w:val="0"/>
        <w:spacing w:before="120" w:beforeAutospacing="off" w:after="120" w:afterAutospacing="off" w:line="360" w:lineRule="auto"/>
        <w:jc w:val="both"/>
        <w:rPr>
          <w:rFonts w:ascii="Arial" w:hAnsi="Arial" w:eastAsia="Arial" w:cs="Arial"/>
          <w:noProof w:val="0"/>
          <w:sz w:val="22"/>
          <w:szCs w:val="22"/>
          <w:lang w:val="en-GB"/>
        </w:rPr>
      </w:pPr>
    </w:p>
    <w:p w:rsidR="3B366774" w:rsidP="3B366774" w:rsidRDefault="3B366774" w14:paraId="6CE9E4CC" w14:textId="7A52A967">
      <w:pPr>
        <w:bidi w:val="0"/>
        <w:spacing w:before="120" w:beforeAutospacing="off" w:after="120" w:afterAutospacing="off" w:line="360" w:lineRule="auto"/>
        <w:jc w:val="both"/>
        <w:rPr>
          <w:rFonts w:ascii="Arial" w:hAnsi="Arial" w:eastAsia="Arial" w:cs="Arial"/>
          <w:sz w:val="22"/>
          <w:szCs w:val="22"/>
        </w:rPr>
      </w:pPr>
    </w:p>
    <w:p w:rsidR="3B366774" w:rsidP="3B366774" w:rsidRDefault="3B366774" w14:paraId="361F1A80" w14:textId="2C94DA31">
      <w:pPr>
        <w:pStyle w:val="Normal"/>
        <w:bidi w:val="0"/>
        <w:spacing w:line="360" w:lineRule="auto"/>
        <w:jc w:val="both"/>
        <w:rPr>
          <w:rFonts w:ascii="Arial" w:hAnsi="Arial" w:eastAsia="Arial" w:cs="Arial"/>
          <w:sz w:val="22"/>
          <w:szCs w:val="22"/>
        </w:rPr>
      </w:pPr>
    </w:p>
    <w:p w:rsidR="3B366774" w:rsidP="3B366774" w:rsidRDefault="3B366774" w14:paraId="4CE9E31F" w14:textId="1997BA07">
      <w:pPr>
        <w:bidi w:val="0"/>
        <w:spacing w:line="360" w:lineRule="auto"/>
        <w:jc w:val="both"/>
        <w:rPr>
          <w:rFonts w:ascii="Arial" w:hAnsi="Arial" w:eastAsia="Arial" w:cs="Arial"/>
          <w:sz w:val="22"/>
          <w:szCs w:val="22"/>
        </w:rPr>
      </w:pPr>
      <w:r w:rsidRPr="3B366774">
        <w:rPr>
          <w:rFonts w:ascii="Arial" w:hAnsi="Arial" w:eastAsia="Arial" w:cs="Arial"/>
          <w:sz w:val="22"/>
          <w:szCs w:val="22"/>
        </w:rPr>
        <w:br w:type="page"/>
      </w:r>
    </w:p>
    <w:p w:rsidR="3B366774" w:rsidP="3B366774" w:rsidRDefault="3B366774" w14:paraId="19726C91" w14:textId="55D24A73">
      <w:pPr>
        <w:pStyle w:val="Normal"/>
        <w:bidi w:val="0"/>
        <w:spacing w:line="360" w:lineRule="auto"/>
        <w:jc w:val="both"/>
        <w:rPr>
          <w:rFonts w:ascii="Arial" w:hAnsi="Arial" w:eastAsia="Arial" w:cs="Arial"/>
          <w:sz w:val="22"/>
          <w:szCs w:val="22"/>
        </w:rPr>
      </w:pPr>
    </w:p>
    <w:p w:rsidR="46D1F1A9" w:rsidP="3B366774" w:rsidRDefault="46D1F1A9" w14:paraId="6A3D2871" w14:textId="54DEF36F">
      <w:pPr>
        <w:pStyle w:val="Heading1"/>
        <w:bidi w:val="0"/>
        <w:spacing w:line="360" w:lineRule="auto"/>
        <w:jc w:val="both"/>
        <w:rPr>
          <w:rFonts w:ascii="Arial" w:hAnsi="Arial" w:eastAsia="Arial" w:cs="Arial"/>
          <w:noProof w:val="0"/>
          <w:sz w:val="22"/>
          <w:szCs w:val="22"/>
          <w:lang w:val="en-GB"/>
        </w:rPr>
      </w:pPr>
      <w:bookmarkStart w:name="_Toc960860332" w:id="498406671"/>
      <w:r w:rsidRPr="3B366774" w:rsidR="46D1F1A9">
        <w:rPr>
          <w:rFonts w:ascii="Arial" w:hAnsi="Arial" w:eastAsia="Arial" w:cs="Arial"/>
          <w:noProof w:val="0"/>
          <w:sz w:val="22"/>
          <w:szCs w:val="22"/>
          <w:lang w:val="en-GB"/>
        </w:rPr>
        <w:t>RQ1: HRM Practices Influencing Retention</w:t>
      </w:r>
      <w:bookmarkEnd w:id="498406671"/>
    </w:p>
    <w:p w:rsidR="3180AB45" w:rsidP="3B366774" w:rsidRDefault="3180AB45" w14:paraId="58AD5CDF" w14:textId="5DED7F66">
      <w:pPr>
        <w:bidi w:val="0"/>
        <w:spacing w:before="120" w:beforeAutospacing="off" w:after="120" w:afterAutospacing="off" w:line="360" w:lineRule="auto"/>
        <w:jc w:val="both"/>
        <w:rPr>
          <w:rFonts w:ascii="Arial" w:hAnsi="Arial" w:eastAsia="Arial" w:cs="Arial"/>
          <w:noProof w:val="0"/>
          <w:sz w:val="22"/>
          <w:szCs w:val="22"/>
          <w:lang w:val="en-GB"/>
        </w:rPr>
      </w:pPr>
      <w:r w:rsidRPr="3B366774" w:rsidR="3180AB45">
        <w:rPr>
          <w:rFonts w:ascii="Arial" w:hAnsi="Arial" w:eastAsia="Arial" w:cs="Arial"/>
          <w:noProof w:val="0"/>
          <w:sz w:val="22"/>
          <w:szCs w:val="22"/>
          <w:lang w:val="en-GB"/>
        </w:rPr>
        <w:t>The thematic analysis was conducted on a refined sample of 45 studies selected from the initial 50 articles, enabling a focused and systematic examination of the factors influencing employee retention. This approach corresponds with established literature review methodologies, which emphasise the importance of purposeful selection and structured analysis to generate important insights (Snyder, 2019; Barry, Merkebu and Varpio, 2022). Within the selected studies, initial codes were developed to capture key concepts related to retention, consistent with thematic synthesis techniques that observe patterns throughout diverse sources (Rodgers et al., 2009). These codes were then systematically grouped into higher-order categories reflecting core HRM strategies, including financial motivation, training and development, organisational support, and working schedule and conditions.</w:t>
      </w:r>
    </w:p>
    <w:p w:rsidR="3B366774" w:rsidP="3B366774" w:rsidRDefault="3B366774" w14:paraId="0744EC83" w14:textId="189854EF">
      <w:pPr>
        <w:bidi w:val="0"/>
        <w:spacing w:before="120" w:beforeAutospacing="off" w:after="120" w:afterAutospacing="off" w:line="360" w:lineRule="auto"/>
        <w:jc w:val="both"/>
        <w:rPr>
          <w:rFonts w:ascii="Arial" w:hAnsi="Arial" w:eastAsia="Arial" w:cs="Arial"/>
          <w:noProof w:val="0"/>
          <w:sz w:val="22"/>
          <w:szCs w:val="22"/>
          <w:lang w:val="en-GB"/>
        </w:rPr>
      </w:pPr>
    </w:p>
    <w:p w:rsidR="766592D3" w:rsidP="3B366774" w:rsidRDefault="766592D3" w14:paraId="03785180" w14:textId="0773797A">
      <w:pPr>
        <w:bidi w:val="0"/>
        <w:spacing w:before="120" w:beforeAutospacing="off" w:after="120" w:afterAutospacing="off" w:line="360" w:lineRule="auto"/>
        <w:jc w:val="both"/>
        <w:rPr>
          <w:rFonts w:ascii="Arial" w:hAnsi="Arial" w:eastAsia="Arial" w:cs="Arial"/>
          <w:noProof w:val="0"/>
          <w:sz w:val="22"/>
          <w:szCs w:val="22"/>
          <w:lang w:val="en-GB"/>
        </w:rPr>
      </w:pPr>
      <w:r w:rsidR="766592D3">
        <w:drawing>
          <wp:inline wp14:editId="59BFFA87" wp14:anchorId="6CC1FB1A">
            <wp:extent cx="4985006" cy="3930852"/>
            <wp:effectExtent l="0" t="0" r="0" b="0"/>
            <wp:docPr id="6116521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11652184" name="Picture 611652184"/>
                    <pic:cNvPicPr/>
                  </pic:nvPicPr>
                  <pic:blipFill>
                    <a:blip xmlns:r="http://schemas.openxmlformats.org/officeDocument/2006/relationships" r:embed="rId877509154">
                      <a:extLst>
                        <a:ext uri="{28A0092B-C50C-407E-A947-70E740481C1C}">
                          <a14:useLocalDpi xmlns:a14="http://schemas.microsoft.com/office/drawing/2010/main"/>
                        </a:ext>
                      </a:extLst>
                    </a:blip>
                    <a:stretch>
                      <a:fillRect/>
                    </a:stretch>
                  </pic:blipFill>
                  <pic:spPr>
                    <a:xfrm>
                      <a:off x="0" y="0"/>
                      <a:ext cx="4985006" cy="3930852"/>
                    </a:xfrm>
                    <a:prstGeom prst="rect">
                      <a:avLst/>
                    </a:prstGeom>
                  </pic:spPr>
                </pic:pic>
              </a:graphicData>
            </a:graphic>
          </wp:inline>
        </w:drawing>
      </w:r>
    </w:p>
    <w:p w:rsidR="3D5A10F2" w:rsidP="3B366774" w:rsidRDefault="3D5A10F2" w14:paraId="5DB25825" w14:textId="51045D11">
      <w:pPr>
        <w:bidi w:val="0"/>
        <w:spacing w:before="120" w:beforeAutospacing="off" w:after="120" w:afterAutospacing="off" w:line="360" w:lineRule="auto"/>
        <w:jc w:val="both"/>
        <w:rPr>
          <w:rFonts w:ascii="Arial" w:hAnsi="Arial" w:eastAsia="Arial" w:cs="Arial"/>
          <w:noProof w:val="0"/>
          <w:sz w:val="22"/>
          <w:szCs w:val="22"/>
          <w:lang w:val="en-GB"/>
        </w:rPr>
      </w:pPr>
      <w:r w:rsidRPr="3B366774" w:rsidR="3D5A10F2">
        <w:rPr>
          <w:rFonts w:ascii="Arial" w:hAnsi="Arial" w:eastAsia="Arial" w:cs="Arial"/>
          <w:noProof w:val="0"/>
          <w:sz w:val="22"/>
          <w:szCs w:val="22"/>
          <w:lang w:val="en-GB"/>
        </w:rPr>
        <w:t>Figure 1 – Thematic coding Table results- Source Author</w:t>
      </w:r>
    </w:p>
    <w:p w:rsidR="3180AB45" w:rsidP="3B366774" w:rsidRDefault="3180AB45" w14:paraId="773EE244" w14:textId="44F45CFC">
      <w:pPr>
        <w:bidi w:val="0"/>
        <w:spacing w:before="120" w:beforeAutospacing="off" w:after="120" w:afterAutospacing="off" w:line="360" w:lineRule="auto"/>
        <w:jc w:val="both"/>
        <w:rPr>
          <w:rFonts w:ascii="Arial" w:hAnsi="Arial" w:eastAsia="Arial" w:cs="Arial"/>
          <w:noProof w:val="0"/>
          <w:sz w:val="22"/>
          <w:szCs w:val="22"/>
          <w:lang w:val="en-GB"/>
        </w:rPr>
      </w:pPr>
      <w:r w:rsidRPr="3B366774" w:rsidR="3180AB45">
        <w:rPr>
          <w:rFonts w:ascii="Arial" w:hAnsi="Arial" w:eastAsia="Arial" w:cs="Arial"/>
          <w:noProof w:val="0"/>
          <w:sz w:val="22"/>
          <w:szCs w:val="22"/>
          <w:lang w:val="en-GB"/>
        </w:rPr>
        <w:t xml:space="preserve">This categorisation is supported by the wider HRM literature, which </w:t>
      </w:r>
      <w:r w:rsidRPr="3B366774" w:rsidR="3180AB45">
        <w:rPr>
          <w:rFonts w:ascii="Arial" w:hAnsi="Arial" w:eastAsia="Arial" w:cs="Arial"/>
          <w:noProof w:val="0"/>
          <w:sz w:val="22"/>
          <w:szCs w:val="22"/>
          <w:lang w:val="en-GB"/>
        </w:rPr>
        <w:t>identifies</w:t>
      </w:r>
      <w:r w:rsidRPr="3B366774" w:rsidR="3180AB45">
        <w:rPr>
          <w:rFonts w:ascii="Arial" w:hAnsi="Arial" w:eastAsia="Arial" w:cs="Arial"/>
          <w:noProof w:val="0"/>
          <w:sz w:val="22"/>
          <w:szCs w:val="22"/>
          <w:lang w:val="en-GB"/>
        </w:rPr>
        <w:t xml:space="preserve"> these domains as central drivers of employee engagement and retention in skill-intensive contexts (Guest, 2017; Tej et al., 2021). For example, financial motivation captures the role of compensation and rewards in forming employee turnover intentions (</w:t>
      </w:r>
      <w:r w:rsidRPr="3B366774" w:rsidR="3180AB45">
        <w:rPr>
          <w:rFonts w:ascii="Arial" w:hAnsi="Arial" w:eastAsia="Arial" w:cs="Arial"/>
          <w:noProof w:val="0"/>
          <w:sz w:val="22"/>
          <w:szCs w:val="22"/>
          <w:lang w:val="en-GB"/>
        </w:rPr>
        <w:t>Muofhe</w:t>
      </w:r>
      <w:r w:rsidRPr="3B366774" w:rsidR="3180AB45">
        <w:rPr>
          <w:rFonts w:ascii="Arial" w:hAnsi="Arial" w:eastAsia="Arial" w:cs="Arial"/>
          <w:noProof w:val="0"/>
          <w:sz w:val="22"/>
          <w:szCs w:val="22"/>
          <w:lang w:val="en-GB"/>
        </w:rPr>
        <w:t>, 2021), while training and development reflect the importance of skill enhancement and career progression (Renaud et al., 2015). Similarly, organisational support encompasses communication, leadership, and perceived organisational investment (Ogbonnaya and Messersmith, 2019), and working conditions show the impact of workload, fatigue, and operational pressures on employee outcomes (Jackson and Earl, 2006). Consequently, the structured coding process not only enhances analytical clarity but also ensures alignment between the thematic analysis and recognised theoretical frameworks, supporting a strong and coherent interpretation of the literature.</w:t>
      </w:r>
    </w:p>
    <w:p w:rsidR="4605ACD4" w:rsidP="3B366774" w:rsidRDefault="4605ACD4" w14:paraId="0C6C7775" w14:textId="17B08837">
      <w:pPr>
        <w:bidi w:val="0"/>
        <w:spacing w:before="120" w:beforeAutospacing="off" w:after="120" w:afterAutospacing="off" w:line="360" w:lineRule="auto"/>
        <w:jc w:val="both"/>
        <w:rPr>
          <w:rFonts w:ascii="Arial" w:hAnsi="Arial" w:eastAsia="Arial" w:cs="Arial"/>
          <w:noProof w:val="0"/>
          <w:sz w:val="22"/>
          <w:szCs w:val="22"/>
          <w:lang w:val="en-GB"/>
        </w:rPr>
      </w:pPr>
      <w:r w:rsidR="4605ACD4">
        <w:drawing>
          <wp:inline wp14:editId="1D2305E9" wp14:anchorId="041430AE">
            <wp:extent cx="3352972" cy="3168813"/>
            <wp:effectExtent l="0" t="0" r="0" b="0"/>
            <wp:docPr id="10291518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29151883" name="Picture 1029151883"/>
                    <pic:cNvPicPr/>
                  </pic:nvPicPr>
                  <pic:blipFill>
                    <a:blip xmlns:r="http://schemas.openxmlformats.org/officeDocument/2006/relationships" r:embed="rId1077053746">
                      <a:extLst>
                        <a:ext uri="{28A0092B-C50C-407E-A947-70E740481C1C}">
                          <a14:useLocalDpi xmlns:a14="http://schemas.microsoft.com/office/drawing/2010/main"/>
                        </a:ext>
                      </a:extLst>
                    </a:blip>
                    <a:stretch>
                      <a:fillRect/>
                    </a:stretch>
                  </pic:blipFill>
                  <pic:spPr>
                    <a:xfrm>
                      <a:off x="0" y="0"/>
                      <a:ext cx="3352972" cy="3168813"/>
                    </a:xfrm>
                    <a:prstGeom prst="rect">
                      <a:avLst/>
                    </a:prstGeom>
                  </pic:spPr>
                </pic:pic>
              </a:graphicData>
            </a:graphic>
          </wp:inline>
        </w:drawing>
      </w:r>
    </w:p>
    <w:p w:rsidR="48E4063A" w:rsidP="3B366774" w:rsidRDefault="48E4063A" w14:paraId="293547F0" w14:textId="01198D03">
      <w:pPr>
        <w:bidi w:val="0"/>
        <w:spacing w:before="120" w:beforeAutospacing="off" w:after="120" w:afterAutospacing="off" w:line="360" w:lineRule="auto"/>
        <w:jc w:val="both"/>
        <w:rPr>
          <w:rFonts w:ascii="Arial" w:hAnsi="Arial" w:eastAsia="Arial" w:cs="Arial"/>
          <w:noProof w:val="0"/>
          <w:sz w:val="22"/>
          <w:szCs w:val="22"/>
          <w:lang w:val="en-GB"/>
        </w:rPr>
      </w:pPr>
      <w:r w:rsidRPr="3B366774" w:rsidR="48E4063A">
        <w:rPr>
          <w:rFonts w:ascii="Arial" w:hAnsi="Arial" w:eastAsia="Arial" w:cs="Arial"/>
          <w:noProof w:val="0"/>
          <w:sz w:val="22"/>
          <w:szCs w:val="22"/>
          <w:lang w:val="en-GB"/>
        </w:rPr>
        <w:t>Figure 2 – HRM theory and interconnecting themes – Source Author</w:t>
      </w:r>
    </w:p>
    <w:p w:rsidR="46D1F1A9" w:rsidP="3B366774" w:rsidRDefault="46D1F1A9" w14:paraId="0250E91C" w14:textId="51CEB9BA">
      <w:pPr>
        <w:pStyle w:val="Heading2"/>
        <w:bidi w:val="0"/>
        <w:spacing w:line="360" w:lineRule="auto"/>
        <w:jc w:val="both"/>
        <w:rPr>
          <w:rFonts w:ascii="Arial" w:hAnsi="Arial" w:eastAsia="Arial" w:cs="Arial"/>
          <w:noProof w:val="0"/>
          <w:sz w:val="22"/>
          <w:szCs w:val="22"/>
          <w:lang w:val="en-GB"/>
        </w:rPr>
      </w:pPr>
      <w:bookmarkStart w:name="_Toc204255536" w:id="1052585057"/>
      <w:r w:rsidRPr="3B366774" w:rsidR="46D1F1A9">
        <w:rPr>
          <w:rFonts w:ascii="Arial" w:hAnsi="Arial" w:eastAsia="Arial" w:cs="Arial"/>
          <w:noProof w:val="0"/>
          <w:sz w:val="22"/>
          <w:szCs w:val="22"/>
          <w:lang w:val="en-GB"/>
        </w:rPr>
        <w:t>Communication and Organisational Support</w:t>
      </w:r>
      <w:bookmarkEnd w:id="1052585057"/>
    </w:p>
    <w:p w:rsidR="30D79E45" w:rsidP="3B366774" w:rsidRDefault="30D79E45" w14:paraId="458F2FF7" w14:textId="7ACFAFC8">
      <w:pPr>
        <w:bidi w:val="0"/>
        <w:spacing w:before="120" w:beforeAutospacing="off" w:after="120" w:afterAutospacing="off" w:line="360" w:lineRule="auto"/>
        <w:jc w:val="both"/>
        <w:rPr>
          <w:rFonts w:ascii="Arial" w:hAnsi="Arial" w:eastAsia="Arial" w:cs="Arial"/>
          <w:noProof w:val="0"/>
          <w:sz w:val="22"/>
          <w:szCs w:val="22"/>
          <w:lang w:val="en-GB"/>
        </w:rPr>
      </w:pPr>
      <w:r w:rsidRPr="3B366774" w:rsidR="30D79E45">
        <w:rPr>
          <w:rFonts w:ascii="Arial" w:hAnsi="Arial" w:eastAsia="Arial" w:cs="Arial"/>
          <w:noProof w:val="0"/>
          <w:sz w:val="22"/>
          <w:szCs w:val="22"/>
          <w:lang w:val="en-GB"/>
        </w:rPr>
        <w:t>Communication and organisational support are identified as the most prominent engagement mechanisms in the thematic synthesis, with multiple studies linking these practices to better employee attitudes and workplace experiences. Evidence regularly demonstrates that HRM practices involving explicit communication, supportive management, and organisational openness are associated with higher levels of engagement, job satisfaction, and perceived well-being (Guest, 2017; Ogbonnaya and Messersmith, 2019). Furthermore, practices such as mentoring, feedback systems, and participative leadership enhance employees’ perceptions of organisational support, consequently reinforcing psychological attachment and commitment (Wikström, 2023; Fatoki, 2023). According to Social Exchange Theory, these mechanisms are projected to foster reciprocal behaviours, whereby employees respond to supportive environments with heightened loyalty and engagement (Gould-Williams and Davies, 2005).</w:t>
      </w:r>
    </w:p>
    <w:p w:rsidR="30D79E45" w:rsidP="3B366774" w:rsidRDefault="30D79E45" w14:paraId="1567EE81" w14:textId="73114480">
      <w:pPr>
        <w:bidi w:val="0"/>
        <w:spacing w:before="120" w:beforeAutospacing="off" w:after="120" w:afterAutospacing="off" w:line="360" w:lineRule="auto"/>
        <w:jc w:val="both"/>
        <w:rPr>
          <w:rFonts w:ascii="Arial" w:hAnsi="Arial" w:eastAsia="Arial" w:cs="Arial"/>
          <w:noProof w:val="0"/>
          <w:sz w:val="22"/>
          <w:szCs w:val="22"/>
          <w:lang w:val="en-GB"/>
        </w:rPr>
      </w:pPr>
      <w:r w:rsidRPr="3B366774" w:rsidR="30D79E45">
        <w:rPr>
          <w:rFonts w:ascii="Arial" w:hAnsi="Arial" w:eastAsia="Arial" w:cs="Arial"/>
          <w:noProof w:val="0"/>
          <w:sz w:val="22"/>
          <w:szCs w:val="22"/>
          <w:lang w:val="en-GB"/>
        </w:rPr>
        <w:t xml:space="preserve">However, the effectiveness of these practices in securing long-term retention is more limited than </w:t>
      </w:r>
      <w:r w:rsidRPr="3B366774" w:rsidR="30D79E45">
        <w:rPr>
          <w:rFonts w:ascii="Arial" w:hAnsi="Arial" w:eastAsia="Arial" w:cs="Arial"/>
          <w:noProof w:val="0"/>
          <w:sz w:val="22"/>
          <w:szCs w:val="22"/>
          <w:lang w:val="en-GB"/>
        </w:rPr>
        <w:t>frequently</w:t>
      </w:r>
      <w:r w:rsidRPr="3B366774" w:rsidR="30D79E45">
        <w:rPr>
          <w:rFonts w:ascii="Arial" w:hAnsi="Arial" w:eastAsia="Arial" w:cs="Arial"/>
          <w:noProof w:val="0"/>
          <w:sz w:val="22"/>
          <w:szCs w:val="22"/>
          <w:lang w:val="en-GB"/>
        </w:rPr>
        <w:t xml:space="preserve"> assumed. While organisational support can generate positive </w:t>
      </w:r>
      <w:r w:rsidRPr="3B366774" w:rsidR="30D79E45">
        <w:rPr>
          <w:rFonts w:ascii="Arial" w:hAnsi="Arial" w:eastAsia="Arial" w:cs="Arial"/>
          <w:noProof w:val="0"/>
          <w:sz w:val="22"/>
          <w:szCs w:val="22"/>
          <w:lang w:val="en-GB"/>
        </w:rPr>
        <w:t>perceptions</w:t>
      </w:r>
      <w:r w:rsidRPr="3B366774" w:rsidR="30D79E45">
        <w:rPr>
          <w:rFonts w:ascii="Arial" w:hAnsi="Arial" w:eastAsia="Arial" w:cs="Arial"/>
          <w:noProof w:val="0"/>
          <w:sz w:val="22"/>
          <w:szCs w:val="22"/>
          <w:lang w:val="en-GB"/>
        </w:rPr>
        <w:t xml:space="preserve"> and short-term commitment, evidence </w:t>
      </w:r>
      <w:r w:rsidRPr="3B366774" w:rsidR="30D79E45">
        <w:rPr>
          <w:rFonts w:ascii="Arial" w:hAnsi="Arial" w:eastAsia="Arial" w:cs="Arial"/>
          <w:noProof w:val="0"/>
          <w:sz w:val="22"/>
          <w:szCs w:val="22"/>
          <w:lang w:val="en-GB"/>
        </w:rPr>
        <w:t>indicates</w:t>
      </w:r>
      <w:r w:rsidRPr="3B366774" w:rsidR="30D79E45">
        <w:rPr>
          <w:rFonts w:ascii="Arial" w:hAnsi="Arial" w:eastAsia="Arial" w:cs="Arial"/>
          <w:noProof w:val="0"/>
          <w:sz w:val="22"/>
          <w:szCs w:val="22"/>
          <w:lang w:val="en-GB"/>
        </w:rPr>
        <w:t xml:space="preserve"> that it does not necessarily prevent turnover, notably in volatile and highly competitive labour markets (Guest, 2017; Memon et al., 2021). In skill-scarce industries such as aviation, employees may appreciate supportive environments but still pursue external opportunities that offer superior financial or career prospects. This reveals </w:t>
      </w:r>
      <w:r w:rsidRPr="3B366774" w:rsidR="77852C03">
        <w:rPr>
          <w:rFonts w:ascii="Arial" w:hAnsi="Arial" w:eastAsia="Arial" w:cs="Arial"/>
          <w:noProof w:val="0"/>
          <w:sz w:val="22"/>
          <w:szCs w:val="22"/>
          <w:lang w:val="en-GB"/>
        </w:rPr>
        <w:t>an</w:t>
      </w:r>
      <w:r w:rsidRPr="3B366774" w:rsidR="30D79E45">
        <w:rPr>
          <w:rFonts w:ascii="Arial" w:hAnsi="Arial" w:eastAsia="Arial" w:cs="Arial"/>
          <w:noProof w:val="0"/>
          <w:sz w:val="22"/>
          <w:szCs w:val="22"/>
          <w:lang w:val="en-GB"/>
        </w:rPr>
        <w:t xml:space="preserve"> important limitation of “soft” HRM approaches, which often presuppose stable employment relationships that are increasingly unrealistic in globalised labour markets</w:t>
      </w:r>
      <w:r w:rsidRPr="3B366774" w:rsidR="6A35A1A9">
        <w:rPr>
          <w:rFonts w:ascii="Arial" w:hAnsi="Arial" w:eastAsia="Arial" w:cs="Arial"/>
          <w:noProof w:val="0"/>
          <w:sz w:val="22"/>
          <w:szCs w:val="22"/>
          <w:lang w:val="en-GB"/>
        </w:rPr>
        <w:t xml:space="preserve"> (Thompson, 2011)</w:t>
      </w:r>
      <w:r w:rsidRPr="3B366774" w:rsidR="30D79E45">
        <w:rPr>
          <w:rFonts w:ascii="Arial" w:hAnsi="Arial" w:eastAsia="Arial" w:cs="Arial"/>
          <w:noProof w:val="0"/>
          <w:sz w:val="22"/>
          <w:szCs w:val="22"/>
          <w:lang w:val="en-GB"/>
        </w:rPr>
        <w:t xml:space="preserve">. As a result, a gap exists between the rhetoric of engagement and the reality of employee mobility. These outcomes suggest that although organisational support mechanisms are important for enhancing employee experience, they are limited as standalone retention tools. This stresses the demand for a more critical and integrated approach to HRM, combining communication plus support with structural and market-aware strategies to </w:t>
      </w:r>
      <w:r w:rsidRPr="3B366774" w:rsidR="30D79E45">
        <w:rPr>
          <w:rFonts w:ascii="Arial" w:hAnsi="Arial" w:eastAsia="Arial" w:cs="Arial"/>
          <w:noProof w:val="0"/>
          <w:sz w:val="22"/>
          <w:szCs w:val="22"/>
          <w:lang w:val="en-GB"/>
        </w:rPr>
        <w:t>more effectively influence retention outcomes</w:t>
      </w:r>
      <w:r w:rsidRPr="3B366774" w:rsidR="30D79E45">
        <w:rPr>
          <w:rFonts w:ascii="Arial" w:hAnsi="Arial" w:eastAsia="Arial" w:cs="Arial"/>
          <w:noProof w:val="0"/>
          <w:sz w:val="22"/>
          <w:szCs w:val="22"/>
          <w:lang w:val="en-GB"/>
        </w:rPr>
        <w:t>.</w:t>
      </w:r>
    </w:p>
    <w:p w:rsidR="054C2A8F" w:rsidP="3B366774" w:rsidRDefault="054C2A8F" w14:paraId="716E02D6" w14:textId="167755B0">
      <w:pPr>
        <w:pStyle w:val="Heading2"/>
        <w:bidi w:val="0"/>
        <w:spacing w:line="360" w:lineRule="auto"/>
        <w:jc w:val="both"/>
        <w:rPr>
          <w:rFonts w:ascii="Arial" w:hAnsi="Arial" w:eastAsia="Arial" w:cs="Arial"/>
          <w:noProof w:val="0"/>
          <w:sz w:val="22"/>
          <w:szCs w:val="22"/>
          <w:lang w:val="en-GB"/>
        </w:rPr>
      </w:pPr>
      <w:bookmarkStart w:name="_Toc1891708284" w:id="1163829015"/>
      <w:r w:rsidRPr="3B366774" w:rsidR="054C2A8F">
        <w:rPr>
          <w:rFonts w:ascii="Arial" w:hAnsi="Arial" w:eastAsia="Arial" w:cs="Arial"/>
          <w:noProof w:val="0"/>
          <w:sz w:val="22"/>
          <w:szCs w:val="22"/>
          <w:lang w:val="en-GB"/>
        </w:rPr>
        <w:t>Financial Motivation</w:t>
      </w:r>
      <w:bookmarkEnd w:id="1163829015"/>
    </w:p>
    <w:p w:rsidR="054C2A8F" w:rsidP="3B366774" w:rsidRDefault="054C2A8F" w14:paraId="12DAA689" w14:textId="62698EE8">
      <w:pPr>
        <w:bidi w:val="0"/>
        <w:spacing w:before="120" w:beforeAutospacing="off" w:after="120" w:afterAutospacing="off" w:line="360" w:lineRule="auto"/>
        <w:jc w:val="both"/>
        <w:rPr>
          <w:rFonts w:ascii="Arial" w:hAnsi="Arial" w:eastAsia="Arial" w:cs="Arial"/>
          <w:noProof w:val="0"/>
          <w:sz w:val="22"/>
          <w:szCs w:val="22"/>
          <w:lang w:val="en-GB"/>
        </w:rPr>
      </w:pPr>
      <w:r w:rsidRPr="3B366774" w:rsidR="054C2A8F">
        <w:rPr>
          <w:rFonts w:ascii="Arial" w:hAnsi="Arial" w:eastAsia="Arial" w:cs="Arial"/>
          <w:noProof w:val="0"/>
          <w:sz w:val="22"/>
          <w:szCs w:val="22"/>
          <w:lang w:val="en-GB"/>
        </w:rPr>
        <w:t>Compensation and reward systems are consistently identified as critical determinants of employee retention, particularly in skill-intensive industries where talent is highly mobile. Empirical evidence suggests that competitive pay is associated with reduced turnover intentions and higher job satisfaction (Muofhe, 2021; Auer et al., 2021). Furthermore, performance-related pay structures and incentive-based rewards can enhance motivation and commitment by linking effort to tangible outcomes (Adom, 2018). However, the literature emphasises that employees do not assess compensation in isolation; rather, they evaluate it relative to external labour market opportunities and internal perceptions of fairness (Belderbos et al., 2025; Aksoy, 2024). Studies on pay transparency and organisational justice further highlight that perceived fairness and clarity of reward systems significantly influence retention, often more than absolute pay levels (Mabaso, 2026; Cragun et al., 2025). This indicates that compensation effectiveness is shaped not only by financial value but also by how it is communicated and understood within the organisational context.</w:t>
      </w:r>
    </w:p>
    <w:p w:rsidR="054C2A8F" w:rsidP="3B366774" w:rsidRDefault="054C2A8F" w14:paraId="3FB9D0B3" w14:textId="5369101D">
      <w:pPr>
        <w:bidi w:val="0"/>
        <w:spacing w:before="120" w:beforeAutospacing="off" w:after="120" w:afterAutospacing="off" w:line="360" w:lineRule="auto"/>
        <w:jc w:val="both"/>
        <w:rPr>
          <w:rFonts w:ascii="Arial" w:hAnsi="Arial" w:eastAsia="Arial" w:cs="Arial"/>
          <w:noProof w:val="0"/>
          <w:sz w:val="22"/>
          <w:szCs w:val="22"/>
          <w:lang w:val="en-GB"/>
        </w:rPr>
      </w:pPr>
      <w:r w:rsidRPr="3B366774" w:rsidR="054C2A8F">
        <w:rPr>
          <w:rFonts w:ascii="Arial" w:hAnsi="Arial" w:eastAsia="Arial" w:cs="Arial"/>
          <w:noProof w:val="0"/>
          <w:sz w:val="22"/>
          <w:szCs w:val="22"/>
          <w:lang w:val="en-GB"/>
        </w:rPr>
        <w:t xml:space="preserve">Moreover, the interaction between pay and broader organisational factors complicates its role as a retention mechanism. For instance, Lee et al. (2025) demonstrate that the impact of compensation on retention depends on organisational culture, suggesting that financial rewards alone are insufficient in the absence of supportive working environments. In highly competitive sectors such as aviation, this limitation is further intensified by strong external labour demand, which allows employees to readily compare and access alternative opportunities. </w:t>
      </w:r>
      <w:r>
        <w:br/>
      </w:r>
      <w:r w:rsidRPr="3B366774" w:rsidR="054C2A8F">
        <w:rPr>
          <w:rFonts w:ascii="Arial" w:hAnsi="Arial" w:eastAsia="Arial" w:cs="Arial"/>
          <w:noProof w:val="0"/>
          <w:sz w:val="22"/>
          <w:szCs w:val="22"/>
          <w:lang w:val="en-GB"/>
        </w:rPr>
        <w:t>As a result, even well-structured compensation systems may be insufficient to retain employees if competitors provide more attractive packages or clearer career advancement opportunities. This supports the view that compensation, while essential, cannot function as an isolated retention strategy and must be integrated with comprehensive human resource management approaches. The literature ultimately demonstrates that reward systems are constrained by external labour market conditions, underscoring the limited capacity of organisations to rely solely on pay to achieve long-term employee retention.</w:t>
      </w:r>
      <w:r w:rsidRPr="3B366774" w:rsidR="054C2A8F">
        <w:rPr>
          <w:rFonts w:ascii="Arial" w:hAnsi="Arial" w:eastAsia="Arial" w:cs="Arial"/>
          <w:noProof w:val="0"/>
          <w:sz w:val="22"/>
          <w:szCs w:val="22"/>
          <w:lang w:val="en-GB"/>
        </w:rPr>
        <w:t xml:space="preserve"> </w:t>
      </w:r>
    </w:p>
    <w:p w:rsidR="054C2A8F" w:rsidP="3B366774" w:rsidRDefault="054C2A8F" w14:paraId="1D410428" w14:textId="4DFFBE92">
      <w:pPr>
        <w:pStyle w:val="Heading2"/>
        <w:bidi w:val="0"/>
        <w:spacing w:line="360" w:lineRule="auto"/>
        <w:jc w:val="both"/>
        <w:rPr>
          <w:rFonts w:ascii="Arial" w:hAnsi="Arial" w:eastAsia="Arial" w:cs="Arial"/>
          <w:noProof w:val="0"/>
          <w:sz w:val="22"/>
          <w:szCs w:val="22"/>
          <w:lang w:val="en-GB"/>
        </w:rPr>
      </w:pPr>
      <w:bookmarkStart w:name="_Toc994240057" w:id="1755243497"/>
      <w:r w:rsidRPr="3B366774" w:rsidR="054C2A8F">
        <w:rPr>
          <w:rFonts w:ascii="Arial" w:hAnsi="Arial" w:eastAsia="Arial" w:cs="Arial"/>
          <w:noProof w:val="0"/>
          <w:sz w:val="22"/>
          <w:szCs w:val="22"/>
          <w:lang w:val="en-GB"/>
        </w:rPr>
        <w:t>Training and Development</w:t>
      </w:r>
      <w:bookmarkEnd w:id="1755243497"/>
    </w:p>
    <w:p w:rsidR="054C2A8F" w:rsidP="3B366774" w:rsidRDefault="054C2A8F" w14:paraId="6FD710A3" w14:textId="3A9594B5">
      <w:pPr>
        <w:bidi w:val="0"/>
        <w:spacing w:before="120" w:beforeAutospacing="off" w:after="120" w:afterAutospacing="off" w:line="360" w:lineRule="auto"/>
        <w:jc w:val="both"/>
        <w:rPr>
          <w:rFonts w:ascii="Arial" w:hAnsi="Arial" w:eastAsia="Arial" w:cs="Arial"/>
          <w:noProof w:val="0"/>
          <w:sz w:val="22"/>
          <w:szCs w:val="22"/>
          <w:lang w:val="en-GB"/>
        </w:rPr>
      </w:pPr>
      <w:r w:rsidRPr="3B366774" w:rsidR="054C2A8F">
        <w:rPr>
          <w:rFonts w:ascii="Arial" w:hAnsi="Arial" w:eastAsia="Arial" w:cs="Arial"/>
          <w:noProof w:val="0"/>
          <w:sz w:val="22"/>
          <w:szCs w:val="22"/>
          <w:lang w:val="en-GB"/>
        </w:rPr>
        <w:t>Training and development are widely recognised as central Human Resource Management (HRM) practices in skill-intensive industries, particularly for strengthening employee capability, engagement, and organisational commitment. Empirical studies consistently prove that structured training initiatives make a positive contribution to employee performance and organisational attachment (Renaud et al., 2015; Tej et al., 2021). Career development opportunities are also associated with higher levels of commitment and retention, since they indicate long-term investment in employees and deliver clear pathways for progression (Tej et al., 2021; Shanker, 2019; Efthymiou et al., 2021). However, the effectiveness of these policies depends on the credibility and transparency of progression pathways. In sectors such as aviation, where employees possess highly transferable skills and are aware of alternative career opportunities, limited or ambiguous progression routes has the potential to undermine the retention benefits of development programmes. This questions the assumption that career development alone ensures retention and draws attention to the need to align formal HRM policies with employees’ actual career experiences.</w:t>
      </w:r>
    </w:p>
    <w:p w:rsidR="3B366774" w:rsidP="3B366774" w:rsidRDefault="3B366774" w14:paraId="66691586" w14:textId="0DC073EF">
      <w:pPr>
        <w:bidi w:val="0"/>
        <w:spacing w:before="120" w:beforeAutospacing="off" w:after="120" w:afterAutospacing="off" w:line="360" w:lineRule="auto"/>
        <w:jc w:val="both"/>
        <w:rPr>
          <w:rFonts w:ascii="Arial" w:hAnsi="Arial" w:eastAsia="Arial" w:cs="Arial"/>
          <w:sz w:val="22"/>
          <w:szCs w:val="22"/>
        </w:rPr>
      </w:pPr>
    </w:p>
    <w:p w:rsidR="054C2A8F" w:rsidP="3B366774" w:rsidRDefault="054C2A8F" w14:paraId="20A49C59" w14:textId="2F5AD89D">
      <w:pPr>
        <w:bidi w:val="0"/>
        <w:spacing w:before="120" w:beforeAutospacing="off" w:after="120" w:afterAutospacing="off" w:line="360" w:lineRule="auto"/>
        <w:jc w:val="both"/>
        <w:rPr>
          <w:rFonts w:ascii="Arial" w:hAnsi="Arial" w:eastAsia="Arial" w:cs="Arial"/>
          <w:noProof w:val="0"/>
          <w:sz w:val="22"/>
          <w:szCs w:val="22"/>
          <w:lang w:val="en-GB"/>
        </w:rPr>
      </w:pPr>
      <w:r w:rsidRPr="3B366774" w:rsidR="054C2A8F">
        <w:rPr>
          <w:rFonts w:ascii="Arial" w:hAnsi="Arial" w:eastAsia="Arial" w:cs="Arial"/>
          <w:noProof w:val="0"/>
          <w:sz w:val="22"/>
          <w:szCs w:val="22"/>
          <w:lang w:val="en-GB"/>
        </w:rPr>
        <w:t>The literature recognises a crucial paradox: while training enhances internal capability, it also increases employees’ external employability. This effect is especially evident in aviation, where the international standardisation of pilot qualifications enables mobility across organisations and countries. Consequently, investment in training may improve organisational performance in the short term but can also increase turnover risk by making employees more attractive to competitors (Gyensare, 2025). This tension reveals an essential limitation within HRM strategies, indicating that training and development, although essential, are insufficient as standalone retention mechanisms and must be supported employing broader organisational and contextual measures.</w:t>
      </w:r>
    </w:p>
    <w:p w:rsidR="3B366774" w:rsidP="3B366774" w:rsidRDefault="3B366774" w14:paraId="69A0191C" w14:textId="03A65DD1">
      <w:pPr>
        <w:bidi w:val="0"/>
        <w:spacing w:before="120" w:beforeAutospacing="off" w:after="120" w:afterAutospacing="off" w:line="360" w:lineRule="auto"/>
        <w:jc w:val="both"/>
        <w:rPr>
          <w:rFonts w:ascii="Arial" w:hAnsi="Arial" w:eastAsia="Arial" w:cs="Arial"/>
          <w:sz w:val="22"/>
          <w:szCs w:val="22"/>
        </w:rPr>
      </w:pPr>
    </w:p>
    <w:p w:rsidR="054C2A8F" w:rsidP="3B366774" w:rsidRDefault="054C2A8F" w14:paraId="547BCD47" w14:textId="13247FB1">
      <w:pPr>
        <w:bidi w:val="0"/>
        <w:spacing w:before="120" w:beforeAutospacing="off" w:after="120" w:afterAutospacing="off" w:line="360" w:lineRule="auto"/>
        <w:jc w:val="both"/>
        <w:rPr>
          <w:rFonts w:ascii="Arial" w:hAnsi="Arial" w:eastAsia="Arial" w:cs="Arial"/>
          <w:noProof w:val="0"/>
          <w:sz w:val="22"/>
          <w:szCs w:val="22"/>
          <w:lang w:val="en-GB"/>
        </w:rPr>
      </w:pPr>
      <w:r w:rsidRPr="3B366774" w:rsidR="054C2A8F">
        <w:rPr>
          <w:rFonts w:ascii="Arial" w:hAnsi="Arial" w:eastAsia="Arial" w:cs="Arial"/>
          <w:noProof w:val="0"/>
          <w:sz w:val="22"/>
          <w:szCs w:val="22"/>
          <w:lang w:val="en-GB"/>
        </w:rPr>
        <w:t>Training and development</w:t>
      </w:r>
      <w:r w:rsidRPr="3B366774" w:rsidR="054C2A8F">
        <w:rPr>
          <w:rFonts w:ascii="Arial" w:hAnsi="Arial" w:eastAsia="Arial" w:cs="Arial"/>
          <w:noProof w:val="0"/>
          <w:sz w:val="22"/>
          <w:szCs w:val="22"/>
          <w:lang w:val="en-GB"/>
        </w:rPr>
        <w:t xml:space="preserve"> practices, including mentoring, management of employee expectations, and visible organisational investment, </w:t>
      </w:r>
      <w:r w:rsidRPr="3B366774" w:rsidR="054C2A8F">
        <w:rPr>
          <w:rFonts w:ascii="Arial" w:hAnsi="Arial" w:eastAsia="Arial" w:cs="Arial"/>
          <w:noProof w:val="0"/>
          <w:sz w:val="22"/>
          <w:szCs w:val="22"/>
          <w:lang w:val="en-GB"/>
        </w:rPr>
        <w:t>emerge</w:t>
      </w:r>
      <w:r w:rsidRPr="3B366774" w:rsidR="054C2A8F">
        <w:rPr>
          <w:rFonts w:ascii="Arial" w:hAnsi="Arial" w:eastAsia="Arial" w:cs="Arial"/>
          <w:noProof w:val="0"/>
          <w:sz w:val="22"/>
          <w:szCs w:val="22"/>
          <w:lang w:val="en-GB"/>
        </w:rPr>
        <w:t xml:space="preserve"> as critical drivers of engagement and retention in skill-intensive sectors. The literature points out that structured development initiatives such as mentoring programmes strengthen learning, integration, and long-term commitment by strengthening employees’ skills and career confidence (</w:t>
      </w:r>
      <w:r w:rsidRPr="3B366774" w:rsidR="0F0DABBC">
        <w:rPr>
          <w:rFonts w:ascii="Arial" w:hAnsi="Arial" w:eastAsia="Arial" w:cs="Arial"/>
          <w:noProof w:val="0"/>
          <w:sz w:val="22"/>
          <w:szCs w:val="22"/>
          <w:lang w:val="en-GB"/>
        </w:rPr>
        <w:t xml:space="preserve">Brune, Chyn &amp; Kerwin, 2020; </w:t>
      </w:r>
      <w:r w:rsidRPr="3B366774" w:rsidR="054C2A8F">
        <w:rPr>
          <w:rFonts w:ascii="Arial" w:hAnsi="Arial" w:eastAsia="Arial" w:cs="Arial"/>
          <w:noProof w:val="0"/>
          <w:sz w:val="22"/>
          <w:szCs w:val="22"/>
          <w:lang w:val="en-GB"/>
        </w:rPr>
        <w:t xml:space="preserve">Wikström, 2023; Guest, 2017). In addition, managing employee expectations—particularly during recruitment and early career stages—is integral to development processes, as inconsistency between </w:t>
      </w:r>
      <w:r w:rsidRPr="3B366774" w:rsidR="054C2A8F">
        <w:rPr>
          <w:rFonts w:ascii="Arial" w:hAnsi="Arial" w:eastAsia="Arial" w:cs="Arial"/>
          <w:noProof w:val="0"/>
          <w:sz w:val="22"/>
          <w:szCs w:val="22"/>
          <w:lang w:val="en-GB"/>
        </w:rPr>
        <w:t>anticipated</w:t>
      </w:r>
      <w:r w:rsidRPr="3B366774" w:rsidR="054C2A8F">
        <w:rPr>
          <w:rFonts w:ascii="Arial" w:hAnsi="Arial" w:eastAsia="Arial" w:cs="Arial"/>
          <w:noProof w:val="0"/>
          <w:sz w:val="22"/>
          <w:szCs w:val="22"/>
          <w:lang w:val="en-GB"/>
        </w:rPr>
        <w:t xml:space="preserve"> and actual training or progression opportunities can lead to early turnover (Shanker, 2019). Engagement mechanisms embedded within training, such as continuous feedback, learning opportunities, and career-focused development pathways, additionally strengthen this relationship by enhancing </w:t>
      </w:r>
      <w:r w:rsidRPr="3B366774" w:rsidR="054C2A8F">
        <w:rPr>
          <w:rFonts w:ascii="Arial" w:hAnsi="Arial" w:eastAsia="Arial" w:cs="Arial"/>
          <w:noProof w:val="0"/>
          <w:sz w:val="22"/>
          <w:szCs w:val="22"/>
          <w:lang w:val="en-GB"/>
        </w:rPr>
        <w:t>perceptions</w:t>
      </w:r>
      <w:r w:rsidRPr="3B366774" w:rsidR="054C2A8F">
        <w:rPr>
          <w:rFonts w:ascii="Arial" w:hAnsi="Arial" w:eastAsia="Arial" w:cs="Arial"/>
          <w:noProof w:val="0"/>
          <w:sz w:val="22"/>
          <w:szCs w:val="22"/>
          <w:lang w:val="en-GB"/>
        </w:rPr>
        <w:t xml:space="preserve"> of organisational investment and support (Ogbonnaya and Messersmith, 2019). However, the effectiveness of these practices depends on the extent to which organisations express sincere and sustained commitment toward employee development. Where employee training initiatives are perceived as limited, inaccessible, or symbolic, their impact on engagement and retention is significantly reduced. This suggests that </w:t>
      </w:r>
      <w:r w:rsidRPr="3B366774" w:rsidR="054C2A8F">
        <w:rPr>
          <w:rFonts w:ascii="Arial" w:hAnsi="Arial" w:eastAsia="Arial" w:cs="Arial"/>
          <w:noProof w:val="0"/>
          <w:sz w:val="22"/>
          <w:szCs w:val="22"/>
          <w:lang w:val="en-GB"/>
        </w:rPr>
        <w:t>training and development</w:t>
      </w:r>
      <w:r w:rsidRPr="3B366774" w:rsidR="054C2A8F">
        <w:rPr>
          <w:rFonts w:ascii="Arial" w:hAnsi="Arial" w:eastAsia="Arial" w:cs="Arial"/>
          <w:noProof w:val="0"/>
          <w:sz w:val="22"/>
          <w:szCs w:val="22"/>
          <w:lang w:val="en-GB"/>
        </w:rPr>
        <w:t xml:space="preserve"> must be experienced as meaningful and consistent with employees’ job aspirations rather than delivered as isolated HR interventions. Consequently, while development systems play </w:t>
      </w:r>
      <w:r w:rsidRPr="3B366774" w:rsidR="054C2A8F">
        <w:rPr>
          <w:rFonts w:ascii="Arial" w:hAnsi="Arial" w:eastAsia="Arial" w:cs="Arial"/>
          <w:noProof w:val="0"/>
          <w:sz w:val="22"/>
          <w:szCs w:val="22"/>
          <w:lang w:val="en-GB"/>
        </w:rPr>
        <w:t>a central role</w:t>
      </w:r>
      <w:r w:rsidRPr="3B366774" w:rsidR="054C2A8F">
        <w:rPr>
          <w:rFonts w:ascii="Arial" w:hAnsi="Arial" w:eastAsia="Arial" w:cs="Arial"/>
          <w:noProof w:val="0"/>
          <w:sz w:val="22"/>
          <w:szCs w:val="22"/>
          <w:lang w:val="en-GB"/>
        </w:rPr>
        <w:t xml:space="preserve"> in supporting engagement and retention, their effectiveness depends on alignment between organisational investment and employee expectations, strengthening the argument that training alone does not guarantee retention outcomes.</w:t>
      </w:r>
    </w:p>
    <w:p w:rsidR="71F3B898" w:rsidP="3B366774" w:rsidRDefault="71F3B898" w14:paraId="046C1D58" w14:textId="0322FED0">
      <w:pPr>
        <w:pStyle w:val="Heading2"/>
        <w:bidi w:val="0"/>
        <w:spacing w:line="360" w:lineRule="auto"/>
        <w:jc w:val="both"/>
        <w:rPr>
          <w:rFonts w:ascii="Arial" w:hAnsi="Arial" w:eastAsia="Arial" w:cs="Arial"/>
          <w:noProof w:val="0"/>
          <w:sz w:val="22"/>
          <w:szCs w:val="22"/>
          <w:lang w:val="en-GB"/>
        </w:rPr>
      </w:pPr>
      <w:bookmarkStart w:name="_Toc1933737875" w:id="334836692"/>
      <w:r w:rsidRPr="3B366774" w:rsidR="71F3B898">
        <w:rPr>
          <w:rFonts w:ascii="Arial" w:hAnsi="Arial" w:eastAsia="Arial" w:cs="Arial"/>
          <w:noProof w:val="0"/>
          <w:sz w:val="22"/>
          <w:szCs w:val="22"/>
          <w:lang w:val="en-GB"/>
        </w:rPr>
        <w:t>Work Schedule &amp; Conditions</w:t>
      </w:r>
      <w:bookmarkEnd w:id="334836692"/>
    </w:p>
    <w:p w:rsidR="46381C1C" w:rsidP="3B366774" w:rsidRDefault="46381C1C" w14:paraId="0C436ED3" w14:textId="082C2F77">
      <w:pPr>
        <w:bidi w:val="0"/>
        <w:spacing w:before="120" w:beforeAutospacing="off" w:after="120" w:afterAutospacing="off" w:line="360" w:lineRule="auto"/>
        <w:jc w:val="both"/>
        <w:rPr>
          <w:rFonts w:ascii="Arial" w:hAnsi="Arial" w:eastAsia="Arial" w:cs="Arial"/>
          <w:noProof w:val="0"/>
          <w:sz w:val="22"/>
          <w:szCs w:val="22"/>
          <w:lang w:val="en-GB"/>
        </w:rPr>
      </w:pPr>
      <w:r w:rsidRPr="3B366774" w:rsidR="46381C1C">
        <w:rPr>
          <w:rFonts w:ascii="Arial" w:hAnsi="Arial" w:eastAsia="Arial" w:cs="Arial"/>
          <w:noProof w:val="0"/>
          <w:sz w:val="22"/>
          <w:szCs w:val="22"/>
          <w:lang w:val="en-GB"/>
        </w:rPr>
        <w:t>Work schedules and broader working conditions are widely recognised as critical determinants of employee engagement and retention, particularly within high-demand, safety-critical sectors such as aviation. Existing literature demonstrates that workload intensity, fatigue, irregular hours, and roster predictability substantially affect employee well-being and job satisfaction (Jackson and Earl, 2006; Harvey and Turnbull, 2012; Steen et al., 2024). In these settings, HRM practices that facilitate manageable schedules, sufficient rest periods, and work-life balance are linked to higher engagement and lower turnover intentions (Guest, 2017; Steen et al., 2024). These considerations are particularly relevant for pilots, whose roles entail significant responsibility and operational pressure, positioning working conditions as a central aspect of the employment experience.</w:t>
      </w:r>
    </w:p>
    <w:p w:rsidR="46381C1C" w:rsidP="3B366774" w:rsidRDefault="46381C1C" w14:paraId="3DF5C2B1" w14:textId="530D8226">
      <w:pPr>
        <w:bidi w:val="0"/>
        <w:spacing w:before="120" w:beforeAutospacing="off" w:after="120" w:afterAutospacing="off" w:line="360" w:lineRule="auto"/>
        <w:jc w:val="both"/>
        <w:rPr>
          <w:rFonts w:ascii="Arial" w:hAnsi="Arial" w:eastAsia="Arial" w:cs="Arial"/>
          <w:noProof w:val="0"/>
          <w:sz w:val="22"/>
          <w:szCs w:val="22"/>
          <w:lang w:val="en-GB"/>
        </w:rPr>
      </w:pPr>
      <w:r w:rsidRPr="3B366774" w:rsidR="46381C1C">
        <w:rPr>
          <w:rFonts w:ascii="Arial" w:hAnsi="Arial" w:eastAsia="Arial" w:cs="Arial"/>
          <w:noProof w:val="0"/>
          <w:sz w:val="22"/>
          <w:szCs w:val="22"/>
          <w:lang w:val="en-GB"/>
        </w:rPr>
        <w:t xml:space="preserve">Nevertheless, efforts to improve working conditions are </w:t>
      </w:r>
      <w:r w:rsidRPr="3B366774" w:rsidR="46381C1C">
        <w:rPr>
          <w:rFonts w:ascii="Arial" w:hAnsi="Arial" w:eastAsia="Arial" w:cs="Arial"/>
          <w:noProof w:val="0"/>
          <w:sz w:val="22"/>
          <w:szCs w:val="22"/>
          <w:lang w:val="en-GB"/>
        </w:rPr>
        <w:t>frequently</w:t>
      </w:r>
      <w:r w:rsidRPr="3B366774" w:rsidR="46381C1C">
        <w:rPr>
          <w:rFonts w:ascii="Arial" w:hAnsi="Arial" w:eastAsia="Arial" w:cs="Arial"/>
          <w:noProof w:val="0"/>
          <w:sz w:val="22"/>
          <w:szCs w:val="22"/>
          <w:lang w:val="en-GB"/>
        </w:rPr>
        <w:t xml:space="preserve"> limited by organisational and industry-specific constraints. For instance, low-cost airline models prioritise high utilisation rates and cost-efficiency, which can increase workloads and restrict scheduling flexibility (Harvey and Turnbull, 2012; </w:t>
      </w:r>
      <w:r w:rsidRPr="3B366774" w:rsidR="46381C1C">
        <w:rPr>
          <w:rFonts w:ascii="Arial" w:hAnsi="Arial" w:eastAsia="Arial" w:cs="Arial"/>
          <w:noProof w:val="0"/>
          <w:sz w:val="22"/>
          <w:szCs w:val="22"/>
          <w:lang w:val="en-GB"/>
        </w:rPr>
        <w:t>Habiyaremye</w:t>
      </w:r>
      <w:r w:rsidRPr="3B366774" w:rsidR="46381C1C">
        <w:rPr>
          <w:rFonts w:ascii="Arial" w:hAnsi="Arial" w:eastAsia="Arial" w:cs="Arial"/>
          <w:noProof w:val="0"/>
          <w:sz w:val="22"/>
          <w:szCs w:val="22"/>
          <w:lang w:val="en-GB"/>
        </w:rPr>
        <w:t xml:space="preserve"> &amp; Monaco, 2026). This dynamic creates structural tension, as HRM initiatives designed to enhance well-being may be compromised by operational requirements. Research on precarious employment and professional status </w:t>
      </w:r>
      <w:r w:rsidRPr="3B366774" w:rsidR="46381C1C">
        <w:rPr>
          <w:rFonts w:ascii="Arial" w:hAnsi="Arial" w:eastAsia="Arial" w:cs="Arial"/>
          <w:noProof w:val="0"/>
          <w:sz w:val="22"/>
          <w:szCs w:val="22"/>
          <w:lang w:val="en-GB"/>
        </w:rPr>
        <w:t>indicates</w:t>
      </w:r>
      <w:r w:rsidRPr="3B366774" w:rsidR="46381C1C">
        <w:rPr>
          <w:rFonts w:ascii="Arial" w:hAnsi="Arial" w:eastAsia="Arial" w:cs="Arial"/>
          <w:noProof w:val="0"/>
          <w:sz w:val="22"/>
          <w:szCs w:val="22"/>
          <w:lang w:val="en-GB"/>
        </w:rPr>
        <w:t xml:space="preserve"> that deteriorating working conditions can erode long-term commitment, even when other HRM practices are robust (</w:t>
      </w:r>
      <w:r w:rsidRPr="3B366774" w:rsidR="5EC1B82B">
        <w:rPr>
          <w:rFonts w:ascii="Arial" w:hAnsi="Arial" w:eastAsia="Arial" w:cs="Arial"/>
          <w:noProof w:val="0"/>
          <w:sz w:val="22"/>
          <w:szCs w:val="22"/>
          <w:lang w:val="en-GB"/>
        </w:rPr>
        <w:t>Maxwell &amp; Grant</w:t>
      </w:r>
      <w:r w:rsidRPr="3B366774" w:rsidR="46381C1C">
        <w:rPr>
          <w:rFonts w:ascii="Arial" w:hAnsi="Arial" w:eastAsia="Arial" w:cs="Arial"/>
          <w:noProof w:val="0"/>
          <w:sz w:val="22"/>
          <w:szCs w:val="22"/>
          <w:lang w:val="en-GB"/>
        </w:rPr>
        <w:t xml:space="preserve">, 2021). Therefore, while positive working conditions are vital for engagement, they are inherently influenced by organisational limitations. This perspective reinforces the view that retention is </w:t>
      </w:r>
      <w:r w:rsidRPr="3B366774" w:rsidR="46381C1C">
        <w:rPr>
          <w:rFonts w:ascii="Arial" w:hAnsi="Arial" w:eastAsia="Arial" w:cs="Arial"/>
          <w:noProof w:val="0"/>
          <w:sz w:val="22"/>
          <w:szCs w:val="22"/>
          <w:lang w:val="en-GB"/>
        </w:rPr>
        <w:t>determined</w:t>
      </w:r>
      <w:r w:rsidRPr="3B366774" w:rsidR="46381C1C">
        <w:rPr>
          <w:rFonts w:ascii="Arial" w:hAnsi="Arial" w:eastAsia="Arial" w:cs="Arial"/>
          <w:noProof w:val="0"/>
          <w:sz w:val="22"/>
          <w:szCs w:val="22"/>
          <w:lang w:val="en-GB"/>
        </w:rPr>
        <w:t xml:space="preserve"> not only by internal HRM strategies but also by the structural realities of the business model, underscoring the need for a more integrated, context-sensitive approach to workforce sustainability.</w:t>
      </w:r>
    </w:p>
    <w:p w:rsidR="46D1F1A9" w:rsidP="3B366774" w:rsidRDefault="46D1F1A9" w14:paraId="7C33248B" w14:textId="034ECBAE">
      <w:pPr>
        <w:pStyle w:val="Heading3"/>
        <w:bidi w:val="0"/>
        <w:spacing w:line="360" w:lineRule="auto"/>
        <w:jc w:val="both"/>
        <w:rPr>
          <w:rFonts w:ascii="Arial" w:hAnsi="Arial" w:eastAsia="Arial" w:cs="Arial"/>
          <w:noProof w:val="0"/>
          <w:sz w:val="22"/>
          <w:szCs w:val="22"/>
          <w:lang w:val="en-GB"/>
        </w:rPr>
      </w:pPr>
      <w:bookmarkStart w:name="_Toc391289331" w:id="2089265646"/>
      <w:r w:rsidRPr="3B366774" w:rsidR="46D1F1A9">
        <w:rPr>
          <w:rFonts w:ascii="Arial" w:hAnsi="Arial" w:eastAsia="Arial" w:cs="Arial"/>
          <w:noProof w:val="0"/>
          <w:sz w:val="22"/>
          <w:szCs w:val="22"/>
          <w:lang w:val="en-GB"/>
        </w:rPr>
        <w:t>Summary of RQ1</w:t>
      </w:r>
      <w:bookmarkEnd w:id="2089265646"/>
    </w:p>
    <w:p w:rsidR="46D1F1A9" w:rsidP="3B366774" w:rsidRDefault="46D1F1A9" w14:paraId="0DC01C96" w14:textId="33872E7E">
      <w:pPr>
        <w:bidi w:val="0"/>
        <w:spacing w:before="120" w:beforeAutospacing="off" w:after="120" w:afterAutospacing="off" w:line="360" w:lineRule="auto"/>
        <w:jc w:val="both"/>
        <w:rPr>
          <w:rFonts w:ascii="Arial" w:hAnsi="Arial" w:eastAsia="Arial" w:cs="Arial"/>
          <w:noProof w:val="0"/>
          <w:sz w:val="22"/>
          <w:szCs w:val="22"/>
          <w:lang w:val="en-GB"/>
        </w:rPr>
      </w:pPr>
      <w:r w:rsidRPr="3B366774" w:rsidR="46D1F1A9">
        <w:rPr>
          <w:rFonts w:ascii="Arial" w:hAnsi="Arial" w:eastAsia="Arial" w:cs="Arial"/>
          <w:noProof w:val="0"/>
          <w:sz w:val="22"/>
          <w:szCs w:val="22"/>
          <w:lang w:val="en-GB"/>
        </w:rPr>
        <w:t xml:space="preserve">Overall, the findings show that HRM practices influence retention only indirectly, primarily by shaping employee attitudes and </w:t>
      </w:r>
      <w:r w:rsidRPr="3B366774" w:rsidR="46D1F1A9">
        <w:rPr>
          <w:rFonts w:ascii="Arial" w:hAnsi="Arial" w:eastAsia="Arial" w:cs="Arial"/>
          <w:noProof w:val="0"/>
          <w:sz w:val="22"/>
          <w:szCs w:val="22"/>
          <w:lang w:val="en-GB"/>
        </w:rPr>
        <w:t>perceptions</w:t>
      </w:r>
      <w:r w:rsidRPr="3B366774" w:rsidR="46D1F1A9">
        <w:rPr>
          <w:rFonts w:ascii="Arial" w:hAnsi="Arial" w:eastAsia="Arial" w:cs="Arial"/>
          <w:noProof w:val="0"/>
          <w:sz w:val="22"/>
          <w:szCs w:val="22"/>
          <w:lang w:val="en-GB"/>
        </w:rPr>
        <w:t xml:space="preserve"> rather than by exerting direct control over turnover. Their effectiveness is fundamentally mediated by broader contextual factors, such as labour market conditions, career mobility, and the organisation's strategic priorities. This calls into question the adequacy of firm-centric HRM models and endorses a more critical, context-sensitive strategy for understanding and managing retention.</w:t>
      </w:r>
    </w:p>
    <w:p w:rsidR="3B366774" w:rsidP="3B366774" w:rsidRDefault="3B366774" w14:paraId="46093B0F" w14:textId="1E965EC1">
      <w:pPr>
        <w:bidi w:val="0"/>
        <w:spacing w:before="120" w:beforeAutospacing="off" w:after="120" w:afterAutospacing="off" w:line="360" w:lineRule="auto"/>
        <w:jc w:val="both"/>
        <w:rPr>
          <w:rFonts w:ascii="Arial" w:hAnsi="Arial" w:eastAsia="Arial" w:cs="Arial"/>
          <w:noProof w:val="0"/>
          <w:sz w:val="22"/>
          <w:szCs w:val="22"/>
          <w:lang w:val="en-GB"/>
        </w:rPr>
      </w:pPr>
    </w:p>
    <w:p w:rsidR="48411DFA" w:rsidP="3B366774" w:rsidRDefault="48411DFA" w14:paraId="5857B26F" w14:textId="7D82FF6D">
      <w:pPr>
        <w:pStyle w:val="Heading1"/>
        <w:bidi w:val="0"/>
        <w:spacing w:line="360" w:lineRule="auto"/>
        <w:jc w:val="both"/>
        <w:rPr>
          <w:rFonts w:ascii="Arial" w:hAnsi="Arial" w:eastAsia="Arial" w:cs="Arial"/>
          <w:sz w:val="22"/>
          <w:szCs w:val="22"/>
        </w:rPr>
      </w:pPr>
      <w:bookmarkStart w:name="_Toc159145090" w:id="1405627274"/>
      <w:r w:rsidRPr="3B366774" w:rsidR="48411DFA">
        <w:rPr>
          <w:rFonts w:ascii="Arial" w:hAnsi="Arial" w:eastAsia="Arial" w:cs="Arial"/>
          <w:sz w:val="22"/>
          <w:szCs w:val="22"/>
        </w:rPr>
        <w:t>Narrative synthesis of RQ2</w:t>
      </w:r>
      <w:bookmarkEnd w:id="1405627274"/>
    </w:p>
    <w:p w:rsidR="77AE1605" w:rsidP="3B366774" w:rsidRDefault="77AE1605" w14:paraId="72BC753C" w14:textId="69E397C5">
      <w:pPr>
        <w:bidi w:val="0"/>
        <w:spacing w:before="120" w:beforeAutospacing="off" w:after="120" w:afterAutospacing="off" w:line="360" w:lineRule="auto"/>
        <w:jc w:val="both"/>
        <w:rPr>
          <w:rFonts w:ascii="Arial" w:hAnsi="Arial" w:eastAsia="Arial" w:cs="Arial"/>
          <w:noProof w:val="0"/>
          <w:sz w:val="22"/>
          <w:szCs w:val="22"/>
          <w:lang w:val="en-GB"/>
        </w:rPr>
      </w:pPr>
      <w:r w:rsidRPr="3B366774" w:rsidR="77AE1605">
        <w:rPr>
          <w:rFonts w:ascii="Arial" w:hAnsi="Arial" w:eastAsia="Arial" w:cs="Arial"/>
          <w:noProof w:val="0"/>
          <w:sz w:val="22"/>
          <w:szCs w:val="22"/>
          <w:lang w:val="en-GB"/>
        </w:rPr>
        <w:t xml:space="preserve">Training and development at easyJet are positioned as central human resource management (HRM) practices; however, their primary function is operational rather than </w:t>
      </w:r>
      <w:r w:rsidRPr="3B366774" w:rsidR="77AE1605">
        <w:rPr>
          <w:rFonts w:ascii="Arial" w:hAnsi="Arial" w:eastAsia="Arial" w:cs="Arial"/>
          <w:noProof w:val="0"/>
          <w:sz w:val="22"/>
          <w:szCs w:val="22"/>
          <w:lang w:val="en-GB"/>
        </w:rPr>
        <w:t>retention-focused</w:t>
      </w:r>
      <w:r w:rsidRPr="3B366774" w:rsidR="77AE1605">
        <w:rPr>
          <w:rFonts w:ascii="Arial" w:hAnsi="Arial" w:eastAsia="Arial" w:cs="Arial"/>
          <w:noProof w:val="0"/>
          <w:sz w:val="22"/>
          <w:szCs w:val="22"/>
          <w:lang w:val="en-GB"/>
        </w:rPr>
        <w:t xml:space="preserve">. Publicly available evidence </w:t>
      </w:r>
      <w:r w:rsidRPr="3B366774" w:rsidR="77AE1605">
        <w:rPr>
          <w:rFonts w:ascii="Arial" w:hAnsi="Arial" w:eastAsia="Arial" w:cs="Arial"/>
          <w:noProof w:val="0"/>
          <w:sz w:val="22"/>
          <w:szCs w:val="22"/>
          <w:lang w:val="en-GB"/>
        </w:rPr>
        <w:t>demonstrates</w:t>
      </w:r>
      <w:r w:rsidRPr="3B366774" w:rsidR="77AE1605">
        <w:rPr>
          <w:rFonts w:ascii="Arial" w:hAnsi="Arial" w:eastAsia="Arial" w:cs="Arial"/>
          <w:noProof w:val="0"/>
          <w:sz w:val="22"/>
          <w:szCs w:val="22"/>
          <w:lang w:val="en-GB"/>
        </w:rPr>
        <w:t xml:space="preserve"> substantial investment in pilot training programmes, including structured cadet pathways, mentoring initiatives, and targeted development schemes such as the “Accelerate: Women’s Development Programme” (easyJet plc, 2023; easyJet plc, 2024). These initiatives align with broader HRM literature, which </w:t>
      </w:r>
      <w:r w:rsidRPr="3B366774" w:rsidR="77AE1605">
        <w:rPr>
          <w:rFonts w:ascii="Arial" w:hAnsi="Arial" w:eastAsia="Arial" w:cs="Arial"/>
          <w:noProof w:val="0"/>
          <w:sz w:val="22"/>
          <w:szCs w:val="22"/>
          <w:lang w:val="en-GB"/>
        </w:rPr>
        <w:t>identifies</w:t>
      </w:r>
      <w:r w:rsidRPr="3B366774" w:rsidR="77AE1605">
        <w:rPr>
          <w:rFonts w:ascii="Arial" w:hAnsi="Arial" w:eastAsia="Arial" w:cs="Arial"/>
          <w:noProof w:val="0"/>
          <w:sz w:val="22"/>
          <w:szCs w:val="22"/>
          <w:lang w:val="en-GB"/>
        </w:rPr>
        <w:t xml:space="preserve"> training and development as critical mechanisms for enhancing employee capability and organisational performance (Renaud et al., 2015; Tej et al., 2021). Within the aviation sector, competency-based training frameworks are widely implemented to ensure workforce readiness and </w:t>
      </w:r>
      <w:r w:rsidRPr="3B366774" w:rsidR="77AE1605">
        <w:rPr>
          <w:rFonts w:ascii="Arial" w:hAnsi="Arial" w:eastAsia="Arial" w:cs="Arial"/>
          <w:noProof w:val="0"/>
          <w:sz w:val="22"/>
          <w:szCs w:val="22"/>
          <w:lang w:val="en-GB"/>
        </w:rPr>
        <w:t>maintain</w:t>
      </w:r>
      <w:r w:rsidRPr="3B366774" w:rsidR="77AE1605">
        <w:rPr>
          <w:rFonts w:ascii="Arial" w:hAnsi="Arial" w:eastAsia="Arial" w:cs="Arial"/>
          <w:noProof w:val="0"/>
          <w:sz w:val="22"/>
          <w:szCs w:val="22"/>
          <w:lang w:val="en-GB"/>
        </w:rPr>
        <w:t xml:space="preserve"> operational standards (</w:t>
      </w:r>
      <w:r w:rsidRPr="3B366774" w:rsidR="70466BE5">
        <w:rPr>
          <w:rFonts w:ascii="Arial" w:hAnsi="Arial" w:eastAsia="Arial" w:cs="Arial"/>
          <w:noProof w:val="0"/>
          <w:sz w:val="22"/>
          <w:szCs w:val="22"/>
          <w:lang w:val="en-GB"/>
        </w:rPr>
        <w:t>Ziakkas, Michael and Pechlivanis,</w:t>
      </w:r>
      <w:r w:rsidRPr="3B366774" w:rsidR="77AE1605">
        <w:rPr>
          <w:rFonts w:ascii="Arial" w:hAnsi="Arial" w:eastAsia="Arial" w:cs="Arial"/>
          <w:noProof w:val="0"/>
          <w:sz w:val="22"/>
          <w:szCs w:val="22"/>
          <w:lang w:val="en-GB"/>
        </w:rPr>
        <w:t xml:space="preserve"> 2022), while mentoring programmes </w:t>
      </w:r>
      <w:r w:rsidRPr="3B366774" w:rsidR="77AE1605">
        <w:rPr>
          <w:rFonts w:ascii="Arial" w:hAnsi="Arial" w:eastAsia="Arial" w:cs="Arial"/>
          <w:noProof w:val="0"/>
          <w:sz w:val="22"/>
          <w:szCs w:val="22"/>
          <w:lang w:val="en-GB"/>
        </w:rPr>
        <w:t>facilitate</w:t>
      </w:r>
      <w:r w:rsidRPr="3B366774" w:rsidR="77AE1605">
        <w:rPr>
          <w:rFonts w:ascii="Arial" w:hAnsi="Arial" w:eastAsia="Arial" w:cs="Arial"/>
          <w:noProof w:val="0"/>
          <w:sz w:val="22"/>
          <w:szCs w:val="22"/>
          <w:lang w:val="en-GB"/>
        </w:rPr>
        <w:t xml:space="preserve"> improved knowledge transfer and employee engagement (Wikström et al., 2023). Despite these investments, the evidence suggests that training at easyJet is primarily used to sustain workforce supply and operational continuity, rather than to explicitly promote long-term retention. </w:t>
      </w:r>
    </w:p>
    <w:p w:rsidR="77AE1605" w:rsidP="3B366774" w:rsidRDefault="77AE1605" w14:paraId="0A6D8630" w14:textId="00ECC4F8">
      <w:pPr>
        <w:pStyle w:val="Normal"/>
        <w:bidi w:val="0"/>
        <w:spacing w:before="120" w:beforeAutospacing="off" w:after="120" w:afterAutospacing="off" w:line="360" w:lineRule="auto"/>
        <w:jc w:val="both"/>
      </w:pPr>
      <w:r w:rsidRPr="3B366774" w:rsidR="77AE1605">
        <w:rPr>
          <w:rFonts w:ascii="Arial" w:hAnsi="Arial" w:eastAsia="Arial" w:cs="Arial"/>
          <w:noProof w:val="0"/>
          <w:sz w:val="22"/>
          <w:szCs w:val="22"/>
          <w:lang w:val="en-GB"/>
        </w:rPr>
        <w:t>This pattern reflects a broader trend in the literature, where development initiatives are aligned with immediate organisational requirements rather than fostering employee attachment (</w:t>
      </w:r>
      <w:r w:rsidRPr="3B366774" w:rsidR="77AE1605">
        <w:rPr>
          <w:rFonts w:ascii="Arial" w:hAnsi="Arial" w:eastAsia="Arial" w:cs="Arial"/>
          <w:noProof w:val="0"/>
          <w:sz w:val="22"/>
          <w:szCs w:val="22"/>
          <w:lang w:val="en-GB"/>
        </w:rPr>
        <w:t>Gyensare</w:t>
      </w:r>
      <w:r w:rsidRPr="3B366774" w:rsidR="77AE1605">
        <w:rPr>
          <w:rFonts w:ascii="Arial" w:hAnsi="Arial" w:eastAsia="Arial" w:cs="Arial"/>
          <w:noProof w:val="0"/>
          <w:sz w:val="22"/>
          <w:szCs w:val="22"/>
          <w:lang w:val="en-GB"/>
        </w:rPr>
        <w:t xml:space="preserve"> et al., 2025). Additionally, in highly skilled and mobile labour markets such as aviation, training may inadvertently increase employees’ external employability, thereby elevating turnover risk (</w:t>
      </w:r>
      <w:r w:rsidRPr="3B366774" w:rsidR="77AE1605">
        <w:rPr>
          <w:rFonts w:ascii="Arial" w:hAnsi="Arial" w:eastAsia="Arial" w:cs="Arial"/>
          <w:noProof w:val="0"/>
          <w:sz w:val="22"/>
          <w:szCs w:val="22"/>
          <w:lang w:val="en-GB"/>
        </w:rPr>
        <w:t>Belderbos</w:t>
      </w:r>
      <w:r w:rsidRPr="3B366774" w:rsidR="77AE1605">
        <w:rPr>
          <w:rFonts w:ascii="Arial" w:hAnsi="Arial" w:eastAsia="Arial" w:cs="Arial"/>
          <w:noProof w:val="0"/>
          <w:sz w:val="22"/>
          <w:szCs w:val="22"/>
          <w:lang w:val="en-GB"/>
        </w:rPr>
        <w:t xml:space="preserve"> et al., 2025). This dynamic creates a structural tension, as practices intended to enhance capability may simultaneously undermine retention outcomes. Therefore, while easyJet’s training strategy supports short-term operational capability, its effectiveness as a retention mechanism is limited by both the low-cost airline model and broader labour market dynamics. This underscores the necessity of evaluating HRM practices within the wider strategic and industry context, a theme further examined in relation to organisational constraints (RQ3).</w:t>
      </w:r>
    </w:p>
    <w:p w:rsidR="46D1F1A9" w:rsidP="3B366774" w:rsidRDefault="46D1F1A9" w14:paraId="090D2C16" w14:textId="62A5C6AF">
      <w:pPr>
        <w:pStyle w:val="Heading2"/>
        <w:bidi w:val="0"/>
        <w:spacing w:line="360" w:lineRule="auto"/>
        <w:jc w:val="both"/>
        <w:rPr>
          <w:rFonts w:ascii="Arial" w:hAnsi="Arial" w:eastAsia="Arial" w:cs="Arial"/>
          <w:noProof w:val="0"/>
          <w:sz w:val="22"/>
          <w:szCs w:val="22"/>
          <w:lang w:val="en-GB"/>
        </w:rPr>
      </w:pPr>
      <w:bookmarkStart w:name="_Toc341585868" w:id="1294784597"/>
      <w:r w:rsidRPr="3B366774" w:rsidR="46D1F1A9">
        <w:rPr>
          <w:rFonts w:ascii="Arial" w:hAnsi="Arial" w:eastAsia="Arial" w:cs="Arial"/>
          <w:noProof w:val="0"/>
          <w:sz w:val="22"/>
          <w:szCs w:val="22"/>
          <w:lang w:val="en-GB"/>
        </w:rPr>
        <w:t>Retention and Turnover Trends</w:t>
      </w:r>
      <w:bookmarkEnd w:id="1294784597"/>
    </w:p>
    <w:p w:rsidR="17D76364" w:rsidP="3B366774" w:rsidRDefault="17D76364" w14:paraId="1C88A0E2" w14:textId="4F4427B7">
      <w:pPr>
        <w:bidi w:val="0"/>
        <w:spacing w:before="120" w:beforeAutospacing="off" w:after="120" w:afterAutospacing="off" w:line="360" w:lineRule="auto"/>
        <w:jc w:val="both"/>
      </w:pPr>
      <w:r w:rsidRPr="3B366774" w:rsidR="17D76364">
        <w:rPr>
          <w:rFonts w:ascii="Arial" w:hAnsi="Arial" w:eastAsia="Arial" w:cs="Arial"/>
          <w:noProof w:val="0"/>
          <w:sz w:val="22"/>
          <w:szCs w:val="22"/>
          <w:lang w:val="en-GB"/>
        </w:rPr>
        <w:t>Retention outcomes at easyJet result from the complex interplay between internal human resource management (HRM) practices and external labour market conditions, rather than being exclusively shaped by organisational strategies.</w:t>
      </w:r>
    </w:p>
    <w:p w:rsidR="17D76364" w:rsidP="3B366774" w:rsidRDefault="17D76364" w14:paraId="212B292B" w14:textId="3592B53F">
      <w:pPr>
        <w:bidi w:val="0"/>
        <w:spacing w:before="120" w:beforeAutospacing="off" w:after="120" w:afterAutospacing="off" w:line="360" w:lineRule="auto"/>
        <w:jc w:val="both"/>
      </w:pPr>
      <w:r w:rsidRPr="3B366774" w:rsidR="17D76364">
        <w:rPr>
          <w:rFonts w:ascii="Arial" w:hAnsi="Arial" w:eastAsia="Arial" w:cs="Arial"/>
          <w:noProof w:val="0"/>
          <w:sz w:val="22"/>
          <w:szCs w:val="22"/>
          <w:lang w:val="en-GB"/>
        </w:rPr>
        <w:t xml:space="preserve">Prior to the COVID-19 pandemic, pilot turnover rates at easyJet remained </w:t>
      </w:r>
      <w:r w:rsidRPr="3B366774" w:rsidR="17D76364">
        <w:rPr>
          <w:rFonts w:ascii="Arial" w:hAnsi="Arial" w:eastAsia="Arial" w:cs="Arial"/>
          <w:noProof w:val="0"/>
          <w:sz w:val="22"/>
          <w:szCs w:val="22"/>
          <w:lang w:val="en-GB"/>
        </w:rPr>
        <w:t>relatively stable</w:t>
      </w:r>
      <w:r w:rsidRPr="3B366774" w:rsidR="17D76364">
        <w:rPr>
          <w:rFonts w:ascii="Arial" w:hAnsi="Arial" w:eastAsia="Arial" w:cs="Arial"/>
          <w:noProof w:val="0"/>
          <w:sz w:val="22"/>
          <w:szCs w:val="22"/>
          <w:lang w:val="en-GB"/>
        </w:rPr>
        <w:t xml:space="preserve"> at </w:t>
      </w:r>
      <w:r w:rsidRPr="3B366774" w:rsidR="17D76364">
        <w:rPr>
          <w:rFonts w:ascii="Arial" w:hAnsi="Arial" w:eastAsia="Arial" w:cs="Arial"/>
          <w:noProof w:val="0"/>
          <w:sz w:val="22"/>
          <w:szCs w:val="22"/>
          <w:lang w:val="en-GB"/>
        </w:rPr>
        <w:t>approximately 5</w:t>
      </w:r>
      <w:r w:rsidRPr="3B366774" w:rsidR="17D76364">
        <w:rPr>
          <w:rFonts w:ascii="Arial" w:hAnsi="Arial" w:eastAsia="Arial" w:cs="Arial"/>
          <w:noProof w:val="0"/>
          <w:sz w:val="22"/>
          <w:szCs w:val="22"/>
          <w:lang w:val="en-GB"/>
        </w:rPr>
        <w:t xml:space="preserve">–7%, </w:t>
      </w:r>
      <w:r w:rsidRPr="3B366774" w:rsidR="17D76364">
        <w:rPr>
          <w:rFonts w:ascii="Arial" w:hAnsi="Arial" w:eastAsia="Arial" w:cs="Arial"/>
          <w:noProof w:val="0"/>
          <w:sz w:val="22"/>
          <w:szCs w:val="22"/>
          <w:lang w:val="en-GB"/>
        </w:rPr>
        <w:t>indicating</w:t>
      </w:r>
      <w:r w:rsidRPr="3B366774" w:rsidR="17D76364">
        <w:rPr>
          <w:rFonts w:ascii="Arial" w:hAnsi="Arial" w:eastAsia="Arial" w:cs="Arial"/>
          <w:noProof w:val="0"/>
          <w:sz w:val="22"/>
          <w:szCs w:val="22"/>
          <w:lang w:val="en-GB"/>
        </w:rPr>
        <w:t xml:space="preserve"> workforce stability within the organisation (easyJet plc, 2019). In contrast, recent data reveal a 163.9% increase in pilot hiring between September 2022 and September 2023, which reflects intensified attrition pressures and increased competition for skilled personnel (easyJet plc, 2023). These developments are consistent with broader industry trends, as global pilot shortages and greater labour mobility have </w:t>
      </w:r>
      <w:r w:rsidRPr="3B366774" w:rsidR="17D76364">
        <w:rPr>
          <w:rFonts w:ascii="Arial" w:hAnsi="Arial" w:eastAsia="Arial" w:cs="Arial"/>
          <w:noProof w:val="0"/>
          <w:sz w:val="22"/>
          <w:szCs w:val="22"/>
          <w:lang w:val="en-GB"/>
        </w:rPr>
        <w:t>substantially transformed</w:t>
      </w:r>
      <w:r w:rsidRPr="3B366774" w:rsidR="17D76364">
        <w:rPr>
          <w:rFonts w:ascii="Arial" w:hAnsi="Arial" w:eastAsia="Arial" w:cs="Arial"/>
          <w:noProof w:val="0"/>
          <w:sz w:val="22"/>
          <w:szCs w:val="22"/>
          <w:lang w:val="en-GB"/>
        </w:rPr>
        <w:t xml:space="preserve"> workforce dynamics (Leroux-Parra, 2019; </w:t>
      </w:r>
      <w:r w:rsidRPr="3B366774" w:rsidR="5FD02165">
        <w:rPr>
          <w:rFonts w:ascii="Arial" w:hAnsi="Arial" w:eastAsia="Arial" w:cs="Arial"/>
          <w:noProof w:val="0"/>
          <w:sz w:val="22"/>
          <w:szCs w:val="22"/>
          <w:lang w:val="en-GB"/>
        </w:rPr>
        <w:t>Klapper &amp; Ruff-Stahl</w:t>
      </w:r>
      <w:r w:rsidRPr="3B366774" w:rsidR="17D76364">
        <w:rPr>
          <w:rFonts w:ascii="Arial" w:hAnsi="Arial" w:eastAsia="Arial" w:cs="Arial"/>
          <w:noProof w:val="0"/>
          <w:sz w:val="22"/>
          <w:szCs w:val="22"/>
          <w:lang w:val="en-GB"/>
        </w:rPr>
        <w:t>, 2019).</w:t>
      </w:r>
    </w:p>
    <w:p w:rsidR="17D76364" w:rsidP="3B366774" w:rsidRDefault="17D76364" w14:paraId="2FB98E2D" w14:textId="5D689682">
      <w:pPr>
        <w:bidi w:val="0"/>
        <w:spacing w:before="120" w:beforeAutospacing="off" w:after="120" w:afterAutospacing="off" w:line="360" w:lineRule="auto"/>
        <w:jc w:val="both"/>
      </w:pPr>
      <w:r w:rsidRPr="3B366774" w:rsidR="17D76364">
        <w:rPr>
          <w:rFonts w:ascii="Arial" w:hAnsi="Arial" w:eastAsia="Arial" w:cs="Arial"/>
          <w:noProof w:val="0"/>
          <w:sz w:val="22"/>
          <w:szCs w:val="22"/>
          <w:lang w:val="en-GB"/>
        </w:rPr>
        <w:t>These findings indicate that retention is influenced not only by internal HRM practices but also by external labour market forces. In highly skilled sectors such as aviation, employees possess transferable qualifications and can pursue competitive opportunities across organisations and regions (Belderbos et al., 2025). As a result, even robust HRM strategies may have limited effectiveness when external demand is high. In response, easyJet’s adoption of predictive modelling to identify attrition drivers demonstrates a strategic, data-driven approach to workforce management, aligning with contemporary HRM practices that prioritise analytics in decision-making (Pahos and Galanaki, 2022).</w:t>
      </w:r>
    </w:p>
    <w:p w:rsidR="17D76364" w:rsidP="3B366774" w:rsidRDefault="17D76364" w14:paraId="1C38BD55" w14:textId="459CD92B">
      <w:pPr>
        <w:bidi w:val="0"/>
        <w:spacing w:before="120" w:beforeAutospacing="off" w:after="120" w:afterAutospacing="off" w:line="360" w:lineRule="auto"/>
        <w:jc w:val="both"/>
      </w:pPr>
      <w:r w:rsidRPr="3B366774" w:rsidR="17D76364">
        <w:rPr>
          <w:rFonts w:ascii="Arial" w:hAnsi="Arial" w:eastAsia="Arial" w:cs="Arial"/>
          <w:noProof w:val="0"/>
          <w:sz w:val="22"/>
          <w:szCs w:val="22"/>
          <w:lang w:val="en-GB"/>
        </w:rPr>
        <w:t>Collectively, this evidence supports the argument that retention in the low-cost airline sector is shaped by both organisational initiatives and structural labour-market constraints, underscoring the limitations of relying exclusively on internal HRM practices to achieve long-term workforce stability. The interaction between these factors is further examined in relation to the strategic constraints of the low-cost model (RQ3).</w:t>
      </w:r>
    </w:p>
    <w:p w:rsidR="46D1F1A9" w:rsidP="3B366774" w:rsidRDefault="46D1F1A9" w14:paraId="5FF6D437" w14:textId="40CE40AC">
      <w:pPr>
        <w:pStyle w:val="Heading2"/>
        <w:bidi w:val="0"/>
        <w:spacing w:line="360" w:lineRule="auto"/>
        <w:jc w:val="both"/>
        <w:rPr>
          <w:rFonts w:ascii="Arial" w:hAnsi="Arial" w:eastAsia="Arial" w:cs="Arial"/>
          <w:noProof w:val="0"/>
          <w:sz w:val="22"/>
          <w:szCs w:val="22"/>
          <w:lang w:val="en-GB"/>
        </w:rPr>
      </w:pPr>
      <w:bookmarkStart w:name="_Toc547758577" w:id="159233436"/>
      <w:r w:rsidRPr="3B366774" w:rsidR="46D1F1A9">
        <w:rPr>
          <w:rFonts w:ascii="Arial" w:hAnsi="Arial" w:eastAsia="Arial" w:cs="Arial"/>
          <w:noProof w:val="0"/>
          <w:sz w:val="22"/>
          <w:szCs w:val="22"/>
          <w:lang w:val="en-GB"/>
        </w:rPr>
        <w:t>Engagement and Employee Experience</w:t>
      </w:r>
      <w:bookmarkEnd w:id="159233436"/>
    </w:p>
    <w:p w:rsidR="7A3C02D3" w:rsidP="3B366774" w:rsidRDefault="7A3C02D3" w14:paraId="43A8DE79" w14:textId="7F1A0539">
      <w:pPr>
        <w:bidi w:val="0"/>
        <w:spacing w:before="120" w:beforeAutospacing="off" w:after="120" w:afterAutospacing="off" w:line="360" w:lineRule="auto"/>
        <w:jc w:val="both"/>
        <w:rPr>
          <w:rFonts w:ascii="Arial" w:hAnsi="Arial" w:eastAsia="Arial" w:cs="Arial"/>
          <w:noProof w:val="0"/>
          <w:sz w:val="22"/>
          <w:szCs w:val="22"/>
          <w:lang w:val="en-GB"/>
        </w:rPr>
      </w:pPr>
      <w:r w:rsidRPr="3B366774" w:rsidR="7A3C02D3">
        <w:rPr>
          <w:rFonts w:ascii="Arial" w:hAnsi="Arial" w:eastAsia="Arial" w:cs="Arial"/>
          <w:noProof w:val="0"/>
          <w:sz w:val="22"/>
          <w:szCs w:val="22"/>
          <w:lang w:val="en-GB"/>
        </w:rPr>
        <w:t xml:space="preserve">Employee engagement and experience at easyJet are reported as strong, yet these factors do not consistently result in sustained employee retention. Organisational disclosures and external sources </w:t>
      </w:r>
      <w:r w:rsidRPr="3B366774" w:rsidR="7A3C02D3">
        <w:rPr>
          <w:rFonts w:ascii="Arial" w:hAnsi="Arial" w:eastAsia="Arial" w:cs="Arial"/>
          <w:noProof w:val="0"/>
          <w:sz w:val="22"/>
          <w:szCs w:val="22"/>
          <w:lang w:val="en-GB"/>
        </w:rPr>
        <w:t>indicate</w:t>
      </w:r>
      <w:r w:rsidRPr="3B366774" w:rsidR="7A3C02D3">
        <w:rPr>
          <w:rFonts w:ascii="Arial" w:hAnsi="Arial" w:eastAsia="Arial" w:cs="Arial"/>
          <w:noProof w:val="0"/>
          <w:sz w:val="22"/>
          <w:szCs w:val="22"/>
          <w:lang w:val="en-GB"/>
        </w:rPr>
        <w:t xml:space="preserve"> </w:t>
      </w:r>
      <w:r w:rsidRPr="3B366774" w:rsidR="7A3C02D3">
        <w:rPr>
          <w:rFonts w:ascii="Arial" w:hAnsi="Arial" w:eastAsia="Arial" w:cs="Arial"/>
          <w:noProof w:val="0"/>
          <w:sz w:val="22"/>
          <w:szCs w:val="22"/>
          <w:lang w:val="en-GB"/>
        </w:rPr>
        <w:t>relatively high</w:t>
      </w:r>
      <w:r w:rsidRPr="3B366774" w:rsidR="7A3C02D3">
        <w:rPr>
          <w:rFonts w:ascii="Arial" w:hAnsi="Arial" w:eastAsia="Arial" w:cs="Arial"/>
          <w:noProof w:val="0"/>
          <w:sz w:val="22"/>
          <w:szCs w:val="22"/>
          <w:lang w:val="en-GB"/>
        </w:rPr>
        <w:t xml:space="preserve"> employee satisfaction, with engagement reflected in a 4.2 rating (Glassdoor, 2025; easyJet plc, 2025). This suggests that human resource manageme3333333nt (HRM) practices such as communication, development opportunities, and organisational support positively influence employee attitudes. This evidence is consistent with the extensive literature, which </w:t>
      </w:r>
      <w:r w:rsidRPr="3B366774" w:rsidR="7A3C02D3">
        <w:rPr>
          <w:rFonts w:ascii="Arial" w:hAnsi="Arial" w:eastAsia="Arial" w:cs="Arial"/>
          <w:noProof w:val="0"/>
          <w:sz w:val="22"/>
          <w:szCs w:val="22"/>
          <w:lang w:val="en-GB"/>
        </w:rPr>
        <w:t>identifies</w:t>
      </w:r>
      <w:r w:rsidRPr="3B366774" w:rsidR="7A3C02D3">
        <w:rPr>
          <w:rFonts w:ascii="Arial" w:hAnsi="Arial" w:eastAsia="Arial" w:cs="Arial"/>
          <w:noProof w:val="0"/>
          <w:sz w:val="22"/>
          <w:szCs w:val="22"/>
          <w:lang w:val="en-GB"/>
        </w:rPr>
        <w:t xml:space="preserve"> engagement as a key outcome of effective HRM systems and a driver of job satisfaction and commitment (Guest, 2017; Memon et al., 2021). </w:t>
      </w:r>
    </w:p>
    <w:p w:rsidR="7A3C02D3" w:rsidP="3B366774" w:rsidRDefault="7A3C02D3" w14:paraId="1E65479F" w14:textId="0A2CD1FF">
      <w:pPr>
        <w:pStyle w:val="Normal"/>
        <w:bidi w:val="0"/>
        <w:spacing w:before="120" w:beforeAutospacing="off" w:after="120" w:afterAutospacing="off" w:line="360" w:lineRule="auto"/>
        <w:jc w:val="both"/>
      </w:pPr>
      <w:r w:rsidRPr="3B366774" w:rsidR="7A3C02D3">
        <w:rPr>
          <w:rFonts w:ascii="Arial" w:hAnsi="Arial" w:eastAsia="Arial" w:cs="Arial"/>
          <w:noProof w:val="0"/>
          <w:sz w:val="22"/>
          <w:szCs w:val="22"/>
          <w:lang w:val="en-GB"/>
        </w:rPr>
        <w:t xml:space="preserve">Nevertheless, ongoing turnover pressures throughout easyJet and the wider aviation sector </w:t>
      </w:r>
      <w:r w:rsidRPr="3B366774" w:rsidR="7A3C02D3">
        <w:rPr>
          <w:rFonts w:ascii="Arial" w:hAnsi="Arial" w:eastAsia="Arial" w:cs="Arial"/>
          <w:noProof w:val="0"/>
          <w:sz w:val="22"/>
          <w:szCs w:val="22"/>
          <w:lang w:val="en-GB"/>
        </w:rPr>
        <w:t>demonstrate</w:t>
      </w:r>
      <w:r w:rsidRPr="3B366774" w:rsidR="7A3C02D3">
        <w:rPr>
          <w:rFonts w:ascii="Arial" w:hAnsi="Arial" w:eastAsia="Arial" w:cs="Arial"/>
          <w:noProof w:val="0"/>
          <w:sz w:val="22"/>
          <w:szCs w:val="22"/>
          <w:lang w:val="en-GB"/>
        </w:rPr>
        <w:t xml:space="preserve"> that engagement does not always lead to long-term retention. This observation supports research that distinguishes between engagement and retention, particularly in highly mobile and skill-scarce labour markets, where employees may remain satisfied but still seek external opportunities (</w:t>
      </w:r>
      <w:r w:rsidRPr="3B366774" w:rsidR="7A3C02D3">
        <w:rPr>
          <w:rFonts w:ascii="Arial" w:hAnsi="Arial" w:eastAsia="Arial" w:cs="Arial"/>
          <w:noProof w:val="0"/>
          <w:sz w:val="22"/>
          <w:szCs w:val="22"/>
          <w:lang w:val="en-GB"/>
        </w:rPr>
        <w:t>Muofhe</w:t>
      </w:r>
      <w:r w:rsidRPr="3B366774" w:rsidR="7A3C02D3">
        <w:rPr>
          <w:rFonts w:ascii="Arial" w:hAnsi="Arial" w:eastAsia="Arial" w:cs="Arial"/>
          <w:noProof w:val="0"/>
          <w:sz w:val="22"/>
          <w:szCs w:val="22"/>
          <w:lang w:val="en-GB"/>
        </w:rPr>
        <w:t xml:space="preserve">, 2021; </w:t>
      </w:r>
      <w:r w:rsidRPr="3B366774" w:rsidR="7A3C02D3">
        <w:rPr>
          <w:rFonts w:ascii="Arial" w:hAnsi="Arial" w:eastAsia="Arial" w:cs="Arial"/>
          <w:noProof w:val="0"/>
          <w:sz w:val="22"/>
          <w:szCs w:val="22"/>
          <w:lang w:val="en-GB"/>
        </w:rPr>
        <w:t>Belderbos</w:t>
      </w:r>
      <w:r w:rsidRPr="3B366774" w:rsidR="7A3C02D3">
        <w:rPr>
          <w:rFonts w:ascii="Arial" w:hAnsi="Arial" w:eastAsia="Arial" w:cs="Arial"/>
          <w:noProof w:val="0"/>
          <w:sz w:val="22"/>
          <w:szCs w:val="22"/>
          <w:lang w:val="en-GB"/>
        </w:rPr>
        <w:t xml:space="preserve"> et al., 2025). Therefore, the easyJet case illustrates a significant disconnect between attitudinal indicators of engagement and actual employee retention, stressing the importance of evaluating HRM effectiveness in relation to both internal satisfaction metrics and external labour market conditions.</w:t>
      </w:r>
    </w:p>
    <w:p w:rsidR="46D1F1A9" w:rsidP="3B366774" w:rsidRDefault="46D1F1A9" w14:paraId="25FA9A99" w14:textId="43B41833">
      <w:pPr>
        <w:pStyle w:val="Heading3"/>
        <w:bidi w:val="0"/>
        <w:spacing w:line="360" w:lineRule="auto"/>
        <w:jc w:val="both"/>
        <w:rPr>
          <w:rFonts w:ascii="Arial" w:hAnsi="Arial" w:eastAsia="Arial" w:cs="Arial"/>
          <w:noProof w:val="0"/>
          <w:sz w:val="22"/>
          <w:szCs w:val="22"/>
          <w:lang w:val="en-GB"/>
        </w:rPr>
      </w:pPr>
      <w:bookmarkStart w:name="_Toc473409146" w:id="420856051"/>
      <w:r w:rsidRPr="3B366774" w:rsidR="46D1F1A9">
        <w:rPr>
          <w:rFonts w:ascii="Arial" w:hAnsi="Arial" w:eastAsia="Arial" w:cs="Arial"/>
          <w:noProof w:val="0"/>
          <w:sz w:val="22"/>
          <w:szCs w:val="22"/>
          <w:lang w:val="en-GB"/>
        </w:rPr>
        <w:t>Summary of RQ2</w:t>
      </w:r>
      <w:bookmarkEnd w:id="420856051"/>
    </w:p>
    <w:p w:rsidR="46D1F1A9" w:rsidP="3B366774" w:rsidRDefault="46D1F1A9" w14:paraId="70D25D09" w14:textId="2650466B">
      <w:pPr>
        <w:bidi w:val="0"/>
        <w:spacing w:before="120" w:beforeAutospacing="off" w:after="120" w:afterAutospacing="off" w:line="360" w:lineRule="auto"/>
        <w:jc w:val="both"/>
        <w:rPr>
          <w:rFonts w:ascii="Arial" w:hAnsi="Arial" w:eastAsia="Arial" w:cs="Arial"/>
          <w:noProof w:val="0"/>
          <w:sz w:val="22"/>
          <w:szCs w:val="22"/>
          <w:lang w:val="en-GB"/>
        </w:rPr>
      </w:pPr>
      <w:r w:rsidRPr="3B366774" w:rsidR="46D1F1A9">
        <w:rPr>
          <w:rFonts w:ascii="Arial" w:hAnsi="Arial" w:eastAsia="Arial" w:cs="Arial"/>
          <w:noProof w:val="0"/>
          <w:sz w:val="22"/>
          <w:szCs w:val="22"/>
          <w:lang w:val="en-GB"/>
        </w:rPr>
        <w:t>The findings show that although easyJet implements HRM practices broadly compatible with theoretical best practices, their impact on retention is significantly moderated—if not overwhelmed—by external factors and prevailing labour market conditions. This reality problematises the notion that internal HRM reform alone can deliver substantive improvements in retention, highlighting the organisational limitations imposed by the business model and the wider industry context.</w:t>
      </w:r>
    </w:p>
    <w:p w:rsidR="68027885" w:rsidP="3B366774" w:rsidRDefault="68027885" w14:paraId="1B478946" w14:textId="67485642">
      <w:pPr>
        <w:bidi w:val="0"/>
        <w:spacing w:before="120" w:beforeAutospacing="off" w:after="120" w:afterAutospacing="off" w:line="360" w:lineRule="auto"/>
        <w:jc w:val="both"/>
        <w:rPr>
          <w:rFonts w:ascii="Arial" w:hAnsi="Arial" w:eastAsia="Arial" w:cs="Arial"/>
          <w:sz w:val="22"/>
          <w:szCs w:val="22"/>
        </w:rPr>
      </w:pPr>
      <w:r w:rsidRPr="3B366774" w:rsidR="68027885">
        <w:rPr>
          <w:rFonts w:ascii="Arial" w:hAnsi="Arial" w:eastAsia="Arial" w:cs="Arial"/>
          <w:sz w:val="22"/>
          <w:szCs w:val="22"/>
        </w:rPr>
        <w:t>RQ3</w:t>
      </w:r>
    </w:p>
    <w:p w:rsidR="46D1F1A9" w:rsidP="3B366774" w:rsidRDefault="46D1F1A9" w14:paraId="738A7C5B" w14:textId="447FA8EC">
      <w:pPr>
        <w:bidi w:val="0"/>
        <w:spacing w:before="120" w:beforeAutospacing="off" w:after="120" w:afterAutospacing="off" w:line="360" w:lineRule="auto"/>
        <w:jc w:val="both"/>
        <w:rPr>
          <w:rFonts w:ascii="Arial" w:hAnsi="Arial" w:eastAsia="Arial" w:cs="Arial"/>
          <w:noProof w:val="0"/>
          <w:sz w:val="22"/>
          <w:szCs w:val="22"/>
          <w:lang w:val="en-GB"/>
        </w:rPr>
      </w:pPr>
      <w:r w:rsidRPr="3B366774" w:rsidR="46D1F1A9">
        <w:rPr>
          <w:rFonts w:ascii="Arial" w:hAnsi="Arial" w:eastAsia="Arial" w:cs="Arial"/>
          <w:noProof w:val="0"/>
          <w:sz w:val="22"/>
          <w:szCs w:val="22"/>
          <w:lang w:val="en-GB"/>
        </w:rPr>
        <w:t>Building on easyJet's practices, RQ3 explores the organisational constraints that affect the effectiveness of HRM strategies, starting with cost efficiency.</w:t>
      </w:r>
    </w:p>
    <w:p w:rsidR="46D1F1A9" w:rsidP="3B366774" w:rsidRDefault="46D1F1A9" w14:paraId="73AB0CA4" w14:textId="6CAD772E">
      <w:pPr>
        <w:bidi w:val="0"/>
        <w:spacing w:before="120" w:beforeAutospacing="off" w:after="120" w:afterAutospacing="off" w:line="360" w:lineRule="auto"/>
        <w:jc w:val="both"/>
        <w:rPr>
          <w:rFonts w:ascii="Arial" w:hAnsi="Arial" w:eastAsia="Arial" w:cs="Arial"/>
          <w:noProof w:val="0"/>
          <w:sz w:val="22"/>
          <w:szCs w:val="22"/>
          <w:lang w:val="en-GB"/>
        </w:rPr>
      </w:pPr>
      <w:r w:rsidRPr="3B366774" w:rsidR="46D1F1A9">
        <w:rPr>
          <w:rFonts w:ascii="Arial" w:hAnsi="Arial" w:eastAsia="Arial" w:cs="Arial"/>
          <w:noProof w:val="0"/>
          <w:sz w:val="22"/>
          <w:szCs w:val="22"/>
          <w:lang w:val="en-GB"/>
        </w:rPr>
        <w:t>The low-cost airline model prioritises cost efficiency and operational productivity (Harvey and Turnbull, 2012), thereby constraining the scope of HRM practices, especially in compensation and workforce investment.</w:t>
      </w:r>
      <w:r w:rsidRPr="3B366774" w:rsidR="11298F0D">
        <w:rPr>
          <w:rFonts w:ascii="Arial" w:hAnsi="Arial" w:eastAsia="Arial" w:cs="Arial"/>
          <w:noProof w:val="0"/>
          <w:sz w:val="22"/>
          <w:szCs w:val="22"/>
          <w:lang w:val="en-GB"/>
        </w:rPr>
        <w:t xml:space="preserve"> Yaşar Dinçer &amp; </w:t>
      </w:r>
      <w:r w:rsidRPr="3B366774" w:rsidR="11298F0D">
        <w:rPr>
          <w:rFonts w:ascii="Arial" w:hAnsi="Arial" w:eastAsia="Arial" w:cs="Arial"/>
          <w:noProof w:val="0"/>
          <w:sz w:val="22"/>
          <w:szCs w:val="22"/>
          <w:lang w:val="en-GB"/>
        </w:rPr>
        <w:t>Yirmibeşoğlu</w:t>
      </w:r>
      <w:r w:rsidRPr="3B366774" w:rsidR="11298F0D">
        <w:rPr>
          <w:rFonts w:ascii="Arial" w:hAnsi="Arial" w:eastAsia="Arial" w:cs="Arial"/>
          <w:noProof w:val="0"/>
          <w:sz w:val="22"/>
          <w:szCs w:val="22"/>
          <w:lang w:val="en-GB"/>
        </w:rPr>
        <w:t>, (2024) identify significant barriers of women joining the pilot proffession</w:t>
      </w:r>
    </w:p>
    <w:p w:rsidR="3B366774" w:rsidP="3B366774" w:rsidRDefault="3B366774" w14:paraId="259DDAD6" w14:textId="32711F8D">
      <w:pPr>
        <w:bidi w:val="0"/>
        <w:spacing w:before="120" w:beforeAutospacing="off" w:after="120" w:afterAutospacing="off" w:line="360" w:lineRule="auto"/>
        <w:jc w:val="both"/>
        <w:rPr>
          <w:rFonts w:ascii="Arial" w:hAnsi="Arial" w:eastAsia="Arial" w:cs="Arial"/>
          <w:sz w:val="22"/>
          <w:szCs w:val="22"/>
        </w:rPr>
      </w:pPr>
    </w:p>
    <w:p w:rsidR="46D1F1A9" w:rsidP="3B366774" w:rsidRDefault="46D1F1A9" w14:paraId="662BF559" w14:textId="14832B55">
      <w:pPr>
        <w:pStyle w:val="Heading2"/>
        <w:bidi w:val="0"/>
        <w:spacing w:line="360" w:lineRule="auto"/>
        <w:jc w:val="both"/>
        <w:rPr>
          <w:rFonts w:ascii="Arial" w:hAnsi="Arial" w:eastAsia="Arial" w:cs="Arial"/>
          <w:noProof w:val="0"/>
          <w:sz w:val="22"/>
          <w:szCs w:val="22"/>
          <w:lang w:val="en-GB"/>
        </w:rPr>
      </w:pPr>
      <w:bookmarkStart w:name="_Toc568613418" w:id="2088867817"/>
      <w:r w:rsidRPr="3B366774" w:rsidR="46D1F1A9">
        <w:rPr>
          <w:rFonts w:ascii="Arial" w:hAnsi="Arial" w:eastAsia="Arial" w:cs="Arial"/>
          <w:noProof w:val="0"/>
          <w:sz w:val="22"/>
          <w:szCs w:val="22"/>
          <w:lang w:val="en-GB"/>
        </w:rPr>
        <w:t>Working Conditions and Practical Demands</w:t>
      </w:r>
      <w:bookmarkEnd w:id="2088867817"/>
    </w:p>
    <w:p w:rsidR="46D1F1A9" w:rsidP="3B366774" w:rsidRDefault="46D1F1A9" w14:paraId="262B4C32" w14:textId="5AF6F92A">
      <w:pPr>
        <w:bidi w:val="0"/>
        <w:spacing w:before="120" w:beforeAutospacing="off" w:after="120" w:afterAutospacing="off" w:line="360" w:lineRule="auto"/>
        <w:jc w:val="both"/>
        <w:rPr>
          <w:rFonts w:ascii="Arial" w:hAnsi="Arial" w:eastAsia="Arial" w:cs="Arial"/>
          <w:noProof w:val="0"/>
          <w:sz w:val="22"/>
          <w:szCs w:val="22"/>
          <w:lang w:val="en-GB"/>
        </w:rPr>
      </w:pPr>
      <w:r w:rsidRPr="3B366774" w:rsidR="46D1F1A9">
        <w:rPr>
          <w:rFonts w:ascii="Arial" w:hAnsi="Arial" w:eastAsia="Arial" w:cs="Arial"/>
          <w:noProof w:val="0"/>
          <w:sz w:val="22"/>
          <w:szCs w:val="22"/>
          <w:lang w:val="en-GB"/>
        </w:rPr>
        <w:t xml:space="preserve">Pilot working conditions, such as workload intensity, unsociable hours, and unpredictable scheduling demands, are identified as central factors influencing retention (Jackson and Earl, 2006). These practical realities can </w:t>
      </w:r>
      <w:r w:rsidRPr="3B366774" w:rsidR="4EBD62E4">
        <w:rPr>
          <w:rFonts w:ascii="Arial" w:hAnsi="Arial" w:eastAsia="Arial" w:cs="Arial"/>
          <w:noProof w:val="0"/>
          <w:sz w:val="22"/>
          <w:szCs w:val="22"/>
          <w:lang w:val="en-GB"/>
        </w:rPr>
        <w:t>counteract</w:t>
      </w:r>
      <w:r w:rsidRPr="3B366774" w:rsidR="46D1F1A9">
        <w:rPr>
          <w:rFonts w:ascii="Arial" w:hAnsi="Arial" w:eastAsia="Arial" w:cs="Arial"/>
          <w:noProof w:val="0"/>
          <w:sz w:val="22"/>
          <w:szCs w:val="22"/>
          <w:lang w:val="en-GB"/>
        </w:rPr>
        <w:t xml:space="preserve"> the positive effects of HRM practices, as even the most well-designed engagement or development initiatives may be undermined by day-to-day operational pressures. This highlights a structural limitation: improvements in HRM are often </w:t>
      </w:r>
      <w:r w:rsidRPr="3B366774" w:rsidR="46D1F1A9">
        <w:rPr>
          <w:rFonts w:ascii="Arial" w:hAnsi="Arial" w:eastAsia="Arial" w:cs="Arial"/>
          <w:noProof w:val="0"/>
          <w:sz w:val="22"/>
          <w:szCs w:val="22"/>
          <w:lang w:val="en-GB"/>
        </w:rPr>
        <w:t>rendered</w:t>
      </w:r>
      <w:r w:rsidRPr="3B366774" w:rsidR="46D1F1A9">
        <w:rPr>
          <w:rFonts w:ascii="Arial" w:hAnsi="Arial" w:eastAsia="Arial" w:cs="Arial"/>
          <w:noProof w:val="0"/>
          <w:sz w:val="22"/>
          <w:szCs w:val="22"/>
          <w:lang w:val="en-GB"/>
        </w:rPr>
        <w:t xml:space="preserve"> ineffective unless accompanied by substantive changes to working conditions—an area where cost-driven models like easyJet face </w:t>
      </w:r>
      <w:r w:rsidRPr="3B366774" w:rsidR="233E7FB4">
        <w:rPr>
          <w:rFonts w:ascii="Arial" w:hAnsi="Arial" w:eastAsia="Arial" w:cs="Arial"/>
          <w:noProof w:val="0"/>
          <w:sz w:val="22"/>
          <w:szCs w:val="22"/>
          <w:lang w:val="en-GB"/>
        </w:rPr>
        <w:t>challenges</w:t>
      </w:r>
      <w:r w:rsidRPr="3B366774" w:rsidR="46D1F1A9">
        <w:rPr>
          <w:rFonts w:ascii="Arial" w:hAnsi="Arial" w:eastAsia="Arial" w:cs="Arial"/>
          <w:noProof w:val="0"/>
          <w:sz w:val="22"/>
          <w:szCs w:val="22"/>
          <w:lang w:val="en-GB"/>
        </w:rPr>
        <w:t>.</w:t>
      </w:r>
    </w:p>
    <w:p w:rsidR="46D1F1A9" w:rsidP="3B366774" w:rsidRDefault="46D1F1A9" w14:paraId="0434F756" w14:textId="59413540">
      <w:pPr>
        <w:pStyle w:val="Heading3"/>
        <w:bidi w:val="0"/>
        <w:spacing w:line="360" w:lineRule="auto"/>
        <w:jc w:val="both"/>
        <w:rPr>
          <w:rFonts w:ascii="Arial" w:hAnsi="Arial" w:eastAsia="Arial" w:cs="Arial"/>
          <w:noProof w:val="0"/>
          <w:sz w:val="22"/>
          <w:szCs w:val="22"/>
          <w:lang w:val="en-GB"/>
        </w:rPr>
      </w:pPr>
      <w:bookmarkStart w:name="_Toc919553606" w:id="672244581"/>
      <w:r w:rsidRPr="3B366774" w:rsidR="46D1F1A9">
        <w:rPr>
          <w:rFonts w:ascii="Arial" w:hAnsi="Arial" w:eastAsia="Arial" w:cs="Arial"/>
          <w:noProof w:val="0"/>
          <w:sz w:val="22"/>
          <w:szCs w:val="22"/>
          <w:lang w:val="en-GB"/>
        </w:rPr>
        <w:t>Summary of RQ3</w:t>
      </w:r>
      <w:bookmarkEnd w:id="672244581"/>
    </w:p>
    <w:p w:rsidR="46D1F1A9" w:rsidP="3B366774" w:rsidRDefault="46D1F1A9" w14:paraId="551CC6A2" w14:textId="4212FCAE">
      <w:pPr>
        <w:bidi w:val="0"/>
        <w:spacing w:before="120" w:beforeAutospacing="off" w:after="120" w:afterAutospacing="off" w:line="360" w:lineRule="auto"/>
        <w:jc w:val="both"/>
        <w:rPr>
          <w:rFonts w:ascii="Arial" w:hAnsi="Arial" w:eastAsia="Arial" w:cs="Arial"/>
          <w:noProof w:val="0"/>
          <w:sz w:val="22"/>
          <w:szCs w:val="22"/>
          <w:lang w:val="en-GB"/>
        </w:rPr>
      </w:pPr>
      <w:r w:rsidRPr="3B366774" w:rsidR="46D1F1A9">
        <w:rPr>
          <w:rFonts w:ascii="Arial" w:hAnsi="Arial" w:eastAsia="Arial" w:cs="Arial"/>
          <w:noProof w:val="0"/>
          <w:sz w:val="22"/>
          <w:szCs w:val="22"/>
          <w:lang w:val="en-GB"/>
        </w:rPr>
        <w:t>The main takeaway is that strict organisational constraints—arising from the pursuit of cost efficiency and operational productivity—</w:t>
      </w:r>
      <w:r w:rsidRPr="3B366774" w:rsidR="46D1F1A9">
        <w:rPr>
          <w:rFonts w:ascii="Arial" w:hAnsi="Arial" w:eastAsia="Arial" w:cs="Arial"/>
          <w:noProof w:val="0"/>
          <w:sz w:val="22"/>
          <w:szCs w:val="22"/>
          <w:lang w:val="en-GB"/>
        </w:rPr>
        <w:t>substantially restrict</w:t>
      </w:r>
      <w:r w:rsidRPr="3B366774" w:rsidR="46D1F1A9">
        <w:rPr>
          <w:rFonts w:ascii="Arial" w:hAnsi="Arial" w:eastAsia="Arial" w:cs="Arial"/>
          <w:noProof w:val="0"/>
          <w:sz w:val="22"/>
          <w:szCs w:val="22"/>
          <w:lang w:val="en-GB"/>
        </w:rPr>
        <w:t xml:space="preserve"> how much HRM practices can address pilot retention. This suggests the need for greater, more systemic strategies that move beyond HRM in isolation and engage with the structural realities of the business model. Without such a shift, efforts to improve retention are likely to remain incremental and </w:t>
      </w:r>
      <w:r w:rsidRPr="3B366774" w:rsidR="46D1F1A9">
        <w:rPr>
          <w:rFonts w:ascii="Arial" w:hAnsi="Arial" w:eastAsia="Arial" w:cs="Arial"/>
          <w:noProof w:val="0"/>
          <w:sz w:val="22"/>
          <w:szCs w:val="22"/>
          <w:lang w:val="en-GB"/>
        </w:rPr>
        <w:t>ultimately insufficient</w:t>
      </w:r>
      <w:r w:rsidRPr="3B366774" w:rsidR="46D1F1A9">
        <w:rPr>
          <w:rFonts w:ascii="Arial" w:hAnsi="Arial" w:eastAsia="Arial" w:cs="Arial"/>
          <w:noProof w:val="0"/>
          <w:sz w:val="22"/>
          <w:szCs w:val="22"/>
          <w:lang w:val="en-GB"/>
        </w:rPr>
        <w:t>.</w:t>
      </w:r>
    </w:p>
    <w:p w:rsidR="46D1F1A9" w:rsidP="3B366774" w:rsidRDefault="46D1F1A9" w14:paraId="1F8870FF" w14:textId="23CE8CF8">
      <w:pPr>
        <w:pStyle w:val="Heading1"/>
        <w:bidi w:val="0"/>
        <w:spacing w:line="360" w:lineRule="auto"/>
        <w:jc w:val="both"/>
        <w:rPr>
          <w:rFonts w:ascii="Arial" w:hAnsi="Arial" w:eastAsia="Arial" w:cs="Arial"/>
          <w:noProof w:val="0"/>
          <w:sz w:val="22"/>
          <w:szCs w:val="22"/>
          <w:lang w:val="en-GB"/>
        </w:rPr>
      </w:pPr>
      <w:bookmarkStart w:name="_Toc186618996" w:id="505171127"/>
      <w:r w:rsidRPr="3B366774" w:rsidR="46D1F1A9">
        <w:rPr>
          <w:rFonts w:ascii="Arial" w:hAnsi="Arial" w:eastAsia="Arial" w:cs="Arial"/>
          <w:noProof w:val="0"/>
          <w:sz w:val="22"/>
          <w:szCs w:val="22"/>
          <w:lang w:val="en-GB"/>
        </w:rPr>
        <w:t>External Labour Market Restrictions</w:t>
      </w:r>
      <w:bookmarkEnd w:id="505171127"/>
    </w:p>
    <w:p w:rsidR="46D1F1A9" w:rsidP="3B366774" w:rsidRDefault="46D1F1A9" w14:paraId="37D9600B" w14:textId="21BD17C3">
      <w:pPr>
        <w:pStyle w:val="Heading2"/>
        <w:bidi w:val="0"/>
        <w:spacing w:line="360" w:lineRule="auto"/>
        <w:jc w:val="both"/>
        <w:rPr>
          <w:rFonts w:ascii="Arial" w:hAnsi="Arial" w:eastAsia="Arial" w:cs="Arial"/>
          <w:noProof w:val="0"/>
          <w:sz w:val="22"/>
          <w:szCs w:val="22"/>
          <w:lang w:val="en-GB"/>
        </w:rPr>
      </w:pPr>
      <w:bookmarkStart w:name="_Toc276702715" w:id="578119776"/>
      <w:r w:rsidRPr="3B366774" w:rsidR="46D1F1A9">
        <w:rPr>
          <w:rFonts w:ascii="Arial" w:hAnsi="Arial" w:eastAsia="Arial" w:cs="Arial"/>
          <w:noProof w:val="0"/>
          <w:sz w:val="22"/>
          <w:szCs w:val="22"/>
          <w:lang w:val="en-GB"/>
        </w:rPr>
        <w:t>Pilot Shortage and Labour Market Competition</w:t>
      </w:r>
      <w:bookmarkEnd w:id="578119776"/>
    </w:p>
    <w:p w:rsidR="46D1F1A9" w:rsidP="3B366774" w:rsidRDefault="46D1F1A9" w14:paraId="37E59E4C" w14:textId="4EA8C1E5">
      <w:pPr>
        <w:bidi w:val="0"/>
        <w:spacing w:before="120" w:beforeAutospacing="off" w:after="120" w:afterAutospacing="off" w:line="360" w:lineRule="auto"/>
        <w:jc w:val="both"/>
        <w:rPr>
          <w:rFonts w:ascii="Arial" w:hAnsi="Arial" w:eastAsia="Arial" w:cs="Arial"/>
          <w:noProof w:val="0"/>
          <w:sz w:val="22"/>
          <w:szCs w:val="22"/>
          <w:lang w:val="en-GB"/>
        </w:rPr>
      </w:pPr>
      <w:r w:rsidRPr="3B366774" w:rsidR="46D1F1A9">
        <w:rPr>
          <w:rFonts w:ascii="Arial" w:hAnsi="Arial" w:eastAsia="Arial" w:cs="Arial"/>
          <w:noProof w:val="0"/>
          <w:sz w:val="22"/>
          <w:szCs w:val="22"/>
          <w:lang w:val="en-GB"/>
        </w:rPr>
        <w:t xml:space="preserve">The literature </w:t>
      </w:r>
      <w:r w:rsidRPr="3B366774" w:rsidR="46D1F1A9">
        <w:rPr>
          <w:rFonts w:ascii="Arial" w:hAnsi="Arial" w:eastAsia="Arial" w:cs="Arial"/>
          <w:noProof w:val="0"/>
          <w:sz w:val="22"/>
          <w:szCs w:val="22"/>
          <w:lang w:val="en-GB"/>
        </w:rPr>
        <w:t>identifies</w:t>
      </w:r>
      <w:r w:rsidRPr="3B366774" w:rsidR="46D1F1A9">
        <w:rPr>
          <w:rFonts w:ascii="Arial" w:hAnsi="Arial" w:eastAsia="Arial" w:cs="Arial"/>
          <w:noProof w:val="0"/>
          <w:sz w:val="22"/>
          <w:szCs w:val="22"/>
          <w:lang w:val="en-GB"/>
        </w:rPr>
        <w:t xml:space="preserve"> a global shortage of pilots, resulting from increasing demand, high training costs, and regulatory barriers (Caraway, 2020; </w:t>
      </w:r>
      <w:r w:rsidRPr="3B366774" w:rsidR="5FD02165">
        <w:rPr>
          <w:rFonts w:ascii="Arial" w:hAnsi="Arial" w:eastAsia="Arial" w:cs="Arial"/>
          <w:noProof w:val="0"/>
          <w:sz w:val="22"/>
          <w:szCs w:val="22"/>
          <w:lang w:val="en-GB"/>
        </w:rPr>
        <w:t>Klapper &amp; Ruff-Stahl</w:t>
      </w:r>
      <w:r w:rsidRPr="3B366774" w:rsidR="46D1F1A9">
        <w:rPr>
          <w:rFonts w:ascii="Arial" w:hAnsi="Arial" w:eastAsia="Arial" w:cs="Arial"/>
          <w:noProof w:val="0"/>
          <w:sz w:val="22"/>
          <w:szCs w:val="22"/>
          <w:lang w:val="en-GB"/>
        </w:rPr>
        <w:t>, 2019).</w:t>
      </w:r>
    </w:p>
    <w:p w:rsidR="3B366774" w:rsidP="3B366774" w:rsidRDefault="3B366774" w14:paraId="675DC55A" w14:textId="16037E11">
      <w:pPr>
        <w:bidi w:val="0"/>
        <w:spacing w:before="120" w:beforeAutospacing="off" w:after="120" w:afterAutospacing="off" w:line="360" w:lineRule="auto"/>
        <w:jc w:val="both"/>
        <w:rPr>
          <w:rFonts w:ascii="Arial" w:hAnsi="Arial" w:eastAsia="Arial" w:cs="Arial"/>
          <w:sz w:val="22"/>
          <w:szCs w:val="22"/>
        </w:rPr>
      </w:pPr>
    </w:p>
    <w:p w:rsidR="46D1F1A9" w:rsidP="3B366774" w:rsidRDefault="46D1F1A9" w14:paraId="54969FDA" w14:textId="0A82DE96">
      <w:pPr>
        <w:pStyle w:val="Heading3"/>
        <w:bidi w:val="0"/>
        <w:spacing w:line="360" w:lineRule="auto"/>
        <w:jc w:val="both"/>
        <w:rPr>
          <w:rFonts w:ascii="Arial" w:hAnsi="Arial" w:eastAsia="Arial" w:cs="Arial"/>
          <w:noProof w:val="0"/>
          <w:sz w:val="22"/>
          <w:szCs w:val="22"/>
          <w:lang w:val="en-GB"/>
        </w:rPr>
      </w:pPr>
      <w:bookmarkStart w:name="_Toc239650807" w:id="1957377839"/>
      <w:r w:rsidRPr="3B366774" w:rsidR="46D1F1A9">
        <w:rPr>
          <w:rFonts w:ascii="Arial" w:hAnsi="Arial" w:eastAsia="Arial" w:cs="Arial"/>
          <w:noProof w:val="0"/>
          <w:sz w:val="22"/>
          <w:szCs w:val="22"/>
          <w:lang w:val="en-GB"/>
        </w:rPr>
        <w:t>Labour Mobility and Career Opportunities</w:t>
      </w:r>
      <w:bookmarkEnd w:id="1957377839"/>
    </w:p>
    <w:p w:rsidR="46D1F1A9" w:rsidP="3B366774" w:rsidRDefault="46D1F1A9" w14:paraId="464BC676" w14:textId="6305928B">
      <w:pPr>
        <w:bidi w:val="0"/>
        <w:spacing w:before="120" w:beforeAutospacing="off" w:after="120" w:afterAutospacing="off" w:line="360" w:lineRule="auto"/>
        <w:jc w:val="both"/>
        <w:rPr>
          <w:rFonts w:ascii="Arial" w:hAnsi="Arial" w:eastAsia="Arial" w:cs="Arial"/>
          <w:noProof w:val="0"/>
          <w:sz w:val="22"/>
          <w:szCs w:val="22"/>
          <w:lang w:val="en-GB"/>
        </w:rPr>
      </w:pPr>
      <w:r w:rsidRPr="3B366774" w:rsidR="46D1F1A9">
        <w:rPr>
          <w:rFonts w:ascii="Arial" w:hAnsi="Arial" w:eastAsia="Arial" w:cs="Arial"/>
          <w:noProof w:val="0"/>
          <w:sz w:val="22"/>
          <w:szCs w:val="22"/>
          <w:lang w:val="en-GB"/>
        </w:rPr>
        <w:t xml:space="preserve">Pilots </w:t>
      </w:r>
      <w:r w:rsidRPr="3B366774" w:rsidR="46D1F1A9">
        <w:rPr>
          <w:rFonts w:ascii="Arial" w:hAnsi="Arial" w:eastAsia="Arial" w:cs="Arial"/>
          <w:noProof w:val="0"/>
          <w:sz w:val="22"/>
          <w:szCs w:val="22"/>
          <w:lang w:val="en-GB"/>
        </w:rPr>
        <w:t>participate</w:t>
      </w:r>
      <w:r w:rsidRPr="3B366774" w:rsidR="46D1F1A9">
        <w:rPr>
          <w:rFonts w:ascii="Arial" w:hAnsi="Arial" w:eastAsia="Arial" w:cs="Arial"/>
          <w:noProof w:val="0"/>
          <w:sz w:val="22"/>
          <w:szCs w:val="22"/>
          <w:lang w:val="en-GB"/>
        </w:rPr>
        <w:t xml:space="preserve"> in a highly mobile labour market, with opportunities available across airlines and regions. This far-reaching mobility sharply diminishes organisational control over retention outcomes and exposes the limitations of strategies that focus solely on internal levers. Even the most progressive organisations cannot fully insulate themselves from the gravitational pull of global labour demand, especially when regulatory systems promote international movement. This reality demands a rethinking of retention as a multi-actor, multi-level challenge rather than a matter of firm-level intervention alone.</w:t>
      </w:r>
    </w:p>
    <w:p w:rsidR="3B366774" w:rsidP="3B366774" w:rsidRDefault="3B366774" w14:paraId="0417065E" w14:textId="07BEE0AE">
      <w:pPr>
        <w:bidi w:val="0"/>
        <w:spacing w:before="120" w:beforeAutospacing="off" w:after="120" w:afterAutospacing="off" w:line="360" w:lineRule="auto"/>
        <w:jc w:val="both"/>
        <w:rPr>
          <w:rFonts w:ascii="Arial" w:hAnsi="Arial" w:eastAsia="Arial" w:cs="Arial"/>
          <w:sz w:val="22"/>
          <w:szCs w:val="22"/>
        </w:rPr>
      </w:pPr>
    </w:p>
    <w:p w:rsidR="46D1F1A9" w:rsidP="3B366774" w:rsidRDefault="46D1F1A9" w14:paraId="3B7390CF" w14:textId="530F5C69">
      <w:pPr>
        <w:pStyle w:val="Heading2"/>
        <w:bidi w:val="0"/>
        <w:spacing w:line="360" w:lineRule="auto"/>
        <w:jc w:val="both"/>
        <w:rPr>
          <w:rFonts w:ascii="Arial" w:hAnsi="Arial" w:eastAsia="Arial" w:cs="Arial"/>
          <w:noProof w:val="0"/>
          <w:sz w:val="22"/>
          <w:szCs w:val="22"/>
          <w:lang w:val="en-GB"/>
        </w:rPr>
      </w:pPr>
      <w:bookmarkStart w:name="_Toc1275051507" w:id="1160760804"/>
      <w:r w:rsidRPr="3B366774" w:rsidR="46D1F1A9">
        <w:rPr>
          <w:rFonts w:ascii="Arial" w:hAnsi="Arial" w:eastAsia="Arial" w:cs="Arial"/>
          <w:noProof w:val="0"/>
          <w:sz w:val="22"/>
          <w:szCs w:val="22"/>
          <w:lang w:val="en-GB"/>
        </w:rPr>
        <w:t>Summary of RQ4</w:t>
      </w:r>
      <w:bookmarkEnd w:id="1160760804"/>
    </w:p>
    <w:p w:rsidR="46D1F1A9" w:rsidP="3B366774" w:rsidRDefault="46D1F1A9" w14:paraId="3830E055" w14:textId="4F877AEB">
      <w:pPr>
        <w:bidi w:val="0"/>
        <w:spacing w:before="120" w:beforeAutospacing="off" w:after="120" w:afterAutospacing="off" w:line="360" w:lineRule="auto"/>
        <w:jc w:val="both"/>
        <w:rPr>
          <w:rFonts w:ascii="Arial" w:hAnsi="Arial" w:eastAsia="Arial" w:cs="Arial"/>
          <w:noProof w:val="0"/>
          <w:sz w:val="22"/>
          <w:szCs w:val="22"/>
          <w:lang w:val="en-GB"/>
        </w:rPr>
      </w:pPr>
      <w:r w:rsidRPr="3B366774" w:rsidR="46D1F1A9">
        <w:rPr>
          <w:rFonts w:ascii="Arial" w:hAnsi="Arial" w:eastAsia="Arial" w:cs="Arial"/>
          <w:noProof w:val="0"/>
          <w:sz w:val="22"/>
          <w:szCs w:val="22"/>
          <w:lang w:val="en-GB"/>
        </w:rPr>
        <w:t xml:space="preserve">The findings show that external labour market conditions exert a decisive—and often dominant—function in directing retention, </w:t>
      </w:r>
      <w:r w:rsidRPr="3B366774" w:rsidR="46D1F1A9">
        <w:rPr>
          <w:rFonts w:ascii="Arial" w:hAnsi="Arial" w:eastAsia="Arial" w:cs="Arial"/>
          <w:noProof w:val="0"/>
          <w:sz w:val="22"/>
          <w:szCs w:val="22"/>
          <w:lang w:val="en-GB"/>
        </w:rPr>
        <w:t>frequently</w:t>
      </w:r>
      <w:r w:rsidRPr="3B366774" w:rsidR="46D1F1A9">
        <w:rPr>
          <w:rFonts w:ascii="Arial" w:hAnsi="Arial" w:eastAsia="Arial" w:cs="Arial"/>
          <w:noProof w:val="0"/>
          <w:sz w:val="22"/>
          <w:szCs w:val="22"/>
          <w:lang w:val="en-GB"/>
        </w:rPr>
        <w:t xml:space="preserve"> outweighing the influence of internal HRM practices. This compels a reappraisal of the limits of organisational influence and raises </w:t>
      </w:r>
      <w:r w:rsidRPr="3B366774" w:rsidR="6A3F3B26">
        <w:rPr>
          <w:rFonts w:ascii="Arial" w:hAnsi="Arial" w:eastAsia="Arial" w:cs="Arial"/>
          <w:noProof w:val="0"/>
          <w:sz w:val="22"/>
          <w:szCs w:val="22"/>
          <w:lang w:val="en-GB"/>
        </w:rPr>
        <w:t>tough questions</w:t>
      </w:r>
      <w:r w:rsidRPr="3B366774" w:rsidR="46D1F1A9">
        <w:rPr>
          <w:rFonts w:ascii="Arial" w:hAnsi="Arial" w:eastAsia="Arial" w:cs="Arial"/>
          <w:noProof w:val="0"/>
          <w:sz w:val="22"/>
          <w:szCs w:val="22"/>
          <w:lang w:val="en-GB"/>
        </w:rPr>
        <w:t xml:space="preserve"> about the ultimate effectiveness of even the most sophisticated HRM interventions. Under such circumstances, the very notion of retention must be reframed as a shared, sector-wide problem requiring coordinated action and policy engagement, rather than as an outcome achievable through internal optimisation alone.</w:t>
      </w:r>
    </w:p>
    <w:p w:rsidR="3B366774" w:rsidP="3B366774" w:rsidRDefault="3B366774" w14:paraId="5612E84C" w14:textId="72CD7ACE">
      <w:pPr>
        <w:bidi w:val="0"/>
        <w:spacing w:before="120" w:beforeAutospacing="off" w:after="120" w:afterAutospacing="off" w:line="360" w:lineRule="auto"/>
        <w:jc w:val="both"/>
        <w:rPr>
          <w:rFonts w:ascii="Arial" w:hAnsi="Arial" w:eastAsia="Arial" w:cs="Arial"/>
          <w:sz w:val="22"/>
          <w:szCs w:val="22"/>
        </w:rPr>
      </w:pPr>
    </w:p>
    <w:p w:rsidR="2F7ACA52" w:rsidP="3B366774" w:rsidRDefault="2F7ACA52" w14:paraId="2062D8D1" w14:textId="08299C56">
      <w:pPr>
        <w:pStyle w:val="Heading3"/>
        <w:suppressLineNumbers w:val="0"/>
        <w:bidi w:val="0"/>
        <w:spacing w:before="160" w:beforeAutospacing="off" w:after="80" w:afterAutospacing="off" w:line="360" w:lineRule="auto"/>
        <w:ind w:left="0" w:right="0"/>
        <w:jc w:val="both"/>
      </w:pPr>
      <w:r w:rsidRPr="3B366774" w:rsidR="2F7ACA52">
        <w:rPr>
          <w:rFonts w:ascii="Arial" w:hAnsi="Arial" w:eastAsia="Arial" w:cs="Arial"/>
          <w:noProof w:val="0"/>
          <w:sz w:val="22"/>
          <w:szCs w:val="22"/>
          <w:lang w:val="en-GB"/>
        </w:rPr>
        <w:t>Discussion</w:t>
      </w:r>
    </w:p>
    <w:p w:rsidR="46D1F1A9" w:rsidP="3B366774" w:rsidRDefault="46D1F1A9" w14:paraId="1ABB0030" w14:textId="4F8AF515">
      <w:pPr>
        <w:bidi w:val="0"/>
        <w:spacing w:before="120" w:beforeAutospacing="off" w:after="120" w:afterAutospacing="off" w:line="360" w:lineRule="auto"/>
        <w:jc w:val="both"/>
        <w:rPr>
          <w:rFonts w:ascii="Arial" w:hAnsi="Arial" w:eastAsia="Arial" w:cs="Arial"/>
          <w:noProof w:val="0"/>
          <w:sz w:val="22"/>
          <w:szCs w:val="22"/>
          <w:lang w:val="en-GB"/>
        </w:rPr>
      </w:pPr>
      <w:r w:rsidRPr="3B366774" w:rsidR="46D1F1A9">
        <w:rPr>
          <w:rFonts w:ascii="Arial" w:hAnsi="Arial" w:eastAsia="Arial" w:cs="Arial"/>
          <w:noProof w:val="0"/>
          <w:sz w:val="22"/>
          <w:szCs w:val="22"/>
          <w:lang w:val="en-GB"/>
        </w:rPr>
        <w:t xml:space="preserve">Across all themes, the findings show that pilot retention is </w:t>
      </w:r>
      <w:r w:rsidRPr="3B366774" w:rsidR="46D1F1A9">
        <w:rPr>
          <w:rFonts w:ascii="Arial" w:hAnsi="Arial" w:eastAsia="Arial" w:cs="Arial"/>
          <w:noProof w:val="0"/>
          <w:sz w:val="22"/>
          <w:szCs w:val="22"/>
          <w:lang w:val="en-GB"/>
        </w:rPr>
        <w:t>determined</w:t>
      </w:r>
      <w:r w:rsidRPr="3B366774" w:rsidR="46D1F1A9">
        <w:rPr>
          <w:rFonts w:ascii="Arial" w:hAnsi="Arial" w:eastAsia="Arial" w:cs="Arial"/>
          <w:noProof w:val="0"/>
          <w:sz w:val="22"/>
          <w:szCs w:val="22"/>
          <w:lang w:val="en-GB"/>
        </w:rPr>
        <w:t xml:space="preserve"> by the dynamic and </w:t>
      </w:r>
      <w:r w:rsidRPr="3B366774" w:rsidR="46D1F1A9">
        <w:rPr>
          <w:rFonts w:ascii="Arial" w:hAnsi="Arial" w:eastAsia="Arial" w:cs="Arial"/>
          <w:noProof w:val="0"/>
          <w:sz w:val="22"/>
          <w:szCs w:val="22"/>
          <w:lang w:val="en-GB"/>
        </w:rPr>
        <w:t>frequently</w:t>
      </w:r>
      <w:r w:rsidRPr="3B366774" w:rsidR="46D1F1A9">
        <w:rPr>
          <w:rFonts w:ascii="Arial" w:hAnsi="Arial" w:eastAsia="Arial" w:cs="Arial"/>
          <w:noProof w:val="0"/>
          <w:sz w:val="22"/>
          <w:szCs w:val="22"/>
          <w:lang w:val="en-GB"/>
        </w:rPr>
        <w:t xml:space="preserve"> contested interaction of:</w:t>
      </w:r>
    </w:p>
    <w:p w:rsidR="46D1F1A9" w:rsidP="3B366774" w:rsidRDefault="46D1F1A9" w14:paraId="626A8094" w14:textId="590C0915">
      <w:pPr>
        <w:pStyle w:val="ListParagraph"/>
        <w:numPr>
          <w:ilvl w:val="0"/>
          <w:numId w:val="6"/>
        </w:numPr>
        <w:bidi w:val="0"/>
        <w:spacing w:before="0" w:beforeAutospacing="off" w:after="0" w:afterAutospacing="off" w:line="360" w:lineRule="auto"/>
        <w:jc w:val="both"/>
        <w:rPr>
          <w:rFonts w:ascii="Arial" w:hAnsi="Arial" w:eastAsia="Arial" w:cs="Arial"/>
          <w:noProof w:val="0"/>
          <w:sz w:val="22"/>
          <w:szCs w:val="22"/>
          <w:lang w:val="en-GB"/>
        </w:rPr>
      </w:pPr>
      <w:r w:rsidRPr="3B366774" w:rsidR="46D1F1A9">
        <w:rPr>
          <w:rFonts w:ascii="Arial" w:hAnsi="Arial" w:eastAsia="Arial" w:cs="Arial"/>
          <w:noProof w:val="0"/>
          <w:sz w:val="22"/>
          <w:szCs w:val="22"/>
          <w:lang w:val="en-GB"/>
        </w:rPr>
        <w:t>HRM practices</w:t>
      </w:r>
    </w:p>
    <w:p w:rsidR="46D1F1A9" w:rsidP="3B366774" w:rsidRDefault="46D1F1A9" w14:paraId="56A86859" w14:textId="35C1FDAB">
      <w:pPr>
        <w:pStyle w:val="ListParagraph"/>
        <w:numPr>
          <w:ilvl w:val="0"/>
          <w:numId w:val="6"/>
        </w:numPr>
        <w:bidi w:val="0"/>
        <w:spacing w:before="0" w:beforeAutospacing="off" w:after="0" w:afterAutospacing="off" w:line="360" w:lineRule="auto"/>
        <w:jc w:val="both"/>
        <w:rPr>
          <w:rFonts w:ascii="Arial" w:hAnsi="Arial" w:eastAsia="Arial" w:cs="Arial"/>
          <w:noProof w:val="0"/>
          <w:sz w:val="22"/>
          <w:szCs w:val="22"/>
          <w:lang w:val="en-GB"/>
        </w:rPr>
      </w:pPr>
      <w:r w:rsidRPr="3B366774" w:rsidR="46D1F1A9">
        <w:rPr>
          <w:rFonts w:ascii="Arial" w:hAnsi="Arial" w:eastAsia="Arial" w:cs="Arial"/>
          <w:noProof w:val="0"/>
          <w:sz w:val="22"/>
          <w:szCs w:val="22"/>
          <w:lang w:val="en-GB"/>
        </w:rPr>
        <w:t>Employee attitudes</w:t>
      </w:r>
    </w:p>
    <w:p w:rsidR="46D1F1A9" w:rsidP="3B366774" w:rsidRDefault="46D1F1A9" w14:paraId="61D8015A" w14:textId="4C4BAE0E">
      <w:pPr>
        <w:pStyle w:val="ListParagraph"/>
        <w:numPr>
          <w:ilvl w:val="0"/>
          <w:numId w:val="6"/>
        </w:numPr>
        <w:bidi w:val="0"/>
        <w:spacing w:before="0" w:beforeAutospacing="off" w:after="0" w:afterAutospacing="off" w:line="360" w:lineRule="auto"/>
        <w:jc w:val="both"/>
        <w:rPr>
          <w:rFonts w:ascii="Arial" w:hAnsi="Arial" w:eastAsia="Arial" w:cs="Arial"/>
          <w:noProof w:val="0"/>
          <w:sz w:val="22"/>
          <w:szCs w:val="22"/>
          <w:lang w:val="en-GB"/>
        </w:rPr>
      </w:pPr>
      <w:r w:rsidRPr="3B366774" w:rsidR="46D1F1A9">
        <w:rPr>
          <w:rFonts w:ascii="Arial" w:hAnsi="Arial" w:eastAsia="Arial" w:cs="Arial"/>
          <w:noProof w:val="0"/>
          <w:sz w:val="22"/>
          <w:szCs w:val="22"/>
          <w:lang w:val="en-GB"/>
        </w:rPr>
        <w:t>Organisational constraints</w:t>
      </w:r>
    </w:p>
    <w:p w:rsidR="46D1F1A9" w:rsidP="3B366774" w:rsidRDefault="46D1F1A9" w14:paraId="448383B6" w14:textId="613B69CC">
      <w:pPr>
        <w:pStyle w:val="ListParagraph"/>
        <w:numPr>
          <w:ilvl w:val="0"/>
          <w:numId w:val="6"/>
        </w:numPr>
        <w:bidi w:val="0"/>
        <w:spacing w:before="0" w:beforeAutospacing="off" w:after="0" w:afterAutospacing="off" w:line="360" w:lineRule="auto"/>
        <w:jc w:val="both"/>
        <w:rPr>
          <w:rFonts w:ascii="Arial" w:hAnsi="Arial" w:eastAsia="Arial" w:cs="Arial"/>
          <w:noProof w:val="0"/>
          <w:sz w:val="22"/>
          <w:szCs w:val="22"/>
          <w:lang w:val="en-GB"/>
        </w:rPr>
      </w:pPr>
      <w:r w:rsidRPr="3B366774" w:rsidR="46D1F1A9">
        <w:rPr>
          <w:rFonts w:ascii="Arial" w:hAnsi="Arial" w:eastAsia="Arial" w:cs="Arial"/>
          <w:noProof w:val="0"/>
          <w:sz w:val="22"/>
          <w:szCs w:val="22"/>
          <w:lang w:val="en-GB"/>
        </w:rPr>
        <w:t>External labour market forces</w:t>
      </w:r>
    </w:p>
    <w:p w:rsidR="46D1F1A9" w:rsidP="3B366774" w:rsidRDefault="46D1F1A9" w14:paraId="695FC986" w14:textId="32D4B73C">
      <w:pPr>
        <w:bidi w:val="0"/>
        <w:spacing w:before="120" w:beforeAutospacing="off" w:after="120" w:afterAutospacing="off" w:line="360" w:lineRule="auto"/>
        <w:jc w:val="both"/>
        <w:rPr>
          <w:rFonts w:ascii="Arial" w:hAnsi="Arial" w:eastAsia="Arial" w:cs="Arial"/>
          <w:noProof w:val="0"/>
          <w:sz w:val="22"/>
          <w:szCs w:val="22"/>
          <w:lang w:val="en-GB"/>
        </w:rPr>
      </w:pPr>
      <w:r w:rsidRPr="3B366774" w:rsidR="46D1F1A9">
        <w:rPr>
          <w:rFonts w:ascii="Arial" w:hAnsi="Arial" w:eastAsia="Arial" w:cs="Arial"/>
          <w:noProof w:val="0"/>
          <w:sz w:val="22"/>
          <w:szCs w:val="22"/>
          <w:lang w:val="en-GB"/>
        </w:rPr>
        <w:t>The key takeaway is that retention must be viewed within a broader, critically informed strategic context—one that recognises the interplay among HRM, employee attitudes, organisational constraints, and external forces as mutually conditioning factors. Attempts to address retention in isolation from these wider dynamics are unlikely to yield meaningful or sustained results.</w:t>
      </w:r>
    </w:p>
    <w:p w:rsidR="46D1F1A9" w:rsidP="3B366774" w:rsidRDefault="46D1F1A9" w14:paraId="57286A55" w14:textId="387B3C53">
      <w:pPr>
        <w:bidi w:val="0"/>
        <w:spacing w:before="120" w:beforeAutospacing="off" w:after="120" w:afterAutospacing="off" w:line="360" w:lineRule="auto"/>
        <w:jc w:val="both"/>
        <w:rPr>
          <w:rFonts w:ascii="Arial" w:hAnsi="Arial" w:eastAsia="Arial" w:cs="Arial"/>
          <w:noProof w:val="0"/>
          <w:sz w:val="22"/>
          <w:szCs w:val="22"/>
          <w:lang w:val="en-GB"/>
        </w:rPr>
      </w:pPr>
      <w:r w:rsidRPr="3B366774" w:rsidR="46D1F1A9">
        <w:rPr>
          <w:rFonts w:ascii="Arial" w:hAnsi="Arial" w:eastAsia="Arial" w:cs="Arial"/>
          <w:noProof w:val="0"/>
          <w:sz w:val="22"/>
          <w:szCs w:val="22"/>
          <w:lang w:val="en-GB"/>
        </w:rPr>
        <w:t xml:space="preserve">Rather than confirming the effectiveness of organisational interventions for retention, the findings show that organisational influence is structurally limited by powerful external forces. This fundamentally challenges the widespread assumption that retention is mostly internally </w:t>
      </w:r>
      <w:r w:rsidRPr="3B366774" w:rsidR="46D1F1A9">
        <w:rPr>
          <w:rFonts w:ascii="Arial" w:hAnsi="Arial" w:eastAsia="Arial" w:cs="Arial"/>
          <w:noProof w:val="0"/>
          <w:sz w:val="22"/>
          <w:szCs w:val="22"/>
          <w:lang w:val="en-GB"/>
        </w:rPr>
        <w:t>determined</w:t>
      </w:r>
      <w:r w:rsidRPr="3B366774" w:rsidR="46D1F1A9">
        <w:rPr>
          <w:rFonts w:ascii="Arial" w:hAnsi="Arial" w:eastAsia="Arial" w:cs="Arial"/>
          <w:noProof w:val="0"/>
          <w:sz w:val="22"/>
          <w:szCs w:val="22"/>
          <w:lang w:val="en-GB"/>
        </w:rPr>
        <w:t xml:space="preserve">. In aviation, where the demand for pilots persistently outstrips supply, retention can be viewed as a manifestation of labour market disequilibrium (Leroux-Parra, 2019; </w:t>
      </w:r>
      <w:r w:rsidRPr="3B366774" w:rsidR="46D1F1A9">
        <w:rPr>
          <w:rFonts w:ascii="Arial" w:hAnsi="Arial" w:eastAsia="Arial" w:cs="Arial"/>
          <w:noProof w:val="0"/>
          <w:sz w:val="22"/>
          <w:szCs w:val="22"/>
          <w:lang w:val="en-GB"/>
        </w:rPr>
        <w:t>Belderbos</w:t>
      </w:r>
      <w:r w:rsidRPr="3B366774" w:rsidR="46D1F1A9">
        <w:rPr>
          <w:rFonts w:ascii="Arial" w:hAnsi="Arial" w:eastAsia="Arial" w:cs="Arial"/>
          <w:noProof w:val="0"/>
          <w:sz w:val="22"/>
          <w:szCs w:val="22"/>
          <w:lang w:val="en-GB"/>
        </w:rPr>
        <w:t xml:space="preserve"> et al., 2025), with individual organisations often </w:t>
      </w:r>
      <w:r w:rsidRPr="3B366774" w:rsidR="46D1F1A9">
        <w:rPr>
          <w:rFonts w:ascii="Arial" w:hAnsi="Arial" w:eastAsia="Arial" w:cs="Arial"/>
          <w:noProof w:val="0"/>
          <w:sz w:val="22"/>
          <w:szCs w:val="22"/>
          <w:lang w:val="en-GB"/>
        </w:rPr>
        <w:t>rendered</w:t>
      </w:r>
      <w:r w:rsidRPr="3B366774" w:rsidR="46D1F1A9">
        <w:rPr>
          <w:rFonts w:ascii="Arial" w:hAnsi="Arial" w:eastAsia="Arial" w:cs="Arial"/>
          <w:noProof w:val="0"/>
          <w:sz w:val="22"/>
          <w:szCs w:val="22"/>
          <w:lang w:val="en-GB"/>
        </w:rPr>
        <w:t xml:space="preserve"> reactive </w:t>
      </w:r>
      <w:r w:rsidRPr="3B366774" w:rsidR="46D1F1A9">
        <w:rPr>
          <w:rFonts w:ascii="Arial" w:hAnsi="Arial" w:eastAsia="Arial" w:cs="Arial"/>
          <w:noProof w:val="0"/>
          <w:sz w:val="22"/>
          <w:szCs w:val="22"/>
          <w:lang w:val="en-GB"/>
        </w:rPr>
        <w:t>rather as</w:t>
      </w:r>
      <w:r w:rsidRPr="3B366774" w:rsidR="46D1F1A9">
        <w:rPr>
          <w:rFonts w:ascii="Arial" w:hAnsi="Arial" w:eastAsia="Arial" w:cs="Arial"/>
          <w:noProof w:val="0"/>
          <w:sz w:val="22"/>
          <w:szCs w:val="22"/>
          <w:lang w:val="en-GB"/>
        </w:rPr>
        <w:t xml:space="preserve"> opposed to proactive in their retention efforts.</w:t>
      </w:r>
    </w:p>
    <w:p w:rsidR="46D1F1A9" w:rsidP="3B366774" w:rsidRDefault="46D1F1A9" w14:paraId="2EFFB7E9" w14:textId="01C97002">
      <w:pPr>
        <w:bidi w:val="0"/>
        <w:spacing w:before="120" w:beforeAutospacing="off" w:after="120" w:afterAutospacing="off" w:line="360" w:lineRule="auto"/>
        <w:jc w:val="both"/>
        <w:rPr>
          <w:rFonts w:ascii="Arial" w:hAnsi="Arial" w:eastAsia="Arial" w:cs="Arial"/>
          <w:noProof w:val="0"/>
          <w:sz w:val="22"/>
          <w:szCs w:val="22"/>
          <w:lang w:val="en-GB"/>
        </w:rPr>
      </w:pPr>
      <w:r w:rsidRPr="3B366774" w:rsidR="46D1F1A9">
        <w:rPr>
          <w:rFonts w:ascii="Arial" w:hAnsi="Arial" w:eastAsia="Arial" w:cs="Arial"/>
          <w:noProof w:val="0"/>
          <w:sz w:val="22"/>
          <w:szCs w:val="22"/>
          <w:lang w:val="en-GB"/>
        </w:rPr>
        <w:t xml:space="preserve">From a theoretical perspective, this extends contingency-based HRM by </w:t>
      </w:r>
      <w:r w:rsidRPr="3B366774" w:rsidR="46D1F1A9">
        <w:rPr>
          <w:rFonts w:ascii="Arial" w:hAnsi="Arial" w:eastAsia="Arial" w:cs="Arial"/>
          <w:noProof w:val="0"/>
          <w:sz w:val="22"/>
          <w:szCs w:val="22"/>
          <w:lang w:val="en-GB"/>
        </w:rPr>
        <w:t>demonstrating</w:t>
      </w:r>
      <w:r w:rsidRPr="3B366774" w:rsidR="46D1F1A9">
        <w:rPr>
          <w:rFonts w:ascii="Arial" w:hAnsi="Arial" w:eastAsia="Arial" w:cs="Arial"/>
          <w:noProof w:val="0"/>
          <w:sz w:val="22"/>
          <w:szCs w:val="22"/>
          <w:lang w:val="en-GB"/>
        </w:rPr>
        <w:t xml:space="preserve"> that both organisational context and macro-level labour conditions fundamentally shape HRM effectiveness (Renaud et al., 2015). For easyJet and similar airlines, this implies that traditional retention strategies are inherently limited and require a paradigmatic shift—towards workforce sustainability and forward-looking supply-side management—rather than continued exclusive reliance on in-house HR interventions. Such a shift would entail greater collaboration with industry stakeholders, regulatory bodies, and training institutions, positioning retention as a shared ecosystem challenge.</w:t>
      </w:r>
    </w:p>
    <w:p w:rsidR="3B366774" w:rsidP="3B366774" w:rsidRDefault="3B366774" w14:paraId="4193FC85" w14:textId="7B5D9D87">
      <w:pPr>
        <w:bidi w:val="0"/>
        <w:spacing w:before="120" w:beforeAutospacing="off" w:after="120" w:afterAutospacing="off" w:line="360" w:lineRule="auto"/>
        <w:jc w:val="both"/>
        <w:rPr>
          <w:rFonts w:ascii="Arial" w:hAnsi="Arial" w:eastAsia="Arial" w:cs="Arial"/>
          <w:sz w:val="22"/>
          <w:szCs w:val="22"/>
        </w:rPr>
      </w:pPr>
    </w:p>
    <w:p w:rsidR="46D1F1A9" w:rsidP="3B366774" w:rsidRDefault="46D1F1A9" w14:paraId="4DBA4453" w14:textId="42A192A7">
      <w:pPr>
        <w:pStyle w:val="Heading2"/>
        <w:bidi w:val="0"/>
        <w:spacing w:line="360" w:lineRule="auto"/>
        <w:jc w:val="both"/>
        <w:rPr>
          <w:rFonts w:ascii="Arial" w:hAnsi="Arial" w:eastAsia="Arial" w:cs="Arial"/>
          <w:noProof w:val="0"/>
          <w:sz w:val="22"/>
          <w:szCs w:val="22"/>
          <w:lang w:val="en-GB"/>
        </w:rPr>
      </w:pPr>
      <w:bookmarkStart w:name="_Toc586936798" w:id="509029164"/>
      <w:r w:rsidRPr="3B366774" w:rsidR="46D1F1A9">
        <w:rPr>
          <w:rFonts w:ascii="Arial" w:hAnsi="Arial" w:eastAsia="Arial" w:cs="Arial"/>
          <w:noProof w:val="0"/>
          <w:sz w:val="22"/>
          <w:szCs w:val="22"/>
          <w:lang w:val="en-GB"/>
        </w:rPr>
        <w:t>The Limits of Engagement as a Retention Strategy</w:t>
      </w:r>
      <w:bookmarkEnd w:id="509029164"/>
      <w:r w:rsidRPr="3B366774" w:rsidR="46D1F1A9">
        <w:rPr>
          <w:rFonts w:ascii="Arial" w:hAnsi="Arial" w:eastAsia="Arial" w:cs="Arial"/>
          <w:noProof w:val="0"/>
          <w:sz w:val="22"/>
          <w:szCs w:val="22"/>
          <w:lang w:val="en-GB"/>
        </w:rPr>
        <w:t xml:space="preserve"> </w:t>
      </w:r>
    </w:p>
    <w:p w:rsidR="46D1F1A9" w:rsidP="3B366774" w:rsidRDefault="46D1F1A9" w14:paraId="3E02BBF9" w14:textId="22EA5761">
      <w:pPr>
        <w:bidi w:val="0"/>
        <w:spacing w:before="120" w:beforeAutospacing="off" w:after="120" w:afterAutospacing="off" w:line="360" w:lineRule="auto"/>
        <w:jc w:val="both"/>
        <w:rPr>
          <w:rFonts w:ascii="Arial" w:hAnsi="Arial" w:eastAsia="Arial" w:cs="Arial"/>
          <w:noProof w:val="0"/>
          <w:sz w:val="22"/>
          <w:szCs w:val="22"/>
          <w:lang w:val="en-GB"/>
        </w:rPr>
      </w:pPr>
      <w:r w:rsidRPr="3B366774" w:rsidR="46D1F1A9">
        <w:rPr>
          <w:rFonts w:ascii="Arial" w:hAnsi="Arial" w:eastAsia="Arial" w:cs="Arial"/>
          <w:noProof w:val="0"/>
          <w:sz w:val="22"/>
          <w:szCs w:val="22"/>
          <w:lang w:val="en-GB"/>
        </w:rPr>
        <w:t xml:space="preserve">The finding that engagement does not consistently translate into retention challenges dominant assumptions within Social Exchange Theory, which proposes that positive organisational practices foster reciprocal employee commitment (Guest, 2017; Memon et al., 2021). While engagement may strengthen attitudinal attachment, it does not </w:t>
      </w:r>
      <w:r w:rsidRPr="3B366774" w:rsidR="46D1F1A9">
        <w:rPr>
          <w:rFonts w:ascii="Arial" w:hAnsi="Arial" w:eastAsia="Arial" w:cs="Arial"/>
          <w:noProof w:val="0"/>
          <w:sz w:val="22"/>
          <w:szCs w:val="22"/>
          <w:lang w:val="en-GB"/>
        </w:rPr>
        <w:t>eliminate</w:t>
      </w:r>
      <w:r w:rsidRPr="3B366774" w:rsidR="46D1F1A9">
        <w:rPr>
          <w:rFonts w:ascii="Arial" w:hAnsi="Arial" w:eastAsia="Arial" w:cs="Arial"/>
          <w:noProof w:val="0"/>
          <w:sz w:val="22"/>
          <w:szCs w:val="22"/>
          <w:lang w:val="en-GB"/>
        </w:rPr>
        <w:t xml:space="preserve"> the influence of external opportunities, particularly in high-demand labour markets.</w:t>
      </w:r>
    </w:p>
    <w:p w:rsidR="46D1F1A9" w:rsidP="3B366774" w:rsidRDefault="46D1F1A9" w14:paraId="34789F8F" w14:textId="4D2DBB19">
      <w:pPr>
        <w:bidi w:val="0"/>
        <w:spacing w:before="120" w:beforeAutospacing="off" w:after="120" w:afterAutospacing="off" w:line="360" w:lineRule="auto"/>
        <w:jc w:val="both"/>
        <w:rPr>
          <w:rFonts w:ascii="Arial" w:hAnsi="Arial" w:eastAsia="Arial" w:cs="Arial"/>
          <w:noProof w:val="0"/>
          <w:sz w:val="22"/>
          <w:szCs w:val="22"/>
          <w:lang w:val="en-GB"/>
        </w:rPr>
      </w:pPr>
      <w:r w:rsidRPr="3B366774" w:rsidR="46D1F1A9">
        <w:rPr>
          <w:rFonts w:ascii="Arial" w:hAnsi="Arial" w:eastAsia="Arial" w:cs="Arial"/>
          <w:noProof w:val="0"/>
          <w:sz w:val="22"/>
          <w:szCs w:val="22"/>
          <w:lang w:val="en-GB"/>
        </w:rPr>
        <w:t xml:space="preserve">This suggests that engagement serves as a necessary but insufficient condition for retention. In professions such as piloting, where skills are highly transferable and globally in demand, employees may remain involved while still pursuing </w:t>
      </w:r>
      <w:r w:rsidRPr="3B366774" w:rsidR="46D1F1A9">
        <w:rPr>
          <w:rFonts w:ascii="Arial" w:hAnsi="Arial" w:eastAsia="Arial" w:cs="Arial"/>
          <w:noProof w:val="0"/>
          <w:sz w:val="22"/>
          <w:szCs w:val="22"/>
          <w:lang w:val="en-GB"/>
        </w:rPr>
        <w:t>advantageous</w:t>
      </w:r>
      <w:r w:rsidRPr="3B366774" w:rsidR="46D1F1A9">
        <w:rPr>
          <w:rFonts w:ascii="Arial" w:hAnsi="Arial" w:eastAsia="Arial" w:cs="Arial"/>
          <w:noProof w:val="0"/>
          <w:sz w:val="22"/>
          <w:szCs w:val="22"/>
          <w:lang w:val="en-GB"/>
        </w:rPr>
        <w:t xml:space="preserve"> opportunities elsewhere. This illustrates an important limitation of engagement-centric HRM models, which often overestimate the stability of employee–organisation relationships.</w:t>
      </w:r>
    </w:p>
    <w:p w:rsidR="46D1F1A9" w:rsidP="3B366774" w:rsidRDefault="46D1F1A9" w14:paraId="0878E676" w14:textId="47D76669">
      <w:pPr>
        <w:bidi w:val="0"/>
        <w:spacing w:before="120" w:beforeAutospacing="off" w:after="120" w:afterAutospacing="off" w:line="360" w:lineRule="auto"/>
        <w:jc w:val="both"/>
        <w:rPr>
          <w:rFonts w:ascii="Arial" w:hAnsi="Arial" w:eastAsia="Arial" w:cs="Arial"/>
          <w:noProof w:val="0"/>
          <w:sz w:val="22"/>
          <w:szCs w:val="22"/>
          <w:lang w:val="en-GB"/>
        </w:rPr>
      </w:pPr>
      <w:r w:rsidRPr="3B366774" w:rsidR="46D1F1A9">
        <w:rPr>
          <w:rFonts w:ascii="Arial" w:hAnsi="Arial" w:eastAsia="Arial" w:cs="Arial"/>
          <w:noProof w:val="0"/>
          <w:sz w:val="22"/>
          <w:szCs w:val="22"/>
          <w:lang w:val="en-GB"/>
        </w:rPr>
        <w:t xml:space="preserve">For easyJet, this implies that engagement metrics should not be interpreted as direct indicators of retention success, but rather as one </w:t>
      </w:r>
      <w:r w:rsidRPr="3B366774" w:rsidR="46D1F1A9">
        <w:rPr>
          <w:rFonts w:ascii="Arial" w:hAnsi="Arial" w:eastAsia="Arial" w:cs="Arial"/>
          <w:noProof w:val="0"/>
          <w:sz w:val="22"/>
          <w:szCs w:val="22"/>
          <w:lang w:val="en-GB"/>
        </w:rPr>
        <w:t>component</w:t>
      </w:r>
      <w:r w:rsidRPr="3B366774" w:rsidR="46D1F1A9">
        <w:rPr>
          <w:rFonts w:ascii="Arial" w:hAnsi="Arial" w:eastAsia="Arial" w:cs="Arial"/>
          <w:noProof w:val="0"/>
          <w:sz w:val="22"/>
          <w:szCs w:val="22"/>
          <w:lang w:val="en-GB"/>
        </w:rPr>
        <w:t xml:space="preserve"> within a more extensive, more complex retention framework.</w:t>
      </w:r>
    </w:p>
    <w:p w:rsidR="3B366774" w:rsidP="3B366774" w:rsidRDefault="3B366774" w14:paraId="31551CF5" w14:textId="77981424">
      <w:pPr>
        <w:bidi w:val="0"/>
        <w:spacing w:before="120" w:beforeAutospacing="off" w:after="120" w:afterAutospacing="off" w:line="360" w:lineRule="auto"/>
        <w:jc w:val="both"/>
        <w:rPr>
          <w:rFonts w:ascii="Arial" w:hAnsi="Arial" w:eastAsia="Arial" w:cs="Arial"/>
          <w:sz w:val="22"/>
          <w:szCs w:val="22"/>
        </w:rPr>
      </w:pPr>
    </w:p>
    <w:p w:rsidR="46D1F1A9" w:rsidP="3B366774" w:rsidRDefault="46D1F1A9" w14:paraId="098C6BF5" w14:textId="196FBC75">
      <w:pPr>
        <w:bidi w:val="0"/>
        <w:spacing w:before="120" w:beforeAutospacing="off" w:after="120" w:afterAutospacing="off" w:line="360" w:lineRule="auto"/>
        <w:jc w:val="both"/>
        <w:rPr>
          <w:rFonts w:ascii="Arial" w:hAnsi="Arial" w:eastAsia="Arial" w:cs="Arial"/>
          <w:noProof w:val="0"/>
          <w:sz w:val="22"/>
          <w:szCs w:val="22"/>
          <w:lang w:val="en-GB"/>
        </w:rPr>
      </w:pPr>
      <w:bookmarkStart w:name="_Toc1892776466" w:id="1671819785"/>
      <w:r w:rsidRPr="3B366774" w:rsidR="46D1F1A9">
        <w:rPr>
          <w:rStyle w:val="Heading2Char"/>
          <w:rFonts w:ascii="Arial" w:hAnsi="Arial" w:eastAsia="Arial" w:cs="Arial"/>
          <w:noProof w:val="0"/>
          <w:sz w:val="22"/>
          <w:szCs w:val="22"/>
          <w:lang w:val="en-GB"/>
        </w:rPr>
        <w:t>Training as Both a Retention Tool and Mobility Enabler</w:t>
      </w:r>
      <w:bookmarkEnd w:id="1671819785"/>
      <w:r w:rsidRPr="3B366774" w:rsidR="46D1F1A9">
        <w:rPr>
          <w:rFonts w:ascii="Arial" w:hAnsi="Arial" w:eastAsia="Arial" w:cs="Arial"/>
          <w:noProof w:val="0"/>
          <w:sz w:val="22"/>
          <w:szCs w:val="22"/>
          <w:lang w:val="en-GB"/>
        </w:rPr>
        <w:t xml:space="preserve"> </w:t>
      </w:r>
    </w:p>
    <w:p w:rsidR="46D1F1A9" w:rsidP="3B366774" w:rsidRDefault="46D1F1A9" w14:paraId="7C2FA02C" w14:textId="04684A7C">
      <w:pPr>
        <w:bidi w:val="0"/>
        <w:spacing w:before="120" w:beforeAutospacing="off" w:after="120" w:afterAutospacing="off" w:line="360" w:lineRule="auto"/>
        <w:jc w:val="both"/>
        <w:rPr>
          <w:rFonts w:ascii="Arial" w:hAnsi="Arial" w:eastAsia="Arial" w:cs="Arial"/>
          <w:noProof w:val="0"/>
          <w:sz w:val="22"/>
          <w:szCs w:val="22"/>
          <w:lang w:val="en-GB"/>
        </w:rPr>
      </w:pPr>
      <w:r w:rsidRPr="3B366774" w:rsidR="46D1F1A9">
        <w:rPr>
          <w:rFonts w:ascii="Arial" w:hAnsi="Arial" w:eastAsia="Arial" w:cs="Arial"/>
          <w:noProof w:val="0"/>
          <w:sz w:val="22"/>
          <w:szCs w:val="22"/>
          <w:lang w:val="en-GB"/>
        </w:rPr>
        <w:t xml:space="preserve">The dual function of training </w:t>
      </w:r>
      <w:r w:rsidRPr="3B366774" w:rsidR="46D1F1A9">
        <w:rPr>
          <w:rFonts w:ascii="Arial" w:hAnsi="Arial" w:eastAsia="Arial" w:cs="Arial"/>
          <w:noProof w:val="0"/>
          <w:sz w:val="22"/>
          <w:szCs w:val="22"/>
          <w:lang w:val="en-GB"/>
        </w:rPr>
        <w:t>identified</w:t>
      </w:r>
      <w:r w:rsidRPr="3B366774" w:rsidR="46D1F1A9">
        <w:rPr>
          <w:rFonts w:ascii="Arial" w:hAnsi="Arial" w:eastAsia="Arial" w:cs="Arial"/>
          <w:noProof w:val="0"/>
          <w:sz w:val="22"/>
          <w:szCs w:val="22"/>
          <w:lang w:val="en-GB"/>
        </w:rPr>
        <w:t xml:space="preserve"> in the findings illustrates a fundamental tension within Human Capital Theory. While investment in employee development is presumed to enhance organisational commitment, it simultaneously increases employees’ external market value (Renaud et al., 2015). In the aviation sector, where qualifications are standardised and internationally recognised, this effect is clearly noticeable.</w:t>
      </w:r>
    </w:p>
    <w:p w:rsidR="46D1F1A9" w:rsidP="3B366774" w:rsidRDefault="46D1F1A9" w14:paraId="529F212B" w14:textId="288DA76E">
      <w:pPr>
        <w:bidi w:val="0"/>
        <w:spacing w:before="120" w:beforeAutospacing="off" w:after="120" w:afterAutospacing="off" w:line="360" w:lineRule="auto"/>
        <w:jc w:val="both"/>
        <w:rPr>
          <w:rFonts w:ascii="Arial" w:hAnsi="Arial" w:eastAsia="Arial" w:cs="Arial"/>
          <w:noProof w:val="0"/>
          <w:sz w:val="22"/>
          <w:szCs w:val="22"/>
          <w:lang w:val="en-GB"/>
        </w:rPr>
      </w:pPr>
      <w:r w:rsidRPr="3B366774" w:rsidR="46D1F1A9">
        <w:rPr>
          <w:rFonts w:ascii="Arial" w:hAnsi="Arial" w:eastAsia="Arial" w:cs="Arial"/>
          <w:noProof w:val="0"/>
          <w:sz w:val="22"/>
          <w:szCs w:val="22"/>
          <w:lang w:val="en-GB"/>
        </w:rPr>
        <w:t xml:space="preserve">This </w:t>
      </w:r>
      <w:r w:rsidRPr="3B366774" w:rsidR="46D1F1A9">
        <w:rPr>
          <w:rFonts w:ascii="Arial" w:hAnsi="Arial" w:eastAsia="Arial" w:cs="Arial"/>
          <w:noProof w:val="0"/>
          <w:sz w:val="22"/>
          <w:szCs w:val="22"/>
          <w:lang w:val="en-GB"/>
        </w:rPr>
        <w:t>indicates</w:t>
      </w:r>
      <w:r w:rsidRPr="3B366774" w:rsidR="46D1F1A9">
        <w:rPr>
          <w:rFonts w:ascii="Arial" w:hAnsi="Arial" w:eastAsia="Arial" w:cs="Arial"/>
          <w:noProof w:val="0"/>
          <w:sz w:val="22"/>
          <w:szCs w:val="22"/>
          <w:lang w:val="en-GB"/>
        </w:rPr>
        <w:t xml:space="preserve"> that training may function less as a retention mechanism and more as a mobility enabler, </w:t>
      </w:r>
      <w:r w:rsidRPr="3B366774" w:rsidR="46D1F1A9">
        <w:rPr>
          <w:rFonts w:ascii="Arial" w:hAnsi="Arial" w:eastAsia="Arial" w:cs="Arial"/>
          <w:noProof w:val="0"/>
          <w:sz w:val="22"/>
          <w:szCs w:val="22"/>
          <w:lang w:val="en-GB"/>
        </w:rPr>
        <w:t>facilitating</w:t>
      </w:r>
      <w:r w:rsidRPr="3B366774" w:rsidR="46D1F1A9">
        <w:rPr>
          <w:rFonts w:ascii="Arial" w:hAnsi="Arial" w:eastAsia="Arial" w:cs="Arial"/>
          <w:noProof w:val="0"/>
          <w:sz w:val="22"/>
          <w:szCs w:val="22"/>
          <w:lang w:val="en-GB"/>
        </w:rPr>
        <w:t xml:space="preserve"> career progression across organisations rather than within them. These outcomes challenge the assumption that skill development inherently strengthens organisational attachment.</w:t>
      </w:r>
    </w:p>
    <w:p w:rsidR="46D1F1A9" w:rsidP="3B366774" w:rsidRDefault="46D1F1A9" w14:paraId="6AF606D1" w14:textId="779F69FB">
      <w:pPr>
        <w:bidi w:val="0"/>
        <w:spacing w:before="120" w:beforeAutospacing="off" w:after="120" w:afterAutospacing="off" w:line="360" w:lineRule="auto"/>
        <w:jc w:val="both"/>
        <w:rPr>
          <w:rFonts w:ascii="Arial" w:hAnsi="Arial" w:eastAsia="Arial" w:cs="Arial"/>
          <w:noProof w:val="0"/>
          <w:sz w:val="22"/>
          <w:szCs w:val="22"/>
          <w:lang w:val="en-GB"/>
        </w:rPr>
      </w:pPr>
      <w:r w:rsidRPr="3B366774" w:rsidR="46D1F1A9">
        <w:rPr>
          <w:rFonts w:ascii="Arial" w:hAnsi="Arial" w:eastAsia="Arial" w:cs="Arial"/>
          <w:noProof w:val="0"/>
          <w:sz w:val="22"/>
          <w:szCs w:val="22"/>
          <w:lang w:val="en-GB"/>
        </w:rPr>
        <w:t>For easyJet, this stresses the need to embed training within a more extensive retention framework which encompasses career progression, incentives, and organisational commitment mechanisms. Without such integration, training may contribute to workforce instability rather than mitigate it.</w:t>
      </w:r>
    </w:p>
    <w:p w:rsidR="3B366774" w:rsidP="3B366774" w:rsidRDefault="3B366774" w14:paraId="0BC8B2E6" w14:textId="1C20C2B0">
      <w:pPr>
        <w:bidi w:val="0"/>
        <w:spacing w:before="120" w:beforeAutospacing="off" w:after="120" w:afterAutospacing="off" w:line="360" w:lineRule="auto"/>
        <w:jc w:val="both"/>
        <w:rPr>
          <w:rFonts w:ascii="Arial" w:hAnsi="Arial" w:eastAsia="Arial" w:cs="Arial"/>
          <w:sz w:val="22"/>
          <w:szCs w:val="22"/>
        </w:rPr>
      </w:pPr>
    </w:p>
    <w:p w:rsidR="46D1F1A9" w:rsidP="3B366774" w:rsidRDefault="46D1F1A9" w14:paraId="47C57EB9" w14:textId="5D94F990">
      <w:pPr>
        <w:pStyle w:val="Heading2"/>
        <w:bidi w:val="0"/>
        <w:spacing w:line="360" w:lineRule="auto"/>
        <w:jc w:val="both"/>
        <w:rPr>
          <w:rFonts w:ascii="Arial" w:hAnsi="Arial" w:eastAsia="Arial" w:cs="Arial"/>
          <w:noProof w:val="0"/>
          <w:sz w:val="22"/>
          <w:szCs w:val="22"/>
          <w:lang w:val="en-GB"/>
        </w:rPr>
      </w:pPr>
      <w:bookmarkStart w:name="_Toc1353524199" w:id="705273674"/>
      <w:r w:rsidRPr="3B366774" w:rsidR="46D1F1A9">
        <w:rPr>
          <w:rFonts w:ascii="Arial" w:hAnsi="Arial" w:eastAsia="Arial" w:cs="Arial"/>
          <w:noProof w:val="0"/>
          <w:sz w:val="22"/>
          <w:szCs w:val="22"/>
          <w:lang w:val="en-GB"/>
        </w:rPr>
        <w:t>Structural Boundaries of the Low-Cost Airline Model</w:t>
      </w:r>
      <w:bookmarkEnd w:id="705273674"/>
    </w:p>
    <w:p w:rsidR="46D1F1A9" w:rsidP="3B366774" w:rsidRDefault="46D1F1A9" w14:paraId="0AD6CD04" w14:textId="2680FF28">
      <w:pPr>
        <w:bidi w:val="0"/>
        <w:spacing w:before="120" w:beforeAutospacing="off" w:after="120" w:afterAutospacing="off" w:line="360" w:lineRule="auto"/>
        <w:jc w:val="both"/>
        <w:rPr>
          <w:rFonts w:ascii="Arial" w:hAnsi="Arial" w:eastAsia="Arial" w:cs="Arial"/>
          <w:noProof w:val="0"/>
          <w:sz w:val="22"/>
          <w:szCs w:val="22"/>
          <w:lang w:val="en-GB"/>
        </w:rPr>
      </w:pPr>
      <w:r w:rsidRPr="3B366774" w:rsidR="46D1F1A9">
        <w:rPr>
          <w:rFonts w:ascii="Arial" w:hAnsi="Arial" w:eastAsia="Arial" w:cs="Arial"/>
          <w:noProof w:val="0"/>
          <w:sz w:val="22"/>
          <w:szCs w:val="22"/>
          <w:lang w:val="en-GB"/>
        </w:rPr>
        <w:t xml:space="preserve">The influence of the low-cost airline model reaches outside operational performance to fundamentally shape the scope and effectiveness of HRM practices. Unlike full-service carriers, low-cost airlines </w:t>
      </w:r>
      <w:r w:rsidRPr="3B366774" w:rsidR="46D1F1A9">
        <w:rPr>
          <w:rFonts w:ascii="Arial" w:hAnsi="Arial" w:eastAsia="Arial" w:cs="Arial"/>
          <w:noProof w:val="0"/>
          <w:sz w:val="22"/>
          <w:szCs w:val="22"/>
          <w:lang w:val="en-GB"/>
        </w:rPr>
        <w:t>operate</w:t>
      </w:r>
      <w:r w:rsidRPr="3B366774" w:rsidR="46D1F1A9">
        <w:rPr>
          <w:rFonts w:ascii="Arial" w:hAnsi="Arial" w:eastAsia="Arial" w:cs="Arial"/>
          <w:noProof w:val="0"/>
          <w:sz w:val="22"/>
          <w:szCs w:val="22"/>
          <w:lang w:val="en-GB"/>
        </w:rPr>
        <w:t xml:space="preserve"> under strict cost constraints, limiting their ability to compete on compensation, benefits, and working conditions (Harvey and Turnbull, 2012).</w:t>
      </w:r>
    </w:p>
    <w:p w:rsidR="46D1F1A9" w:rsidP="3B366774" w:rsidRDefault="46D1F1A9" w14:paraId="7DD9D322" w14:textId="4681E7C2">
      <w:pPr>
        <w:bidi w:val="0"/>
        <w:spacing w:before="120" w:beforeAutospacing="off" w:after="120" w:afterAutospacing="off" w:line="360" w:lineRule="auto"/>
        <w:jc w:val="both"/>
        <w:rPr>
          <w:rFonts w:ascii="Arial" w:hAnsi="Arial" w:eastAsia="Arial" w:cs="Arial"/>
          <w:noProof w:val="0"/>
          <w:sz w:val="22"/>
          <w:szCs w:val="22"/>
          <w:lang w:val="en-GB"/>
        </w:rPr>
      </w:pPr>
      <w:r w:rsidRPr="3B366774" w:rsidR="46D1F1A9">
        <w:rPr>
          <w:rFonts w:ascii="Arial" w:hAnsi="Arial" w:eastAsia="Arial" w:cs="Arial"/>
          <w:noProof w:val="0"/>
          <w:sz w:val="22"/>
          <w:szCs w:val="22"/>
          <w:lang w:val="en-GB"/>
        </w:rPr>
        <w:t xml:space="preserve">This creates a structural tension in which HRM must enhance retention while </w:t>
      </w:r>
      <w:r w:rsidRPr="3B366774" w:rsidR="46D1F1A9">
        <w:rPr>
          <w:rFonts w:ascii="Arial" w:hAnsi="Arial" w:eastAsia="Arial" w:cs="Arial"/>
          <w:noProof w:val="0"/>
          <w:sz w:val="22"/>
          <w:szCs w:val="22"/>
          <w:lang w:val="en-GB"/>
        </w:rPr>
        <w:t>operating</w:t>
      </w:r>
      <w:r w:rsidRPr="3B366774" w:rsidR="46D1F1A9">
        <w:rPr>
          <w:rFonts w:ascii="Arial" w:hAnsi="Arial" w:eastAsia="Arial" w:cs="Arial"/>
          <w:noProof w:val="0"/>
          <w:sz w:val="22"/>
          <w:szCs w:val="22"/>
          <w:lang w:val="en-GB"/>
        </w:rPr>
        <w:t xml:space="preserve"> within a model that prioritises cost minimisation. Strategically, this </w:t>
      </w:r>
      <w:r w:rsidRPr="3B366774" w:rsidR="46D1F1A9">
        <w:rPr>
          <w:rFonts w:ascii="Arial" w:hAnsi="Arial" w:eastAsia="Arial" w:cs="Arial"/>
          <w:noProof w:val="0"/>
          <w:sz w:val="22"/>
          <w:szCs w:val="22"/>
          <w:lang w:val="en-GB"/>
        </w:rPr>
        <w:t>constitutes</w:t>
      </w:r>
      <w:r w:rsidRPr="3B366774" w:rsidR="46D1F1A9">
        <w:rPr>
          <w:rFonts w:ascii="Arial" w:hAnsi="Arial" w:eastAsia="Arial" w:cs="Arial"/>
          <w:noProof w:val="0"/>
          <w:sz w:val="22"/>
          <w:szCs w:val="22"/>
          <w:lang w:val="en-GB"/>
        </w:rPr>
        <w:t xml:space="preserve"> a trade-off between cost leadership and human capital investment, where improvements in retention may directly conflict with financial </w:t>
      </w:r>
      <w:r w:rsidRPr="3B366774" w:rsidR="46D1F1A9">
        <w:rPr>
          <w:rFonts w:ascii="Arial" w:hAnsi="Arial" w:eastAsia="Arial" w:cs="Arial"/>
          <w:noProof w:val="0"/>
          <w:sz w:val="22"/>
          <w:szCs w:val="22"/>
          <w:lang w:val="en-GB"/>
        </w:rPr>
        <w:t>objectives</w:t>
      </w:r>
      <w:r w:rsidRPr="3B366774" w:rsidR="46D1F1A9">
        <w:rPr>
          <w:rFonts w:ascii="Arial" w:hAnsi="Arial" w:eastAsia="Arial" w:cs="Arial"/>
          <w:noProof w:val="0"/>
          <w:sz w:val="22"/>
          <w:szCs w:val="22"/>
          <w:lang w:val="en-GB"/>
        </w:rPr>
        <w:t>.</w:t>
      </w:r>
    </w:p>
    <w:p w:rsidR="46D1F1A9" w:rsidP="3B366774" w:rsidRDefault="46D1F1A9" w14:paraId="438636CD" w14:textId="7E2882B9">
      <w:pPr>
        <w:bidi w:val="0"/>
        <w:spacing w:before="120" w:beforeAutospacing="off" w:after="120" w:afterAutospacing="off" w:line="360" w:lineRule="auto"/>
        <w:jc w:val="both"/>
        <w:rPr>
          <w:rFonts w:ascii="Arial" w:hAnsi="Arial" w:eastAsia="Arial" w:cs="Arial"/>
          <w:noProof w:val="0"/>
          <w:sz w:val="22"/>
          <w:szCs w:val="22"/>
          <w:lang w:val="en-GB"/>
        </w:rPr>
      </w:pPr>
      <w:r w:rsidRPr="3B366774" w:rsidR="46D1F1A9">
        <w:rPr>
          <w:rFonts w:ascii="Arial" w:hAnsi="Arial" w:eastAsia="Arial" w:cs="Arial"/>
          <w:noProof w:val="0"/>
          <w:sz w:val="22"/>
          <w:szCs w:val="22"/>
          <w:lang w:val="en-GB"/>
        </w:rPr>
        <w:t>For easyJet, this suggests that HRM cannot be evaluated independently of the business model. Retention challenges should be viewed as an inherent feature of the low-cost strategy rather than only as a failure of HR practices.</w:t>
      </w:r>
    </w:p>
    <w:p w:rsidR="3B366774" w:rsidP="3B366774" w:rsidRDefault="3B366774" w14:paraId="0F10E4BF" w14:textId="628055A1">
      <w:pPr>
        <w:bidi w:val="0"/>
        <w:spacing w:before="120" w:beforeAutospacing="off" w:after="120" w:afterAutospacing="off" w:line="360" w:lineRule="auto"/>
        <w:jc w:val="both"/>
        <w:rPr>
          <w:rFonts w:ascii="Arial" w:hAnsi="Arial" w:eastAsia="Arial" w:cs="Arial"/>
          <w:sz w:val="22"/>
          <w:szCs w:val="22"/>
        </w:rPr>
      </w:pPr>
    </w:p>
    <w:p w:rsidR="46D1F1A9" w:rsidP="3B366774" w:rsidRDefault="46D1F1A9" w14:paraId="7766A2F5" w14:textId="6487B675">
      <w:pPr>
        <w:pStyle w:val="Heading2"/>
        <w:bidi w:val="0"/>
        <w:spacing w:line="360" w:lineRule="auto"/>
        <w:jc w:val="both"/>
        <w:rPr>
          <w:rFonts w:ascii="Arial" w:hAnsi="Arial" w:eastAsia="Arial" w:cs="Arial"/>
          <w:noProof w:val="0"/>
          <w:sz w:val="22"/>
          <w:szCs w:val="22"/>
          <w:lang w:val="en-GB"/>
        </w:rPr>
      </w:pPr>
      <w:bookmarkStart w:name="_Toc1242756774" w:id="624733981"/>
      <w:r w:rsidRPr="3B366774" w:rsidR="46D1F1A9">
        <w:rPr>
          <w:rFonts w:ascii="Arial" w:hAnsi="Arial" w:eastAsia="Arial" w:cs="Arial"/>
          <w:noProof w:val="0"/>
          <w:sz w:val="22"/>
          <w:szCs w:val="22"/>
          <w:lang w:val="en-GB"/>
        </w:rPr>
        <w:t>The Dominance of External Labour Market Forces</w:t>
      </w:r>
      <w:bookmarkEnd w:id="624733981"/>
      <w:r w:rsidRPr="3B366774" w:rsidR="46D1F1A9">
        <w:rPr>
          <w:rFonts w:ascii="Arial" w:hAnsi="Arial" w:eastAsia="Arial" w:cs="Arial"/>
          <w:noProof w:val="0"/>
          <w:sz w:val="22"/>
          <w:szCs w:val="22"/>
          <w:lang w:val="en-GB"/>
        </w:rPr>
        <w:t xml:space="preserve"> </w:t>
      </w:r>
    </w:p>
    <w:p w:rsidR="46D1F1A9" w:rsidP="3B366774" w:rsidRDefault="46D1F1A9" w14:paraId="197E873C" w14:textId="7D9F96FD">
      <w:pPr>
        <w:bidi w:val="0"/>
        <w:spacing w:before="120" w:beforeAutospacing="off" w:after="120" w:afterAutospacing="off" w:line="360" w:lineRule="auto"/>
        <w:jc w:val="both"/>
        <w:rPr>
          <w:rFonts w:ascii="Arial" w:hAnsi="Arial" w:eastAsia="Arial" w:cs="Arial"/>
          <w:noProof w:val="0"/>
          <w:sz w:val="22"/>
          <w:szCs w:val="22"/>
          <w:lang w:val="en-GB"/>
        </w:rPr>
      </w:pPr>
      <w:r w:rsidRPr="3B366774" w:rsidR="46D1F1A9">
        <w:rPr>
          <w:rFonts w:ascii="Arial" w:hAnsi="Arial" w:eastAsia="Arial" w:cs="Arial"/>
          <w:noProof w:val="0"/>
          <w:sz w:val="22"/>
          <w:szCs w:val="22"/>
          <w:lang w:val="en-GB"/>
        </w:rPr>
        <w:t xml:space="preserve">The findings underscore the extent to which pilot retention is </w:t>
      </w:r>
      <w:r w:rsidRPr="3B366774" w:rsidR="46D1F1A9">
        <w:rPr>
          <w:rFonts w:ascii="Arial" w:hAnsi="Arial" w:eastAsia="Arial" w:cs="Arial"/>
          <w:noProof w:val="0"/>
          <w:sz w:val="22"/>
          <w:szCs w:val="22"/>
          <w:lang w:val="en-GB"/>
        </w:rPr>
        <w:t>determined</w:t>
      </w:r>
      <w:r w:rsidRPr="3B366774" w:rsidR="46D1F1A9">
        <w:rPr>
          <w:rFonts w:ascii="Arial" w:hAnsi="Arial" w:eastAsia="Arial" w:cs="Arial"/>
          <w:noProof w:val="0"/>
          <w:sz w:val="22"/>
          <w:szCs w:val="22"/>
          <w:lang w:val="en-GB"/>
        </w:rPr>
        <w:t xml:space="preserve"> by external labour market conditions, including global shortages, regulatory barriers, and increasing requirements for skilled labour (Caraway, 2020; </w:t>
      </w:r>
      <w:r w:rsidRPr="3B366774" w:rsidR="5FD02165">
        <w:rPr>
          <w:rFonts w:ascii="Arial" w:hAnsi="Arial" w:eastAsia="Arial" w:cs="Arial"/>
          <w:noProof w:val="0"/>
          <w:sz w:val="22"/>
          <w:szCs w:val="22"/>
          <w:lang w:val="en-GB"/>
        </w:rPr>
        <w:t>Klapper &amp; Ruff-Stahl</w:t>
      </w:r>
      <w:r w:rsidRPr="3B366774" w:rsidR="46D1F1A9">
        <w:rPr>
          <w:rFonts w:ascii="Arial" w:hAnsi="Arial" w:eastAsia="Arial" w:cs="Arial"/>
          <w:noProof w:val="0"/>
          <w:sz w:val="22"/>
          <w:szCs w:val="22"/>
          <w:lang w:val="en-GB"/>
        </w:rPr>
        <w:t>, 2019). This reinforces the argument that retention cannot be fully controlled at the organisational level.</w:t>
      </w:r>
    </w:p>
    <w:p w:rsidR="46D1F1A9" w:rsidP="3B366774" w:rsidRDefault="46D1F1A9" w14:paraId="710BE1D0" w14:textId="1DF83B35">
      <w:pPr>
        <w:bidi w:val="0"/>
        <w:spacing w:before="120" w:beforeAutospacing="off" w:after="120" w:afterAutospacing="off" w:line="360" w:lineRule="auto"/>
        <w:jc w:val="both"/>
        <w:rPr>
          <w:rFonts w:ascii="Arial" w:hAnsi="Arial" w:eastAsia="Arial" w:cs="Arial"/>
          <w:noProof w:val="0"/>
          <w:sz w:val="22"/>
          <w:szCs w:val="22"/>
          <w:lang w:val="en-GB"/>
        </w:rPr>
      </w:pPr>
      <w:r w:rsidRPr="3B366774" w:rsidR="46D1F1A9">
        <w:rPr>
          <w:rFonts w:ascii="Arial" w:hAnsi="Arial" w:eastAsia="Arial" w:cs="Arial"/>
          <w:noProof w:val="0"/>
          <w:sz w:val="22"/>
          <w:szCs w:val="22"/>
          <w:lang w:val="en-GB"/>
        </w:rPr>
        <w:t xml:space="preserve">From a theoretical standpoint, this challenges firm-centric models of HRM by drawing attention to the importance of industry-level as well as institutional factors. Retention outcomes are not entirely </w:t>
      </w:r>
      <w:r w:rsidRPr="3B366774" w:rsidR="46D1F1A9">
        <w:rPr>
          <w:rFonts w:ascii="Arial" w:hAnsi="Arial" w:eastAsia="Arial" w:cs="Arial"/>
          <w:noProof w:val="0"/>
          <w:sz w:val="22"/>
          <w:szCs w:val="22"/>
          <w:lang w:val="en-GB"/>
        </w:rPr>
        <w:t>determined</w:t>
      </w:r>
      <w:r w:rsidRPr="3B366774" w:rsidR="46D1F1A9">
        <w:rPr>
          <w:rFonts w:ascii="Arial" w:hAnsi="Arial" w:eastAsia="Arial" w:cs="Arial"/>
          <w:noProof w:val="0"/>
          <w:sz w:val="22"/>
          <w:szCs w:val="22"/>
          <w:lang w:val="en-GB"/>
        </w:rPr>
        <w:t xml:space="preserve"> by organisational policies but are embedded within wider labour market systems. For easyJet, this implies that effective retention strategies must surpass internal HRM practices to encompass engagement with external stakeholders, including training institutions and governing authorities. This shows a development towards a workforce ecosystem perspective, in which talent management is regarded as a shared responsibility instead of only an organisational one.</w:t>
      </w:r>
    </w:p>
    <w:p w:rsidR="2D1AE827" w:rsidP="3B366774" w:rsidRDefault="2D1AE827" w14:paraId="3C801259" w14:textId="4B7CBA29">
      <w:pPr>
        <w:pStyle w:val="Heading1"/>
        <w:bidi w:val="0"/>
        <w:spacing w:line="360" w:lineRule="auto"/>
        <w:jc w:val="both"/>
        <w:rPr>
          <w:rFonts w:ascii="Arial" w:hAnsi="Arial" w:eastAsia="Arial" w:cs="Arial"/>
          <w:noProof w:val="0"/>
          <w:sz w:val="22"/>
          <w:szCs w:val="22"/>
          <w:lang w:val="en-GB"/>
        </w:rPr>
      </w:pPr>
      <w:bookmarkStart w:name="_Toc1621744466" w:id="2081883636"/>
      <w:bookmarkStart w:name="_Toc1221407959" w:id="584160513"/>
      <w:r w:rsidRPr="3B366774" w:rsidR="2D1AE827">
        <w:rPr>
          <w:rFonts w:ascii="Arial" w:hAnsi="Arial" w:eastAsia="Arial" w:cs="Arial"/>
          <w:noProof w:val="0"/>
          <w:sz w:val="22"/>
          <w:szCs w:val="22"/>
          <w:lang w:val="en-GB"/>
        </w:rPr>
        <w:t>Conclusion</w:t>
      </w:r>
      <w:bookmarkEnd w:id="2081883636"/>
      <w:bookmarkEnd w:id="584160513"/>
    </w:p>
    <w:p w:rsidR="034594A6" w:rsidP="3B366774" w:rsidRDefault="034594A6" w14:paraId="4C5CAEB6" w14:textId="1A32A916">
      <w:pPr>
        <w:bidi w:val="0"/>
        <w:spacing w:before="120" w:beforeAutospacing="off" w:after="120" w:afterAutospacing="off" w:line="360" w:lineRule="auto"/>
        <w:jc w:val="both"/>
        <w:rPr>
          <w:rFonts w:ascii="Arial" w:hAnsi="Arial" w:eastAsia="Arial" w:cs="Arial"/>
          <w:noProof w:val="0"/>
          <w:sz w:val="22"/>
          <w:szCs w:val="22"/>
          <w:lang w:val="en-GB"/>
        </w:rPr>
      </w:pPr>
      <w:r w:rsidRPr="3B366774" w:rsidR="03013082">
        <w:rPr>
          <w:rFonts w:ascii="Arial" w:hAnsi="Arial" w:eastAsia="Arial" w:cs="Arial"/>
          <w:noProof w:val="0"/>
          <w:sz w:val="22"/>
          <w:szCs w:val="22"/>
          <w:lang w:val="en-GB"/>
        </w:rPr>
        <w:t>This study examines the influence of Human Resource Management (HRM) practices on pilot engagement and retention within the strategic and functional constraints of low-cost airlines, using easyJet as the case study. Employing a mixed-methods strategy that integrates academic literature and organisational data analysis, the research explains the various drivers of pilot retention in a competitive, skill-intensive labour market.</w:t>
      </w:r>
    </w:p>
    <w:p w:rsidR="034594A6" w:rsidP="3B366774" w:rsidRDefault="034594A6" w14:paraId="79201539" w14:textId="00FA4BC2">
      <w:pPr>
        <w:bidi w:val="0"/>
        <w:spacing w:before="120" w:beforeAutospacing="off" w:after="120" w:afterAutospacing="off" w:line="360" w:lineRule="auto"/>
        <w:jc w:val="both"/>
        <w:rPr>
          <w:rFonts w:ascii="Arial" w:hAnsi="Arial" w:eastAsia="Arial" w:cs="Arial"/>
          <w:noProof w:val="0"/>
          <w:sz w:val="22"/>
          <w:szCs w:val="22"/>
          <w:lang w:val="en-GB"/>
        </w:rPr>
      </w:pPr>
      <w:r w:rsidRPr="3B366774" w:rsidR="03013082">
        <w:rPr>
          <w:rFonts w:ascii="Arial" w:hAnsi="Arial" w:eastAsia="Arial" w:cs="Arial"/>
          <w:noProof w:val="0"/>
          <w:sz w:val="22"/>
          <w:szCs w:val="22"/>
          <w:lang w:val="en-GB"/>
        </w:rPr>
        <w:t>The evidence suggests that HRM practices have a direct impact on employee engagement and retention. Four principal themes are identified in the literature: pay and compensation, training and development, organisational support and communication, and working conditions. These mechanisms mutually influence employee outcomes. Organisational support and communication emerge as the most prominent and consistent drivers of engagement. Numerous studies show that transparent communication, supportive leadership, and organisational investment strengthen employee engagement, job satisfaction, and well-being (Guest, 2017; Ogbonnaya and Messersmith, 2019; Pahos &amp; Galanaki, 2022; Vu, 2022). These results correspond with Social Exchange Theory, which suggests that employees reciprocate organisational support with increased commitment and positive attitudes (Gould-Williams &amp; Davies, 2005).</w:t>
      </w:r>
    </w:p>
    <w:p w:rsidR="034594A6" w:rsidP="3B366774" w:rsidRDefault="034594A6" w14:paraId="494E0498" w14:textId="2FE50AD1">
      <w:pPr>
        <w:bidi w:val="0"/>
        <w:spacing w:before="120" w:beforeAutospacing="off" w:after="120" w:afterAutospacing="off" w:line="360" w:lineRule="auto"/>
        <w:jc w:val="both"/>
        <w:rPr>
          <w:rFonts w:ascii="Arial" w:hAnsi="Arial" w:eastAsia="Arial" w:cs="Arial"/>
          <w:noProof w:val="0"/>
          <w:sz w:val="22"/>
          <w:szCs w:val="22"/>
          <w:lang w:val="en-GB"/>
        </w:rPr>
      </w:pPr>
      <w:r w:rsidRPr="3B366774" w:rsidR="03013082">
        <w:rPr>
          <w:rFonts w:ascii="Arial" w:hAnsi="Arial" w:eastAsia="Arial" w:cs="Arial"/>
          <w:noProof w:val="0"/>
          <w:sz w:val="22"/>
          <w:szCs w:val="22"/>
          <w:lang w:val="en-GB"/>
        </w:rPr>
        <w:t>However, research indicates that although organisational support and communication elevate engagement, their effect on long-term retention is limited. Engagement refers to employees' affective and cognitive connection to their work, whereas retention concerns the decision to remain with the organisation. Employees may value positive environments and effective communication, yet still choose to leave for superior financial or career opportunities (Renaud et al., 2015; Peyrat, Grefe &amp; Subramaanian, 2022). This distinction disputes the assumption that improving employee experience alone guarantees long-term employee retention. In highly mobile, skill-scarce sectors such as aviation, this limitation is distinctly apparent, pointing to the necessity for HRM strategies that reach beyond relational practices.</w:t>
      </w:r>
    </w:p>
    <w:p w:rsidR="034594A6" w:rsidP="3B366774" w:rsidRDefault="034594A6" w14:paraId="31BEE49A" w14:textId="692F0723">
      <w:pPr>
        <w:bidi w:val="0"/>
        <w:spacing w:before="120" w:beforeAutospacing="off" w:after="120" w:afterAutospacing="off" w:line="360" w:lineRule="auto"/>
        <w:jc w:val="both"/>
        <w:rPr>
          <w:rFonts w:ascii="Arial" w:hAnsi="Arial" w:eastAsia="Arial" w:cs="Arial"/>
          <w:noProof w:val="0"/>
          <w:sz w:val="22"/>
          <w:szCs w:val="22"/>
          <w:lang w:val="en-GB"/>
        </w:rPr>
      </w:pPr>
      <w:r w:rsidRPr="3B366774" w:rsidR="03013082">
        <w:rPr>
          <w:rFonts w:ascii="Arial" w:hAnsi="Arial" w:eastAsia="Arial" w:cs="Arial"/>
          <w:noProof w:val="0"/>
          <w:sz w:val="22"/>
          <w:szCs w:val="22"/>
          <w:lang w:val="en-GB"/>
        </w:rPr>
        <w:t>In relation to Research Question 1, training and development as well as compensation are significant, yet organisational support is referenced more frequently and consistently in the literature. Training and development strengthen employee capability and engagement (Renaud et al., 2015; Tej et al., 2021), but they may also increase external employability. Compensation and reward systems influence retention; however, their effectiveness is limited by external labour-market comparisons and perceptions of fairness (Muofhe, 2021; Aksoy, 2024; Belderbos et al., 2025). The results indicate that no single HRM practice can ensure retention.</w:t>
      </w:r>
    </w:p>
    <w:p w:rsidR="034594A6" w:rsidP="3B366774" w:rsidRDefault="034594A6" w14:paraId="7F27B2E9" w14:textId="6B3898E0">
      <w:pPr>
        <w:bidi w:val="0"/>
        <w:spacing w:before="120" w:beforeAutospacing="off" w:after="120" w:afterAutospacing="off" w:line="360" w:lineRule="auto"/>
        <w:jc w:val="both"/>
        <w:rPr>
          <w:rFonts w:ascii="Arial" w:hAnsi="Arial" w:eastAsia="Arial" w:cs="Arial"/>
          <w:noProof w:val="0"/>
          <w:sz w:val="22"/>
          <w:szCs w:val="22"/>
          <w:lang w:val="en-GB"/>
        </w:rPr>
      </w:pPr>
      <w:r w:rsidRPr="3B366774" w:rsidR="03013082">
        <w:rPr>
          <w:rFonts w:ascii="Arial" w:hAnsi="Arial" w:eastAsia="Arial" w:cs="Arial"/>
          <w:noProof w:val="0"/>
          <w:sz w:val="22"/>
          <w:szCs w:val="22"/>
          <w:lang w:val="en-GB"/>
        </w:rPr>
        <w:t xml:space="preserve">Working conditions further complicate this relationship. Elements such as workload, fatigue, and scheduling have a substantial impact on employee well-being and retention, especially in aviation, where operational demands are considerable (Jackson and Earl, 2006; </w:t>
      </w:r>
      <w:r w:rsidRPr="3B366774" w:rsidR="5EC1B82B">
        <w:rPr>
          <w:rFonts w:ascii="Arial" w:hAnsi="Arial" w:eastAsia="Arial" w:cs="Arial"/>
          <w:noProof w:val="0"/>
          <w:sz w:val="22"/>
          <w:szCs w:val="22"/>
          <w:lang w:val="en-GB"/>
        </w:rPr>
        <w:t>Maxwell &amp; Grant</w:t>
      </w:r>
      <w:r w:rsidRPr="3B366774" w:rsidR="03013082">
        <w:rPr>
          <w:rFonts w:ascii="Arial" w:hAnsi="Arial" w:eastAsia="Arial" w:cs="Arial"/>
          <w:noProof w:val="0"/>
          <w:sz w:val="22"/>
          <w:szCs w:val="22"/>
          <w:lang w:val="en-GB"/>
        </w:rPr>
        <w:t xml:space="preserve">, 2021). However, efforts to improve working conditions are </w:t>
      </w:r>
      <w:r w:rsidRPr="3B366774" w:rsidR="03013082">
        <w:rPr>
          <w:rFonts w:ascii="Arial" w:hAnsi="Arial" w:eastAsia="Arial" w:cs="Arial"/>
          <w:noProof w:val="0"/>
          <w:sz w:val="22"/>
          <w:szCs w:val="22"/>
          <w:lang w:val="en-GB"/>
        </w:rPr>
        <w:t>frequently</w:t>
      </w:r>
      <w:r w:rsidRPr="3B366774" w:rsidR="03013082">
        <w:rPr>
          <w:rFonts w:ascii="Arial" w:hAnsi="Arial" w:eastAsia="Arial" w:cs="Arial"/>
          <w:noProof w:val="0"/>
          <w:sz w:val="22"/>
          <w:szCs w:val="22"/>
          <w:lang w:val="en-GB"/>
        </w:rPr>
        <w:t xml:space="preserve"> restricted by the operational imperatives of the low-cost carrier (LCC) model, which prioritises efficiency and cost minimisation. This creates a structural tension between HRM objectives and business strategy, limiting the extent to which organisations can optimise working environments.</w:t>
      </w:r>
    </w:p>
    <w:p w:rsidR="034594A6" w:rsidP="3B366774" w:rsidRDefault="034594A6" w14:paraId="02C3B001" w14:textId="061C8F7E">
      <w:pPr>
        <w:bidi w:val="0"/>
        <w:spacing w:before="120" w:beforeAutospacing="off" w:after="120" w:afterAutospacing="off" w:line="360" w:lineRule="auto"/>
        <w:jc w:val="both"/>
        <w:rPr>
          <w:rFonts w:ascii="Arial" w:hAnsi="Arial" w:eastAsia="Arial" w:cs="Arial"/>
          <w:noProof w:val="0"/>
          <w:sz w:val="22"/>
          <w:szCs w:val="22"/>
          <w:lang w:val="en-GB"/>
        </w:rPr>
      </w:pPr>
      <w:r w:rsidRPr="3B366774" w:rsidR="03013082">
        <w:rPr>
          <w:rFonts w:ascii="Arial" w:hAnsi="Arial" w:eastAsia="Arial" w:cs="Arial"/>
          <w:noProof w:val="0"/>
          <w:sz w:val="22"/>
          <w:szCs w:val="22"/>
          <w:lang w:val="en-GB"/>
        </w:rPr>
        <w:t>Research Questions 2 and 3 build upon these understandings by analysing the implementation of HRM practices within the specific context of easyJet. The narrative synthesis reveals that easyJet places considerable emphasis on communication, employee engagement, and organisational culture, indicating the importance of relational HRM practices identified in the literature. Publicly available data indicate that the organisation invests in transparent messaging channels, development programmes, and employee health initiatives (easyJet, 2025). Nevertheless, these practices are determined by operational constraints built into the low-cost model, such as high utilisation rates and cost pressures. Consequently, the ability of HRM practices to fully address retention challenges is limited.</w:t>
      </w:r>
    </w:p>
    <w:p w:rsidR="034594A6" w:rsidP="3B366774" w:rsidRDefault="034594A6" w14:paraId="59DC341A" w14:textId="3013FE49">
      <w:pPr>
        <w:bidi w:val="0"/>
        <w:spacing w:before="120" w:beforeAutospacing="off" w:after="120" w:afterAutospacing="off" w:line="360" w:lineRule="auto"/>
        <w:jc w:val="both"/>
        <w:rPr>
          <w:rFonts w:ascii="Arial" w:hAnsi="Arial" w:eastAsia="Arial" w:cs="Arial"/>
          <w:noProof w:val="0"/>
          <w:sz w:val="22"/>
          <w:szCs w:val="22"/>
          <w:lang w:val="en-GB"/>
        </w:rPr>
      </w:pPr>
      <w:r w:rsidRPr="3B366774" w:rsidR="03013082">
        <w:rPr>
          <w:rFonts w:ascii="Arial" w:hAnsi="Arial" w:eastAsia="Arial" w:cs="Arial"/>
          <w:noProof w:val="0"/>
          <w:sz w:val="22"/>
          <w:szCs w:val="22"/>
          <w:lang w:val="en-GB"/>
        </w:rPr>
        <w:t>Additionally, the findings show the substantial consequence of external labour market forces, notably the global pilot shortage and rising international mobility (Leroux Parra, 2019; Klapper &amp; Ruff-Stahl, 2019; Caraway, 2020). These factors diminish organisational control over retention outcomes, as pilots can leverage their skills in a competitive international market. This supports the argument that retention is influenced not only by internal HRM practices together with by external conditions.</w:t>
      </w:r>
    </w:p>
    <w:p w:rsidR="034594A6" w:rsidP="3B366774" w:rsidRDefault="034594A6" w14:paraId="090B9A1C" w14:textId="257AC226">
      <w:pPr>
        <w:bidi w:val="0"/>
        <w:spacing w:before="120" w:beforeAutospacing="off" w:after="120" w:afterAutospacing="off" w:line="360" w:lineRule="auto"/>
        <w:jc w:val="both"/>
        <w:rPr>
          <w:rFonts w:ascii="Arial" w:hAnsi="Arial" w:eastAsia="Arial" w:cs="Arial"/>
          <w:noProof w:val="0"/>
          <w:sz w:val="22"/>
          <w:szCs w:val="22"/>
          <w:lang w:val="en-GB"/>
        </w:rPr>
      </w:pPr>
      <w:r w:rsidRPr="3B366774" w:rsidR="03013082">
        <w:rPr>
          <w:rFonts w:ascii="Arial" w:hAnsi="Arial" w:eastAsia="Arial" w:cs="Arial"/>
          <w:noProof w:val="0"/>
          <w:sz w:val="22"/>
          <w:szCs w:val="22"/>
          <w:lang w:val="en-GB"/>
        </w:rPr>
        <w:t>In addressing Research Question 4, the study identifies several important consequences for HRM strategy. First, organisations must recognise that engagement refers to employees’ emotive and cognitive connection to their work, whereas retention refers to employees remaining with the organisation. Each is a linked but unique outcome, and each requires a distinct strategic plan. While organisational support and communication are key for fostering engagement, competitive compensation, clear career pathways, and sustainable working conditions are necessary to influence retention (Pathomphatthaphan, Das, &amp; Lalatendu Kesari, 2024; Zhang &amp; Jia, 2010). Second, HRM strategies should be integrated and context-sensitive. They must acknowledge the restrictions placed on business models and external labour markets. Third, organisations should adopt a more realistic perspective on retention. They must recognise the limits of their power in highly mobile labour environments.</w:t>
      </w:r>
    </w:p>
    <w:p w:rsidR="034594A6" w:rsidP="3B366774" w:rsidRDefault="034594A6" w14:paraId="03E2A257" w14:textId="4F80E6F8">
      <w:pPr>
        <w:bidi w:val="0"/>
        <w:spacing w:before="120" w:beforeAutospacing="off" w:after="120" w:afterAutospacing="off" w:line="360" w:lineRule="auto"/>
        <w:jc w:val="both"/>
        <w:rPr>
          <w:rFonts w:ascii="Arial" w:hAnsi="Arial" w:eastAsia="Arial" w:cs="Arial"/>
          <w:noProof w:val="0"/>
          <w:sz w:val="22"/>
          <w:szCs w:val="22"/>
          <w:lang w:val="en-GB"/>
        </w:rPr>
      </w:pPr>
      <w:r w:rsidRPr="3B366774" w:rsidR="03013082">
        <w:rPr>
          <w:rFonts w:ascii="Arial" w:hAnsi="Arial" w:eastAsia="Arial" w:cs="Arial"/>
          <w:noProof w:val="0"/>
          <w:sz w:val="22"/>
          <w:szCs w:val="22"/>
          <w:lang w:val="en-GB"/>
        </w:rPr>
        <w:t>Despite its contributions, the study meets several limitations. Reliance on secondary data, especially publicly available organisational sources, poses possible bias, as such data may present a curated perspective on HRM practices (Fleischer &amp; Khalil, 2024). Although triangulation with academic literature partially mitigates this issue, the absence of primary data restricts insight into employee perspectives. Subsequent research could address this restriction through qualitative methods, such as interviews or surveys with pilots.</w:t>
      </w:r>
    </w:p>
    <w:p w:rsidR="034594A6" w:rsidP="3B366774" w:rsidRDefault="034594A6" w14:paraId="7E75EB7F" w14:textId="3BC9CEDB">
      <w:pPr>
        <w:bidi w:val="0"/>
        <w:spacing w:before="120" w:beforeAutospacing="off" w:after="120" w:afterAutospacing="off" w:line="360" w:lineRule="auto"/>
        <w:jc w:val="both"/>
        <w:rPr>
          <w:rFonts w:ascii="Arial" w:hAnsi="Arial" w:eastAsia="Arial" w:cs="Arial"/>
          <w:noProof w:val="0"/>
          <w:sz w:val="22"/>
          <w:szCs w:val="22"/>
          <w:lang w:val="en-GB"/>
        </w:rPr>
      </w:pPr>
      <w:r w:rsidRPr="3B366774" w:rsidR="03013082">
        <w:rPr>
          <w:rFonts w:ascii="Arial" w:hAnsi="Arial" w:eastAsia="Arial" w:cs="Arial"/>
          <w:noProof w:val="0"/>
          <w:sz w:val="22"/>
          <w:szCs w:val="22"/>
          <w:lang w:val="en-GB"/>
        </w:rPr>
        <w:t>Furthermore, the use of a single case study restricts the generalisability of the findings. While easyJet offers a relevant and insightful context, the results may not be fully representative of other airlines or industries. Comparative studies across different airline models would strengthen the understanding of how HRM practices operate under varied conditions.</w:t>
      </w:r>
    </w:p>
    <w:p w:rsidR="034594A6" w:rsidP="3B366774" w:rsidRDefault="034594A6" w14:paraId="2C679032" w14:textId="4CC457D4">
      <w:pPr>
        <w:bidi w:val="0"/>
        <w:spacing w:before="120" w:beforeAutospacing="off" w:after="120" w:afterAutospacing="off" w:line="360" w:lineRule="auto"/>
        <w:jc w:val="both"/>
        <w:rPr>
          <w:rFonts w:ascii="Arial" w:hAnsi="Arial" w:eastAsia="Arial" w:cs="Arial"/>
          <w:noProof w:val="0"/>
          <w:sz w:val="22"/>
          <w:szCs w:val="22"/>
          <w:lang w:val="en-GB"/>
        </w:rPr>
      </w:pPr>
      <w:r w:rsidRPr="3B366774" w:rsidR="03013082">
        <w:rPr>
          <w:rFonts w:ascii="Arial" w:hAnsi="Arial" w:eastAsia="Arial" w:cs="Arial"/>
          <w:noProof w:val="0"/>
          <w:sz w:val="22"/>
          <w:szCs w:val="22"/>
          <w:lang w:val="en-GB"/>
        </w:rPr>
        <w:t>The deductive approach adopted in this study also involves limitations. Although it offers a clear conceptual framework, it may restrict the identification of emergent insights. Additional research could incorporate more inductive or abductive methodologies to more precisely capture unexpected dynamics occurring within complex organisational environments.</w:t>
      </w:r>
    </w:p>
    <w:p w:rsidR="034594A6" w:rsidP="3B366774" w:rsidRDefault="034594A6" w14:paraId="7EAED509" w14:textId="680E5E39">
      <w:pPr>
        <w:bidi w:val="0"/>
        <w:spacing w:before="120" w:beforeAutospacing="off" w:after="120" w:afterAutospacing="off" w:line="360" w:lineRule="auto"/>
        <w:jc w:val="both"/>
        <w:rPr>
          <w:rFonts w:ascii="Arial" w:hAnsi="Arial" w:eastAsia="Arial" w:cs="Arial"/>
          <w:noProof w:val="0"/>
          <w:sz w:val="22"/>
          <w:szCs w:val="22"/>
          <w:lang w:val="en-GB"/>
        </w:rPr>
      </w:pPr>
      <w:r w:rsidRPr="3B366774" w:rsidR="03013082">
        <w:rPr>
          <w:rFonts w:ascii="Arial" w:hAnsi="Arial" w:eastAsia="Arial" w:cs="Arial"/>
          <w:noProof w:val="0"/>
          <w:sz w:val="22"/>
          <w:szCs w:val="22"/>
          <w:lang w:val="en-GB"/>
        </w:rPr>
        <w:t>Finally, the ever-changing nature of the aviation industry results in persistently evolving retention challenges. Longitudinal research would deliver valuable insights into how HRM practices and labour market conditions interact over time.</w:t>
      </w:r>
    </w:p>
    <w:p w:rsidR="034594A6" w:rsidP="3B366774" w:rsidRDefault="034594A6" w14:paraId="04FF1B14" w14:textId="68FFC6B7">
      <w:pPr>
        <w:bidi w:val="0"/>
        <w:spacing w:before="120" w:beforeAutospacing="off" w:after="120" w:afterAutospacing="off" w:line="360" w:lineRule="auto"/>
        <w:jc w:val="both"/>
        <w:rPr>
          <w:rFonts w:ascii="Arial" w:hAnsi="Arial" w:eastAsia="Arial" w:cs="Arial"/>
          <w:noProof w:val="0"/>
          <w:sz w:val="22"/>
          <w:szCs w:val="22"/>
          <w:lang w:val="en-GB"/>
        </w:rPr>
      </w:pPr>
      <w:r w:rsidRPr="3B366774" w:rsidR="03013082">
        <w:rPr>
          <w:rFonts w:ascii="Arial" w:hAnsi="Arial" w:eastAsia="Arial" w:cs="Arial"/>
          <w:noProof w:val="0"/>
          <w:sz w:val="22"/>
          <w:szCs w:val="22"/>
          <w:lang w:val="en-GB"/>
        </w:rPr>
        <w:t>In conclusion, this study indicates that organisational support and communication are the most significant drivers of employee engagement within the HRM literature. However, their influence on retention is limited by organisational and external factors, especially within the low-cost airline model. Retention does not result directly from HRM practices but emerges from complicated interactions among internal strategies, operational constraints, and labour market forces. These conclusions reinforce the necessity for integrated, realistic, and context-sensitive HRM approaches to address the long-standing challenge of pilot retention in the aviation industry.</w:t>
      </w:r>
    </w:p>
    <w:p w:rsidR="034594A6" w:rsidP="3B366774" w:rsidRDefault="034594A6" w14:paraId="3E839B7A" w14:textId="285AB6BC">
      <w:pPr>
        <w:pStyle w:val="Normal"/>
        <w:bidi w:val="0"/>
        <w:spacing w:line="360" w:lineRule="auto"/>
        <w:jc w:val="both"/>
        <w:rPr>
          <w:rFonts w:ascii="Arial" w:hAnsi="Arial" w:eastAsia="Arial" w:cs="Arial"/>
          <w:noProof w:val="0"/>
          <w:sz w:val="22"/>
          <w:szCs w:val="22"/>
          <w:lang w:val="en-GB"/>
        </w:rPr>
      </w:pPr>
    </w:p>
    <w:p w:rsidR="034594A6" w:rsidP="3B366774" w:rsidRDefault="034594A6" w14:paraId="4AA82B97" w14:textId="2520B28D">
      <w:pPr>
        <w:pStyle w:val="Normal"/>
        <w:bidi w:val="0"/>
        <w:spacing w:before="120" w:beforeAutospacing="off" w:after="120" w:afterAutospacing="off" w:line="360" w:lineRule="auto"/>
        <w:ind w:left="0"/>
        <w:jc w:val="both"/>
        <w:rPr>
          <w:rFonts w:ascii="Arial" w:hAnsi="Arial" w:eastAsia="Arial" w:cs="Arial"/>
          <w:b w:val="1"/>
          <w:bCs w:val="1"/>
          <w:noProof w:val="0"/>
          <w:sz w:val="22"/>
          <w:szCs w:val="22"/>
          <w:lang w:val="en-GB"/>
        </w:rPr>
      </w:pPr>
    </w:p>
    <w:p w:rsidR="243BEF60" w:rsidP="3B366774" w:rsidRDefault="243BEF60" w14:paraId="5537F3DD" w14:textId="024C857C">
      <w:pPr>
        <w:pStyle w:val="Normal"/>
        <w:suppressLineNumbers w:val="0"/>
        <w:bidi w:val="0"/>
        <w:spacing w:before="120" w:beforeAutospacing="off" w:after="120" w:afterAutospacing="off" w:line="360" w:lineRule="auto"/>
        <w:ind w:left="0"/>
        <w:jc w:val="both"/>
        <w:rPr>
          <w:rFonts w:ascii="Arial" w:hAnsi="Arial" w:eastAsia="Arial" w:cs="Arial"/>
          <w:b w:val="0"/>
          <w:bCs w:val="0"/>
          <w:noProof w:val="0"/>
          <w:sz w:val="22"/>
          <w:szCs w:val="22"/>
          <w:lang w:val="en-GB"/>
        </w:rPr>
      </w:pPr>
    </w:p>
    <w:p w:rsidR="3B366774" w:rsidRDefault="3B366774" w14:paraId="33F5941A" w14:textId="047CB7AF">
      <w:r>
        <w:br w:type="page"/>
      </w:r>
    </w:p>
    <w:p w:rsidR="3B366774" w:rsidP="3B366774" w:rsidRDefault="3B366774" w14:paraId="35E76F17" w14:textId="74CB60BF">
      <w:pPr>
        <w:pStyle w:val="Normal"/>
        <w:bidi w:val="0"/>
        <w:spacing w:before="120" w:beforeAutospacing="off" w:after="120" w:afterAutospacing="off" w:line="360" w:lineRule="auto"/>
        <w:ind w:left="0"/>
        <w:jc w:val="both"/>
        <w:rPr>
          <w:rFonts w:ascii="Arial" w:hAnsi="Arial" w:eastAsia="Arial" w:cs="Arial"/>
          <w:b w:val="0"/>
          <w:bCs w:val="0"/>
          <w:noProof w:val="0"/>
          <w:sz w:val="22"/>
          <w:szCs w:val="22"/>
          <w:lang w:val="en-GB"/>
        </w:rPr>
      </w:pPr>
    </w:p>
    <w:p w:rsidR="34F66F96" w:rsidP="3B366774" w:rsidRDefault="34F66F96" w14:paraId="6F97C21B" w14:textId="5EA54E08">
      <w:pPr>
        <w:pStyle w:val="Normal"/>
        <w:suppressLineNumbers w:val="0"/>
        <w:bidi w:val="0"/>
        <w:spacing w:before="0" w:beforeAutospacing="off" w:after="160" w:afterAutospacing="off" w:line="360" w:lineRule="auto"/>
        <w:ind/>
        <w:jc w:val="both"/>
        <w:rPr>
          <w:rFonts w:ascii="Arial" w:hAnsi="Arial" w:eastAsia="Arial" w:cs="Arial"/>
          <w:sz w:val="22"/>
          <w:szCs w:val="22"/>
        </w:rPr>
      </w:pPr>
      <w:r w:rsidRPr="3B366774" w:rsidR="34F66F96">
        <w:rPr>
          <w:rFonts w:ascii="Arial" w:hAnsi="Arial" w:eastAsia="Arial" w:cs="Arial"/>
          <w:sz w:val="22"/>
          <w:szCs w:val="22"/>
        </w:rPr>
        <w:t>References</w:t>
      </w:r>
    </w:p>
    <w:p w:rsidR="6BCC0B94" w:rsidP="3B366774" w:rsidRDefault="6BCC0B94" w14:paraId="0A54ECB2" w14:textId="66AB0C74">
      <w:pPr>
        <w:pStyle w:val="Normal"/>
        <w:suppressLineNumbers w:val="0"/>
        <w:bidi w:val="0"/>
        <w:spacing w:before="0" w:beforeAutospacing="off" w:after="160" w:afterAutospacing="off" w:line="360" w:lineRule="auto"/>
        <w:ind w:left="0" w:right="0"/>
        <w:jc w:val="both"/>
        <w:rPr>
          <w:rFonts w:ascii="Arial" w:hAnsi="Arial" w:eastAsia="Arial" w:cs="Arial"/>
          <w:sz w:val="22"/>
          <w:szCs w:val="22"/>
        </w:rPr>
      </w:pPr>
      <w:r w:rsidRPr="3B366774" w:rsidR="60477B2B">
        <w:rPr>
          <w:rFonts w:ascii="Arial" w:hAnsi="Arial" w:eastAsia="Arial" w:cs="Arial"/>
          <w:sz w:val="22"/>
          <w:szCs w:val="22"/>
        </w:rPr>
        <w:t>Adom, A.Y. (2018) “The role of commission-based pay on employee retention in the Ghanaian banking industry : the case of GCB Bank Limited,” Africa’s public service delivery &amp; performance review, 6(1), pp. 1–5. Available at: https://doi.org/10.4102/apsdpr.v6i1.228.</w:t>
      </w:r>
    </w:p>
    <w:p w:rsidR="6BCC0B94" w:rsidP="3B366774" w:rsidRDefault="6BCC0B94" w14:paraId="0F4C95A4" w14:textId="26EB4982">
      <w:pPr>
        <w:suppressLineNumbers w:val="0"/>
        <w:bidi w:val="0"/>
        <w:spacing w:before="0" w:beforeAutospacing="off" w:after="0" w:afterAutospacing="off" w:line="279" w:lineRule="auto"/>
        <w:ind/>
        <w:jc w:val="both"/>
      </w:pPr>
      <w:r w:rsidRPr="3B366774" w:rsidR="60477B2B">
        <w:rPr>
          <w:rFonts w:ascii="Arial" w:hAnsi="Arial" w:eastAsia="Arial" w:cs="Arial"/>
          <w:noProof w:val="0"/>
          <w:sz w:val="22"/>
          <w:szCs w:val="22"/>
          <w:lang w:val="en-GB"/>
        </w:rPr>
        <w:t xml:space="preserve">Aksoy, E. (2024) “Investigating the Effects of </w:t>
      </w:r>
      <w:r w:rsidRPr="3B366774" w:rsidR="4E716085">
        <w:rPr>
          <w:rFonts w:ascii="Arial" w:hAnsi="Arial" w:eastAsia="Arial" w:cs="Arial"/>
          <w:noProof w:val="0"/>
          <w:sz w:val="22"/>
          <w:szCs w:val="22"/>
          <w:lang w:val="en-GB"/>
        </w:rPr>
        <w:t>Organisation</w:t>
      </w:r>
      <w:r w:rsidRPr="3B366774" w:rsidR="60477B2B">
        <w:rPr>
          <w:rFonts w:ascii="Arial" w:hAnsi="Arial" w:eastAsia="Arial" w:cs="Arial"/>
          <w:noProof w:val="0"/>
          <w:sz w:val="22"/>
          <w:szCs w:val="22"/>
          <w:lang w:val="en-GB"/>
        </w:rPr>
        <w:t xml:space="preserve">al Long-Term Orientation and Employees’ Pay Satisfaction on Turnover Intentions,” </w:t>
      </w:r>
      <w:r w:rsidRPr="3B366774" w:rsidR="60477B2B">
        <w:rPr>
          <w:rFonts w:ascii="Arial" w:hAnsi="Arial" w:eastAsia="Arial" w:cs="Arial"/>
          <w:i w:val="1"/>
          <w:iCs w:val="1"/>
          <w:noProof w:val="0"/>
          <w:sz w:val="22"/>
          <w:szCs w:val="22"/>
          <w:lang w:val="en-GB"/>
        </w:rPr>
        <w:t>Business and economics research journal</w:t>
      </w:r>
      <w:r w:rsidRPr="3B366774" w:rsidR="60477B2B">
        <w:rPr>
          <w:rFonts w:ascii="Arial" w:hAnsi="Arial" w:eastAsia="Arial" w:cs="Arial"/>
          <w:noProof w:val="0"/>
          <w:sz w:val="22"/>
          <w:szCs w:val="22"/>
          <w:lang w:val="en-GB"/>
        </w:rPr>
        <w:t xml:space="preserve">, 15(3), pp. 277–290. Available at: </w:t>
      </w:r>
      <w:hyperlink r:id="Ra8d4043a5a284e8a">
        <w:r w:rsidRPr="3B366774" w:rsidR="60477B2B">
          <w:rPr>
            <w:rStyle w:val="Hyperlink"/>
            <w:rFonts w:ascii="Arial" w:hAnsi="Arial" w:eastAsia="Arial" w:cs="Arial"/>
            <w:noProof w:val="0"/>
            <w:sz w:val="22"/>
            <w:szCs w:val="22"/>
            <w:lang w:val="en-GB"/>
          </w:rPr>
          <w:t>https://doi.org/10.20409/berj.2024.445</w:t>
        </w:r>
      </w:hyperlink>
      <w:r w:rsidRPr="3B366774" w:rsidR="60477B2B">
        <w:rPr>
          <w:rFonts w:ascii="Arial" w:hAnsi="Arial" w:eastAsia="Arial" w:cs="Arial"/>
          <w:noProof w:val="0"/>
          <w:sz w:val="22"/>
          <w:szCs w:val="22"/>
          <w:lang w:val="en-GB"/>
        </w:rPr>
        <w:t>.</w:t>
      </w:r>
    </w:p>
    <w:p w:rsidR="6BCC0B94" w:rsidP="3B366774" w:rsidRDefault="6BCC0B94" w14:paraId="63D3EE31" w14:textId="156B6798">
      <w:pPr>
        <w:pStyle w:val="Normal"/>
        <w:suppressLineNumbers w:val="0"/>
        <w:bidi w:val="0"/>
        <w:spacing w:before="0" w:beforeAutospacing="off" w:after="160" w:afterAutospacing="off" w:line="360" w:lineRule="auto"/>
        <w:ind w:left="0" w:right="0"/>
        <w:jc w:val="both"/>
        <w:rPr>
          <w:rFonts w:ascii="Arial" w:hAnsi="Arial" w:eastAsia="Arial" w:cs="Arial"/>
          <w:sz w:val="22"/>
          <w:szCs w:val="22"/>
        </w:rPr>
      </w:pPr>
    </w:p>
    <w:p w:rsidR="243BEF60" w:rsidP="3B366774" w:rsidRDefault="243BEF60" w14:paraId="4B801EBF" w14:textId="0E436479">
      <w:pPr>
        <w:suppressLineNumbers w:val="0"/>
        <w:bidi w:val="0"/>
        <w:spacing w:before="0" w:beforeAutospacing="off" w:after="0" w:afterAutospacing="off" w:line="279" w:lineRule="auto"/>
        <w:ind/>
        <w:jc w:val="both"/>
      </w:pPr>
      <w:r w:rsidRPr="3B366774" w:rsidR="60477B2B">
        <w:rPr>
          <w:rFonts w:ascii="Arial" w:hAnsi="Arial" w:eastAsia="Arial" w:cs="Arial"/>
          <w:noProof w:val="0"/>
          <w:sz w:val="22"/>
          <w:szCs w:val="22"/>
          <w:lang w:val="en-GB"/>
        </w:rPr>
        <w:t xml:space="preserve">Auer, E.M. </w:t>
      </w:r>
      <w:r w:rsidRPr="3B366774" w:rsidR="60477B2B">
        <w:rPr>
          <w:rFonts w:ascii="Arial" w:hAnsi="Arial" w:eastAsia="Arial" w:cs="Arial"/>
          <w:i w:val="1"/>
          <w:iCs w:val="1"/>
          <w:noProof w:val="0"/>
          <w:sz w:val="22"/>
          <w:szCs w:val="22"/>
          <w:lang w:val="en-GB"/>
        </w:rPr>
        <w:t>et al.</w:t>
      </w:r>
      <w:r w:rsidRPr="3B366774" w:rsidR="60477B2B">
        <w:rPr>
          <w:rFonts w:ascii="Arial" w:hAnsi="Arial" w:eastAsia="Arial" w:cs="Arial"/>
          <w:noProof w:val="0"/>
          <w:sz w:val="22"/>
          <w:szCs w:val="22"/>
          <w:lang w:val="en-GB"/>
        </w:rPr>
        <w:t xml:space="preserve"> (2021) “Pay for performance, satisfaction and retention in longitudinal crowdsourced research,” </w:t>
      </w:r>
      <w:r w:rsidRPr="3B366774" w:rsidR="60477B2B">
        <w:rPr>
          <w:rFonts w:ascii="Arial" w:hAnsi="Arial" w:eastAsia="Arial" w:cs="Arial"/>
          <w:i w:val="1"/>
          <w:iCs w:val="1"/>
          <w:noProof w:val="0"/>
          <w:sz w:val="22"/>
          <w:szCs w:val="22"/>
          <w:lang w:val="en-GB"/>
        </w:rPr>
        <w:t>PloS one</w:t>
      </w:r>
      <w:r w:rsidRPr="3B366774" w:rsidR="60477B2B">
        <w:rPr>
          <w:rFonts w:ascii="Arial" w:hAnsi="Arial" w:eastAsia="Arial" w:cs="Arial"/>
          <w:noProof w:val="0"/>
          <w:sz w:val="22"/>
          <w:szCs w:val="22"/>
          <w:lang w:val="en-GB"/>
        </w:rPr>
        <w:t xml:space="preserve">, 16(1), p. e0245460. Available at: </w:t>
      </w:r>
      <w:hyperlink r:id="R7113fcb3cbd54694">
        <w:r w:rsidRPr="3B366774" w:rsidR="60477B2B">
          <w:rPr>
            <w:rStyle w:val="Hyperlink"/>
            <w:rFonts w:ascii="Arial" w:hAnsi="Arial" w:eastAsia="Arial" w:cs="Arial"/>
            <w:noProof w:val="0"/>
            <w:sz w:val="22"/>
            <w:szCs w:val="22"/>
            <w:lang w:val="en-GB"/>
          </w:rPr>
          <w:t>https://doi.org/10.1371/journal.pone.0245460</w:t>
        </w:r>
      </w:hyperlink>
      <w:r w:rsidRPr="3B366774" w:rsidR="60477B2B">
        <w:rPr>
          <w:rFonts w:ascii="Arial" w:hAnsi="Arial" w:eastAsia="Arial" w:cs="Arial"/>
          <w:noProof w:val="0"/>
          <w:sz w:val="22"/>
          <w:szCs w:val="22"/>
          <w:lang w:val="en-GB"/>
        </w:rPr>
        <w:t>.</w:t>
      </w:r>
    </w:p>
    <w:p w:rsidR="243BEF60" w:rsidP="3B366774" w:rsidRDefault="243BEF60" w14:paraId="41E08D37" w14:textId="1BCE582C">
      <w:pPr>
        <w:pStyle w:val="Normal"/>
        <w:suppressLineNumbers w:val="0"/>
        <w:bidi w:val="0"/>
        <w:spacing w:before="0" w:beforeAutospacing="off" w:after="160" w:afterAutospacing="off" w:line="360" w:lineRule="auto"/>
        <w:ind w:left="0" w:right="0"/>
        <w:jc w:val="both"/>
        <w:rPr>
          <w:rFonts w:ascii="Arial" w:hAnsi="Arial" w:eastAsia="Arial" w:cs="Arial"/>
          <w:sz w:val="22"/>
          <w:szCs w:val="22"/>
        </w:rPr>
      </w:pPr>
    </w:p>
    <w:p w:rsidR="243BEF60" w:rsidP="3B366774" w:rsidRDefault="243BEF60" w14:paraId="0EFE2319" w14:textId="29898A82">
      <w:pPr>
        <w:suppressLineNumbers w:val="0"/>
        <w:bidi w:val="0"/>
        <w:spacing w:before="0" w:beforeAutospacing="off" w:after="0" w:afterAutospacing="off" w:line="279" w:lineRule="auto"/>
        <w:ind/>
        <w:jc w:val="both"/>
      </w:pPr>
      <w:r w:rsidRPr="3B366774" w:rsidR="60477B2B">
        <w:rPr>
          <w:rFonts w:ascii="Arial" w:hAnsi="Arial" w:eastAsia="Arial" w:cs="Arial"/>
          <w:noProof w:val="0"/>
          <w:sz w:val="22"/>
          <w:szCs w:val="22"/>
          <w:lang w:val="en-GB"/>
        </w:rPr>
        <w:t xml:space="preserve">Bandhu, D. </w:t>
      </w:r>
      <w:r w:rsidRPr="3B366774" w:rsidR="60477B2B">
        <w:rPr>
          <w:rFonts w:ascii="Arial" w:hAnsi="Arial" w:eastAsia="Arial" w:cs="Arial"/>
          <w:i w:val="1"/>
          <w:iCs w:val="1"/>
          <w:noProof w:val="0"/>
          <w:sz w:val="22"/>
          <w:szCs w:val="22"/>
          <w:lang w:val="en-GB"/>
        </w:rPr>
        <w:t>et al.</w:t>
      </w:r>
      <w:r w:rsidRPr="3B366774" w:rsidR="60477B2B">
        <w:rPr>
          <w:rFonts w:ascii="Arial" w:hAnsi="Arial" w:eastAsia="Arial" w:cs="Arial"/>
          <w:noProof w:val="0"/>
          <w:sz w:val="22"/>
          <w:szCs w:val="22"/>
          <w:lang w:val="en-GB"/>
        </w:rPr>
        <w:t xml:space="preserve"> (2024) “Theories of motivation: A comprehensive analysis of human behavior drivers,” </w:t>
      </w:r>
      <w:r w:rsidRPr="3B366774" w:rsidR="60477B2B">
        <w:rPr>
          <w:rFonts w:ascii="Arial" w:hAnsi="Arial" w:eastAsia="Arial" w:cs="Arial"/>
          <w:i w:val="1"/>
          <w:iCs w:val="1"/>
          <w:noProof w:val="0"/>
          <w:sz w:val="22"/>
          <w:szCs w:val="22"/>
          <w:lang w:val="en-GB"/>
        </w:rPr>
        <w:t>Acta psychologica</w:t>
      </w:r>
      <w:r w:rsidRPr="3B366774" w:rsidR="60477B2B">
        <w:rPr>
          <w:rFonts w:ascii="Arial" w:hAnsi="Arial" w:eastAsia="Arial" w:cs="Arial"/>
          <w:noProof w:val="0"/>
          <w:sz w:val="22"/>
          <w:szCs w:val="22"/>
          <w:lang w:val="en-GB"/>
        </w:rPr>
        <w:t xml:space="preserve">, 244. Available at: </w:t>
      </w:r>
      <w:hyperlink r:id="R9a87693b0b934ec5">
        <w:r w:rsidRPr="3B366774" w:rsidR="60477B2B">
          <w:rPr>
            <w:rStyle w:val="Hyperlink"/>
            <w:rFonts w:ascii="Arial" w:hAnsi="Arial" w:eastAsia="Arial" w:cs="Arial"/>
            <w:noProof w:val="0"/>
            <w:sz w:val="22"/>
            <w:szCs w:val="22"/>
            <w:lang w:val="en-GB"/>
          </w:rPr>
          <w:t>https://doi.org/10.1016/j.actpsy.2024.104177</w:t>
        </w:r>
      </w:hyperlink>
      <w:r w:rsidRPr="3B366774" w:rsidR="60477B2B">
        <w:rPr>
          <w:rFonts w:ascii="Arial" w:hAnsi="Arial" w:eastAsia="Arial" w:cs="Arial"/>
          <w:noProof w:val="0"/>
          <w:sz w:val="22"/>
          <w:szCs w:val="22"/>
          <w:lang w:val="en-GB"/>
        </w:rPr>
        <w:t>.</w:t>
      </w:r>
    </w:p>
    <w:p w:rsidR="243BEF60" w:rsidP="3B366774" w:rsidRDefault="243BEF60" w14:paraId="54A7A4D6" w14:textId="1594B1C6">
      <w:pPr>
        <w:pStyle w:val="Normal"/>
        <w:suppressLineNumbers w:val="0"/>
        <w:bidi w:val="0"/>
        <w:spacing w:before="0" w:beforeAutospacing="off" w:after="160" w:afterAutospacing="off" w:line="360" w:lineRule="auto"/>
        <w:ind w:left="0" w:right="0"/>
        <w:jc w:val="both"/>
        <w:rPr>
          <w:rFonts w:ascii="Arial" w:hAnsi="Arial" w:eastAsia="Arial" w:cs="Arial"/>
          <w:sz w:val="22"/>
          <w:szCs w:val="22"/>
        </w:rPr>
      </w:pPr>
    </w:p>
    <w:p w:rsidR="243BEF60" w:rsidP="3B366774" w:rsidRDefault="243BEF60" w14:paraId="0C316B18" w14:textId="1C28BA7B">
      <w:pPr>
        <w:suppressLineNumbers w:val="0"/>
        <w:bidi w:val="0"/>
        <w:spacing w:before="0" w:beforeAutospacing="off" w:after="0" w:afterAutospacing="off" w:line="279" w:lineRule="auto"/>
        <w:ind/>
        <w:jc w:val="both"/>
      </w:pPr>
      <w:r w:rsidRPr="3B366774" w:rsidR="60477B2B">
        <w:rPr>
          <w:rFonts w:ascii="Arial" w:hAnsi="Arial" w:eastAsia="Arial" w:cs="Arial"/>
          <w:noProof w:val="0"/>
          <w:sz w:val="22"/>
          <w:szCs w:val="22"/>
          <w:lang w:val="en-GB"/>
        </w:rPr>
        <w:t xml:space="preserve">Belderbos, R. </w:t>
      </w:r>
      <w:r w:rsidRPr="3B366774" w:rsidR="60477B2B">
        <w:rPr>
          <w:rFonts w:ascii="Arial" w:hAnsi="Arial" w:eastAsia="Arial" w:cs="Arial"/>
          <w:i w:val="1"/>
          <w:iCs w:val="1"/>
          <w:noProof w:val="0"/>
          <w:sz w:val="22"/>
          <w:szCs w:val="22"/>
          <w:lang w:val="en-GB"/>
        </w:rPr>
        <w:t>et al.</w:t>
      </w:r>
      <w:r w:rsidRPr="3B366774" w:rsidR="60477B2B">
        <w:rPr>
          <w:rFonts w:ascii="Arial" w:hAnsi="Arial" w:eastAsia="Arial" w:cs="Arial"/>
          <w:noProof w:val="0"/>
          <w:sz w:val="22"/>
          <w:szCs w:val="22"/>
          <w:lang w:val="en-GB"/>
        </w:rPr>
        <w:t xml:space="preserve"> (2025) “Multinational firms and the quest for global talent: Employing (skilled) foreign workers at home and abroad: Multinational firms and the quest for global talent,” </w:t>
      </w:r>
      <w:r w:rsidRPr="3B366774" w:rsidR="60477B2B">
        <w:rPr>
          <w:rFonts w:ascii="Arial" w:hAnsi="Arial" w:eastAsia="Arial" w:cs="Arial"/>
          <w:i w:val="1"/>
          <w:iCs w:val="1"/>
          <w:noProof w:val="0"/>
          <w:sz w:val="22"/>
          <w:szCs w:val="22"/>
          <w:lang w:val="en-GB"/>
        </w:rPr>
        <w:t>Journal of international business studies</w:t>
      </w:r>
      <w:r w:rsidRPr="3B366774" w:rsidR="60477B2B">
        <w:rPr>
          <w:rFonts w:ascii="Arial" w:hAnsi="Arial" w:eastAsia="Arial" w:cs="Arial"/>
          <w:noProof w:val="0"/>
          <w:sz w:val="22"/>
          <w:szCs w:val="22"/>
          <w:lang w:val="en-GB"/>
        </w:rPr>
        <w:t xml:space="preserve">, 56(2), pp. 151–173. Available at: </w:t>
      </w:r>
      <w:hyperlink r:id="R54668967b3554342">
        <w:r w:rsidRPr="3B366774" w:rsidR="60477B2B">
          <w:rPr>
            <w:rStyle w:val="Hyperlink"/>
            <w:rFonts w:ascii="Arial" w:hAnsi="Arial" w:eastAsia="Arial" w:cs="Arial"/>
            <w:noProof w:val="0"/>
            <w:sz w:val="22"/>
            <w:szCs w:val="22"/>
            <w:lang w:val="en-GB"/>
          </w:rPr>
          <w:t>https://doi.org/10.1057/s41267-023-00643-w</w:t>
        </w:r>
      </w:hyperlink>
      <w:r w:rsidRPr="3B366774" w:rsidR="60477B2B">
        <w:rPr>
          <w:rFonts w:ascii="Arial" w:hAnsi="Arial" w:eastAsia="Arial" w:cs="Arial"/>
          <w:noProof w:val="0"/>
          <w:sz w:val="22"/>
          <w:szCs w:val="22"/>
          <w:lang w:val="en-GB"/>
        </w:rPr>
        <w:t>.</w:t>
      </w:r>
    </w:p>
    <w:p w:rsidR="243BEF60" w:rsidP="3B366774" w:rsidRDefault="243BEF60" w14:paraId="29F10846" w14:textId="4725CE89">
      <w:pPr>
        <w:pStyle w:val="Normal"/>
        <w:suppressLineNumbers w:val="0"/>
        <w:bidi w:val="0"/>
        <w:spacing w:before="0" w:beforeAutospacing="off" w:after="160" w:afterAutospacing="off" w:line="360" w:lineRule="auto"/>
        <w:ind w:left="0" w:right="0"/>
        <w:jc w:val="both"/>
        <w:rPr>
          <w:rFonts w:ascii="Arial" w:hAnsi="Arial" w:eastAsia="Arial" w:cs="Arial"/>
          <w:sz w:val="22"/>
          <w:szCs w:val="22"/>
        </w:rPr>
      </w:pPr>
    </w:p>
    <w:p w:rsidR="243BEF60" w:rsidP="3B366774" w:rsidRDefault="243BEF60" w14:paraId="1B9FAC6E" w14:textId="6CFA2D51">
      <w:pPr>
        <w:suppressLineNumbers w:val="0"/>
        <w:bidi w:val="0"/>
        <w:spacing w:before="0" w:beforeAutospacing="off" w:after="0" w:afterAutospacing="off" w:line="279" w:lineRule="auto"/>
        <w:ind/>
        <w:jc w:val="both"/>
      </w:pPr>
      <w:r w:rsidRPr="3B366774" w:rsidR="43245D51">
        <w:rPr>
          <w:rFonts w:ascii="Arial" w:hAnsi="Arial" w:eastAsia="Arial" w:cs="Arial"/>
          <w:noProof w:val="0"/>
          <w:sz w:val="22"/>
          <w:szCs w:val="22"/>
          <w:lang w:val="en-GB"/>
        </w:rPr>
        <w:t xml:space="preserve">Brune, L., Chyn, E. and Kerwin, J. (2020) “Peers and Motivation at Work: Evidence from a Firm Experiment in Malawi,” </w:t>
      </w:r>
      <w:r w:rsidRPr="3B366774" w:rsidR="43245D51">
        <w:rPr>
          <w:rFonts w:ascii="Arial" w:hAnsi="Arial" w:eastAsia="Arial" w:cs="Arial"/>
          <w:i w:val="1"/>
          <w:iCs w:val="1"/>
          <w:noProof w:val="0"/>
          <w:sz w:val="22"/>
          <w:szCs w:val="22"/>
          <w:lang w:val="en-GB"/>
        </w:rPr>
        <w:t>The Journal of human resources</w:t>
      </w:r>
      <w:r w:rsidRPr="3B366774" w:rsidR="43245D51">
        <w:rPr>
          <w:rFonts w:ascii="Arial" w:hAnsi="Arial" w:eastAsia="Arial" w:cs="Arial"/>
          <w:noProof w:val="0"/>
          <w:sz w:val="22"/>
          <w:szCs w:val="22"/>
          <w:lang w:val="en-GB"/>
        </w:rPr>
        <w:t xml:space="preserve">, p. 919. Available at: </w:t>
      </w:r>
      <w:hyperlink r:id="Rd41694dbaf624e0c">
        <w:r w:rsidRPr="3B366774" w:rsidR="43245D51">
          <w:rPr>
            <w:rStyle w:val="Hyperlink"/>
            <w:rFonts w:ascii="Arial" w:hAnsi="Arial" w:eastAsia="Arial" w:cs="Arial"/>
            <w:noProof w:val="0"/>
            <w:sz w:val="22"/>
            <w:szCs w:val="22"/>
            <w:lang w:val="en-GB"/>
          </w:rPr>
          <w:t>https://doi.org/10.3368/jhr.57.4.0919-10416R2</w:t>
        </w:r>
      </w:hyperlink>
      <w:r w:rsidRPr="3B366774" w:rsidR="43245D51">
        <w:rPr>
          <w:rFonts w:ascii="Arial" w:hAnsi="Arial" w:eastAsia="Arial" w:cs="Arial"/>
          <w:noProof w:val="0"/>
          <w:sz w:val="22"/>
          <w:szCs w:val="22"/>
          <w:lang w:val="en-GB"/>
        </w:rPr>
        <w:t>.</w:t>
      </w:r>
    </w:p>
    <w:p w:rsidR="243BEF60" w:rsidP="3B366774" w:rsidRDefault="243BEF60" w14:paraId="692F8490" w14:textId="538E573D">
      <w:pPr>
        <w:pStyle w:val="Normal"/>
        <w:suppressLineNumbers w:val="0"/>
        <w:bidi w:val="0"/>
        <w:spacing w:before="0" w:beforeAutospacing="off" w:after="160" w:afterAutospacing="off" w:line="360" w:lineRule="auto"/>
        <w:ind w:left="0" w:right="0"/>
        <w:jc w:val="both"/>
        <w:rPr>
          <w:rFonts w:ascii="Arial" w:hAnsi="Arial" w:eastAsia="Arial" w:cs="Arial"/>
          <w:sz w:val="22"/>
          <w:szCs w:val="22"/>
        </w:rPr>
      </w:pPr>
    </w:p>
    <w:p w:rsidR="27581F9C" w:rsidP="3B366774" w:rsidRDefault="27581F9C" w14:paraId="6DFE493F" w14:textId="0CBD32BC">
      <w:pPr>
        <w:bidi w:val="0"/>
        <w:spacing w:before="0" w:beforeAutospacing="off" w:after="0" w:afterAutospacing="off"/>
        <w:jc w:val="both"/>
      </w:pPr>
      <w:r w:rsidRPr="3B366774" w:rsidR="27581F9C">
        <w:rPr>
          <w:rFonts w:ascii="Arial" w:hAnsi="Arial" w:eastAsia="Arial" w:cs="Arial"/>
          <w:noProof w:val="0"/>
          <w:sz w:val="22"/>
          <w:szCs w:val="22"/>
          <w:lang w:val="en-GB"/>
        </w:rPr>
        <w:t xml:space="preserve">Caraway, C. (2020) “A Looming Pilot Shortage: It is Time to Revisit Regulations,” </w:t>
      </w:r>
      <w:r w:rsidRPr="3B366774" w:rsidR="27581F9C">
        <w:rPr>
          <w:rFonts w:ascii="Arial" w:hAnsi="Arial" w:eastAsia="Arial" w:cs="Arial"/>
          <w:i w:val="1"/>
          <w:iCs w:val="1"/>
          <w:noProof w:val="0"/>
          <w:sz w:val="22"/>
          <w:szCs w:val="22"/>
          <w:lang w:val="en-GB"/>
        </w:rPr>
        <w:t>International journal of aviation, aeronautics, and aerospace</w:t>
      </w:r>
      <w:r w:rsidRPr="3B366774" w:rsidR="27581F9C">
        <w:rPr>
          <w:rFonts w:ascii="Arial" w:hAnsi="Arial" w:eastAsia="Arial" w:cs="Arial"/>
          <w:noProof w:val="0"/>
          <w:sz w:val="22"/>
          <w:szCs w:val="22"/>
          <w:lang w:val="en-GB"/>
        </w:rPr>
        <w:t xml:space="preserve">, 7(2), p. 3. Available at: </w:t>
      </w:r>
      <w:hyperlink r:id="R59e48950571449d6">
        <w:r w:rsidRPr="3B366774" w:rsidR="27581F9C">
          <w:rPr>
            <w:rStyle w:val="Hyperlink"/>
            <w:rFonts w:ascii="Arial" w:hAnsi="Arial" w:eastAsia="Arial" w:cs="Arial"/>
            <w:noProof w:val="0"/>
            <w:sz w:val="22"/>
            <w:szCs w:val="22"/>
            <w:lang w:val="en-GB"/>
          </w:rPr>
          <w:t>https://doi.org/10.15394/ijaaa.2020.1470</w:t>
        </w:r>
      </w:hyperlink>
      <w:r w:rsidRPr="3B366774" w:rsidR="27581F9C">
        <w:rPr>
          <w:rFonts w:ascii="Arial" w:hAnsi="Arial" w:eastAsia="Arial" w:cs="Arial"/>
          <w:noProof w:val="0"/>
          <w:sz w:val="22"/>
          <w:szCs w:val="22"/>
          <w:lang w:val="en-GB"/>
        </w:rPr>
        <w:t>.</w:t>
      </w:r>
    </w:p>
    <w:p w:rsidR="3B366774" w:rsidP="3B366774" w:rsidRDefault="3B366774" w14:paraId="5CCB195C" w14:textId="3D0395C6">
      <w:pPr>
        <w:pStyle w:val="Normal"/>
        <w:suppressLineNumbers w:val="0"/>
        <w:bidi w:val="0"/>
        <w:spacing w:before="0" w:beforeAutospacing="off" w:after="160" w:afterAutospacing="off" w:line="360" w:lineRule="auto"/>
        <w:ind w:left="0" w:right="0"/>
        <w:jc w:val="both"/>
        <w:rPr>
          <w:rFonts w:ascii="Arial" w:hAnsi="Arial" w:eastAsia="Arial" w:cs="Arial"/>
          <w:sz w:val="22"/>
          <w:szCs w:val="22"/>
        </w:rPr>
      </w:pPr>
    </w:p>
    <w:p w:rsidR="67182F88" w:rsidP="3B366774" w:rsidRDefault="67182F88" w14:paraId="6A5B3EB2" w14:textId="08CD3DFE">
      <w:pPr>
        <w:pStyle w:val="Normal"/>
        <w:bidi w:val="0"/>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B366774" w:rsidR="60D47C1E">
        <w:rPr>
          <w:rFonts w:ascii="Arial" w:hAnsi="Arial" w:eastAsia="Arial" w:cs="Arial"/>
          <w:noProof w:val="0"/>
          <w:sz w:val="22"/>
          <w:szCs w:val="22"/>
          <w:lang w:val="en-GB"/>
        </w:rPr>
        <w:t xml:space="preserve">Carlson Dean, C. (1997) “The Principles of Scientific Management by Frederick W. Taylor: the private printing,” </w:t>
      </w:r>
      <w:r w:rsidRPr="3B366774" w:rsidR="60D47C1E">
        <w:rPr>
          <w:rFonts w:ascii="Arial" w:hAnsi="Arial" w:eastAsia="Arial" w:cs="Arial"/>
          <w:i w:val="1"/>
          <w:iCs w:val="1"/>
          <w:noProof w:val="0"/>
          <w:sz w:val="22"/>
          <w:szCs w:val="22"/>
          <w:lang w:val="en-GB"/>
        </w:rPr>
        <w:t>Journal of management history</w:t>
      </w:r>
      <w:r w:rsidRPr="3B366774" w:rsidR="60D47C1E">
        <w:rPr>
          <w:rFonts w:ascii="Arial" w:hAnsi="Arial" w:eastAsia="Arial" w:cs="Arial"/>
          <w:noProof w:val="0"/>
          <w:sz w:val="22"/>
          <w:szCs w:val="22"/>
          <w:lang w:val="en-GB"/>
        </w:rPr>
        <w:t xml:space="preserve">, 3(1), pp. 18–30. Available at: </w:t>
      </w:r>
      <w:hyperlink r:id="Rd037538dabb443e2">
        <w:r w:rsidRPr="3B366774" w:rsidR="60D47C1E">
          <w:rPr>
            <w:rStyle w:val="Hyperlink"/>
            <w:rFonts w:ascii="Arial" w:hAnsi="Arial" w:eastAsia="Arial" w:cs="Arial"/>
            <w:noProof w:val="0"/>
            <w:sz w:val="22"/>
            <w:szCs w:val="22"/>
            <w:lang w:val="en-GB"/>
          </w:rPr>
          <w:t>https://doi.org/10.1108/13552529710168843</w:t>
        </w:r>
      </w:hyperlink>
      <w:r w:rsidRPr="3B366774" w:rsidR="60D47C1E">
        <w:rPr>
          <w:rFonts w:ascii="Arial" w:hAnsi="Arial" w:eastAsia="Arial" w:cs="Arial"/>
          <w:noProof w:val="0"/>
          <w:sz w:val="22"/>
          <w:szCs w:val="22"/>
          <w:lang w:val="en-GB"/>
        </w:rPr>
        <w:t>.</w:t>
      </w:r>
    </w:p>
    <w:p w:rsidR="243BEF60" w:rsidP="3B366774" w:rsidRDefault="243BEF60" w14:paraId="5C348C46" w14:textId="53B90170">
      <w:pPr>
        <w:pStyle w:val="Normal"/>
        <w:bidi w:val="0"/>
        <w:spacing w:before="0" w:beforeAutospacing="off" w:after="0" w:afterAutospacing="off" w:line="360" w:lineRule="auto"/>
        <w:ind w:left="0"/>
        <w:jc w:val="both"/>
        <w:rPr>
          <w:rFonts w:ascii="Arial" w:hAnsi="Arial" w:eastAsia="Arial" w:cs="Arial"/>
          <w:noProof w:val="0"/>
          <w:sz w:val="22"/>
          <w:szCs w:val="22"/>
          <w:lang w:val="en-GB"/>
        </w:rPr>
      </w:pPr>
    </w:p>
    <w:p w:rsidR="243BEF60" w:rsidP="3B366774" w:rsidRDefault="243BEF60" w14:paraId="25369EB6" w14:textId="6088DAA5">
      <w:pPr>
        <w:bidi w:val="0"/>
        <w:spacing w:before="0" w:beforeAutospacing="off" w:after="0" w:afterAutospacing="off"/>
        <w:jc w:val="both"/>
      </w:pPr>
      <w:r w:rsidRPr="3B366774" w:rsidR="79FDFB0F">
        <w:rPr>
          <w:rFonts w:ascii="Arial" w:hAnsi="Arial" w:eastAsia="Arial" w:cs="Arial"/>
          <w:noProof w:val="0"/>
          <w:sz w:val="22"/>
          <w:szCs w:val="22"/>
          <w:lang w:val="en-GB"/>
        </w:rPr>
        <w:t xml:space="preserve">Chernyak-Hai, L. and </w:t>
      </w:r>
      <w:r w:rsidRPr="3B366774" w:rsidR="79FDFB0F">
        <w:rPr>
          <w:rFonts w:ascii="Arial" w:hAnsi="Arial" w:eastAsia="Arial" w:cs="Arial"/>
          <w:noProof w:val="0"/>
          <w:sz w:val="22"/>
          <w:szCs w:val="22"/>
          <w:lang w:val="en-GB"/>
        </w:rPr>
        <w:t>Rabenu</w:t>
      </w:r>
      <w:r w:rsidRPr="3B366774" w:rsidR="79FDFB0F">
        <w:rPr>
          <w:rFonts w:ascii="Arial" w:hAnsi="Arial" w:eastAsia="Arial" w:cs="Arial"/>
          <w:noProof w:val="0"/>
          <w:sz w:val="22"/>
          <w:szCs w:val="22"/>
          <w:lang w:val="en-GB"/>
        </w:rPr>
        <w:t xml:space="preserve">, E. (2018) “The New Era Workplace Relationships: Is Social Exchange Theory Still </w:t>
      </w:r>
      <w:r w:rsidRPr="3B366774" w:rsidR="79FDFB0F">
        <w:rPr>
          <w:rFonts w:ascii="Arial" w:hAnsi="Arial" w:eastAsia="Arial" w:cs="Arial"/>
          <w:noProof w:val="0"/>
          <w:sz w:val="22"/>
          <w:szCs w:val="22"/>
          <w:lang w:val="en-GB"/>
        </w:rPr>
        <w:t>Relevant?,</w:t>
      </w:r>
      <w:r w:rsidRPr="3B366774" w:rsidR="79FDFB0F">
        <w:rPr>
          <w:rFonts w:ascii="Arial" w:hAnsi="Arial" w:eastAsia="Arial" w:cs="Arial"/>
          <w:noProof w:val="0"/>
          <w:sz w:val="22"/>
          <w:szCs w:val="22"/>
          <w:lang w:val="en-GB"/>
        </w:rPr>
        <w:t xml:space="preserve">” </w:t>
      </w:r>
      <w:r w:rsidRPr="3B366774" w:rsidR="79FDFB0F">
        <w:rPr>
          <w:rFonts w:ascii="Arial" w:hAnsi="Arial" w:eastAsia="Arial" w:cs="Arial"/>
          <w:i w:val="1"/>
          <w:iCs w:val="1"/>
          <w:noProof w:val="0"/>
          <w:sz w:val="22"/>
          <w:szCs w:val="22"/>
          <w:lang w:val="en-GB"/>
        </w:rPr>
        <w:t xml:space="preserve">Industrial and </w:t>
      </w:r>
      <w:r w:rsidRPr="3B366774" w:rsidR="4E716085">
        <w:rPr>
          <w:rFonts w:ascii="Arial" w:hAnsi="Arial" w:eastAsia="Arial" w:cs="Arial"/>
          <w:i w:val="1"/>
          <w:iCs w:val="1"/>
          <w:noProof w:val="0"/>
          <w:sz w:val="22"/>
          <w:szCs w:val="22"/>
          <w:lang w:val="en-GB"/>
        </w:rPr>
        <w:t>organisation</w:t>
      </w:r>
      <w:r w:rsidRPr="3B366774" w:rsidR="79FDFB0F">
        <w:rPr>
          <w:rFonts w:ascii="Arial" w:hAnsi="Arial" w:eastAsia="Arial" w:cs="Arial"/>
          <w:i w:val="1"/>
          <w:iCs w:val="1"/>
          <w:noProof w:val="0"/>
          <w:sz w:val="22"/>
          <w:szCs w:val="22"/>
          <w:lang w:val="en-GB"/>
        </w:rPr>
        <w:t>al psychology</w:t>
      </w:r>
      <w:r w:rsidRPr="3B366774" w:rsidR="79FDFB0F">
        <w:rPr>
          <w:rFonts w:ascii="Arial" w:hAnsi="Arial" w:eastAsia="Arial" w:cs="Arial"/>
          <w:noProof w:val="0"/>
          <w:sz w:val="22"/>
          <w:szCs w:val="22"/>
          <w:lang w:val="en-GB"/>
        </w:rPr>
        <w:t xml:space="preserve">, 11(3), pp. 456–481. Available at: </w:t>
      </w:r>
      <w:hyperlink r:id="R866d59fafb8c4181">
        <w:r w:rsidRPr="3B366774" w:rsidR="79FDFB0F">
          <w:rPr>
            <w:rStyle w:val="Hyperlink"/>
            <w:rFonts w:ascii="Arial" w:hAnsi="Arial" w:eastAsia="Arial" w:cs="Arial"/>
            <w:noProof w:val="0"/>
            <w:sz w:val="22"/>
            <w:szCs w:val="22"/>
            <w:lang w:val="en-GB"/>
          </w:rPr>
          <w:t>https://doi.org/10.1017/iop.2018.5</w:t>
        </w:r>
      </w:hyperlink>
      <w:r w:rsidRPr="3B366774" w:rsidR="79FDFB0F">
        <w:rPr>
          <w:rFonts w:ascii="Arial" w:hAnsi="Arial" w:eastAsia="Arial" w:cs="Arial"/>
          <w:noProof w:val="0"/>
          <w:sz w:val="22"/>
          <w:szCs w:val="22"/>
          <w:lang w:val="en-GB"/>
        </w:rPr>
        <w:t>.</w:t>
      </w:r>
    </w:p>
    <w:p w:rsidR="243BEF60" w:rsidP="3B366774" w:rsidRDefault="243BEF60" w14:paraId="03A7DB3B" w14:textId="1E1F6F61">
      <w:pPr>
        <w:bidi w:val="0"/>
        <w:spacing w:before="0" w:beforeAutospacing="off" w:after="0" w:afterAutospacing="off"/>
        <w:jc w:val="both"/>
        <w:rPr>
          <w:rFonts w:ascii="Arial" w:hAnsi="Arial" w:eastAsia="Arial" w:cs="Arial"/>
          <w:noProof w:val="0"/>
          <w:sz w:val="22"/>
          <w:szCs w:val="22"/>
          <w:lang w:val="en-GB"/>
        </w:rPr>
      </w:pPr>
    </w:p>
    <w:p w:rsidR="243BEF60" w:rsidP="3B366774" w:rsidRDefault="243BEF60" w14:paraId="744AEC22" w14:textId="0D76249E">
      <w:pPr>
        <w:bidi w:val="0"/>
        <w:spacing w:before="0" w:beforeAutospacing="off" w:after="0" w:afterAutospacing="off"/>
        <w:jc w:val="both"/>
      </w:pPr>
      <w:r w:rsidRPr="3B366774" w:rsidR="79FDFB0F">
        <w:rPr>
          <w:rFonts w:ascii="Arial" w:hAnsi="Arial" w:eastAsia="Arial" w:cs="Arial"/>
          <w:noProof w:val="0"/>
          <w:sz w:val="22"/>
          <w:szCs w:val="22"/>
          <w:lang w:val="en-GB"/>
        </w:rPr>
        <w:t xml:space="preserve">Clark, A.F. (2016) “Toward an Entrepreneurial Public Sector: Using Social Exchange Theory to Predict Public Employee Risk Perceptions,” </w:t>
      </w:r>
      <w:r w:rsidRPr="3B366774" w:rsidR="79FDFB0F">
        <w:rPr>
          <w:rFonts w:ascii="Arial" w:hAnsi="Arial" w:eastAsia="Arial" w:cs="Arial"/>
          <w:i w:val="1"/>
          <w:iCs w:val="1"/>
          <w:noProof w:val="0"/>
          <w:sz w:val="22"/>
          <w:szCs w:val="22"/>
          <w:lang w:val="en-GB"/>
        </w:rPr>
        <w:t>Public personnel management</w:t>
      </w:r>
      <w:r w:rsidRPr="3B366774" w:rsidR="79FDFB0F">
        <w:rPr>
          <w:rFonts w:ascii="Arial" w:hAnsi="Arial" w:eastAsia="Arial" w:cs="Arial"/>
          <w:noProof w:val="0"/>
          <w:sz w:val="22"/>
          <w:szCs w:val="22"/>
          <w:lang w:val="en-GB"/>
        </w:rPr>
        <w:t xml:space="preserve">, 45(4), pp. 335–359. Available at: </w:t>
      </w:r>
      <w:hyperlink r:id="R488fd5f29cca4099">
        <w:r w:rsidRPr="3B366774" w:rsidR="79FDFB0F">
          <w:rPr>
            <w:rStyle w:val="Hyperlink"/>
            <w:rFonts w:ascii="Arial" w:hAnsi="Arial" w:eastAsia="Arial" w:cs="Arial"/>
            <w:noProof w:val="0"/>
            <w:sz w:val="22"/>
            <w:szCs w:val="22"/>
            <w:lang w:val="en-GB"/>
          </w:rPr>
          <w:t>https://doi.org/10.1177/0091026016669169</w:t>
        </w:r>
      </w:hyperlink>
      <w:r w:rsidRPr="3B366774" w:rsidR="79FDFB0F">
        <w:rPr>
          <w:rFonts w:ascii="Arial" w:hAnsi="Arial" w:eastAsia="Arial" w:cs="Arial"/>
          <w:noProof w:val="0"/>
          <w:sz w:val="22"/>
          <w:szCs w:val="22"/>
          <w:lang w:val="en-GB"/>
        </w:rPr>
        <w:t>.</w:t>
      </w:r>
    </w:p>
    <w:p w:rsidR="243BEF60" w:rsidP="3B366774" w:rsidRDefault="243BEF60" w14:paraId="234AA3B3" w14:textId="752DB55D">
      <w:pPr>
        <w:bidi w:val="0"/>
        <w:spacing w:before="0" w:beforeAutospacing="off" w:after="0" w:afterAutospacing="off"/>
        <w:jc w:val="both"/>
        <w:rPr>
          <w:rFonts w:ascii="Arial" w:hAnsi="Arial" w:eastAsia="Arial" w:cs="Arial"/>
          <w:noProof w:val="0"/>
          <w:sz w:val="22"/>
          <w:szCs w:val="22"/>
          <w:lang w:val="en-GB"/>
        </w:rPr>
      </w:pPr>
    </w:p>
    <w:p w:rsidR="243BEF60" w:rsidP="3B366774" w:rsidRDefault="243BEF60" w14:paraId="4AA0C0AC" w14:textId="2CBCAAE2">
      <w:pPr>
        <w:bidi w:val="0"/>
        <w:spacing w:before="0" w:beforeAutospacing="off" w:after="0" w:afterAutospacing="off"/>
        <w:jc w:val="both"/>
      </w:pPr>
      <w:r w:rsidRPr="3B366774" w:rsidR="79FDFB0F">
        <w:rPr>
          <w:rFonts w:ascii="Arial" w:hAnsi="Arial" w:eastAsia="Arial" w:cs="Arial"/>
          <w:noProof w:val="0"/>
          <w:sz w:val="22"/>
          <w:szCs w:val="22"/>
          <w:lang w:val="en-GB"/>
        </w:rPr>
        <w:t xml:space="preserve">Cragun, O.R., Xiu, L. and Kautz, J. (2025) “Getting educated on strategic pay education,” </w:t>
      </w:r>
      <w:r w:rsidRPr="3B366774" w:rsidR="4E716085">
        <w:rPr>
          <w:rFonts w:ascii="Arial" w:hAnsi="Arial" w:eastAsia="Arial" w:cs="Arial"/>
          <w:i w:val="1"/>
          <w:iCs w:val="1"/>
          <w:noProof w:val="0"/>
          <w:sz w:val="22"/>
          <w:szCs w:val="22"/>
          <w:lang w:val="en-GB"/>
        </w:rPr>
        <w:t>Organisation</w:t>
      </w:r>
      <w:r w:rsidRPr="3B366774" w:rsidR="79FDFB0F">
        <w:rPr>
          <w:rFonts w:ascii="Arial" w:hAnsi="Arial" w:eastAsia="Arial" w:cs="Arial"/>
          <w:i w:val="1"/>
          <w:iCs w:val="1"/>
          <w:noProof w:val="0"/>
          <w:sz w:val="22"/>
          <w:szCs w:val="22"/>
          <w:lang w:val="en-GB"/>
        </w:rPr>
        <w:t>al dynamics</w:t>
      </w:r>
      <w:r w:rsidRPr="3B366774" w:rsidR="79FDFB0F">
        <w:rPr>
          <w:rFonts w:ascii="Arial" w:hAnsi="Arial" w:eastAsia="Arial" w:cs="Arial"/>
          <w:noProof w:val="0"/>
          <w:sz w:val="22"/>
          <w:szCs w:val="22"/>
          <w:lang w:val="en-GB"/>
        </w:rPr>
        <w:t xml:space="preserve">, 54(4). Available at: </w:t>
      </w:r>
      <w:hyperlink r:id="Ra873854539174cec">
        <w:r w:rsidRPr="3B366774" w:rsidR="79FDFB0F">
          <w:rPr>
            <w:rStyle w:val="Hyperlink"/>
            <w:rFonts w:ascii="Arial" w:hAnsi="Arial" w:eastAsia="Arial" w:cs="Arial"/>
            <w:noProof w:val="0"/>
            <w:sz w:val="22"/>
            <w:szCs w:val="22"/>
            <w:lang w:val="en-GB"/>
          </w:rPr>
          <w:t>https://doi.org/10.1016/j.orgdyn.2025.101177</w:t>
        </w:r>
      </w:hyperlink>
      <w:r w:rsidRPr="3B366774" w:rsidR="79FDFB0F">
        <w:rPr>
          <w:rFonts w:ascii="Arial" w:hAnsi="Arial" w:eastAsia="Arial" w:cs="Arial"/>
          <w:noProof w:val="0"/>
          <w:sz w:val="22"/>
          <w:szCs w:val="22"/>
          <w:lang w:val="en-GB"/>
        </w:rPr>
        <w:t>.</w:t>
      </w:r>
    </w:p>
    <w:p w:rsidR="243BEF60" w:rsidP="3B366774" w:rsidRDefault="243BEF60" w14:paraId="0D11B581" w14:textId="4278369F">
      <w:pPr>
        <w:pStyle w:val="Normal"/>
        <w:bidi w:val="0"/>
        <w:spacing w:before="0" w:beforeAutospacing="off" w:after="0" w:afterAutospacing="off" w:line="360" w:lineRule="auto"/>
        <w:ind w:left="0"/>
        <w:jc w:val="both"/>
        <w:rPr>
          <w:rFonts w:ascii="Arial" w:hAnsi="Arial" w:eastAsia="Arial" w:cs="Arial"/>
          <w:noProof w:val="0"/>
          <w:sz w:val="22"/>
          <w:szCs w:val="22"/>
          <w:lang w:val="en-GB"/>
        </w:rPr>
      </w:pPr>
    </w:p>
    <w:p w:rsidR="243BEF60" w:rsidP="3B366774" w:rsidRDefault="243BEF60" w14:paraId="7714EBCD" w14:textId="7144F41F">
      <w:pPr>
        <w:bidi w:val="0"/>
        <w:spacing w:before="0" w:beforeAutospacing="off" w:after="0" w:afterAutospacing="off"/>
        <w:jc w:val="both"/>
      </w:pPr>
      <w:r w:rsidRPr="3B366774" w:rsidR="024B0421">
        <w:rPr>
          <w:rFonts w:ascii="Arial" w:hAnsi="Arial" w:eastAsia="Arial" w:cs="Arial"/>
          <w:noProof w:val="0"/>
          <w:sz w:val="22"/>
          <w:szCs w:val="22"/>
          <w:lang w:val="en-GB"/>
        </w:rPr>
        <w:t xml:space="preserve">DEALY, M.F. and BASS, M. (1995) “Professional Development FACTORS THAT MOTIVATE STAFF,” </w:t>
      </w:r>
      <w:r w:rsidRPr="3B366774" w:rsidR="024B0421">
        <w:rPr>
          <w:rFonts w:ascii="Arial" w:hAnsi="Arial" w:eastAsia="Arial" w:cs="Arial"/>
          <w:i w:val="1"/>
          <w:iCs w:val="1"/>
          <w:noProof w:val="0"/>
          <w:sz w:val="22"/>
          <w:szCs w:val="22"/>
          <w:lang w:val="en-GB"/>
        </w:rPr>
        <w:t>Nursing management</w:t>
      </w:r>
      <w:r w:rsidRPr="3B366774" w:rsidR="024B0421">
        <w:rPr>
          <w:rFonts w:ascii="Arial" w:hAnsi="Arial" w:eastAsia="Arial" w:cs="Arial"/>
          <w:noProof w:val="0"/>
          <w:sz w:val="22"/>
          <w:szCs w:val="22"/>
          <w:lang w:val="en-GB"/>
        </w:rPr>
        <w:t xml:space="preserve">, 26(8), pp. 32J-32J. Available at: </w:t>
      </w:r>
      <w:hyperlink r:id="R49bb07531cbf4d0a">
        <w:r w:rsidRPr="3B366774" w:rsidR="024B0421">
          <w:rPr>
            <w:rStyle w:val="Hyperlink"/>
            <w:rFonts w:ascii="Arial" w:hAnsi="Arial" w:eastAsia="Arial" w:cs="Arial"/>
            <w:noProof w:val="0"/>
            <w:sz w:val="22"/>
            <w:szCs w:val="22"/>
            <w:lang w:val="en-GB"/>
          </w:rPr>
          <w:t>https://doi.org/10.1097/00006247-199508000-00011</w:t>
        </w:r>
      </w:hyperlink>
      <w:r w:rsidRPr="3B366774" w:rsidR="024B0421">
        <w:rPr>
          <w:rFonts w:ascii="Arial" w:hAnsi="Arial" w:eastAsia="Arial" w:cs="Arial"/>
          <w:noProof w:val="0"/>
          <w:sz w:val="22"/>
          <w:szCs w:val="22"/>
          <w:lang w:val="en-GB"/>
        </w:rPr>
        <w:t>.</w:t>
      </w:r>
    </w:p>
    <w:p w:rsidR="243BEF60" w:rsidP="3B366774" w:rsidRDefault="243BEF60" w14:paraId="5E77C083" w14:textId="056C7A84">
      <w:pPr>
        <w:pStyle w:val="Normal"/>
        <w:bidi w:val="0"/>
        <w:spacing w:before="0" w:beforeAutospacing="off" w:after="0" w:afterAutospacing="off" w:line="360" w:lineRule="auto"/>
        <w:ind w:left="0"/>
        <w:jc w:val="both"/>
        <w:rPr>
          <w:rFonts w:ascii="Arial" w:hAnsi="Arial" w:eastAsia="Arial" w:cs="Arial"/>
          <w:noProof w:val="0"/>
          <w:sz w:val="22"/>
          <w:szCs w:val="22"/>
          <w:lang w:val="en-GB"/>
        </w:rPr>
      </w:pPr>
    </w:p>
    <w:p w:rsidR="243BEF60" w:rsidP="3B366774" w:rsidRDefault="243BEF60" w14:paraId="3596EA8D" w14:textId="3A0D0AB5">
      <w:pPr>
        <w:bidi w:val="0"/>
        <w:spacing w:before="0" w:beforeAutospacing="off" w:after="0" w:afterAutospacing="off"/>
        <w:jc w:val="both"/>
      </w:pPr>
      <w:r w:rsidRPr="3B366774" w:rsidR="024B0421">
        <w:rPr>
          <w:rFonts w:ascii="Arial" w:hAnsi="Arial" w:eastAsia="Arial" w:cs="Arial"/>
          <w:noProof w:val="0"/>
          <w:sz w:val="22"/>
          <w:szCs w:val="22"/>
          <w:lang w:val="en-GB"/>
        </w:rPr>
        <w:t xml:space="preserve">Douglas, S. and Pittenger, L.M. (2020) “Adversity in Aviation: Understanding Resilience in the Workplace for Female Pilots,” </w:t>
      </w:r>
      <w:r w:rsidRPr="3B366774" w:rsidR="024B0421">
        <w:rPr>
          <w:rFonts w:ascii="Arial" w:hAnsi="Arial" w:eastAsia="Arial" w:cs="Arial"/>
          <w:i w:val="1"/>
          <w:iCs w:val="1"/>
          <w:noProof w:val="0"/>
          <w:sz w:val="22"/>
          <w:szCs w:val="22"/>
          <w:lang w:val="en-GB"/>
        </w:rPr>
        <w:t>International journal of aerospace psychology</w:t>
      </w:r>
      <w:r w:rsidRPr="3B366774" w:rsidR="024B0421">
        <w:rPr>
          <w:rFonts w:ascii="Arial" w:hAnsi="Arial" w:eastAsia="Arial" w:cs="Arial"/>
          <w:noProof w:val="0"/>
          <w:sz w:val="22"/>
          <w:szCs w:val="22"/>
          <w:lang w:val="en-GB"/>
        </w:rPr>
        <w:t xml:space="preserve">, 30(3–4), pp. 89–103. Available at: </w:t>
      </w:r>
      <w:hyperlink r:id="Rfadb065183784b18">
        <w:r w:rsidRPr="3B366774" w:rsidR="024B0421">
          <w:rPr>
            <w:rStyle w:val="Hyperlink"/>
            <w:rFonts w:ascii="Arial" w:hAnsi="Arial" w:eastAsia="Arial" w:cs="Arial"/>
            <w:noProof w:val="0"/>
            <w:sz w:val="22"/>
            <w:szCs w:val="22"/>
            <w:lang w:val="en-GB"/>
          </w:rPr>
          <w:t>https://doi.org/10.1080/24721840.2020.1763175</w:t>
        </w:r>
      </w:hyperlink>
      <w:r w:rsidRPr="3B366774" w:rsidR="024B0421">
        <w:rPr>
          <w:rFonts w:ascii="Arial" w:hAnsi="Arial" w:eastAsia="Arial" w:cs="Arial"/>
          <w:noProof w:val="0"/>
          <w:sz w:val="22"/>
          <w:szCs w:val="22"/>
          <w:lang w:val="en-GB"/>
        </w:rPr>
        <w:t>.</w:t>
      </w:r>
    </w:p>
    <w:p w:rsidR="243BEF60" w:rsidP="3B366774" w:rsidRDefault="243BEF60" w14:paraId="135EAEC9" w14:textId="7A435E74">
      <w:pPr>
        <w:pStyle w:val="Normal"/>
        <w:bidi w:val="0"/>
        <w:spacing w:before="0" w:beforeAutospacing="off" w:after="0" w:afterAutospacing="off" w:line="360" w:lineRule="auto"/>
        <w:ind w:left="0"/>
        <w:jc w:val="both"/>
        <w:rPr>
          <w:rFonts w:ascii="Arial" w:hAnsi="Arial" w:eastAsia="Arial" w:cs="Arial"/>
          <w:noProof w:val="0"/>
          <w:sz w:val="22"/>
          <w:szCs w:val="22"/>
          <w:lang w:val="en-GB"/>
        </w:rPr>
      </w:pPr>
    </w:p>
    <w:p w:rsidR="243BEF60" w:rsidP="3B366774" w:rsidRDefault="243BEF60" w14:paraId="211EAAC2" w14:textId="2720A14B">
      <w:pPr>
        <w:pStyle w:val="Normal"/>
        <w:bidi w:val="0"/>
        <w:spacing w:before="0" w:beforeAutospacing="off" w:after="0" w:afterAutospacing="off" w:line="360" w:lineRule="auto"/>
        <w:ind w:left="0"/>
        <w:jc w:val="both"/>
        <w:rPr>
          <w:rFonts w:ascii="Arial" w:hAnsi="Arial" w:eastAsia="Arial" w:cs="Arial"/>
          <w:noProof w:val="0"/>
          <w:sz w:val="22"/>
          <w:szCs w:val="22"/>
          <w:lang w:val="en-GB"/>
        </w:rPr>
      </w:pPr>
      <w:r w:rsidRPr="3B366774" w:rsidR="024B0421">
        <w:rPr>
          <w:rFonts w:ascii="Arial" w:hAnsi="Arial" w:eastAsia="Arial" w:cs="Arial"/>
          <w:noProof w:val="0"/>
          <w:sz w:val="22"/>
          <w:szCs w:val="22"/>
          <w:lang w:val="en-GB"/>
        </w:rPr>
        <w:t>Dubey, D. and Rana, G. (2022) “Thrust Of Employee Engagement Factors For Job Satisfaction Among Employees Of Aviation Industry,” Webology, 19(2), pp. 1457–1467.</w:t>
      </w:r>
    </w:p>
    <w:p w:rsidR="243BEF60" w:rsidP="3B366774" w:rsidRDefault="243BEF60" w14:paraId="150597E3" w14:textId="0B8A5EDC">
      <w:pPr>
        <w:pStyle w:val="Normal"/>
        <w:bidi w:val="0"/>
        <w:spacing w:before="0" w:beforeAutospacing="off" w:after="0" w:afterAutospacing="off" w:line="360" w:lineRule="auto"/>
        <w:ind w:left="0"/>
        <w:jc w:val="both"/>
        <w:rPr>
          <w:rFonts w:ascii="Arial" w:hAnsi="Arial" w:eastAsia="Arial" w:cs="Arial"/>
          <w:noProof w:val="0"/>
          <w:sz w:val="22"/>
          <w:szCs w:val="22"/>
          <w:lang w:val="en-GB"/>
        </w:rPr>
      </w:pPr>
    </w:p>
    <w:p w:rsidR="243BEF60" w:rsidP="3B366774" w:rsidRDefault="243BEF60" w14:paraId="09462D4D" w14:textId="21B22697">
      <w:pPr>
        <w:bidi w:val="0"/>
        <w:spacing w:before="0" w:beforeAutospacing="off" w:after="0" w:afterAutospacing="off"/>
        <w:jc w:val="both"/>
      </w:pPr>
      <w:r w:rsidRPr="3B366774" w:rsidR="024B0421">
        <w:rPr>
          <w:rFonts w:ascii="Arial" w:hAnsi="Arial" w:eastAsia="Arial" w:cs="Arial"/>
          <w:noProof w:val="0"/>
          <w:sz w:val="22"/>
          <w:szCs w:val="22"/>
          <w:lang w:val="en-GB"/>
        </w:rPr>
        <w:t xml:space="preserve">Efthymiou, M. </w:t>
      </w:r>
      <w:r w:rsidRPr="3B366774" w:rsidR="024B0421">
        <w:rPr>
          <w:rFonts w:ascii="Arial" w:hAnsi="Arial" w:eastAsia="Arial" w:cs="Arial"/>
          <w:i w:val="1"/>
          <w:iCs w:val="1"/>
          <w:noProof w:val="0"/>
          <w:sz w:val="22"/>
          <w:szCs w:val="22"/>
          <w:lang w:val="en-GB"/>
        </w:rPr>
        <w:t>et al.</w:t>
      </w:r>
      <w:r w:rsidRPr="3B366774" w:rsidR="024B0421">
        <w:rPr>
          <w:rFonts w:ascii="Arial" w:hAnsi="Arial" w:eastAsia="Arial" w:cs="Arial"/>
          <w:noProof w:val="0"/>
          <w:sz w:val="22"/>
          <w:szCs w:val="22"/>
          <w:lang w:val="en-GB"/>
        </w:rPr>
        <w:t xml:space="preserve"> (2021) “The factors influencing entry level airline pilot retention: An empirical study of Ryanair,” </w:t>
      </w:r>
      <w:r w:rsidRPr="3B366774" w:rsidR="024B0421">
        <w:rPr>
          <w:rFonts w:ascii="Arial" w:hAnsi="Arial" w:eastAsia="Arial" w:cs="Arial"/>
          <w:i w:val="1"/>
          <w:iCs w:val="1"/>
          <w:noProof w:val="0"/>
          <w:sz w:val="22"/>
          <w:szCs w:val="22"/>
          <w:lang w:val="en-GB"/>
        </w:rPr>
        <w:t>Journal of air transport management</w:t>
      </w:r>
      <w:r w:rsidRPr="3B366774" w:rsidR="024B0421">
        <w:rPr>
          <w:rFonts w:ascii="Arial" w:hAnsi="Arial" w:eastAsia="Arial" w:cs="Arial"/>
          <w:noProof w:val="0"/>
          <w:sz w:val="22"/>
          <w:szCs w:val="22"/>
          <w:lang w:val="en-GB"/>
        </w:rPr>
        <w:t xml:space="preserve">, 91. Available at: </w:t>
      </w:r>
      <w:hyperlink r:id="R4ee593823ec9451a">
        <w:r w:rsidRPr="3B366774" w:rsidR="024B0421">
          <w:rPr>
            <w:rStyle w:val="Hyperlink"/>
            <w:rFonts w:ascii="Arial" w:hAnsi="Arial" w:eastAsia="Arial" w:cs="Arial"/>
            <w:noProof w:val="0"/>
            <w:sz w:val="22"/>
            <w:szCs w:val="22"/>
            <w:lang w:val="en-GB"/>
          </w:rPr>
          <w:t>https://doi.org/10.1016/j.jairtraman.2020.101997</w:t>
        </w:r>
      </w:hyperlink>
      <w:r w:rsidRPr="3B366774" w:rsidR="024B0421">
        <w:rPr>
          <w:rFonts w:ascii="Arial" w:hAnsi="Arial" w:eastAsia="Arial" w:cs="Arial"/>
          <w:noProof w:val="0"/>
          <w:sz w:val="22"/>
          <w:szCs w:val="22"/>
          <w:lang w:val="en-GB"/>
        </w:rPr>
        <w:t>.</w:t>
      </w:r>
    </w:p>
    <w:p w:rsidR="243BEF60" w:rsidP="3B366774" w:rsidRDefault="243BEF60" w14:paraId="4AB6EC5E" w14:textId="29963EB8">
      <w:pPr>
        <w:pStyle w:val="Normal"/>
        <w:bidi w:val="0"/>
        <w:spacing w:before="0" w:beforeAutospacing="off" w:after="0" w:afterAutospacing="off" w:line="360" w:lineRule="auto"/>
        <w:ind w:left="0"/>
        <w:jc w:val="both"/>
        <w:rPr>
          <w:rFonts w:ascii="Arial" w:hAnsi="Arial" w:eastAsia="Arial" w:cs="Arial"/>
          <w:noProof w:val="0"/>
          <w:sz w:val="22"/>
          <w:szCs w:val="22"/>
          <w:lang w:val="en-GB"/>
        </w:rPr>
      </w:pPr>
    </w:p>
    <w:p w:rsidR="243BEF60" w:rsidP="3B366774" w:rsidRDefault="243BEF60" w14:paraId="28C22F5E" w14:textId="1E2D046C">
      <w:pPr>
        <w:bidi w:val="0"/>
        <w:spacing w:before="0" w:beforeAutospacing="off" w:after="0" w:afterAutospacing="off"/>
        <w:jc w:val="both"/>
      </w:pPr>
      <w:r w:rsidRPr="3B366774" w:rsidR="024B0421">
        <w:rPr>
          <w:rFonts w:ascii="Arial" w:hAnsi="Arial" w:eastAsia="Arial" w:cs="Arial"/>
          <w:noProof w:val="0"/>
          <w:sz w:val="22"/>
          <w:szCs w:val="22"/>
          <w:lang w:val="en-GB"/>
        </w:rPr>
        <w:t xml:space="preserve">Fatoki, O. (2023) “Participative Leadership and Employee Job Satisfaction: The Mediating Effects of Psychological Empowerment and Work Engagement,” </w:t>
      </w:r>
      <w:r w:rsidRPr="3B366774" w:rsidR="024B0421">
        <w:rPr>
          <w:rFonts w:ascii="Arial" w:hAnsi="Arial" w:eastAsia="Arial" w:cs="Arial"/>
          <w:i w:val="1"/>
          <w:iCs w:val="1"/>
          <w:noProof w:val="0"/>
          <w:sz w:val="22"/>
          <w:szCs w:val="22"/>
          <w:lang w:val="en-GB"/>
        </w:rPr>
        <w:t>Foundations of management</w:t>
      </w:r>
      <w:r w:rsidRPr="3B366774" w:rsidR="024B0421">
        <w:rPr>
          <w:rFonts w:ascii="Arial" w:hAnsi="Arial" w:eastAsia="Arial" w:cs="Arial"/>
          <w:noProof w:val="0"/>
          <w:sz w:val="22"/>
          <w:szCs w:val="22"/>
          <w:lang w:val="en-GB"/>
        </w:rPr>
        <w:t xml:space="preserve">, 15(1), pp. 161–176. Available at: </w:t>
      </w:r>
      <w:hyperlink r:id="Rb453a96e72924fb2">
        <w:r w:rsidRPr="3B366774" w:rsidR="024B0421">
          <w:rPr>
            <w:rStyle w:val="Hyperlink"/>
            <w:rFonts w:ascii="Arial" w:hAnsi="Arial" w:eastAsia="Arial" w:cs="Arial"/>
            <w:noProof w:val="0"/>
            <w:sz w:val="22"/>
            <w:szCs w:val="22"/>
            <w:lang w:val="en-GB"/>
          </w:rPr>
          <w:t>https://doi.org/10.2478/fman-2023-0012</w:t>
        </w:r>
      </w:hyperlink>
      <w:r w:rsidRPr="3B366774" w:rsidR="024B0421">
        <w:rPr>
          <w:rFonts w:ascii="Arial" w:hAnsi="Arial" w:eastAsia="Arial" w:cs="Arial"/>
          <w:noProof w:val="0"/>
          <w:sz w:val="22"/>
          <w:szCs w:val="22"/>
          <w:lang w:val="en-GB"/>
        </w:rPr>
        <w:t>.</w:t>
      </w:r>
    </w:p>
    <w:p w:rsidR="243BEF60" w:rsidP="3B366774" w:rsidRDefault="243BEF60" w14:paraId="1F8C0838" w14:textId="5D5B2DF6">
      <w:pPr>
        <w:pStyle w:val="Normal"/>
        <w:bidi w:val="0"/>
        <w:spacing w:before="0" w:beforeAutospacing="off" w:after="0" w:afterAutospacing="off" w:line="360" w:lineRule="auto"/>
        <w:ind w:left="0"/>
        <w:jc w:val="both"/>
        <w:rPr>
          <w:rFonts w:ascii="Arial" w:hAnsi="Arial" w:eastAsia="Arial" w:cs="Arial"/>
          <w:noProof w:val="0"/>
          <w:sz w:val="22"/>
          <w:szCs w:val="22"/>
          <w:lang w:val="en-GB"/>
        </w:rPr>
      </w:pPr>
    </w:p>
    <w:p w:rsidR="243BEF60" w:rsidP="3B366774" w:rsidRDefault="243BEF60" w14:paraId="4CE02606" w14:textId="14DCFDE0">
      <w:pPr>
        <w:bidi w:val="0"/>
        <w:spacing w:before="0" w:beforeAutospacing="off" w:after="0" w:afterAutospacing="off" w:line="360" w:lineRule="auto"/>
        <w:jc w:val="both"/>
        <w:rPr>
          <w:rFonts w:ascii="Arial" w:hAnsi="Arial" w:eastAsia="Arial" w:cs="Arial"/>
          <w:noProof w:val="0"/>
          <w:sz w:val="22"/>
          <w:szCs w:val="22"/>
          <w:lang w:val="en-GB"/>
        </w:rPr>
      </w:pPr>
      <w:r w:rsidRPr="3B366774" w:rsidR="2F3C6202">
        <w:rPr>
          <w:rFonts w:ascii="Arial" w:hAnsi="Arial" w:eastAsia="Arial" w:cs="Arial"/>
          <w:noProof w:val="0"/>
          <w:sz w:val="22"/>
          <w:szCs w:val="22"/>
          <w:lang w:val="en-GB"/>
        </w:rPr>
        <w:t xml:space="preserve">Fleischer, N.J. and Khalil, A. (2024) “Limitations and recommendations for use of secondary data analysis in pediatric research,” </w:t>
      </w:r>
      <w:r w:rsidRPr="3B366774" w:rsidR="2F3C6202">
        <w:rPr>
          <w:rFonts w:ascii="Arial" w:hAnsi="Arial" w:eastAsia="Arial" w:cs="Arial"/>
          <w:i w:val="1"/>
          <w:iCs w:val="1"/>
          <w:noProof w:val="0"/>
          <w:sz w:val="22"/>
          <w:szCs w:val="22"/>
          <w:lang w:val="en-GB"/>
        </w:rPr>
        <w:t>Children’s health care</w:t>
      </w:r>
      <w:r w:rsidRPr="3B366774" w:rsidR="2F3C6202">
        <w:rPr>
          <w:rFonts w:ascii="Arial" w:hAnsi="Arial" w:eastAsia="Arial" w:cs="Arial"/>
          <w:noProof w:val="0"/>
          <w:sz w:val="22"/>
          <w:szCs w:val="22"/>
          <w:lang w:val="en-GB"/>
        </w:rPr>
        <w:t xml:space="preserve">, 53(4), pp. 488–504. Available at: </w:t>
      </w:r>
      <w:hyperlink r:id="Rb70165d9d74744aa">
        <w:r w:rsidRPr="3B366774" w:rsidR="2F3C6202">
          <w:rPr>
            <w:rStyle w:val="Hyperlink"/>
            <w:rFonts w:ascii="Arial" w:hAnsi="Arial" w:eastAsia="Arial" w:cs="Arial"/>
            <w:noProof w:val="0"/>
            <w:sz w:val="22"/>
            <w:szCs w:val="22"/>
            <w:lang w:val="en-GB"/>
          </w:rPr>
          <w:t>https://doi.org/10.1080/02739615.2023.2279064</w:t>
        </w:r>
      </w:hyperlink>
      <w:r w:rsidRPr="3B366774" w:rsidR="2F3C6202">
        <w:rPr>
          <w:rFonts w:ascii="Arial" w:hAnsi="Arial" w:eastAsia="Arial" w:cs="Arial"/>
          <w:noProof w:val="0"/>
          <w:sz w:val="22"/>
          <w:szCs w:val="22"/>
          <w:lang w:val="en-GB"/>
        </w:rPr>
        <w:t>.</w:t>
      </w:r>
    </w:p>
    <w:p w:rsidR="243BEF60" w:rsidP="3B366774" w:rsidRDefault="243BEF60" w14:paraId="565650E5" w14:textId="17297FCC">
      <w:pPr>
        <w:pStyle w:val="Normal"/>
        <w:bidi w:val="0"/>
        <w:spacing w:before="0" w:beforeAutospacing="off" w:after="0" w:afterAutospacing="off" w:line="360" w:lineRule="auto"/>
        <w:ind w:left="0"/>
        <w:jc w:val="both"/>
        <w:rPr>
          <w:rFonts w:ascii="Arial" w:hAnsi="Arial" w:eastAsia="Arial" w:cs="Arial"/>
          <w:noProof w:val="0"/>
          <w:sz w:val="22"/>
          <w:szCs w:val="22"/>
          <w:lang w:val="en-GB"/>
        </w:rPr>
      </w:pPr>
    </w:p>
    <w:p w:rsidR="243BEF60" w:rsidP="3B366774" w:rsidRDefault="243BEF60" w14:paraId="0423019E" w14:textId="0DDB856C">
      <w:pPr>
        <w:bidi w:val="0"/>
        <w:spacing w:before="0" w:beforeAutospacing="off" w:after="0" w:afterAutospacing="off"/>
        <w:jc w:val="both"/>
      </w:pPr>
      <w:r w:rsidRPr="3B366774" w:rsidR="538FB3FB">
        <w:rPr>
          <w:rFonts w:ascii="Arial" w:hAnsi="Arial" w:eastAsia="Arial" w:cs="Arial"/>
          <w:noProof w:val="0"/>
          <w:sz w:val="22"/>
          <w:szCs w:val="22"/>
          <w:lang w:val="en-GB"/>
        </w:rPr>
        <w:t xml:space="preserve">Gould-Williams, J. and Davies, F. (2005) “Using social exchange theory to predict the effects of hrm practice on employee outcomes: An analysis of public sector workers,” </w:t>
      </w:r>
      <w:r w:rsidRPr="3B366774" w:rsidR="538FB3FB">
        <w:rPr>
          <w:rFonts w:ascii="Arial" w:hAnsi="Arial" w:eastAsia="Arial" w:cs="Arial"/>
          <w:i w:val="1"/>
          <w:iCs w:val="1"/>
          <w:noProof w:val="0"/>
          <w:sz w:val="22"/>
          <w:szCs w:val="22"/>
          <w:lang w:val="en-GB"/>
        </w:rPr>
        <w:t>Public management review</w:t>
      </w:r>
      <w:r w:rsidRPr="3B366774" w:rsidR="538FB3FB">
        <w:rPr>
          <w:rFonts w:ascii="Arial" w:hAnsi="Arial" w:eastAsia="Arial" w:cs="Arial"/>
          <w:noProof w:val="0"/>
          <w:sz w:val="22"/>
          <w:szCs w:val="22"/>
          <w:lang w:val="en-GB"/>
        </w:rPr>
        <w:t xml:space="preserve">, 7(1), pp. 1–24. Available at: </w:t>
      </w:r>
      <w:hyperlink r:id="R886e723f06f74ed3">
        <w:r w:rsidRPr="3B366774" w:rsidR="538FB3FB">
          <w:rPr>
            <w:rStyle w:val="Hyperlink"/>
            <w:rFonts w:ascii="Arial" w:hAnsi="Arial" w:eastAsia="Arial" w:cs="Arial"/>
            <w:noProof w:val="0"/>
            <w:sz w:val="22"/>
            <w:szCs w:val="22"/>
            <w:lang w:val="en-GB"/>
          </w:rPr>
          <w:t>https://doi.org/10.1080/1471903042000339392</w:t>
        </w:r>
      </w:hyperlink>
      <w:r w:rsidRPr="3B366774" w:rsidR="538FB3FB">
        <w:rPr>
          <w:rFonts w:ascii="Arial" w:hAnsi="Arial" w:eastAsia="Arial" w:cs="Arial"/>
          <w:noProof w:val="0"/>
          <w:sz w:val="22"/>
          <w:szCs w:val="22"/>
          <w:lang w:val="en-GB"/>
        </w:rPr>
        <w:t>.</w:t>
      </w:r>
    </w:p>
    <w:p w:rsidR="243BEF60" w:rsidP="3B366774" w:rsidRDefault="243BEF60" w14:paraId="04853931" w14:textId="75D4402F">
      <w:pPr>
        <w:pStyle w:val="Normal"/>
        <w:bidi w:val="0"/>
        <w:spacing w:before="0" w:beforeAutospacing="off" w:after="0" w:afterAutospacing="off" w:line="360" w:lineRule="auto"/>
        <w:ind w:left="0"/>
        <w:jc w:val="both"/>
        <w:rPr>
          <w:rFonts w:ascii="Arial" w:hAnsi="Arial" w:eastAsia="Arial" w:cs="Arial"/>
          <w:noProof w:val="0"/>
          <w:sz w:val="22"/>
          <w:szCs w:val="22"/>
          <w:lang w:val="en-GB"/>
        </w:rPr>
      </w:pPr>
    </w:p>
    <w:p w:rsidR="243BEF60" w:rsidP="3B366774" w:rsidRDefault="243BEF60" w14:paraId="25E1C702" w14:textId="4E62FA98">
      <w:pPr>
        <w:bidi w:val="0"/>
        <w:spacing w:before="0" w:beforeAutospacing="off" w:after="0" w:afterAutospacing="off"/>
        <w:jc w:val="both"/>
      </w:pPr>
      <w:r w:rsidRPr="3B366774" w:rsidR="538FB3FB">
        <w:rPr>
          <w:rFonts w:ascii="Arial" w:hAnsi="Arial" w:eastAsia="Arial" w:cs="Arial"/>
          <w:noProof w:val="0"/>
          <w:sz w:val="22"/>
          <w:szCs w:val="22"/>
          <w:lang w:val="en-GB"/>
        </w:rPr>
        <w:t xml:space="preserve">Guest, D.E. (2017) “Human resource management and employee well‐being: towards a new analytic framework,” </w:t>
      </w:r>
      <w:r w:rsidRPr="3B366774" w:rsidR="538FB3FB">
        <w:rPr>
          <w:rFonts w:ascii="Arial" w:hAnsi="Arial" w:eastAsia="Arial" w:cs="Arial"/>
          <w:i w:val="1"/>
          <w:iCs w:val="1"/>
          <w:noProof w:val="0"/>
          <w:sz w:val="22"/>
          <w:szCs w:val="22"/>
          <w:lang w:val="en-GB"/>
        </w:rPr>
        <w:t>Human resource management journal</w:t>
      </w:r>
      <w:r w:rsidRPr="3B366774" w:rsidR="538FB3FB">
        <w:rPr>
          <w:rFonts w:ascii="Arial" w:hAnsi="Arial" w:eastAsia="Arial" w:cs="Arial"/>
          <w:noProof w:val="0"/>
          <w:sz w:val="22"/>
          <w:szCs w:val="22"/>
          <w:lang w:val="en-GB"/>
        </w:rPr>
        <w:t xml:space="preserve">, 27(1), pp. 22–38. Available at: </w:t>
      </w:r>
      <w:hyperlink r:id="Ra5324f429b5d478e">
        <w:r w:rsidRPr="3B366774" w:rsidR="538FB3FB">
          <w:rPr>
            <w:rStyle w:val="Hyperlink"/>
            <w:rFonts w:ascii="Arial" w:hAnsi="Arial" w:eastAsia="Arial" w:cs="Arial"/>
            <w:noProof w:val="0"/>
            <w:sz w:val="22"/>
            <w:szCs w:val="22"/>
            <w:lang w:val="en-GB"/>
          </w:rPr>
          <w:t>https://doi.org/10.1111/1748-8583.12139</w:t>
        </w:r>
      </w:hyperlink>
      <w:r w:rsidRPr="3B366774" w:rsidR="538FB3FB">
        <w:rPr>
          <w:rFonts w:ascii="Arial" w:hAnsi="Arial" w:eastAsia="Arial" w:cs="Arial"/>
          <w:noProof w:val="0"/>
          <w:sz w:val="22"/>
          <w:szCs w:val="22"/>
          <w:lang w:val="en-GB"/>
        </w:rPr>
        <w:t>.</w:t>
      </w:r>
    </w:p>
    <w:p w:rsidR="243BEF60" w:rsidP="3B366774" w:rsidRDefault="243BEF60" w14:paraId="2361A513" w14:textId="46998CD3">
      <w:pPr>
        <w:pStyle w:val="Normal"/>
        <w:bidi w:val="0"/>
        <w:spacing w:before="0" w:beforeAutospacing="off" w:after="0" w:afterAutospacing="off" w:line="360" w:lineRule="auto"/>
        <w:ind w:left="0"/>
        <w:jc w:val="both"/>
        <w:rPr>
          <w:rFonts w:ascii="Arial" w:hAnsi="Arial" w:eastAsia="Arial" w:cs="Arial"/>
          <w:noProof w:val="0"/>
          <w:sz w:val="22"/>
          <w:szCs w:val="22"/>
          <w:lang w:val="en-GB"/>
        </w:rPr>
      </w:pPr>
    </w:p>
    <w:p w:rsidR="243BEF60" w:rsidP="3B366774" w:rsidRDefault="243BEF60" w14:paraId="65C283EF" w14:textId="1A1253BF">
      <w:pPr>
        <w:bidi w:val="0"/>
        <w:spacing w:before="0" w:beforeAutospacing="off" w:after="0" w:afterAutospacing="off" w:line="360" w:lineRule="auto"/>
        <w:jc w:val="both"/>
        <w:rPr>
          <w:rFonts w:ascii="Arial" w:hAnsi="Arial" w:eastAsia="Arial" w:cs="Arial"/>
          <w:noProof w:val="0"/>
          <w:sz w:val="22"/>
          <w:szCs w:val="22"/>
          <w:lang w:val="en-GB"/>
        </w:rPr>
      </w:pPr>
      <w:r w:rsidRPr="3B366774" w:rsidR="5A807755">
        <w:rPr>
          <w:rFonts w:ascii="Arial" w:hAnsi="Arial" w:eastAsia="Arial" w:cs="Arial"/>
          <w:noProof w:val="0"/>
          <w:sz w:val="22"/>
          <w:szCs w:val="22"/>
          <w:lang w:val="en-GB"/>
        </w:rPr>
        <w:t>Gyensare</w:t>
      </w:r>
      <w:r w:rsidRPr="3B366774" w:rsidR="5A807755">
        <w:rPr>
          <w:rFonts w:ascii="Arial" w:hAnsi="Arial" w:eastAsia="Arial" w:cs="Arial"/>
          <w:noProof w:val="0"/>
          <w:sz w:val="22"/>
          <w:szCs w:val="22"/>
          <w:lang w:val="en-GB"/>
        </w:rPr>
        <w:t xml:space="preserve">, M.A. </w:t>
      </w:r>
      <w:r w:rsidRPr="3B366774" w:rsidR="5A807755">
        <w:rPr>
          <w:rFonts w:ascii="Arial" w:hAnsi="Arial" w:eastAsia="Arial" w:cs="Arial"/>
          <w:i w:val="1"/>
          <w:iCs w:val="1"/>
          <w:noProof w:val="0"/>
          <w:sz w:val="22"/>
          <w:szCs w:val="22"/>
          <w:lang w:val="en-GB"/>
        </w:rPr>
        <w:t>et al.</w:t>
      </w:r>
      <w:r w:rsidRPr="3B366774" w:rsidR="5A807755">
        <w:rPr>
          <w:rFonts w:ascii="Arial" w:hAnsi="Arial" w:eastAsia="Arial" w:cs="Arial"/>
          <w:noProof w:val="0"/>
          <w:sz w:val="22"/>
          <w:szCs w:val="22"/>
          <w:lang w:val="en-GB"/>
        </w:rPr>
        <w:t xml:space="preserve"> (2025) “Sustaining employees thriving at work through </w:t>
      </w:r>
      <w:r w:rsidRPr="3B366774" w:rsidR="5A807755">
        <w:rPr>
          <w:rFonts w:ascii="Arial" w:hAnsi="Arial" w:eastAsia="Arial" w:cs="Arial"/>
          <w:noProof w:val="0"/>
          <w:sz w:val="22"/>
          <w:szCs w:val="22"/>
          <w:lang w:val="en-GB"/>
        </w:rPr>
        <w:t>polychronicity</w:t>
      </w:r>
      <w:r w:rsidRPr="3B366774" w:rsidR="5A807755">
        <w:rPr>
          <w:rFonts w:ascii="Arial" w:hAnsi="Arial" w:eastAsia="Arial" w:cs="Arial"/>
          <w:noProof w:val="0"/>
          <w:sz w:val="22"/>
          <w:szCs w:val="22"/>
          <w:lang w:val="en-GB"/>
        </w:rPr>
        <w:t xml:space="preserve"> and work engagement: The unintended (negative) consequence of training,” </w:t>
      </w:r>
      <w:r w:rsidRPr="3B366774" w:rsidR="5A807755">
        <w:rPr>
          <w:rFonts w:ascii="Arial" w:hAnsi="Arial" w:eastAsia="Arial" w:cs="Arial"/>
          <w:i w:val="1"/>
          <w:iCs w:val="1"/>
          <w:noProof w:val="0"/>
          <w:sz w:val="22"/>
          <w:szCs w:val="22"/>
          <w:lang w:val="en-GB"/>
        </w:rPr>
        <w:t>Journal of</w:t>
      </w:r>
      <w:r w:rsidRPr="3B366774" w:rsidR="06FC5A04">
        <w:rPr>
          <w:rFonts w:ascii="Arial" w:hAnsi="Arial" w:eastAsia="Arial" w:cs="Arial"/>
          <w:i w:val="1"/>
          <w:iCs w:val="1"/>
          <w:noProof w:val="0"/>
          <w:sz w:val="22"/>
          <w:szCs w:val="22"/>
          <w:lang w:val="en-GB"/>
        </w:rPr>
        <w:t xml:space="preserve"> </w:t>
      </w:r>
      <w:r w:rsidRPr="3B366774" w:rsidR="5A807755">
        <w:rPr>
          <w:rFonts w:ascii="Arial" w:hAnsi="Arial" w:eastAsia="Arial" w:cs="Arial"/>
          <w:i w:val="1"/>
          <w:iCs w:val="1"/>
          <w:noProof w:val="0"/>
          <w:sz w:val="22"/>
          <w:szCs w:val="22"/>
          <w:lang w:val="en-GB"/>
        </w:rPr>
        <w:t xml:space="preserve">occupational and </w:t>
      </w:r>
      <w:r w:rsidRPr="3B366774" w:rsidR="4E716085">
        <w:rPr>
          <w:rFonts w:ascii="Arial" w:hAnsi="Arial" w:eastAsia="Arial" w:cs="Arial"/>
          <w:i w:val="1"/>
          <w:iCs w:val="1"/>
          <w:noProof w:val="0"/>
          <w:sz w:val="22"/>
          <w:szCs w:val="22"/>
          <w:lang w:val="en-GB"/>
        </w:rPr>
        <w:t>organisation</w:t>
      </w:r>
      <w:r w:rsidRPr="3B366774" w:rsidR="5A807755">
        <w:rPr>
          <w:rFonts w:ascii="Arial" w:hAnsi="Arial" w:eastAsia="Arial" w:cs="Arial"/>
          <w:i w:val="1"/>
          <w:iCs w:val="1"/>
          <w:noProof w:val="0"/>
          <w:sz w:val="22"/>
          <w:szCs w:val="22"/>
          <w:lang w:val="en-GB"/>
        </w:rPr>
        <w:t>al psychology</w:t>
      </w:r>
      <w:r w:rsidRPr="3B366774" w:rsidR="5A807755">
        <w:rPr>
          <w:rFonts w:ascii="Arial" w:hAnsi="Arial" w:eastAsia="Arial" w:cs="Arial"/>
          <w:noProof w:val="0"/>
          <w:sz w:val="22"/>
          <w:szCs w:val="22"/>
          <w:lang w:val="en-GB"/>
        </w:rPr>
        <w:t xml:space="preserve">, 98(1). Available at: </w:t>
      </w:r>
      <w:hyperlink r:id="R8feb8baf39364b01">
        <w:r w:rsidRPr="3B366774" w:rsidR="5A807755">
          <w:rPr>
            <w:rStyle w:val="Hyperlink"/>
            <w:rFonts w:ascii="Arial" w:hAnsi="Arial" w:eastAsia="Arial" w:cs="Arial"/>
            <w:noProof w:val="0"/>
            <w:sz w:val="22"/>
            <w:szCs w:val="22"/>
            <w:lang w:val="en-GB"/>
          </w:rPr>
          <w:t>https://doi.org/10.1111/joop.70017</w:t>
        </w:r>
      </w:hyperlink>
      <w:r w:rsidRPr="3B366774" w:rsidR="5A807755">
        <w:rPr>
          <w:rFonts w:ascii="Arial" w:hAnsi="Arial" w:eastAsia="Arial" w:cs="Arial"/>
          <w:noProof w:val="0"/>
          <w:sz w:val="22"/>
          <w:szCs w:val="22"/>
          <w:lang w:val="en-GB"/>
        </w:rPr>
        <w:t>.</w:t>
      </w:r>
    </w:p>
    <w:p w:rsidR="243BEF60" w:rsidP="3B366774" w:rsidRDefault="243BEF60" w14:paraId="44EE2BD0" w14:textId="0885DCE7">
      <w:pPr>
        <w:pStyle w:val="Normal"/>
        <w:bidi w:val="0"/>
        <w:spacing w:before="0" w:beforeAutospacing="off" w:after="0" w:afterAutospacing="off" w:line="360" w:lineRule="auto"/>
        <w:ind w:left="0"/>
        <w:jc w:val="both"/>
        <w:rPr>
          <w:rFonts w:ascii="Arial" w:hAnsi="Arial" w:eastAsia="Arial" w:cs="Arial"/>
          <w:noProof w:val="0"/>
          <w:sz w:val="22"/>
          <w:szCs w:val="22"/>
          <w:lang w:val="en-GB"/>
        </w:rPr>
      </w:pPr>
    </w:p>
    <w:p w:rsidR="243BEF60" w:rsidP="3B366774" w:rsidRDefault="243BEF60" w14:paraId="19FC986A" w14:textId="02561E04">
      <w:pPr>
        <w:bidi w:val="0"/>
        <w:spacing w:before="0" w:beforeAutospacing="off" w:after="0" w:afterAutospacing="off"/>
        <w:jc w:val="both"/>
      </w:pPr>
      <w:r w:rsidRPr="3B366774" w:rsidR="369662DC">
        <w:rPr>
          <w:rFonts w:ascii="Arial" w:hAnsi="Arial" w:eastAsia="Arial" w:cs="Arial"/>
          <w:noProof w:val="0"/>
          <w:sz w:val="22"/>
          <w:szCs w:val="22"/>
          <w:lang w:val="en-GB"/>
        </w:rPr>
        <w:t xml:space="preserve">Habiyaremye, A. and Monaco, L. (2026) “4IR technology adoption in the south African airline industry: drivers, constraints and labour market effects,” </w:t>
      </w:r>
      <w:r w:rsidRPr="3B366774" w:rsidR="369662DC">
        <w:rPr>
          <w:rFonts w:ascii="Arial" w:hAnsi="Arial" w:eastAsia="Arial" w:cs="Arial"/>
          <w:i w:val="1"/>
          <w:iCs w:val="1"/>
          <w:noProof w:val="0"/>
          <w:sz w:val="22"/>
          <w:szCs w:val="22"/>
          <w:lang w:val="en-GB"/>
        </w:rPr>
        <w:t>Science &amp; public policy</w:t>
      </w:r>
      <w:r w:rsidRPr="3B366774" w:rsidR="369662DC">
        <w:rPr>
          <w:rFonts w:ascii="Arial" w:hAnsi="Arial" w:eastAsia="Arial" w:cs="Arial"/>
          <w:noProof w:val="0"/>
          <w:sz w:val="22"/>
          <w:szCs w:val="22"/>
          <w:lang w:val="en-GB"/>
        </w:rPr>
        <w:t xml:space="preserve">, 53(1), pp. 88–99. Available at: </w:t>
      </w:r>
      <w:hyperlink r:id="R951811384c294f6c">
        <w:r w:rsidRPr="3B366774" w:rsidR="369662DC">
          <w:rPr>
            <w:rStyle w:val="Hyperlink"/>
            <w:rFonts w:ascii="Arial" w:hAnsi="Arial" w:eastAsia="Arial" w:cs="Arial"/>
            <w:noProof w:val="0"/>
            <w:sz w:val="22"/>
            <w:szCs w:val="22"/>
            <w:lang w:val="en-GB"/>
          </w:rPr>
          <w:t>https://doi.org/10.1093/scipol/scaf084</w:t>
        </w:r>
      </w:hyperlink>
      <w:r w:rsidRPr="3B366774" w:rsidR="369662DC">
        <w:rPr>
          <w:rFonts w:ascii="Arial" w:hAnsi="Arial" w:eastAsia="Arial" w:cs="Arial"/>
          <w:noProof w:val="0"/>
          <w:sz w:val="22"/>
          <w:szCs w:val="22"/>
          <w:lang w:val="en-GB"/>
        </w:rPr>
        <w:t>.</w:t>
      </w:r>
    </w:p>
    <w:p w:rsidR="243BEF60" w:rsidP="3B366774" w:rsidRDefault="243BEF60" w14:paraId="41950C17" w14:textId="59A1201E">
      <w:pPr>
        <w:pStyle w:val="Normal"/>
        <w:bidi w:val="0"/>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C29B93D" w:rsidP="3B366774" w:rsidRDefault="0C29B93D" w14:paraId="75ED63FB" w14:textId="7623E4E8">
      <w:pPr>
        <w:bidi w:val="0"/>
        <w:spacing w:before="0" w:beforeAutospacing="off" w:after="0" w:afterAutospacing="off"/>
        <w:jc w:val="both"/>
      </w:pPr>
      <w:r w:rsidRPr="3B366774" w:rsidR="369662DC">
        <w:rPr>
          <w:rFonts w:ascii="Arial" w:hAnsi="Arial" w:eastAsia="Arial" w:cs="Arial"/>
          <w:noProof w:val="0"/>
          <w:sz w:val="22"/>
          <w:szCs w:val="22"/>
          <w:lang w:val="en-GB"/>
        </w:rPr>
        <w:t xml:space="preserve">Harvey, G. and Turnbull, P. (2010) “On the Go: walking the high road at a low cost airline,” </w:t>
      </w:r>
      <w:r w:rsidRPr="3B366774" w:rsidR="369662DC">
        <w:rPr>
          <w:rFonts w:ascii="Arial" w:hAnsi="Arial" w:eastAsia="Arial" w:cs="Arial"/>
          <w:i w:val="1"/>
          <w:iCs w:val="1"/>
          <w:noProof w:val="0"/>
          <w:sz w:val="22"/>
          <w:szCs w:val="22"/>
          <w:lang w:val="en-GB"/>
        </w:rPr>
        <w:t>International journal of human resource management</w:t>
      </w:r>
      <w:r w:rsidRPr="3B366774" w:rsidR="369662DC">
        <w:rPr>
          <w:rFonts w:ascii="Arial" w:hAnsi="Arial" w:eastAsia="Arial" w:cs="Arial"/>
          <w:noProof w:val="0"/>
          <w:sz w:val="22"/>
          <w:szCs w:val="22"/>
          <w:lang w:val="en-GB"/>
        </w:rPr>
        <w:t xml:space="preserve">, 21(2), pp. 230–241. Available at: </w:t>
      </w:r>
      <w:hyperlink r:id="R53339f7f317d4e40">
        <w:r w:rsidRPr="3B366774" w:rsidR="369662DC">
          <w:rPr>
            <w:rStyle w:val="Hyperlink"/>
            <w:rFonts w:ascii="Arial" w:hAnsi="Arial" w:eastAsia="Arial" w:cs="Arial"/>
            <w:noProof w:val="0"/>
            <w:sz w:val="22"/>
            <w:szCs w:val="22"/>
            <w:lang w:val="en-GB"/>
          </w:rPr>
          <w:t>https://doi.org/10.1080/09585190903509548</w:t>
        </w:r>
      </w:hyperlink>
      <w:r w:rsidRPr="3B366774" w:rsidR="369662DC">
        <w:rPr>
          <w:rFonts w:ascii="Arial" w:hAnsi="Arial" w:eastAsia="Arial" w:cs="Arial"/>
          <w:noProof w:val="0"/>
          <w:sz w:val="22"/>
          <w:szCs w:val="22"/>
          <w:lang w:val="en-GB"/>
        </w:rPr>
        <w:t>.</w:t>
      </w:r>
    </w:p>
    <w:p w:rsidR="0C29B93D" w:rsidP="3B366774" w:rsidRDefault="0C29B93D" w14:paraId="315C2700" w14:textId="7D093CE8">
      <w:pPr>
        <w:pStyle w:val="Normal"/>
        <w:bidi w:val="0"/>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C29B93D" w:rsidP="3B366774" w:rsidRDefault="0C29B93D" w14:paraId="5CD54CA7" w14:textId="0B66AD7D">
      <w:pPr>
        <w:bidi w:val="0"/>
        <w:spacing w:before="0" w:beforeAutospacing="off" w:after="0" w:afterAutospacing="off"/>
        <w:jc w:val="both"/>
      </w:pPr>
      <w:r w:rsidRPr="3B366774" w:rsidR="369662DC">
        <w:rPr>
          <w:rFonts w:ascii="Arial" w:hAnsi="Arial" w:eastAsia="Arial" w:cs="Arial"/>
          <w:noProof w:val="0"/>
          <w:sz w:val="22"/>
          <w:szCs w:val="22"/>
          <w:lang w:val="en-GB"/>
        </w:rPr>
        <w:t xml:space="preserve">Jackson, C.A. and Earl, L. (2006) “Prevalence of fatigue among commercial pilots,” </w:t>
      </w:r>
      <w:r w:rsidRPr="3B366774" w:rsidR="369662DC">
        <w:rPr>
          <w:rFonts w:ascii="Arial" w:hAnsi="Arial" w:eastAsia="Arial" w:cs="Arial"/>
          <w:i w:val="1"/>
          <w:iCs w:val="1"/>
          <w:noProof w:val="0"/>
          <w:sz w:val="22"/>
          <w:szCs w:val="22"/>
          <w:lang w:val="en-GB"/>
        </w:rPr>
        <w:t>Occupational medicine (Oxford)</w:t>
      </w:r>
      <w:r w:rsidRPr="3B366774" w:rsidR="369662DC">
        <w:rPr>
          <w:rFonts w:ascii="Arial" w:hAnsi="Arial" w:eastAsia="Arial" w:cs="Arial"/>
          <w:noProof w:val="0"/>
          <w:sz w:val="22"/>
          <w:szCs w:val="22"/>
          <w:lang w:val="en-GB"/>
        </w:rPr>
        <w:t xml:space="preserve">, 56(4), pp. 263–268. Available at: </w:t>
      </w:r>
      <w:hyperlink r:id="Rba38006829974081">
        <w:r w:rsidRPr="3B366774" w:rsidR="369662DC">
          <w:rPr>
            <w:rStyle w:val="Hyperlink"/>
            <w:rFonts w:ascii="Arial" w:hAnsi="Arial" w:eastAsia="Arial" w:cs="Arial"/>
            <w:noProof w:val="0"/>
            <w:sz w:val="22"/>
            <w:szCs w:val="22"/>
            <w:lang w:val="en-GB"/>
          </w:rPr>
          <w:t>https://doi.org/10.1093/occmed/kql021</w:t>
        </w:r>
      </w:hyperlink>
      <w:r w:rsidRPr="3B366774" w:rsidR="369662DC">
        <w:rPr>
          <w:rFonts w:ascii="Arial" w:hAnsi="Arial" w:eastAsia="Arial" w:cs="Arial"/>
          <w:noProof w:val="0"/>
          <w:sz w:val="22"/>
          <w:szCs w:val="22"/>
          <w:lang w:val="en-GB"/>
        </w:rPr>
        <w:t>.</w:t>
      </w:r>
    </w:p>
    <w:p w:rsidR="0C29B93D" w:rsidP="3B366774" w:rsidRDefault="0C29B93D" w14:paraId="68CFC6F2" w14:textId="5F5EE443">
      <w:pPr>
        <w:pStyle w:val="Normal"/>
        <w:bidi w:val="0"/>
        <w:spacing w:before="0" w:beforeAutospacing="off" w:after="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0C29B93D" w:rsidP="3B366774" w:rsidRDefault="0C29B93D" w14:paraId="7629A7FD" w14:textId="07D406A6">
      <w:pPr>
        <w:pStyle w:val="Normal"/>
        <w:bidi w:val="0"/>
        <w:spacing w:before="0" w:beforeAutospacing="off" w:after="0" w:afterAutospacing="off" w:line="360" w:lineRule="auto"/>
        <w:jc w:val="both"/>
        <w:rPr>
          <w:rFonts w:ascii="Arial" w:hAnsi="Arial" w:eastAsia="Arial" w:cs="Arial"/>
          <w:noProof w:val="0"/>
          <w:sz w:val="22"/>
          <w:szCs w:val="22"/>
          <w:lang w:val="en-GB"/>
        </w:rPr>
      </w:pPr>
      <w:r w:rsidRPr="3B366774" w:rsidR="0C29B93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King, A.T., Gontarz, </w:t>
      </w:r>
      <w:r w:rsidRPr="3B366774" w:rsidR="0C29B93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J.</w:t>
      </w:r>
      <w:r w:rsidRPr="3B366774" w:rsidR="0C29B93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Wei, H. (2020) ‘Employee engagement and absenteeism: A step towards improving patient care’, Nursing forum (Hillsdale), 55(3), pp. 356–361. Available at: </w:t>
      </w:r>
      <w:hyperlink r:id="R8256e51e18744d62">
        <w:r w:rsidRPr="3B366774" w:rsidR="0C29B93D">
          <w:rPr>
            <w:rStyle w:val="Hyperlink"/>
            <w:rFonts w:ascii="Arial" w:hAnsi="Arial" w:eastAsia="Arial" w:cs="Arial"/>
            <w:b w:val="0"/>
            <w:bCs w:val="0"/>
            <w:i w:val="0"/>
            <w:iCs w:val="0"/>
            <w:caps w:val="0"/>
            <w:smallCaps w:val="0"/>
            <w:strike w:val="0"/>
            <w:dstrike w:val="0"/>
            <w:noProof w:val="0"/>
            <w:color w:val="0563C1"/>
            <w:sz w:val="22"/>
            <w:szCs w:val="22"/>
            <w:u w:val="single"/>
            <w:lang w:val="en-GB"/>
          </w:rPr>
          <w:t>https://doi.org/10.1111/nuf.12435</w:t>
        </w:r>
      </w:hyperlink>
      <w:r w:rsidRPr="3B366774" w:rsidR="0C29B93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p>
    <w:p w:rsidR="243BEF60" w:rsidP="3B366774" w:rsidRDefault="243BEF60" w14:paraId="649D818D" w14:textId="50F669B5">
      <w:pPr>
        <w:pStyle w:val="Normal"/>
        <w:bidi w:val="0"/>
        <w:spacing w:before="0" w:beforeAutospacing="off" w:after="0" w:afterAutospacing="off" w:line="360" w:lineRule="auto"/>
        <w:ind/>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243BEF60" w:rsidP="3B366774" w:rsidRDefault="243BEF60" w14:paraId="56CDB2DA" w14:textId="5D8C0EDC">
      <w:pPr>
        <w:bidi w:val="0"/>
        <w:spacing w:before="0" w:beforeAutospacing="off" w:after="0" w:afterAutospacing="off"/>
        <w:ind/>
        <w:jc w:val="both"/>
      </w:pPr>
      <w:r w:rsidRPr="3B366774" w:rsidR="20E73D6C">
        <w:rPr>
          <w:rFonts w:ascii="Arial" w:hAnsi="Arial" w:eastAsia="Arial" w:cs="Arial"/>
          <w:noProof w:val="0"/>
          <w:sz w:val="22"/>
          <w:szCs w:val="22"/>
          <w:lang w:val="en-GB"/>
        </w:rPr>
        <w:t xml:space="preserve">Klapper, E.S. and Ruff-Stahl, H.-J.K. (2019) “Effects of the Pilot Shortage on the Regional Airline Industry: A 2023 Forecast,” </w:t>
      </w:r>
      <w:r w:rsidRPr="3B366774" w:rsidR="20E73D6C">
        <w:rPr>
          <w:rFonts w:ascii="Arial" w:hAnsi="Arial" w:eastAsia="Arial" w:cs="Arial"/>
          <w:i w:val="1"/>
          <w:iCs w:val="1"/>
          <w:noProof w:val="0"/>
          <w:sz w:val="22"/>
          <w:szCs w:val="22"/>
          <w:lang w:val="en-GB"/>
        </w:rPr>
        <w:t>International journal of aviation, aeronautics, and aerospace</w:t>
      </w:r>
      <w:r w:rsidRPr="3B366774" w:rsidR="20E73D6C">
        <w:rPr>
          <w:rFonts w:ascii="Arial" w:hAnsi="Arial" w:eastAsia="Arial" w:cs="Arial"/>
          <w:noProof w:val="0"/>
          <w:sz w:val="22"/>
          <w:szCs w:val="22"/>
          <w:lang w:val="en-GB"/>
        </w:rPr>
        <w:t xml:space="preserve">, 6(3), p. 2. Available at: </w:t>
      </w:r>
      <w:hyperlink r:id="R6254e0073eb945ca">
        <w:r w:rsidRPr="3B366774" w:rsidR="20E73D6C">
          <w:rPr>
            <w:rStyle w:val="Hyperlink"/>
            <w:rFonts w:ascii="Arial" w:hAnsi="Arial" w:eastAsia="Arial" w:cs="Arial"/>
            <w:noProof w:val="0"/>
            <w:sz w:val="22"/>
            <w:szCs w:val="22"/>
            <w:lang w:val="en-GB"/>
          </w:rPr>
          <w:t>https://doi.org/10.15394/ijaaa.2019.1321</w:t>
        </w:r>
      </w:hyperlink>
      <w:r w:rsidRPr="3B366774" w:rsidR="20E73D6C">
        <w:rPr>
          <w:rFonts w:ascii="Arial" w:hAnsi="Arial" w:eastAsia="Arial" w:cs="Arial"/>
          <w:noProof w:val="0"/>
          <w:sz w:val="22"/>
          <w:szCs w:val="22"/>
          <w:lang w:val="en-GB"/>
        </w:rPr>
        <w:t>.</w:t>
      </w:r>
    </w:p>
    <w:p w:rsidR="243BEF60" w:rsidP="3B366774" w:rsidRDefault="243BEF60" w14:paraId="546E9CDA" w14:textId="242D53BE">
      <w:pPr>
        <w:pStyle w:val="Normal"/>
        <w:bidi w:val="0"/>
        <w:spacing w:before="0" w:beforeAutospacing="off" w:after="0" w:afterAutospacing="off" w:line="360" w:lineRule="auto"/>
        <w:ind/>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243BEF60" w:rsidP="3B366774" w:rsidRDefault="243BEF60" w14:paraId="7FEFF57B" w14:textId="6EFDD186">
      <w:pPr>
        <w:bidi w:val="0"/>
        <w:spacing w:before="0" w:beforeAutospacing="off" w:after="0" w:afterAutospacing="off"/>
        <w:ind/>
        <w:jc w:val="both"/>
      </w:pPr>
      <w:r w:rsidRPr="3B366774" w:rsidR="1477CC3B">
        <w:rPr>
          <w:rFonts w:ascii="Arial" w:hAnsi="Arial" w:eastAsia="Arial" w:cs="Arial"/>
          <w:noProof w:val="0"/>
          <w:sz w:val="22"/>
          <w:szCs w:val="22"/>
          <w:lang w:val="en-GB"/>
        </w:rPr>
        <w:t xml:space="preserve">Lee, M., Oh, K. and Kim, H. (2025) “Effects of </w:t>
      </w:r>
      <w:r w:rsidRPr="3B366774" w:rsidR="4E716085">
        <w:rPr>
          <w:rFonts w:ascii="Arial" w:hAnsi="Arial" w:eastAsia="Arial" w:cs="Arial"/>
          <w:noProof w:val="0"/>
          <w:sz w:val="22"/>
          <w:szCs w:val="22"/>
          <w:lang w:val="en-GB"/>
        </w:rPr>
        <w:t>organisation</w:t>
      </w:r>
      <w:r w:rsidRPr="3B366774" w:rsidR="1477CC3B">
        <w:rPr>
          <w:rFonts w:ascii="Arial" w:hAnsi="Arial" w:eastAsia="Arial" w:cs="Arial"/>
          <w:noProof w:val="0"/>
          <w:sz w:val="22"/>
          <w:szCs w:val="22"/>
          <w:lang w:val="en-GB"/>
        </w:rPr>
        <w:t xml:space="preserve">al culture and pay levels on employee retention: Focused on generational difference,” </w:t>
      </w:r>
      <w:r w:rsidRPr="3B366774" w:rsidR="1477CC3B">
        <w:rPr>
          <w:rFonts w:ascii="Arial" w:hAnsi="Arial" w:eastAsia="Arial" w:cs="Arial"/>
          <w:i w:val="1"/>
          <w:iCs w:val="1"/>
          <w:noProof w:val="0"/>
          <w:sz w:val="22"/>
          <w:szCs w:val="22"/>
          <w:lang w:val="en-GB"/>
        </w:rPr>
        <w:t>Administrative sciences</w:t>
      </w:r>
      <w:r w:rsidRPr="3B366774" w:rsidR="1477CC3B">
        <w:rPr>
          <w:rFonts w:ascii="Arial" w:hAnsi="Arial" w:eastAsia="Arial" w:cs="Arial"/>
          <w:noProof w:val="0"/>
          <w:sz w:val="22"/>
          <w:szCs w:val="22"/>
          <w:lang w:val="en-GB"/>
        </w:rPr>
        <w:t xml:space="preserve">, 15(4), pp. 1–19. Available at: </w:t>
      </w:r>
      <w:hyperlink r:id="R8245c3ae91c44d39">
        <w:r w:rsidRPr="3B366774" w:rsidR="1477CC3B">
          <w:rPr>
            <w:rStyle w:val="Hyperlink"/>
            <w:rFonts w:ascii="Arial" w:hAnsi="Arial" w:eastAsia="Arial" w:cs="Arial"/>
            <w:noProof w:val="0"/>
            <w:sz w:val="22"/>
            <w:szCs w:val="22"/>
            <w:lang w:val="en-GB"/>
          </w:rPr>
          <w:t>https://doi.org/10.3390/admsci15040125</w:t>
        </w:r>
      </w:hyperlink>
      <w:r w:rsidRPr="3B366774" w:rsidR="1477CC3B">
        <w:rPr>
          <w:rFonts w:ascii="Arial" w:hAnsi="Arial" w:eastAsia="Arial" w:cs="Arial"/>
          <w:noProof w:val="0"/>
          <w:sz w:val="22"/>
          <w:szCs w:val="22"/>
          <w:lang w:val="en-GB"/>
        </w:rPr>
        <w:t>.</w:t>
      </w:r>
    </w:p>
    <w:p w:rsidR="243BEF60" w:rsidP="3B366774" w:rsidRDefault="243BEF60" w14:paraId="2BFC406F" w14:textId="7F3D5C91">
      <w:pPr>
        <w:pStyle w:val="Normal"/>
        <w:bidi w:val="0"/>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7182F88" w:rsidP="3B366774" w:rsidRDefault="67182F88" w14:paraId="12C2BCD8" w14:textId="6F59A8D3">
      <w:pPr>
        <w:bidi w:val="0"/>
        <w:spacing w:before="0" w:beforeAutospacing="off" w:after="0" w:afterAutospacing="off"/>
        <w:ind/>
        <w:jc w:val="both"/>
      </w:pPr>
      <w:r w:rsidRPr="3B366774" w:rsidR="1477CC3B">
        <w:rPr>
          <w:rFonts w:ascii="Arial" w:hAnsi="Arial" w:eastAsia="Arial" w:cs="Arial"/>
          <w:noProof w:val="0"/>
          <w:sz w:val="22"/>
          <w:szCs w:val="22"/>
          <w:lang w:val="en-GB"/>
        </w:rPr>
        <w:t xml:space="preserve">LEROUX-PARRA, M. (2019) “A TERMINAL PROFESSION: THE PILOT SHORTAGE AMID AN AVIATION BOOM,” </w:t>
      </w:r>
      <w:r w:rsidRPr="3B366774" w:rsidR="1477CC3B">
        <w:rPr>
          <w:rFonts w:ascii="Arial" w:hAnsi="Arial" w:eastAsia="Arial" w:cs="Arial"/>
          <w:i w:val="1"/>
          <w:iCs w:val="1"/>
          <w:noProof w:val="0"/>
          <w:sz w:val="22"/>
          <w:szCs w:val="22"/>
          <w:lang w:val="en-GB"/>
        </w:rPr>
        <w:t>Harvard international review</w:t>
      </w:r>
      <w:r w:rsidRPr="3B366774" w:rsidR="1477CC3B">
        <w:rPr>
          <w:rFonts w:ascii="Arial" w:hAnsi="Arial" w:eastAsia="Arial" w:cs="Arial"/>
          <w:noProof w:val="0"/>
          <w:sz w:val="22"/>
          <w:szCs w:val="22"/>
          <w:lang w:val="en-GB"/>
        </w:rPr>
        <w:t>, 40(3), pp. 11–13.</w:t>
      </w:r>
    </w:p>
    <w:p w:rsidR="67182F88" w:rsidP="3B366774" w:rsidRDefault="67182F88" w14:paraId="1A4E72E0" w14:textId="53C4F5A4">
      <w:pPr>
        <w:pStyle w:val="Normal"/>
        <w:bidi w:val="0"/>
        <w:spacing w:before="0" w:beforeAutospacing="off" w:after="0" w:afterAutospacing="off"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7182F88" w:rsidP="3B366774" w:rsidRDefault="67182F88" w14:paraId="4571A05B" w14:textId="1F3DC323">
      <w:pPr>
        <w:bidi w:val="0"/>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B366774" w:rsidR="7891BAC3">
        <w:rPr>
          <w:rFonts w:ascii="Arial" w:hAnsi="Arial" w:eastAsia="Arial" w:cs="Arial"/>
          <w:noProof w:val="0"/>
          <w:sz w:val="22"/>
          <w:szCs w:val="22"/>
          <w:lang w:val="en-GB"/>
        </w:rPr>
        <w:t xml:space="preserve">Li, M. </w:t>
      </w:r>
      <w:r w:rsidRPr="3B366774" w:rsidR="7891BAC3">
        <w:rPr>
          <w:rFonts w:ascii="Arial" w:hAnsi="Arial" w:eastAsia="Arial" w:cs="Arial"/>
          <w:i w:val="1"/>
          <w:iCs w:val="1"/>
          <w:noProof w:val="0"/>
          <w:sz w:val="22"/>
          <w:szCs w:val="22"/>
          <w:lang w:val="en-GB"/>
        </w:rPr>
        <w:t>et al.</w:t>
      </w:r>
      <w:r w:rsidRPr="3B366774" w:rsidR="7891BAC3">
        <w:rPr>
          <w:rFonts w:ascii="Arial" w:hAnsi="Arial" w:eastAsia="Arial" w:cs="Arial"/>
          <w:noProof w:val="0"/>
          <w:sz w:val="22"/>
          <w:szCs w:val="22"/>
          <w:lang w:val="en-GB"/>
        </w:rPr>
        <w:t xml:space="preserve"> (2024) “Untangling human resource management and employee wellbeing relationships: Differentiating job resource HR practices from challenge demand HR practices,” </w:t>
      </w:r>
      <w:r w:rsidRPr="3B366774" w:rsidR="7891BAC3">
        <w:rPr>
          <w:rFonts w:ascii="Arial" w:hAnsi="Arial" w:eastAsia="Arial" w:cs="Arial"/>
          <w:i w:val="1"/>
          <w:iCs w:val="1"/>
          <w:noProof w:val="0"/>
          <w:sz w:val="22"/>
          <w:szCs w:val="22"/>
          <w:lang w:val="en-GB"/>
        </w:rPr>
        <w:t>Human resource management journal</w:t>
      </w:r>
      <w:r w:rsidRPr="3B366774" w:rsidR="7891BAC3">
        <w:rPr>
          <w:rFonts w:ascii="Arial" w:hAnsi="Arial" w:eastAsia="Arial" w:cs="Arial"/>
          <w:noProof w:val="0"/>
          <w:sz w:val="22"/>
          <w:szCs w:val="22"/>
          <w:lang w:val="en-GB"/>
        </w:rPr>
        <w:t xml:space="preserve">, 34(1), pp. 214–235. Available at: </w:t>
      </w:r>
      <w:hyperlink r:id="Rf4aa55d82c494e99">
        <w:r w:rsidRPr="3B366774" w:rsidR="7891BAC3">
          <w:rPr>
            <w:rStyle w:val="Hyperlink"/>
            <w:rFonts w:ascii="Arial" w:hAnsi="Arial" w:eastAsia="Arial" w:cs="Arial"/>
            <w:noProof w:val="0"/>
            <w:sz w:val="22"/>
            <w:szCs w:val="22"/>
            <w:lang w:val="en-GB"/>
          </w:rPr>
          <w:t>https://doi.org/10.1111/1748-8583.12527</w:t>
        </w:r>
      </w:hyperlink>
      <w:r w:rsidRPr="3B366774" w:rsidR="7891BAC3">
        <w:rPr>
          <w:rFonts w:ascii="Arial" w:hAnsi="Arial" w:eastAsia="Arial" w:cs="Arial"/>
          <w:noProof w:val="0"/>
          <w:sz w:val="22"/>
          <w:szCs w:val="22"/>
          <w:lang w:val="en-GB"/>
        </w:rPr>
        <w:t>.</w:t>
      </w:r>
      <w:r w:rsidRPr="3B366774" w:rsidR="77F3E64F">
        <w:rPr>
          <w:rFonts w:ascii="Arial" w:hAnsi="Arial" w:eastAsia="Arial" w:cs="Arial"/>
          <w:noProof w:val="0"/>
          <w:sz w:val="22"/>
          <w:szCs w:val="22"/>
          <w:lang w:val="en-GB"/>
        </w:rPr>
        <w:t xml:space="preserve"> </w:t>
      </w:r>
    </w:p>
    <w:p w:rsidR="67182F88" w:rsidP="3B366774" w:rsidRDefault="67182F88" w14:paraId="5CD8B462" w14:textId="78792205">
      <w:pPr>
        <w:bidi w:val="0"/>
        <w:spacing w:before="0" w:beforeAutospacing="off" w:after="0" w:afterAutospacing="off"/>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B366774" w:rsidR="60D47C1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Lorincová</w:t>
      </w:r>
      <w:r w:rsidRPr="3B366774" w:rsidR="60D47C1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 et al. (2020) ‘Sustainability in Business Process Management as an Important Strategic Challenge in Human Resource Management’, </w:t>
      </w:r>
      <w:r w:rsidRPr="3B366774" w:rsidR="60D47C1E">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Sustainability (Basel, Switzerland)</w:t>
      </w:r>
      <w:r w:rsidRPr="3B366774" w:rsidR="60D47C1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12(15), p. 5941–. Available at: </w:t>
      </w:r>
      <w:hyperlink r:id="R6cfe236786ba41ea">
        <w:r w:rsidRPr="3B366774" w:rsidR="60D47C1E">
          <w:rPr>
            <w:rStyle w:val="Hyperlink"/>
            <w:rFonts w:ascii="Arial" w:hAnsi="Arial" w:eastAsia="Arial" w:cs="Arial"/>
            <w:b w:val="0"/>
            <w:bCs w:val="0"/>
            <w:i w:val="0"/>
            <w:iCs w:val="0"/>
            <w:caps w:val="0"/>
            <w:smallCaps w:val="0"/>
            <w:strike w:val="0"/>
            <w:dstrike w:val="0"/>
            <w:noProof w:val="0"/>
            <w:color w:val="0563C1"/>
            <w:sz w:val="22"/>
            <w:szCs w:val="22"/>
            <w:u w:val="single"/>
            <w:lang w:val="en-GB"/>
          </w:rPr>
          <w:t>https://doi.org/10.3390/su12155941</w:t>
        </w:r>
      </w:hyperlink>
    </w:p>
    <w:p w:rsidR="034594A6" w:rsidP="3B366774" w:rsidRDefault="034594A6" w14:paraId="0626748E" w14:textId="2EEF77B3">
      <w:pPr>
        <w:pStyle w:val="Normal"/>
        <w:bidi w:val="0"/>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35B1F78" w:rsidP="3B366774" w:rsidRDefault="335B1F78" w14:paraId="60647F42" w14:textId="5D9919F8">
      <w:pPr>
        <w:bidi w:val="0"/>
        <w:spacing w:before="0" w:beforeAutospacing="off" w:after="0" w:afterAutospacing="off" w:line="360" w:lineRule="auto"/>
        <w:jc w:val="both"/>
        <w:rPr>
          <w:rFonts w:ascii="Arial" w:hAnsi="Arial" w:eastAsia="Arial" w:cs="Arial"/>
          <w:noProof w:val="0"/>
          <w:sz w:val="22"/>
          <w:szCs w:val="22"/>
          <w:lang w:val="en-GB"/>
        </w:rPr>
      </w:pPr>
      <w:r w:rsidRPr="3B366774" w:rsidR="335B1F78">
        <w:rPr>
          <w:rFonts w:ascii="Arial" w:hAnsi="Arial" w:eastAsia="Arial" w:cs="Arial"/>
          <w:noProof w:val="0"/>
          <w:sz w:val="22"/>
          <w:szCs w:val="22"/>
          <w:lang w:val="en-GB"/>
        </w:rPr>
        <w:t xml:space="preserve">Luscher, L.S., Lewis, </w:t>
      </w:r>
      <w:r w:rsidRPr="3B366774" w:rsidR="335B1F78">
        <w:rPr>
          <w:rFonts w:ascii="Arial" w:hAnsi="Arial" w:eastAsia="Arial" w:cs="Arial"/>
          <w:noProof w:val="0"/>
          <w:sz w:val="22"/>
          <w:szCs w:val="22"/>
          <w:lang w:val="en-GB"/>
        </w:rPr>
        <w:t>M.</w:t>
      </w:r>
      <w:r w:rsidRPr="3B366774" w:rsidR="335B1F78">
        <w:rPr>
          <w:rFonts w:ascii="Arial" w:hAnsi="Arial" w:eastAsia="Arial" w:cs="Arial"/>
          <w:noProof w:val="0"/>
          <w:sz w:val="22"/>
          <w:szCs w:val="22"/>
          <w:lang w:val="en-GB"/>
        </w:rPr>
        <w:t xml:space="preserve"> and Ingram, A. (2006) “The social construction of </w:t>
      </w:r>
      <w:r w:rsidRPr="3B366774" w:rsidR="4E716085">
        <w:rPr>
          <w:rFonts w:ascii="Arial" w:hAnsi="Arial" w:eastAsia="Arial" w:cs="Arial"/>
          <w:noProof w:val="0"/>
          <w:sz w:val="22"/>
          <w:szCs w:val="22"/>
          <w:lang w:val="en-GB"/>
        </w:rPr>
        <w:t>organisation</w:t>
      </w:r>
      <w:r w:rsidRPr="3B366774" w:rsidR="335B1F78">
        <w:rPr>
          <w:rFonts w:ascii="Arial" w:hAnsi="Arial" w:eastAsia="Arial" w:cs="Arial"/>
          <w:noProof w:val="0"/>
          <w:sz w:val="22"/>
          <w:szCs w:val="22"/>
          <w:lang w:val="en-GB"/>
        </w:rPr>
        <w:t xml:space="preserve">al change paradoxes,” </w:t>
      </w:r>
      <w:r w:rsidRPr="3B366774" w:rsidR="335B1F78">
        <w:rPr>
          <w:rFonts w:ascii="Arial" w:hAnsi="Arial" w:eastAsia="Arial" w:cs="Arial"/>
          <w:i w:val="1"/>
          <w:iCs w:val="1"/>
          <w:noProof w:val="0"/>
          <w:sz w:val="22"/>
          <w:szCs w:val="22"/>
          <w:lang w:val="en-GB"/>
        </w:rPr>
        <w:t xml:space="preserve">Journal of </w:t>
      </w:r>
      <w:r w:rsidRPr="3B366774" w:rsidR="4E716085">
        <w:rPr>
          <w:rFonts w:ascii="Arial" w:hAnsi="Arial" w:eastAsia="Arial" w:cs="Arial"/>
          <w:i w:val="1"/>
          <w:iCs w:val="1"/>
          <w:noProof w:val="0"/>
          <w:sz w:val="22"/>
          <w:szCs w:val="22"/>
          <w:lang w:val="en-GB"/>
        </w:rPr>
        <w:t>organisation</w:t>
      </w:r>
      <w:r w:rsidRPr="3B366774" w:rsidR="335B1F78">
        <w:rPr>
          <w:rFonts w:ascii="Arial" w:hAnsi="Arial" w:eastAsia="Arial" w:cs="Arial"/>
          <w:i w:val="1"/>
          <w:iCs w:val="1"/>
          <w:noProof w:val="0"/>
          <w:sz w:val="22"/>
          <w:szCs w:val="22"/>
          <w:lang w:val="en-GB"/>
        </w:rPr>
        <w:t>al change management</w:t>
      </w:r>
      <w:r w:rsidRPr="3B366774" w:rsidR="335B1F78">
        <w:rPr>
          <w:rFonts w:ascii="Arial" w:hAnsi="Arial" w:eastAsia="Arial" w:cs="Arial"/>
          <w:noProof w:val="0"/>
          <w:sz w:val="22"/>
          <w:szCs w:val="22"/>
          <w:lang w:val="en-GB"/>
        </w:rPr>
        <w:t xml:space="preserve">. Edited by A. Downs et al., 19(4), pp. 491–502. Available at: </w:t>
      </w:r>
      <w:hyperlink r:id="R7d8a2473b8954e19">
        <w:r w:rsidRPr="3B366774" w:rsidR="335B1F78">
          <w:rPr>
            <w:rStyle w:val="Hyperlink"/>
            <w:rFonts w:ascii="Arial" w:hAnsi="Arial" w:eastAsia="Arial" w:cs="Arial"/>
            <w:noProof w:val="0"/>
            <w:sz w:val="22"/>
            <w:szCs w:val="22"/>
            <w:lang w:val="en-GB"/>
          </w:rPr>
          <w:t>https://doi.org/10.1108/09534810610676680</w:t>
        </w:r>
      </w:hyperlink>
      <w:r w:rsidRPr="3B366774" w:rsidR="335B1F78">
        <w:rPr>
          <w:rFonts w:ascii="Arial" w:hAnsi="Arial" w:eastAsia="Arial" w:cs="Arial"/>
          <w:noProof w:val="0"/>
          <w:sz w:val="22"/>
          <w:szCs w:val="22"/>
          <w:lang w:val="en-GB"/>
        </w:rPr>
        <w:t>.</w:t>
      </w:r>
    </w:p>
    <w:p w:rsidR="243BEF60" w:rsidP="3B366774" w:rsidRDefault="243BEF60" w14:paraId="12D9ECEF" w14:textId="28FC31B3">
      <w:pPr>
        <w:bidi w:val="0"/>
        <w:spacing w:before="0" w:beforeAutospacing="off" w:after="0" w:afterAutospacing="off" w:line="360" w:lineRule="auto"/>
        <w:jc w:val="both"/>
        <w:rPr>
          <w:rFonts w:ascii="Arial" w:hAnsi="Arial" w:eastAsia="Arial" w:cs="Arial"/>
          <w:noProof w:val="0"/>
          <w:sz w:val="22"/>
          <w:szCs w:val="22"/>
          <w:lang w:val="en-GB"/>
        </w:rPr>
      </w:pPr>
    </w:p>
    <w:p w:rsidR="243BEF60" w:rsidP="3B366774" w:rsidRDefault="243BEF60" w14:paraId="0C489319" w14:textId="14BEC1DD">
      <w:pPr>
        <w:bidi w:val="0"/>
        <w:spacing w:before="0" w:beforeAutospacing="off" w:after="0" w:afterAutospacing="off"/>
        <w:jc w:val="both"/>
      </w:pPr>
      <w:r w:rsidRPr="3B366774" w:rsidR="7E3E5A19">
        <w:rPr>
          <w:rFonts w:ascii="Arial" w:hAnsi="Arial" w:eastAsia="Arial" w:cs="Arial"/>
          <w:noProof w:val="0"/>
          <w:sz w:val="22"/>
          <w:szCs w:val="22"/>
          <w:lang w:val="en-GB"/>
        </w:rPr>
        <w:t xml:space="preserve">Lutte, R.K. and Mills, R.W. (2019) “Collaborating to train the next generation of pilots: Exploring partnerships between higher education and the airline industry,” </w:t>
      </w:r>
      <w:r w:rsidRPr="3B366774" w:rsidR="7E3E5A19">
        <w:rPr>
          <w:rFonts w:ascii="Arial" w:hAnsi="Arial" w:eastAsia="Arial" w:cs="Arial"/>
          <w:i w:val="1"/>
          <w:iCs w:val="1"/>
          <w:noProof w:val="0"/>
          <w:sz w:val="22"/>
          <w:szCs w:val="22"/>
          <w:lang w:val="en-GB"/>
        </w:rPr>
        <w:t>Industry &amp; higher education</w:t>
      </w:r>
      <w:r w:rsidRPr="3B366774" w:rsidR="7E3E5A19">
        <w:rPr>
          <w:rFonts w:ascii="Arial" w:hAnsi="Arial" w:eastAsia="Arial" w:cs="Arial"/>
          <w:noProof w:val="0"/>
          <w:sz w:val="22"/>
          <w:szCs w:val="22"/>
          <w:lang w:val="en-GB"/>
        </w:rPr>
        <w:t xml:space="preserve">, 33(6), pp. 448–458. Available at: </w:t>
      </w:r>
      <w:hyperlink r:id="Rc926286a98684229">
        <w:r w:rsidRPr="3B366774" w:rsidR="7E3E5A19">
          <w:rPr>
            <w:rStyle w:val="Hyperlink"/>
            <w:rFonts w:ascii="Arial" w:hAnsi="Arial" w:eastAsia="Arial" w:cs="Arial"/>
            <w:noProof w:val="0"/>
            <w:sz w:val="22"/>
            <w:szCs w:val="22"/>
            <w:lang w:val="en-GB"/>
          </w:rPr>
          <w:t>https://doi.org/10.1177/0950422219876472</w:t>
        </w:r>
      </w:hyperlink>
      <w:r w:rsidRPr="3B366774" w:rsidR="7E3E5A19">
        <w:rPr>
          <w:rFonts w:ascii="Arial" w:hAnsi="Arial" w:eastAsia="Arial" w:cs="Arial"/>
          <w:noProof w:val="0"/>
          <w:sz w:val="22"/>
          <w:szCs w:val="22"/>
          <w:lang w:val="en-GB"/>
        </w:rPr>
        <w:t>.</w:t>
      </w:r>
    </w:p>
    <w:p w:rsidR="243BEF60" w:rsidP="3B366774" w:rsidRDefault="243BEF60" w14:paraId="29247B6D" w14:textId="3E97E2F2">
      <w:pPr>
        <w:bidi w:val="0"/>
        <w:spacing w:before="0" w:beforeAutospacing="off" w:after="0" w:afterAutospacing="off" w:line="360" w:lineRule="auto"/>
        <w:jc w:val="both"/>
        <w:rPr>
          <w:rFonts w:ascii="Arial" w:hAnsi="Arial" w:eastAsia="Arial" w:cs="Arial"/>
          <w:noProof w:val="0"/>
          <w:sz w:val="22"/>
          <w:szCs w:val="22"/>
          <w:lang w:val="en-GB"/>
        </w:rPr>
      </w:pPr>
    </w:p>
    <w:p w:rsidR="243BEF60" w:rsidP="3B366774" w:rsidRDefault="243BEF60" w14:paraId="49FFFFC7" w14:textId="5CF733D3">
      <w:pPr>
        <w:bidi w:val="0"/>
        <w:spacing w:before="0" w:beforeAutospacing="off" w:after="0" w:afterAutospacing="off"/>
        <w:jc w:val="both"/>
      </w:pPr>
      <w:r w:rsidRPr="3B366774" w:rsidR="7E3E5A19">
        <w:rPr>
          <w:rFonts w:ascii="Arial" w:hAnsi="Arial" w:eastAsia="Arial" w:cs="Arial"/>
          <w:noProof w:val="0"/>
          <w:sz w:val="22"/>
          <w:szCs w:val="22"/>
          <w:lang w:val="en-GB"/>
        </w:rPr>
        <w:t xml:space="preserve">Mabaso, C. (2026) “Pay transparency and fairness perceptions in South African organisations: A qualitative study of employee attraction and retention,” </w:t>
      </w:r>
      <w:r w:rsidRPr="3B366774" w:rsidR="7E3E5A19">
        <w:rPr>
          <w:rFonts w:ascii="Arial" w:hAnsi="Arial" w:eastAsia="Arial" w:cs="Arial"/>
          <w:i w:val="1"/>
          <w:iCs w:val="1"/>
          <w:noProof w:val="0"/>
          <w:sz w:val="22"/>
          <w:szCs w:val="22"/>
          <w:lang w:val="en-GB"/>
        </w:rPr>
        <w:t>SA Journal of Industrial Psychology</w:t>
      </w:r>
      <w:r w:rsidRPr="3B366774" w:rsidR="7E3E5A19">
        <w:rPr>
          <w:rFonts w:ascii="Arial" w:hAnsi="Arial" w:eastAsia="Arial" w:cs="Arial"/>
          <w:noProof w:val="0"/>
          <w:sz w:val="22"/>
          <w:szCs w:val="22"/>
          <w:lang w:val="en-GB"/>
        </w:rPr>
        <w:t xml:space="preserve">, 52(4), pp. e1–e10. Available at: </w:t>
      </w:r>
      <w:hyperlink r:id="R387754086ba742be">
        <w:r w:rsidRPr="3B366774" w:rsidR="7E3E5A19">
          <w:rPr>
            <w:rStyle w:val="Hyperlink"/>
            <w:rFonts w:ascii="Arial" w:hAnsi="Arial" w:eastAsia="Arial" w:cs="Arial"/>
            <w:noProof w:val="0"/>
            <w:sz w:val="22"/>
            <w:szCs w:val="22"/>
            <w:lang w:val="en-GB"/>
          </w:rPr>
          <w:t>https://doi.org/10.4102/SAJIP.v52i0.2409</w:t>
        </w:r>
      </w:hyperlink>
      <w:r w:rsidRPr="3B366774" w:rsidR="7E3E5A19">
        <w:rPr>
          <w:rFonts w:ascii="Arial" w:hAnsi="Arial" w:eastAsia="Arial" w:cs="Arial"/>
          <w:noProof w:val="0"/>
          <w:sz w:val="22"/>
          <w:szCs w:val="22"/>
          <w:lang w:val="en-GB"/>
        </w:rPr>
        <w:t>.</w:t>
      </w:r>
    </w:p>
    <w:p w:rsidR="243BEF60" w:rsidP="3B366774" w:rsidRDefault="243BEF60" w14:paraId="4BA30F49" w14:textId="292A54D5">
      <w:pPr>
        <w:bidi w:val="0"/>
        <w:spacing w:before="0" w:beforeAutospacing="off" w:after="0" w:afterAutospacing="off" w:line="360" w:lineRule="auto"/>
        <w:jc w:val="both"/>
        <w:rPr>
          <w:rFonts w:ascii="Arial" w:hAnsi="Arial" w:eastAsia="Arial" w:cs="Arial"/>
          <w:noProof w:val="0"/>
          <w:sz w:val="22"/>
          <w:szCs w:val="22"/>
          <w:lang w:val="en-GB"/>
        </w:rPr>
      </w:pPr>
    </w:p>
    <w:p w:rsidR="243BEF60" w:rsidP="3B366774" w:rsidRDefault="243BEF60" w14:paraId="0B6DED56" w14:textId="14948F24">
      <w:pPr>
        <w:bidi w:val="0"/>
        <w:spacing w:before="0" w:beforeAutospacing="off" w:after="0" w:afterAutospacing="off"/>
        <w:jc w:val="both"/>
      </w:pPr>
      <w:r w:rsidRPr="3B366774" w:rsidR="54836460">
        <w:rPr>
          <w:rFonts w:ascii="Arial" w:hAnsi="Arial" w:eastAsia="Arial" w:cs="Arial"/>
          <w:noProof w:val="0"/>
          <w:sz w:val="22"/>
          <w:szCs w:val="22"/>
          <w:lang w:val="en-GB"/>
        </w:rPr>
        <w:t xml:space="preserve">Majowska, M. and Austen, A. (2019) “Human Resources Management Effectiveness from a Multilevel Perspective,” </w:t>
      </w:r>
      <w:r w:rsidRPr="3B366774" w:rsidR="54836460">
        <w:rPr>
          <w:rFonts w:ascii="Arial" w:hAnsi="Arial" w:eastAsia="Arial" w:cs="Arial"/>
          <w:i w:val="1"/>
          <w:iCs w:val="1"/>
          <w:noProof w:val="0"/>
          <w:sz w:val="22"/>
          <w:szCs w:val="22"/>
          <w:lang w:val="en-GB"/>
        </w:rPr>
        <w:t>International Journal of Contemporary Management</w:t>
      </w:r>
      <w:r w:rsidRPr="3B366774" w:rsidR="54836460">
        <w:rPr>
          <w:rFonts w:ascii="Arial" w:hAnsi="Arial" w:eastAsia="Arial" w:cs="Arial"/>
          <w:noProof w:val="0"/>
          <w:sz w:val="22"/>
          <w:szCs w:val="22"/>
          <w:lang w:val="en-GB"/>
        </w:rPr>
        <w:t xml:space="preserve">, 18(4), pp. 7–31. Available at: </w:t>
      </w:r>
      <w:hyperlink r:id="Rc715c5b26f3242a5">
        <w:r w:rsidRPr="3B366774" w:rsidR="54836460">
          <w:rPr>
            <w:rStyle w:val="Hyperlink"/>
            <w:rFonts w:ascii="Arial" w:hAnsi="Arial" w:eastAsia="Arial" w:cs="Arial"/>
            <w:noProof w:val="0"/>
            <w:sz w:val="22"/>
            <w:szCs w:val="22"/>
            <w:lang w:val="en-GB"/>
          </w:rPr>
          <w:t>https://doi.org/10.4467/24498939IJCM.19.013.11756</w:t>
        </w:r>
      </w:hyperlink>
      <w:r w:rsidRPr="3B366774" w:rsidR="54836460">
        <w:rPr>
          <w:rFonts w:ascii="Arial" w:hAnsi="Arial" w:eastAsia="Arial" w:cs="Arial"/>
          <w:noProof w:val="0"/>
          <w:sz w:val="22"/>
          <w:szCs w:val="22"/>
          <w:lang w:val="en-GB"/>
        </w:rPr>
        <w:t>.</w:t>
      </w:r>
    </w:p>
    <w:p w:rsidR="243BEF60" w:rsidP="3B366774" w:rsidRDefault="243BEF60" w14:paraId="5E7A94AA" w14:textId="3A25FA2B">
      <w:pPr>
        <w:bidi w:val="0"/>
        <w:spacing w:before="0" w:beforeAutospacing="off" w:after="0" w:afterAutospacing="off" w:line="360" w:lineRule="auto"/>
        <w:jc w:val="both"/>
        <w:rPr>
          <w:rFonts w:ascii="Arial" w:hAnsi="Arial" w:eastAsia="Arial" w:cs="Arial"/>
          <w:noProof w:val="0"/>
          <w:sz w:val="22"/>
          <w:szCs w:val="22"/>
          <w:lang w:val="en-GB"/>
        </w:rPr>
      </w:pPr>
    </w:p>
    <w:p w:rsidR="243BEF60" w:rsidP="3B366774" w:rsidRDefault="243BEF60" w14:paraId="78DC115C" w14:textId="1A362119">
      <w:pPr>
        <w:bidi w:val="0"/>
        <w:spacing w:before="0" w:beforeAutospacing="off" w:after="0" w:afterAutospacing="off" w:line="360" w:lineRule="auto"/>
        <w:jc w:val="both"/>
        <w:rPr>
          <w:rFonts w:ascii="Arial" w:hAnsi="Arial" w:eastAsia="Arial" w:cs="Arial"/>
          <w:noProof w:val="0"/>
          <w:sz w:val="22"/>
          <w:szCs w:val="22"/>
          <w:lang w:val="en-GB"/>
        </w:rPr>
      </w:pPr>
      <w:r w:rsidRPr="3B366774" w:rsidR="4CB55D82">
        <w:rPr>
          <w:rFonts w:ascii="Arial" w:hAnsi="Arial" w:eastAsia="Arial" w:cs="Arial"/>
          <w:noProof w:val="0"/>
          <w:sz w:val="22"/>
          <w:szCs w:val="22"/>
          <w:lang w:val="en-GB"/>
        </w:rPr>
        <w:t xml:space="preserve">Mason, W.A. </w:t>
      </w:r>
      <w:r w:rsidRPr="3B366774" w:rsidR="4CB55D82">
        <w:rPr>
          <w:rFonts w:ascii="Arial" w:hAnsi="Arial" w:eastAsia="Arial" w:cs="Arial"/>
          <w:i w:val="1"/>
          <w:iCs w:val="1"/>
          <w:noProof w:val="0"/>
          <w:sz w:val="22"/>
          <w:szCs w:val="22"/>
          <w:lang w:val="en-GB"/>
        </w:rPr>
        <w:t>et al.</w:t>
      </w:r>
      <w:r w:rsidRPr="3B366774" w:rsidR="4CB55D82">
        <w:rPr>
          <w:rFonts w:ascii="Arial" w:hAnsi="Arial" w:eastAsia="Arial" w:cs="Arial"/>
          <w:noProof w:val="0"/>
          <w:sz w:val="22"/>
          <w:szCs w:val="22"/>
          <w:lang w:val="en-GB"/>
        </w:rPr>
        <w:t xml:space="preserve"> (2018) “Challenges Facing Evidence-Based Prevention: Incorporating an Abductive Theory of Method,” </w:t>
      </w:r>
      <w:r w:rsidRPr="3B366774" w:rsidR="4CB55D82">
        <w:rPr>
          <w:rFonts w:ascii="Arial" w:hAnsi="Arial" w:eastAsia="Arial" w:cs="Arial"/>
          <w:i w:val="1"/>
          <w:iCs w:val="1"/>
          <w:noProof w:val="0"/>
          <w:sz w:val="22"/>
          <w:szCs w:val="22"/>
          <w:lang w:val="en-GB"/>
        </w:rPr>
        <w:t>Evaluation &amp; the health professions</w:t>
      </w:r>
      <w:r w:rsidRPr="3B366774" w:rsidR="4CB55D82">
        <w:rPr>
          <w:rFonts w:ascii="Arial" w:hAnsi="Arial" w:eastAsia="Arial" w:cs="Arial"/>
          <w:noProof w:val="0"/>
          <w:sz w:val="22"/>
          <w:szCs w:val="22"/>
          <w:lang w:val="en-GB"/>
        </w:rPr>
        <w:t xml:space="preserve">, 41(2), pp. 155–182. Available at: </w:t>
      </w:r>
      <w:hyperlink r:id="R21414999a8d944ec">
        <w:r w:rsidRPr="3B366774" w:rsidR="4CB55D82">
          <w:rPr>
            <w:rStyle w:val="Hyperlink"/>
            <w:rFonts w:ascii="Arial" w:hAnsi="Arial" w:eastAsia="Arial" w:cs="Arial"/>
            <w:noProof w:val="0"/>
            <w:sz w:val="22"/>
            <w:szCs w:val="22"/>
            <w:lang w:val="en-GB"/>
          </w:rPr>
          <w:t>https://doi.org/10.1177/0163278718772879</w:t>
        </w:r>
      </w:hyperlink>
      <w:r w:rsidRPr="3B366774" w:rsidR="4CB55D82">
        <w:rPr>
          <w:rFonts w:ascii="Arial" w:hAnsi="Arial" w:eastAsia="Arial" w:cs="Arial"/>
          <w:noProof w:val="0"/>
          <w:sz w:val="22"/>
          <w:szCs w:val="22"/>
          <w:lang w:val="en-GB"/>
        </w:rPr>
        <w:t>.</w:t>
      </w:r>
    </w:p>
    <w:p w:rsidR="243BEF60" w:rsidP="3B366774" w:rsidRDefault="243BEF60" w14:paraId="4C82235D" w14:textId="243B3D2A">
      <w:pPr>
        <w:bidi w:val="0"/>
        <w:spacing w:before="0" w:beforeAutospacing="off" w:after="0" w:afterAutospacing="off" w:line="360" w:lineRule="auto"/>
        <w:jc w:val="both"/>
        <w:rPr>
          <w:rFonts w:ascii="Arial" w:hAnsi="Arial" w:eastAsia="Arial" w:cs="Arial"/>
          <w:noProof w:val="0"/>
          <w:sz w:val="22"/>
          <w:szCs w:val="22"/>
          <w:lang w:val="en-GB"/>
        </w:rPr>
      </w:pPr>
    </w:p>
    <w:p w:rsidR="243BEF60" w:rsidP="3B366774" w:rsidRDefault="243BEF60" w14:paraId="78809BF2" w14:textId="6354D93C">
      <w:pPr>
        <w:bidi w:val="0"/>
        <w:spacing w:before="0" w:beforeAutospacing="off" w:after="0" w:afterAutospacing="off"/>
        <w:jc w:val="both"/>
      </w:pPr>
      <w:r w:rsidRPr="3B366774" w:rsidR="4913CB5D">
        <w:rPr>
          <w:rFonts w:ascii="Arial" w:hAnsi="Arial" w:eastAsia="Arial" w:cs="Arial"/>
          <w:noProof w:val="0"/>
          <w:sz w:val="22"/>
          <w:szCs w:val="22"/>
          <w:lang w:val="en-GB"/>
        </w:rPr>
        <w:t xml:space="preserve">Maxwell, G.A. and Grant, K. (2021) “Commercial airline pilots’ declining professional standing and increasing precarious employment,” </w:t>
      </w:r>
      <w:r w:rsidRPr="3B366774" w:rsidR="4913CB5D">
        <w:rPr>
          <w:rFonts w:ascii="Arial" w:hAnsi="Arial" w:eastAsia="Arial" w:cs="Arial"/>
          <w:i w:val="1"/>
          <w:iCs w:val="1"/>
          <w:noProof w:val="0"/>
          <w:sz w:val="22"/>
          <w:szCs w:val="22"/>
          <w:lang w:val="en-GB"/>
        </w:rPr>
        <w:t>International journal of human resource management</w:t>
      </w:r>
      <w:r w:rsidRPr="3B366774" w:rsidR="4913CB5D">
        <w:rPr>
          <w:rFonts w:ascii="Arial" w:hAnsi="Arial" w:eastAsia="Arial" w:cs="Arial"/>
          <w:noProof w:val="0"/>
          <w:sz w:val="22"/>
          <w:szCs w:val="22"/>
          <w:lang w:val="en-GB"/>
        </w:rPr>
        <w:t xml:space="preserve">, 32(7), pp. 1486–1508. Available at: </w:t>
      </w:r>
      <w:hyperlink r:id="Rb0c990e67b3044b9">
        <w:r w:rsidRPr="3B366774" w:rsidR="4913CB5D">
          <w:rPr>
            <w:rStyle w:val="Hyperlink"/>
            <w:rFonts w:ascii="Arial" w:hAnsi="Arial" w:eastAsia="Arial" w:cs="Arial"/>
            <w:noProof w:val="0"/>
            <w:sz w:val="22"/>
            <w:szCs w:val="22"/>
            <w:lang w:val="en-GB"/>
          </w:rPr>
          <w:t>https://doi.org/10.1080/09585192.2018.1528473</w:t>
        </w:r>
      </w:hyperlink>
      <w:r w:rsidRPr="3B366774" w:rsidR="4913CB5D">
        <w:rPr>
          <w:rFonts w:ascii="Arial" w:hAnsi="Arial" w:eastAsia="Arial" w:cs="Arial"/>
          <w:noProof w:val="0"/>
          <w:sz w:val="22"/>
          <w:szCs w:val="22"/>
          <w:lang w:val="en-GB"/>
        </w:rPr>
        <w:t>.</w:t>
      </w:r>
    </w:p>
    <w:p w:rsidR="243BEF60" w:rsidP="3B366774" w:rsidRDefault="243BEF60" w14:paraId="7D8F7171" w14:textId="216FF4C7">
      <w:pPr>
        <w:bidi w:val="0"/>
        <w:spacing w:before="0" w:beforeAutospacing="off" w:after="0" w:afterAutospacing="off" w:line="360" w:lineRule="auto"/>
        <w:jc w:val="both"/>
        <w:rPr>
          <w:rFonts w:ascii="Arial" w:hAnsi="Arial" w:eastAsia="Arial" w:cs="Arial"/>
          <w:noProof w:val="0"/>
          <w:sz w:val="22"/>
          <w:szCs w:val="22"/>
          <w:lang w:val="en-GB"/>
        </w:rPr>
      </w:pPr>
    </w:p>
    <w:p w:rsidR="243BEF60" w:rsidP="3B366774" w:rsidRDefault="243BEF60" w14:paraId="02CEAB41" w14:textId="4DA80122">
      <w:pPr>
        <w:bidi w:val="0"/>
        <w:spacing w:before="0" w:beforeAutospacing="off" w:after="0" w:afterAutospacing="off"/>
        <w:jc w:val="both"/>
      </w:pPr>
      <w:r w:rsidRPr="3B366774" w:rsidR="58075829">
        <w:rPr>
          <w:rFonts w:ascii="Arial" w:hAnsi="Arial" w:eastAsia="Arial" w:cs="Arial"/>
          <w:noProof w:val="0"/>
          <w:sz w:val="22"/>
          <w:szCs w:val="22"/>
          <w:lang w:val="en-GB"/>
        </w:rPr>
        <w:t xml:space="preserve">Melo, P., Machado, C. and Brewster, C. (2023) “Human resource management in small and medium-sized enterprises: A performance model definition,” </w:t>
      </w:r>
      <w:r w:rsidRPr="3B366774" w:rsidR="58075829">
        <w:rPr>
          <w:rFonts w:ascii="Arial" w:hAnsi="Arial" w:eastAsia="Arial" w:cs="Arial"/>
          <w:i w:val="1"/>
          <w:iCs w:val="1"/>
          <w:noProof w:val="0"/>
          <w:sz w:val="22"/>
          <w:szCs w:val="22"/>
          <w:lang w:val="en-GB"/>
        </w:rPr>
        <w:t>Strategic management (Online)</w:t>
      </w:r>
      <w:r w:rsidRPr="3B366774" w:rsidR="58075829">
        <w:rPr>
          <w:rFonts w:ascii="Arial" w:hAnsi="Arial" w:eastAsia="Arial" w:cs="Arial"/>
          <w:noProof w:val="0"/>
          <w:sz w:val="22"/>
          <w:szCs w:val="22"/>
          <w:lang w:val="en-GB"/>
        </w:rPr>
        <w:t xml:space="preserve">, 28(2), pp. 4–20. Available at: </w:t>
      </w:r>
      <w:hyperlink r:id="R399bd0e68f364230">
        <w:r w:rsidRPr="3B366774" w:rsidR="58075829">
          <w:rPr>
            <w:rStyle w:val="Hyperlink"/>
            <w:rFonts w:ascii="Arial" w:hAnsi="Arial" w:eastAsia="Arial" w:cs="Arial"/>
            <w:noProof w:val="0"/>
            <w:sz w:val="22"/>
            <w:szCs w:val="22"/>
            <w:lang w:val="en-GB"/>
          </w:rPr>
          <w:t>https://doi.org/10.5937/StraMan2200024N</w:t>
        </w:r>
      </w:hyperlink>
      <w:r w:rsidRPr="3B366774" w:rsidR="58075829">
        <w:rPr>
          <w:rFonts w:ascii="Arial" w:hAnsi="Arial" w:eastAsia="Arial" w:cs="Arial"/>
          <w:noProof w:val="0"/>
          <w:sz w:val="22"/>
          <w:szCs w:val="22"/>
          <w:lang w:val="en-GB"/>
        </w:rPr>
        <w:t>.</w:t>
      </w:r>
    </w:p>
    <w:p w:rsidR="243BEF60" w:rsidP="3B366774" w:rsidRDefault="243BEF60" w14:paraId="2569B1B9" w14:textId="6B244359">
      <w:pPr>
        <w:bidi w:val="0"/>
        <w:spacing w:before="0" w:beforeAutospacing="off" w:after="0" w:afterAutospacing="off" w:line="360" w:lineRule="auto"/>
        <w:jc w:val="both"/>
        <w:rPr>
          <w:rFonts w:ascii="Arial" w:hAnsi="Arial" w:eastAsia="Arial" w:cs="Arial"/>
          <w:noProof w:val="0"/>
          <w:sz w:val="22"/>
          <w:szCs w:val="22"/>
          <w:lang w:val="en-GB"/>
        </w:rPr>
      </w:pPr>
    </w:p>
    <w:p w:rsidR="243BEF60" w:rsidP="3B366774" w:rsidRDefault="243BEF60" w14:paraId="23A43219" w14:textId="754411FF">
      <w:pPr>
        <w:bidi w:val="0"/>
        <w:spacing w:before="0" w:beforeAutospacing="off" w:after="0" w:afterAutospacing="off"/>
        <w:jc w:val="both"/>
      </w:pPr>
      <w:r w:rsidRPr="3B366774" w:rsidR="5B94CD6B">
        <w:rPr>
          <w:rFonts w:ascii="Arial" w:hAnsi="Arial" w:eastAsia="Arial" w:cs="Arial"/>
          <w:noProof w:val="0"/>
          <w:sz w:val="22"/>
          <w:szCs w:val="22"/>
          <w:lang w:val="en-GB"/>
        </w:rPr>
        <w:t xml:space="preserve">Memon, M.A. </w:t>
      </w:r>
      <w:r w:rsidRPr="3B366774" w:rsidR="5B94CD6B">
        <w:rPr>
          <w:rFonts w:ascii="Arial" w:hAnsi="Arial" w:eastAsia="Arial" w:cs="Arial"/>
          <w:i w:val="1"/>
          <w:iCs w:val="1"/>
          <w:noProof w:val="0"/>
          <w:sz w:val="22"/>
          <w:szCs w:val="22"/>
          <w:lang w:val="en-GB"/>
        </w:rPr>
        <w:t>et al.</w:t>
      </w:r>
      <w:r w:rsidRPr="3B366774" w:rsidR="5B94CD6B">
        <w:rPr>
          <w:rFonts w:ascii="Arial" w:hAnsi="Arial" w:eastAsia="Arial" w:cs="Arial"/>
          <w:noProof w:val="0"/>
          <w:sz w:val="22"/>
          <w:szCs w:val="22"/>
          <w:lang w:val="en-GB"/>
        </w:rPr>
        <w:t xml:space="preserve"> (2021) “Satisfaction matters: the relationships between HRM practices, work engagement and turnover intention,” </w:t>
      </w:r>
      <w:r w:rsidRPr="3B366774" w:rsidR="5B94CD6B">
        <w:rPr>
          <w:rFonts w:ascii="Arial" w:hAnsi="Arial" w:eastAsia="Arial" w:cs="Arial"/>
          <w:i w:val="1"/>
          <w:iCs w:val="1"/>
          <w:noProof w:val="0"/>
          <w:sz w:val="22"/>
          <w:szCs w:val="22"/>
          <w:lang w:val="en-GB"/>
        </w:rPr>
        <w:t>International journal of manpower</w:t>
      </w:r>
      <w:r w:rsidRPr="3B366774" w:rsidR="5B94CD6B">
        <w:rPr>
          <w:rFonts w:ascii="Arial" w:hAnsi="Arial" w:eastAsia="Arial" w:cs="Arial"/>
          <w:noProof w:val="0"/>
          <w:sz w:val="22"/>
          <w:szCs w:val="22"/>
          <w:lang w:val="en-GB"/>
        </w:rPr>
        <w:t xml:space="preserve">, 42(1), pp. 21–50. Available at: </w:t>
      </w:r>
      <w:hyperlink r:id="Rb6b3e9fbc6194119">
        <w:r w:rsidRPr="3B366774" w:rsidR="5B94CD6B">
          <w:rPr>
            <w:rStyle w:val="Hyperlink"/>
            <w:rFonts w:ascii="Arial" w:hAnsi="Arial" w:eastAsia="Arial" w:cs="Arial"/>
            <w:noProof w:val="0"/>
            <w:sz w:val="22"/>
            <w:szCs w:val="22"/>
            <w:lang w:val="en-GB"/>
          </w:rPr>
          <w:t>https://doi.org/10.1108/IJM-04-2018-0127</w:t>
        </w:r>
      </w:hyperlink>
      <w:r w:rsidRPr="3B366774" w:rsidR="5B94CD6B">
        <w:rPr>
          <w:rFonts w:ascii="Arial" w:hAnsi="Arial" w:eastAsia="Arial" w:cs="Arial"/>
          <w:noProof w:val="0"/>
          <w:sz w:val="22"/>
          <w:szCs w:val="22"/>
          <w:lang w:val="en-GB"/>
        </w:rPr>
        <w:t>.</w:t>
      </w:r>
    </w:p>
    <w:p w:rsidR="243BEF60" w:rsidP="3B366774" w:rsidRDefault="243BEF60" w14:paraId="0073AFC2" w14:textId="5814B951">
      <w:pPr>
        <w:bidi w:val="0"/>
        <w:spacing w:before="0" w:beforeAutospacing="off" w:after="0" w:afterAutospacing="off" w:line="360" w:lineRule="auto"/>
        <w:jc w:val="both"/>
        <w:rPr>
          <w:rFonts w:ascii="Arial" w:hAnsi="Arial" w:eastAsia="Arial" w:cs="Arial"/>
          <w:noProof w:val="0"/>
          <w:sz w:val="22"/>
          <w:szCs w:val="22"/>
          <w:lang w:val="en-GB"/>
        </w:rPr>
      </w:pPr>
    </w:p>
    <w:p w:rsidR="243BEF60" w:rsidP="3B366774" w:rsidRDefault="243BEF60" w14:paraId="53CFF59A" w14:textId="4F755C79">
      <w:pPr>
        <w:bidi w:val="0"/>
        <w:spacing w:before="0" w:beforeAutospacing="off" w:after="0" w:afterAutospacing="off"/>
        <w:jc w:val="both"/>
      </w:pPr>
      <w:r w:rsidRPr="3B366774" w:rsidR="5B94CD6B">
        <w:rPr>
          <w:rFonts w:ascii="Arial" w:hAnsi="Arial" w:eastAsia="Arial" w:cs="Arial"/>
          <w:noProof w:val="0"/>
          <w:sz w:val="22"/>
          <w:szCs w:val="22"/>
          <w:lang w:val="en-GB"/>
        </w:rPr>
        <w:t xml:space="preserve">Muhr, S.L., Holck, L. and Just, S.N. (2022) “Ambiguous culture in Greenland police: Proposing a multi‐dimensional framework of </w:t>
      </w:r>
      <w:r w:rsidRPr="3B366774" w:rsidR="4E716085">
        <w:rPr>
          <w:rFonts w:ascii="Arial" w:hAnsi="Arial" w:eastAsia="Arial" w:cs="Arial"/>
          <w:noProof w:val="0"/>
          <w:sz w:val="22"/>
          <w:szCs w:val="22"/>
          <w:lang w:val="en-GB"/>
        </w:rPr>
        <w:t>organisation</w:t>
      </w:r>
      <w:r w:rsidRPr="3B366774" w:rsidR="5B94CD6B">
        <w:rPr>
          <w:rFonts w:ascii="Arial" w:hAnsi="Arial" w:eastAsia="Arial" w:cs="Arial"/>
          <w:noProof w:val="0"/>
          <w:sz w:val="22"/>
          <w:szCs w:val="22"/>
          <w:lang w:val="en-GB"/>
        </w:rPr>
        <w:t xml:space="preserve">al culture for Human Resource Management theory and practice,” </w:t>
      </w:r>
      <w:r w:rsidRPr="3B366774" w:rsidR="5B94CD6B">
        <w:rPr>
          <w:rFonts w:ascii="Arial" w:hAnsi="Arial" w:eastAsia="Arial" w:cs="Arial"/>
          <w:i w:val="1"/>
          <w:iCs w:val="1"/>
          <w:noProof w:val="0"/>
          <w:sz w:val="22"/>
          <w:szCs w:val="22"/>
          <w:lang w:val="en-GB"/>
        </w:rPr>
        <w:t>Human resource management journal</w:t>
      </w:r>
      <w:r w:rsidRPr="3B366774" w:rsidR="5B94CD6B">
        <w:rPr>
          <w:rFonts w:ascii="Arial" w:hAnsi="Arial" w:eastAsia="Arial" w:cs="Arial"/>
          <w:noProof w:val="0"/>
          <w:sz w:val="22"/>
          <w:szCs w:val="22"/>
          <w:lang w:val="en-GB"/>
        </w:rPr>
        <w:t xml:space="preserve">, 32(4), pp. 826–843. Available at: </w:t>
      </w:r>
      <w:hyperlink r:id="R0cbd0573991346b7">
        <w:r w:rsidRPr="3B366774" w:rsidR="5B94CD6B">
          <w:rPr>
            <w:rStyle w:val="Hyperlink"/>
            <w:rFonts w:ascii="Arial" w:hAnsi="Arial" w:eastAsia="Arial" w:cs="Arial"/>
            <w:noProof w:val="0"/>
            <w:sz w:val="22"/>
            <w:szCs w:val="22"/>
            <w:lang w:val="en-GB"/>
          </w:rPr>
          <w:t>https://doi.org/10.1111/1748-8583.12472</w:t>
        </w:r>
      </w:hyperlink>
      <w:r w:rsidRPr="3B366774" w:rsidR="5B94CD6B">
        <w:rPr>
          <w:rFonts w:ascii="Arial" w:hAnsi="Arial" w:eastAsia="Arial" w:cs="Arial"/>
          <w:noProof w:val="0"/>
          <w:sz w:val="22"/>
          <w:szCs w:val="22"/>
          <w:lang w:val="en-GB"/>
        </w:rPr>
        <w:t>.</w:t>
      </w:r>
    </w:p>
    <w:p w:rsidR="243BEF60" w:rsidP="3B366774" w:rsidRDefault="243BEF60" w14:paraId="1758A2C9" w14:textId="1DC1FFFE">
      <w:pPr>
        <w:bidi w:val="0"/>
        <w:spacing w:before="0" w:beforeAutospacing="off" w:after="0" w:afterAutospacing="off"/>
        <w:jc w:val="both"/>
      </w:pPr>
      <w:r w:rsidRPr="3B366774" w:rsidR="5B94CD6B">
        <w:rPr>
          <w:rFonts w:ascii="Arial" w:hAnsi="Arial" w:eastAsia="Arial" w:cs="Arial"/>
          <w:noProof w:val="0"/>
          <w:sz w:val="22"/>
          <w:szCs w:val="22"/>
          <w:lang w:val="en-GB"/>
        </w:rPr>
        <w:t>Ndayirata</w:t>
      </w:r>
      <w:r w:rsidRPr="3B366774" w:rsidR="5B94CD6B">
        <w:rPr>
          <w:rFonts w:ascii="Arial" w:hAnsi="Arial" w:eastAsia="Arial" w:cs="Arial"/>
          <w:noProof w:val="0"/>
          <w:sz w:val="22"/>
          <w:szCs w:val="22"/>
          <w:lang w:val="en-GB"/>
        </w:rPr>
        <w:t xml:space="preserve">, S. </w:t>
      </w:r>
      <w:r w:rsidRPr="3B366774" w:rsidR="5B94CD6B">
        <w:rPr>
          <w:rFonts w:ascii="Arial" w:hAnsi="Arial" w:eastAsia="Arial" w:cs="Arial"/>
          <w:i w:val="1"/>
          <w:iCs w:val="1"/>
          <w:noProof w:val="0"/>
          <w:sz w:val="22"/>
          <w:szCs w:val="22"/>
          <w:lang w:val="en-GB"/>
        </w:rPr>
        <w:t>et al.</w:t>
      </w:r>
      <w:r w:rsidRPr="3B366774" w:rsidR="5B94CD6B">
        <w:rPr>
          <w:rFonts w:ascii="Arial" w:hAnsi="Arial" w:eastAsia="Arial" w:cs="Arial"/>
          <w:noProof w:val="0"/>
          <w:sz w:val="22"/>
          <w:szCs w:val="22"/>
          <w:lang w:val="en-GB"/>
        </w:rPr>
        <w:t xml:space="preserve"> (2025) “The mediating role of affective commitment in the relationship between HRM practices, satisfaction with work equipment, and turnover intentions,” </w:t>
      </w:r>
      <w:r w:rsidRPr="3B366774" w:rsidR="5B94CD6B">
        <w:rPr>
          <w:rFonts w:ascii="Arial" w:hAnsi="Arial" w:eastAsia="Arial" w:cs="Arial"/>
          <w:i w:val="1"/>
          <w:iCs w:val="1"/>
          <w:noProof w:val="0"/>
          <w:sz w:val="22"/>
          <w:szCs w:val="22"/>
          <w:lang w:val="en-GB"/>
        </w:rPr>
        <w:t xml:space="preserve">International studies of management &amp; </w:t>
      </w:r>
      <w:r w:rsidRPr="3B366774" w:rsidR="4E716085">
        <w:rPr>
          <w:rFonts w:ascii="Arial" w:hAnsi="Arial" w:eastAsia="Arial" w:cs="Arial"/>
          <w:i w:val="1"/>
          <w:iCs w:val="1"/>
          <w:noProof w:val="0"/>
          <w:sz w:val="22"/>
          <w:szCs w:val="22"/>
          <w:lang w:val="en-GB"/>
        </w:rPr>
        <w:t>organisation</w:t>
      </w:r>
      <w:r w:rsidRPr="3B366774" w:rsidR="5B94CD6B">
        <w:rPr>
          <w:rFonts w:ascii="Arial" w:hAnsi="Arial" w:eastAsia="Arial" w:cs="Arial"/>
          <w:noProof w:val="0"/>
          <w:sz w:val="22"/>
          <w:szCs w:val="22"/>
          <w:lang w:val="en-GB"/>
        </w:rPr>
        <w:t xml:space="preserve">, pp. 1–19. Available at: </w:t>
      </w:r>
      <w:hyperlink r:id="R27016a97d0dc4dd0">
        <w:r w:rsidRPr="3B366774" w:rsidR="5B94CD6B">
          <w:rPr>
            <w:rStyle w:val="Hyperlink"/>
            <w:rFonts w:ascii="Arial" w:hAnsi="Arial" w:eastAsia="Arial" w:cs="Arial"/>
            <w:noProof w:val="0"/>
            <w:sz w:val="22"/>
            <w:szCs w:val="22"/>
            <w:lang w:val="en-GB"/>
          </w:rPr>
          <w:t>https://doi.org/10.1080/00208825.2025.2554006</w:t>
        </w:r>
      </w:hyperlink>
      <w:r w:rsidRPr="3B366774" w:rsidR="5B94CD6B">
        <w:rPr>
          <w:rFonts w:ascii="Arial" w:hAnsi="Arial" w:eastAsia="Arial" w:cs="Arial"/>
          <w:noProof w:val="0"/>
          <w:sz w:val="22"/>
          <w:szCs w:val="22"/>
          <w:lang w:val="en-GB"/>
        </w:rPr>
        <w:t>.</w:t>
      </w:r>
    </w:p>
    <w:p w:rsidR="243BEF60" w:rsidP="3B366774" w:rsidRDefault="243BEF60" w14:paraId="65C6C1F2" w14:textId="31AF0552">
      <w:pPr>
        <w:bidi w:val="0"/>
        <w:spacing w:before="0" w:beforeAutospacing="off" w:after="0" w:afterAutospacing="off" w:line="360" w:lineRule="auto"/>
        <w:jc w:val="both"/>
        <w:rPr>
          <w:rFonts w:ascii="Arial" w:hAnsi="Arial" w:eastAsia="Arial" w:cs="Arial"/>
          <w:noProof w:val="0"/>
          <w:sz w:val="22"/>
          <w:szCs w:val="22"/>
          <w:lang w:val="en-GB"/>
        </w:rPr>
      </w:pPr>
    </w:p>
    <w:p w:rsidR="243BEF60" w:rsidP="3B366774" w:rsidRDefault="243BEF60" w14:paraId="42F38E21" w14:textId="42EDA875">
      <w:pPr>
        <w:bidi w:val="0"/>
        <w:spacing w:before="0" w:beforeAutospacing="off" w:after="0" w:afterAutospacing="off"/>
        <w:jc w:val="both"/>
      </w:pPr>
      <w:r w:rsidRPr="3B366774" w:rsidR="5B94CD6B">
        <w:rPr>
          <w:rFonts w:ascii="Arial" w:hAnsi="Arial" w:eastAsia="Arial" w:cs="Arial"/>
          <w:noProof w:val="0"/>
          <w:sz w:val="22"/>
          <w:szCs w:val="22"/>
          <w:lang w:val="en-GB"/>
        </w:rPr>
        <w:t xml:space="preserve">Padmavathi, T. (2023) “Does Sustainable Work Environment Influence Work Engagement, Job Satisfaction and Employee Retention? Perspectives from E-Commerce Industry,” </w:t>
      </w:r>
      <w:r w:rsidRPr="3B366774" w:rsidR="5B94CD6B">
        <w:rPr>
          <w:rFonts w:ascii="Arial" w:hAnsi="Arial" w:eastAsia="Arial" w:cs="Arial"/>
          <w:i w:val="1"/>
          <w:iCs w:val="1"/>
          <w:noProof w:val="0"/>
          <w:sz w:val="22"/>
          <w:szCs w:val="22"/>
          <w:lang w:val="en-GB"/>
        </w:rPr>
        <w:t>RGSA : Revista de Gestão Social e Ambiental</w:t>
      </w:r>
      <w:r w:rsidRPr="3B366774" w:rsidR="5B94CD6B">
        <w:rPr>
          <w:rFonts w:ascii="Arial" w:hAnsi="Arial" w:eastAsia="Arial" w:cs="Arial"/>
          <w:noProof w:val="0"/>
          <w:sz w:val="22"/>
          <w:szCs w:val="22"/>
          <w:lang w:val="en-GB"/>
        </w:rPr>
        <w:t xml:space="preserve">, 17(4), pp. e03392-13. Available at: </w:t>
      </w:r>
      <w:hyperlink r:id="Ra985c57d2a6641d2">
        <w:r w:rsidRPr="3B366774" w:rsidR="5B94CD6B">
          <w:rPr>
            <w:rStyle w:val="Hyperlink"/>
            <w:rFonts w:ascii="Arial" w:hAnsi="Arial" w:eastAsia="Arial" w:cs="Arial"/>
            <w:noProof w:val="0"/>
            <w:sz w:val="22"/>
            <w:szCs w:val="22"/>
            <w:lang w:val="en-GB"/>
          </w:rPr>
          <w:t>https://doi.org/10.24857/rgsa.v17n4-002</w:t>
        </w:r>
      </w:hyperlink>
      <w:r w:rsidRPr="3B366774" w:rsidR="5B94CD6B">
        <w:rPr>
          <w:rFonts w:ascii="Arial" w:hAnsi="Arial" w:eastAsia="Arial" w:cs="Arial"/>
          <w:noProof w:val="0"/>
          <w:sz w:val="22"/>
          <w:szCs w:val="22"/>
          <w:lang w:val="en-GB"/>
        </w:rPr>
        <w:t>.</w:t>
      </w:r>
    </w:p>
    <w:p w:rsidR="243BEF60" w:rsidP="3B366774" w:rsidRDefault="243BEF60" w14:paraId="08992028" w14:textId="7FC4316E">
      <w:pPr>
        <w:bidi w:val="0"/>
        <w:spacing w:before="0" w:beforeAutospacing="off" w:after="0" w:afterAutospacing="off" w:line="360" w:lineRule="auto"/>
        <w:jc w:val="both"/>
        <w:rPr>
          <w:rFonts w:ascii="Arial" w:hAnsi="Arial" w:eastAsia="Arial" w:cs="Arial"/>
          <w:noProof w:val="0"/>
          <w:sz w:val="22"/>
          <w:szCs w:val="22"/>
          <w:lang w:val="en-GB"/>
        </w:rPr>
      </w:pPr>
    </w:p>
    <w:p w:rsidR="243BEF60" w:rsidP="3B366774" w:rsidRDefault="243BEF60" w14:paraId="341ABCE7" w14:textId="4D7C25BF">
      <w:pPr>
        <w:bidi w:val="0"/>
        <w:spacing w:before="0" w:beforeAutospacing="off" w:after="0" w:afterAutospacing="off"/>
        <w:jc w:val="both"/>
      </w:pPr>
      <w:r w:rsidRPr="3B366774" w:rsidR="5B94CD6B">
        <w:rPr>
          <w:rFonts w:ascii="Arial" w:hAnsi="Arial" w:eastAsia="Arial" w:cs="Arial"/>
          <w:noProof w:val="0"/>
          <w:sz w:val="22"/>
          <w:szCs w:val="22"/>
          <w:lang w:val="en-GB"/>
        </w:rPr>
        <w:t xml:space="preserve">Pahos, N. and Galanaki, E. (2022) “Performance Effects of High Performance Work Systems on Committed, Long-Term Employees: A Multilevel Study,” </w:t>
      </w:r>
      <w:r w:rsidRPr="3B366774" w:rsidR="5B94CD6B">
        <w:rPr>
          <w:rFonts w:ascii="Arial" w:hAnsi="Arial" w:eastAsia="Arial" w:cs="Arial"/>
          <w:i w:val="1"/>
          <w:iCs w:val="1"/>
          <w:noProof w:val="0"/>
          <w:sz w:val="22"/>
          <w:szCs w:val="22"/>
          <w:lang w:val="en-GB"/>
        </w:rPr>
        <w:t>Frontiers in psychology</w:t>
      </w:r>
      <w:r w:rsidRPr="3B366774" w:rsidR="5B94CD6B">
        <w:rPr>
          <w:rFonts w:ascii="Arial" w:hAnsi="Arial" w:eastAsia="Arial" w:cs="Arial"/>
          <w:noProof w:val="0"/>
          <w:sz w:val="22"/>
          <w:szCs w:val="22"/>
          <w:lang w:val="en-GB"/>
        </w:rPr>
        <w:t xml:space="preserve">, 13, p. 825397. Available at: </w:t>
      </w:r>
      <w:hyperlink r:id="R19d55b245a8d451a">
        <w:r w:rsidRPr="3B366774" w:rsidR="5B94CD6B">
          <w:rPr>
            <w:rStyle w:val="Hyperlink"/>
            <w:rFonts w:ascii="Arial" w:hAnsi="Arial" w:eastAsia="Arial" w:cs="Arial"/>
            <w:noProof w:val="0"/>
            <w:sz w:val="22"/>
            <w:szCs w:val="22"/>
            <w:lang w:val="en-GB"/>
          </w:rPr>
          <w:t>https://doi.org/10.3389/fpsyg.2022.825397</w:t>
        </w:r>
      </w:hyperlink>
      <w:r w:rsidRPr="3B366774" w:rsidR="5B94CD6B">
        <w:rPr>
          <w:rFonts w:ascii="Arial" w:hAnsi="Arial" w:eastAsia="Arial" w:cs="Arial"/>
          <w:noProof w:val="0"/>
          <w:sz w:val="22"/>
          <w:szCs w:val="22"/>
          <w:lang w:val="en-GB"/>
        </w:rPr>
        <w:t>.</w:t>
      </w:r>
    </w:p>
    <w:p w:rsidR="243BEF60" w:rsidP="3B366774" w:rsidRDefault="243BEF60" w14:paraId="568344EB" w14:textId="3A5DC75F">
      <w:pPr>
        <w:bidi w:val="0"/>
        <w:spacing w:before="0" w:beforeAutospacing="off" w:after="0" w:afterAutospacing="off" w:line="360" w:lineRule="auto"/>
        <w:jc w:val="both"/>
        <w:rPr>
          <w:rFonts w:ascii="Arial" w:hAnsi="Arial" w:eastAsia="Arial" w:cs="Arial"/>
          <w:noProof w:val="0"/>
          <w:sz w:val="22"/>
          <w:szCs w:val="22"/>
          <w:lang w:val="en-GB"/>
        </w:rPr>
      </w:pPr>
    </w:p>
    <w:p w:rsidR="243BEF60" w:rsidP="3B366774" w:rsidRDefault="243BEF60" w14:paraId="623DD590" w14:textId="4B56FA0C">
      <w:pPr>
        <w:bidi w:val="0"/>
        <w:spacing w:before="0" w:beforeAutospacing="off" w:after="0" w:afterAutospacing="off"/>
        <w:jc w:val="both"/>
      </w:pPr>
      <w:r w:rsidRPr="3B366774" w:rsidR="5B94CD6B">
        <w:rPr>
          <w:rFonts w:ascii="Arial" w:hAnsi="Arial" w:eastAsia="Arial" w:cs="Arial"/>
          <w:noProof w:val="0"/>
          <w:sz w:val="22"/>
          <w:szCs w:val="22"/>
          <w:lang w:val="en-GB"/>
        </w:rPr>
        <w:t>Pathomphatthaphan</w:t>
      </w:r>
      <w:r w:rsidRPr="3B366774" w:rsidR="5B94CD6B">
        <w:rPr>
          <w:rFonts w:ascii="Arial" w:hAnsi="Arial" w:eastAsia="Arial" w:cs="Arial"/>
          <w:noProof w:val="0"/>
          <w:sz w:val="22"/>
          <w:szCs w:val="22"/>
          <w:lang w:val="en-GB"/>
        </w:rPr>
        <w:t xml:space="preserve">, S., Das, </w:t>
      </w:r>
      <w:r w:rsidRPr="3B366774" w:rsidR="5B94CD6B">
        <w:rPr>
          <w:rFonts w:ascii="Arial" w:hAnsi="Arial" w:eastAsia="Arial" w:cs="Arial"/>
          <w:noProof w:val="0"/>
          <w:sz w:val="22"/>
          <w:szCs w:val="22"/>
          <w:lang w:val="en-GB"/>
        </w:rPr>
        <w:t>S.</w:t>
      </w:r>
      <w:r w:rsidRPr="3B366774" w:rsidR="5B94CD6B">
        <w:rPr>
          <w:rFonts w:ascii="Arial" w:hAnsi="Arial" w:eastAsia="Arial" w:cs="Arial"/>
          <w:noProof w:val="0"/>
          <w:sz w:val="22"/>
          <w:szCs w:val="22"/>
          <w:lang w:val="en-GB"/>
        </w:rPr>
        <w:t xml:space="preserve"> and Lalatendu Kesari Jena (2024) “Agile SHRM practices and employee-organisational outcomes during new normal: evidence from India and Thailand,” </w:t>
      </w:r>
      <w:r w:rsidRPr="3B366774" w:rsidR="5B94CD6B">
        <w:rPr>
          <w:rFonts w:ascii="Arial" w:hAnsi="Arial" w:eastAsia="Arial" w:cs="Arial"/>
          <w:i w:val="1"/>
          <w:iCs w:val="1"/>
          <w:noProof w:val="0"/>
          <w:sz w:val="22"/>
          <w:szCs w:val="22"/>
          <w:lang w:val="en-GB"/>
        </w:rPr>
        <w:t xml:space="preserve">Journal of </w:t>
      </w:r>
      <w:r w:rsidRPr="3B366774" w:rsidR="4E716085">
        <w:rPr>
          <w:rFonts w:ascii="Arial" w:hAnsi="Arial" w:eastAsia="Arial" w:cs="Arial"/>
          <w:i w:val="1"/>
          <w:iCs w:val="1"/>
          <w:noProof w:val="0"/>
          <w:sz w:val="22"/>
          <w:szCs w:val="22"/>
          <w:lang w:val="en-GB"/>
        </w:rPr>
        <w:t>organisation</w:t>
      </w:r>
      <w:r w:rsidRPr="3B366774" w:rsidR="5B94CD6B">
        <w:rPr>
          <w:rFonts w:ascii="Arial" w:hAnsi="Arial" w:eastAsia="Arial" w:cs="Arial"/>
          <w:i w:val="1"/>
          <w:iCs w:val="1"/>
          <w:noProof w:val="0"/>
          <w:sz w:val="22"/>
          <w:szCs w:val="22"/>
          <w:lang w:val="en-GB"/>
        </w:rPr>
        <w:t xml:space="preserve">al </w:t>
      </w:r>
      <w:r w:rsidRPr="3B366774" w:rsidR="5B94CD6B">
        <w:rPr>
          <w:rFonts w:ascii="Arial" w:hAnsi="Arial" w:eastAsia="Arial" w:cs="Arial"/>
          <w:i w:val="1"/>
          <w:iCs w:val="1"/>
          <w:noProof w:val="0"/>
          <w:sz w:val="22"/>
          <w:szCs w:val="22"/>
          <w:lang w:val="en-GB"/>
        </w:rPr>
        <w:t>effectiveness :</w:t>
      </w:r>
      <w:r w:rsidRPr="3B366774" w:rsidR="5B94CD6B">
        <w:rPr>
          <w:rFonts w:ascii="Arial" w:hAnsi="Arial" w:eastAsia="Arial" w:cs="Arial"/>
          <w:i w:val="1"/>
          <w:iCs w:val="1"/>
          <w:noProof w:val="0"/>
          <w:sz w:val="22"/>
          <w:szCs w:val="22"/>
          <w:lang w:val="en-GB"/>
        </w:rPr>
        <w:t xml:space="preserve"> people and performance</w:t>
      </w:r>
      <w:r w:rsidRPr="3B366774" w:rsidR="5B94CD6B">
        <w:rPr>
          <w:rFonts w:ascii="Arial" w:hAnsi="Arial" w:eastAsia="Arial" w:cs="Arial"/>
          <w:noProof w:val="0"/>
          <w:sz w:val="22"/>
          <w:szCs w:val="22"/>
          <w:lang w:val="en-GB"/>
        </w:rPr>
        <w:t xml:space="preserve">, 11(2), pp. 347–374. Available at: </w:t>
      </w:r>
      <w:hyperlink r:id="R415f7eb961bb4d22">
        <w:r w:rsidRPr="3B366774" w:rsidR="5B94CD6B">
          <w:rPr>
            <w:rStyle w:val="Hyperlink"/>
            <w:rFonts w:ascii="Arial" w:hAnsi="Arial" w:eastAsia="Arial" w:cs="Arial"/>
            <w:noProof w:val="0"/>
            <w:sz w:val="22"/>
            <w:szCs w:val="22"/>
            <w:lang w:val="en-GB"/>
          </w:rPr>
          <w:t>https://doi.org/10.1108/JOEPP-07-2023-0288</w:t>
        </w:r>
      </w:hyperlink>
      <w:r w:rsidRPr="3B366774" w:rsidR="5B94CD6B">
        <w:rPr>
          <w:rFonts w:ascii="Arial" w:hAnsi="Arial" w:eastAsia="Arial" w:cs="Arial"/>
          <w:noProof w:val="0"/>
          <w:sz w:val="22"/>
          <w:szCs w:val="22"/>
          <w:lang w:val="en-GB"/>
        </w:rPr>
        <w:t>.</w:t>
      </w:r>
    </w:p>
    <w:p w:rsidR="243BEF60" w:rsidP="3B366774" w:rsidRDefault="243BEF60" w14:paraId="30714779" w14:textId="5935FC72">
      <w:pPr>
        <w:bidi w:val="0"/>
        <w:spacing w:before="0" w:beforeAutospacing="off" w:after="0" w:afterAutospacing="off" w:line="360" w:lineRule="auto"/>
        <w:jc w:val="both"/>
        <w:rPr>
          <w:rFonts w:ascii="Arial" w:hAnsi="Arial" w:eastAsia="Arial" w:cs="Arial"/>
          <w:noProof w:val="0"/>
          <w:sz w:val="22"/>
          <w:szCs w:val="22"/>
          <w:lang w:val="en-GB"/>
        </w:rPr>
      </w:pPr>
    </w:p>
    <w:p w:rsidR="243BEF60" w:rsidP="3B366774" w:rsidRDefault="243BEF60" w14:paraId="46CCF588" w14:textId="7C5AC568">
      <w:pPr>
        <w:bidi w:val="0"/>
        <w:spacing w:before="0" w:beforeAutospacing="off" w:after="0" w:afterAutospacing="off"/>
        <w:jc w:val="both"/>
      </w:pPr>
      <w:r w:rsidRPr="3B366774" w:rsidR="5B94CD6B">
        <w:rPr>
          <w:rFonts w:ascii="Arial" w:hAnsi="Arial" w:eastAsia="Arial" w:cs="Arial"/>
          <w:noProof w:val="0"/>
          <w:sz w:val="22"/>
          <w:szCs w:val="22"/>
          <w:lang w:val="en-GB"/>
        </w:rPr>
        <w:t xml:space="preserve">Peyrat-Guillard, D., Grefe, G. and Subramanian, J. (2023) “Understanding quondam commitments to retain employees: insights from the case of flight attendants and pilots,” </w:t>
      </w:r>
      <w:r w:rsidRPr="3B366774" w:rsidR="5B94CD6B">
        <w:rPr>
          <w:rFonts w:ascii="Arial" w:hAnsi="Arial" w:eastAsia="Arial" w:cs="Arial"/>
          <w:i w:val="1"/>
          <w:iCs w:val="1"/>
          <w:noProof w:val="0"/>
          <w:sz w:val="22"/>
          <w:szCs w:val="22"/>
          <w:lang w:val="en-GB"/>
        </w:rPr>
        <w:t>International journal of contemporary hospitality management</w:t>
      </w:r>
      <w:r w:rsidRPr="3B366774" w:rsidR="5B94CD6B">
        <w:rPr>
          <w:rFonts w:ascii="Arial" w:hAnsi="Arial" w:eastAsia="Arial" w:cs="Arial"/>
          <w:noProof w:val="0"/>
          <w:sz w:val="22"/>
          <w:szCs w:val="22"/>
          <w:lang w:val="en-GB"/>
        </w:rPr>
        <w:t xml:space="preserve">, 35(1), pp. 274–301. Available at: </w:t>
      </w:r>
      <w:hyperlink r:id="R6bd6d9fafb424598">
        <w:r w:rsidRPr="3B366774" w:rsidR="5B94CD6B">
          <w:rPr>
            <w:rStyle w:val="Hyperlink"/>
            <w:rFonts w:ascii="Arial" w:hAnsi="Arial" w:eastAsia="Arial" w:cs="Arial"/>
            <w:noProof w:val="0"/>
            <w:sz w:val="22"/>
            <w:szCs w:val="22"/>
            <w:lang w:val="en-GB"/>
          </w:rPr>
          <w:t>https://doi.org/10.1108/IJCHM-02-2022-0211</w:t>
        </w:r>
      </w:hyperlink>
      <w:r w:rsidRPr="3B366774" w:rsidR="5B94CD6B">
        <w:rPr>
          <w:rFonts w:ascii="Arial" w:hAnsi="Arial" w:eastAsia="Arial" w:cs="Arial"/>
          <w:noProof w:val="0"/>
          <w:sz w:val="22"/>
          <w:szCs w:val="22"/>
          <w:lang w:val="en-GB"/>
        </w:rPr>
        <w:t>.</w:t>
      </w:r>
    </w:p>
    <w:p w:rsidR="243BEF60" w:rsidP="3B366774" w:rsidRDefault="243BEF60" w14:paraId="672C9FBE" w14:textId="79986BF0">
      <w:pPr>
        <w:bidi w:val="0"/>
        <w:spacing w:before="0" w:beforeAutospacing="off" w:after="0" w:afterAutospacing="off" w:line="360" w:lineRule="auto"/>
        <w:jc w:val="both"/>
        <w:rPr>
          <w:rFonts w:ascii="Arial" w:hAnsi="Arial" w:eastAsia="Arial" w:cs="Arial"/>
          <w:noProof w:val="0"/>
          <w:sz w:val="22"/>
          <w:szCs w:val="22"/>
          <w:lang w:val="en-GB"/>
        </w:rPr>
      </w:pPr>
    </w:p>
    <w:p w:rsidR="243BEF60" w:rsidP="3B366774" w:rsidRDefault="243BEF60" w14:paraId="1F6557C9" w14:textId="4BD6176C">
      <w:pPr>
        <w:bidi w:val="0"/>
        <w:spacing w:before="0" w:beforeAutospacing="off" w:after="0" w:afterAutospacing="off"/>
        <w:jc w:val="both"/>
      </w:pPr>
      <w:r w:rsidRPr="3B366774" w:rsidR="5B94CD6B">
        <w:rPr>
          <w:rFonts w:ascii="Arial" w:hAnsi="Arial" w:eastAsia="Arial" w:cs="Arial"/>
          <w:noProof w:val="0"/>
          <w:sz w:val="22"/>
          <w:szCs w:val="22"/>
          <w:lang w:val="en-GB"/>
        </w:rPr>
        <w:t xml:space="preserve">Ramírez Lozano, J.P., Peñaflor-Guerra, R. and Sanagustín-Fons, V. (2023) “Leadership, communication, and job satisfaction for employee engagement and sustainability of family businesses in Latin America,” </w:t>
      </w:r>
      <w:r w:rsidRPr="3B366774" w:rsidR="5B94CD6B">
        <w:rPr>
          <w:rFonts w:ascii="Arial" w:hAnsi="Arial" w:eastAsia="Arial" w:cs="Arial"/>
          <w:i w:val="1"/>
          <w:iCs w:val="1"/>
          <w:noProof w:val="0"/>
          <w:sz w:val="22"/>
          <w:szCs w:val="22"/>
          <w:lang w:val="en-GB"/>
        </w:rPr>
        <w:t>Administrative sciences</w:t>
      </w:r>
      <w:r w:rsidRPr="3B366774" w:rsidR="5B94CD6B">
        <w:rPr>
          <w:rFonts w:ascii="Arial" w:hAnsi="Arial" w:eastAsia="Arial" w:cs="Arial"/>
          <w:noProof w:val="0"/>
          <w:sz w:val="22"/>
          <w:szCs w:val="22"/>
          <w:lang w:val="en-GB"/>
        </w:rPr>
        <w:t xml:space="preserve">, 13(6), pp. 1–18. Available at: </w:t>
      </w:r>
      <w:hyperlink r:id="Rd600d2827ed24a2e">
        <w:r w:rsidRPr="3B366774" w:rsidR="5B94CD6B">
          <w:rPr>
            <w:rStyle w:val="Hyperlink"/>
            <w:rFonts w:ascii="Arial" w:hAnsi="Arial" w:eastAsia="Arial" w:cs="Arial"/>
            <w:noProof w:val="0"/>
            <w:sz w:val="22"/>
            <w:szCs w:val="22"/>
            <w:lang w:val="en-GB"/>
          </w:rPr>
          <w:t>https://doi.org/10.3390/admsci13060137</w:t>
        </w:r>
      </w:hyperlink>
      <w:r w:rsidRPr="3B366774" w:rsidR="5B94CD6B">
        <w:rPr>
          <w:rFonts w:ascii="Arial" w:hAnsi="Arial" w:eastAsia="Arial" w:cs="Arial"/>
          <w:noProof w:val="0"/>
          <w:sz w:val="22"/>
          <w:szCs w:val="22"/>
          <w:lang w:val="en-GB"/>
        </w:rPr>
        <w:t>.</w:t>
      </w:r>
    </w:p>
    <w:p w:rsidR="243BEF60" w:rsidP="3B366774" w:rsidRDefault="243BEF60" w14:paraId="48F55565" w14:textId="7B63E9DC">
      <w:pPr>
        <w:bidi w:val="0"/>
        <w:spacing w:before="0" w:beforeAutospacing="off" w:after="0" w:afterAutospacing="off" w:line="360" w:lineRule="auto"/>
        <w:jc w:val="both"/>
        <w:rPr>
          <w:rFonts w:ascii="Arial" w:hAnsi="Arial" w:eastAsia="Arial" w:cs="Arial"/>
          <w:noProof w:val="0"/>
          <w:sz w:val="22"/>
          <w:szCs w:val="22"/>
          <w:lang w:val="en-GB"/>
        </w:rPr>
      </w:pPr>
    </w:p>
    <w:p w:rsidR="243BEF60" w:rsidP="3B366774" w:rsidRDefault="243BEF60" w14:paraId="2372A27D" w14:textId="2EEAE268">
      <w:pPr>
        <w:bidi w:val="0"/>
        <w:spacing w:before="0" w:beforeAutospacing="off" w:after="0" w:afterAutospacing="off"/>
        <w:jc w:val="both"/>
      </w:pPr>
      <w:r w:rsidRPr="3B366774" w:rsidR="5B94CD6B">
        <w:rPr>
          <w:rFonts w:ascii="Arial" w:hAnsi="Arial" w:eastAsia="Arial" w:cs="Arial"/>
          <w:noProof w:val="0"/>
          <w:sz w:val="22"/>
          <w:szCs w:val="22"/>
          <w:lang w:val="en-GB"/>
        </w:rPr>
        <w:t xml:space="preserve">Renaud, S. </w:t>
      </w:r>
      <w:r w:rsidRPr="3B366774" w:rsidR="5B94CD6B">
        <w:rPr>
          <w:rFonts w:ascii="Arial" w:hAnsi="Arial" w:eastAsia="Arial" w:cs="Arial"/>
          <w:i w:val="1"/>
          <w:iCs w:val="1"/>
          <w:noProof w:val="0"/>
          <w:sz w:val="22"/>
          <w:szCs w:val="22"/>
          <w:lang w:val="en-GB"/>
        </w:rPr>
        <w:t>et al.</w:t>
      </w:r>
      <w:r w:rsidRPr="3B366774" w:rsidR="5B94CD6B">
        <w:rPr>
          <w:rFonts w:ascii="Arial" w:hAnsi="Arial" w:eastAsia="Arial" w:cs="Arial"/>
          <w:noProof w:val="0"/>
          <w:sz w:val="22"/>
          <w:szCs w:val="22"/>
          <w:lang w:val="en-GB"/>
        </w:rPr>
        <w:t xml:space="preserve"> (2015) “What are the best HRM practices for retaining experts? A longitudinal study in the Canadian information technology sector,” </w:t>
      </w:r>
      <w:r w:rsidRPr="3B366774" w:rsidR="5B94CD6B">
        <w:rPr>
          <w:rFonts w:ascii="Arial" w:hAnsi="Arial" w:eastAsia="Arial" w:cs="Arial"/>
          <w:i w:val="1"/>
          <w:iCs w:val="1"/>
          <w:noProof w:val="0"/>
          <w:sz w:val="22"/>
          <w:szCs w:val="22"/>
          <w:lang w:val="en-GB"/>
        </w:rPr>
        <w:t>International journal of manpower</w:t>
      </w:r>
      <w:r w:rsidRPr="3B366774" w:rsidR="5B94CD6B">
        <w:rPr>
          <w:rFonts w:ascii="Arial" w:hAnsi="Arial" w:eastAsia="Arial" w:cs="Arial"/>
          <w:noProof w:val="0"/>
          <w:sz w:val="22"/>
          <w:szCs w:val="22"/>
          <w:lang w:val="en-GB"/>
        </w:rPr>
        <w:t xml:space="preserve">, 36(3), pp. 416–432. Available at: </w:t>
      </w:r>
      <w:hyperlink r:id="Rcf0080e12f8e47c1">
        <w:r w:rsidRPr="3B366774" w:rsidR="5B94CD6B">
          <w:rPr>
            <w:rStyle w:val="Hyperlink"/>
            <w:rFonts w:ascii="Arial" w:hAnsi="Arial" w:eastAsia="Arial" w:cs="Arial"/>
            <w:noProof w:val="0"/>
            <w:sz w:val="22"/>
            <w:szCs w:val="22"/>
            <w:lang w:val="en-GB"/>
          </w:rPr>
          <w:t>https://doi.org/10.1108/IJM-03-2014-0078</w:t>
        </w:r>
      </w:hyperlink>
      <w:r w:rsidRPr="3B366774" w:rsidR="5B94CD6B">
        <w:rPr>
          <w:rFonts w:ascii="Arial" w:hAnsi="Arial" w:eastAsia="Arial" w:cs="Arial"/>
          <w:noProof w:val="0"/>
          <w:sz w:val="22"/>
          <w:szCs w:val="22"/>
          <w:lang w:val="en-GB"/>
        </w:rPr>
        <w:t>.</w:t>
      </w:r>
    </w:p>
    <w:p w:rsidR="243BEF60" w:rsidP="3B366774" w:rsidRDefault="243BEF60" w14:paraId="062B78B3" w14:textId="6EB6F8A8">
      <w:pPr>
        <w:bidi w:val="0"/>
        <w:spacing w:before="0" w:beforeAutospacing="off" w:after="0" w:afterAutospacing="off" w:line="360" w:lineRule="auto"/>
        <w:jc w:val="both"/>
        <w:rPr>
          <w:rFonts w:ascii="Arial" w:hAnsi="Arial" w:eastAsia="Arial" w:cs="Arial"/>
          <w:noProof w:val="0"/>
          <w:sz w:val="22"/>
          <w:szCs w:val="22"/>
          <w:lang w:val="en-GB"/>
        </w:rPr>
      </w:pPr>
    </w:p>
    <w:p w:rsidR="243BEF60" w:rsidP="3B366774" w:rsidRDefault="243BEF60" w14:paraId="4797D398" w14:textId="1C370245">
      <w:pPr>
        <w:bidi w:val="0"/>
        <w:spacing w:before="0" w:beforeAutospacing="off" w:after="0" w:afterAutospacing="off" w:line="360" w:lineRule="auto"/>
        <w:jc w:val="both"/>
        <w:rPr>
          <w:rFonts w:ascii="Arial" w:hAnsi="Arial" w:eastAsia="Arial" w:cs="Arial"/>
          <w:noProof w:val="0"/>
          <w:sz w:val="22"/>
          <w:szCs w:val="22"/>
          <w:lang w:val="en-GB"/>
        </w:rPr>
      </w:pPr>
      <w:r w:rsidRPr="3B366774" w:rsidR="29A5DEF6">
        <w:rPr>
          <w:rFonts w:ascii="Arial" w:hAnsi="Arial" w:eastAsia="Arial" w:cs="Arial"/>
          <w:noProof w:val="0"/>
          <w:sz w:val="22"/>
          <w:szCs w:val="22"/>
          <w:lang w:val="en-GB"/>
        </w:rPr>
        <w:t xml:space="preserve">Rodgers, M. </w:t>
      </w:r>
      <w:r w:rsidRPr="3B366774" w:rsidR="29A5DEF6">
        <w:rPr>
          <w:rFonts w:ascii="Arial" w:hAnsi="Arial" w:eastAsia="Arial" w:cs="Arial"/>
          <w:i w:val="1"/>
          <w:iCs w:val="1"/>
          <w:noProof w:val="0"/>
          <w:sz w:val="22"/>
          <w:szCs w:val="22"/>
          <w:lang w:val="en-GB"/>
        </w:rPr>
        <w:t>et al.</w:t>
      </w:r>
      <w:r w:rsidRPr="3B366774" w:rsidR="29A5DEF6">
        <w:rPr>
          <w:rFonts w:ascii="Arial" w:hAnsi="Arial" w:eastAsia="Arial" w:cs="Arial"/>
          <w:noProof w:val="0"/>
          <w:sz w:val="22"/>
          <w:szCs w:val="22"/>
          <w:lang w:val="en-GB"/>
        </w:rPr>
        <w:t xml:space="preserve"> (2009) “Testing Methodological Guidance on the Conduct of Narrative Synthesis in Systematic Reviews: Effectiveness of Interventions to Promote Smoke Alarm Ownership and Function,” </w:t>
      </w:r>
      <w:r w:rsidRPr="3B366774" w:rsidR="29A5DEF6">
        <w:rPr>
          <w:rFonts w:ascii="Arial" w:hAnsi="Arial" w:eastAsia="Arial" w:cs="Arial"/>
          <w:i w:val="1"/>
          <w:iCs w:val="1"/>
          <w:noProof w:val="0"/>
          <w:sz w:val="22"/>
          <w:szCs w:val="22"/>
          <w:lang w:val="en-GB"/>
        </w:rPr>
        <w:t>Evaluation (London, England. 1995)</w:t>
      </w:r>
      <w:r w:rsidRPr="3B366774" w:rsidR="29A5DEF6">
        <w:rPr>
          <w:rFonts w:ascii="Arial" w:hAnsi="Arial" w:eastAsia="Arial" w:cs="Arial"/>
          <w:noProof w:val="0"/>
          <w:sz w:val="22"/>
          <w:szCs w:val="22"/>
          <w:lang w:val="en-GB"/>
        </w:rPr>
        <w:t xml:space="preserve">, 15(1), pp. 49–73. Available at: </w:t>
      </w:r>
      <w:hyperlink r:id="R06b9bcab54c34543">
        <w:r w:rsidRPr="3B366774" w:rsidR="29A5DEF6">
          <w:rPr>
            <w:rStyle w:val="Hyperlink"/>
            <w:rFonts w:ascii="Arial" w:hAnsi="Arial" w:eastAsia="Arial" w:cs="Arial"/>
            <w:noProof w:val="0"/>
            <w:sz w:val="22"/>
            <w:szCs w:val="22"/>
            <w:lang w:val="en-GB"/>
          </w:rPr>
          <w:t>https://doi.org/10.1177/1356389008097871</w:t>
        </w:r>
      </w:hyperlink>
      <w:r w:rsidRPr="3B366774" w:rsidR="29A5DEF6">
        <w:rPr>
          <w:rFonts w:ascii="Arial" w:hAnsi="Arial" w:eastAsia="Arial" w:cs="Arial"/>
          <w:noProof w:val="0"/>
          <w:sz w:val="22"/>
          <w:szCs w:val="22"/>
          <w:lang w:val="en-GB"/>
        </w:rPr>
        <w:t>.</w:t>
      </w:r>
    </w:p>
    <w:p w:rsidR="243BEF60" w:rsidP="3B366774" w:rsidRDefault="243BEF60" w14:paraId="48C22784" w14:textId="707AA7CA">
      <w:pPr>
        <w:pStyle w:val="Normal"/>
        <w:bidi w:val="0"/>
        <w:spacing w:before="0" w:beforeAutospacing="off" w:after="0" w:afterAutospacing="off" w:line="360" w:lineRule="auto"/>
        <w:jc w:val="both"/>
        <w:rPr>
          <w:rFonts w:ascii="Arial" w:hAnsi="Arial" w:eastAsia="Arial" w:cs="Arial"/>
          <w:noProof w:val="0"/>
          <w:sz w:val="22"/>
          <w:szCs w:val="22"/>
          <w:lang w:val="en-GB"/>
        </w:rPr>
      </w:pPr>
    </w:p>
    <w:p w:rsidR="7791E989" w:rsidP="3B366774" w:rsidRDefault="7791E989" w14:paraId="67663555" w14:textId="4ABC7EE7">
      <w:pPr>
        <w:bidi w:val="0"/>
        <w:spacing w:before="0" w:beforeAutospacing="off" w:after="0" w:afterAutospacing="off"/>
        <w:jc w:val="both"/>
      </w:pPr>
      <w:r w:rsidRPr="3B366774" w:rsidR="7791E989">
        <w:rPr>
          <w:rFonts w:ascii="Arial" w:hAnsi="Arial" w:eastAsia="Arial" w:cs="Arial"/>
          <w:noProof w:val="0"/>
          <w:sz w:val="22"/>
          <w:szCs w:val="22"/>
          <w:lang w:val="en-GB"/>
        </w:rPr>
        <w:t xml:space="preserve">Ruthig, J.C. </w:t>
      </w:r>
      <w:r w:rsidRPr="3B366774" w:rsidR="7791E989">
        <w:rPr>
          <w:rFonts w:ascii="Arial" w:hAnsi="Arial" w:eastAsia="Arial" w:cs="Arial"/>
          <w:i w:val="1"/>
          <w:iCs w:val="1"/>
          <w:noProof w:val="0"/>
          <w:sz w:val="22"/>
          <w:szCs w:val="22"/>
          <w:lang w:val="en-GB"/>
        </w:rPr>
        <w:t>et al.</w:t>
      </w:r>
      <w:r w:rsidRPr="3B366774" w:rsidR="7791E989">
        <w:rPr>
          <w:rFonts w:ascii="Arial" w:hAnsi="Arial" w:eastAsia="Arial" w:cs="Arial"/>
          <w:noProof w:val="0"/>
          <w:sz w:val="22"/>
          <w:szCs w:val="22"/>
          <w:lang w:val="en-GB"/>
        </w:rPr>
        <w:t xml:space="preserve"> (2026) “Barriers to symptom disclosure and healthcare seeking among civilian aviation pilot trainees,” </w:t>
      </w:r>
      <w:r w:rsidRPr="3B366774" w:rsidR="7791E989">
        <w:rPr>
          <w:rFonts w:ascii="Arial" w:hAnsi="Arial" w:eastAsia="Arial" w:cs="Arial"/>
          <w:i w:val="1"/>
          <w:iCs w:val="1"/>
          <w:noProof w:val="0"/>
          <w:sz w:val="22"/>
          <w:szCs w:val="22"/>
          <w:lang w:val="en-GB"/>
        </w:rPr>
        <w:t>Journal of health psychology</w:t>
      </w:r>
      <w:r w:rsidRPr="3B366774" w:rsidR="7791E989">
        <w:rPr>
          <w:rFonts w:ascii="Arial" w:hAnsi="Arial" w:eastAsia="Arial" w:cs="Arial"/>
          <w:noProof w:val="0"/>
          <w:sz w:val="22"/>
          <w:szCs w:val="22"/>
          <w:lang w:val="en-GB"/>
        </w:rPr>
        <w:t xml:space="preserve">, p. 13591053251410633. Available at: </w:t>
      </w:r>
      <w:hyperlink r:id="R6fbc18ca87fe4d6e">
        <w:r w:rsidRPr="3B366774" w:rsidR="7791E989">
          <w:rPr>
            <w:rStyle w:val="Hyperlink"/>
            <w:rFonts w:ascii="Arial" w:hAnsi="Arial" w:eastAsia="Arial" w:cs="Arial"/>
            <w:noProof w:val="0"/>
            <w:sz w:val="22"/>
            <w:szCs w:val="22"/>
            <w:lang w:val="en-GB"/>
          </w:rPr>
          <w:t>https://doi.org/10.1177/13591053251410633</w:t>
        </w:r>
      </w:hyperlink>
      <w:r w:rsidRPr="3B366774" w:rsidR="7791E989">
        <w:rPr>
          <w:rFonts w:ascii="Arial" w:hAnsi="Arial" w:eastAsia="Arial" w:cs="Arial"/>
          <w:noProof w:val="0"/>
          <w:sz w:val="22"/>
          <w:szCs w:val="22"/>
          <w:lang w:val="en-GB"/>
        </w:rPr>
        <w:t>.</w:t>
      </w:r>
    </w:p>
    <w:p w:rsidR="3B366774" w:rsidP="3B366774" w:rsidRDefault="3B366774" w14:paraId="0A4BE285" w14:textId="6CE211BB">
      <w:pPr>
        <w:pStyle w:val="Normal"/>
        <w:bidi w:val="0"/>
        <w:spacing w:before="0" w:beforeAutospacing="off" w:after="0" w:afterAutospacing="off" w:line="360" w:lineRule="auto"/>
        <w:jc w:val="both"/>
        <w:rPr>
          <w:rFonts w:ascii="Arial" w:hAnsi="Arial" w:eastAsia="Arial" w:cs="Arial"/>
          <w:noProof w:val="0"/>
          <w:sz w:val="22"/>
          <w:szCs w:val="22"/>
          <w:lang w:val="en-GB"/>
        </w:rPr>
      </w:pPr>
    </w:p>
    <w:p w:rsidR="7791E989" w:rsidP="3B366774" w:rsidRDefault="7791E989" w14:paraId="02A4A883" w14:textId="4E1BB9D3">
      <w:pPr>
        <w:bidi w:val="0"/>
        <w:spacing w:before="0" w:beforeAutospacing="off" w:after="0" w:afterAutospacing="off"/>
        <w:jc w:val="both"/>
      </w:pPr>
      <w:r w:rsidRPr="3B366774" w:rsidR="7791E989">
        <w:rPr>
          <w:rFonts w:ascii="Arial" w:hAnsi="Arial" w:eastAsia="Arial" w:cs="Arial"/>
          <w:noProof w:val="0"/>
          <w:sz w:val="22"/>
          <w:szCs w:val="22"/>
          <w:lang w:val="en-GB"/>
        </w:rPr>
        <w:t xml:space="preserve">Sarmad, M. </w:t>
      </w:r>
      <w:r w:rsidRPr="3B366774" w:rsidR="7791E989">
        <w:rPr>
          <w:rFonts w:ascii="Arial" w:hAnsi="Arial" w:eastAsia="Arial" w:cs="Arial"/>
          <w:i w:val="1"/>
          <w:iCs w:val="1"/>
          <w:noProof w:val="0"/>
          <w:sz w:val="22"/>
          <w:szCs w:val="22"/>
          <w:lang w:val="en-GB"/>
        </w:rPr>
        <w:t>et al.</w:t>
      </w:r>
      <w:r w:rsidRPr="3B366774" w:rsidR="7791E989">
        <w:rPr>
          <w:rFonts w:ascii="Arial" w:hAnsi="Arial" w:eastAsia="Arial" w:cs="Arial"/>
          <w:noProof w:val="0"/>
          <w:sz w:val="22"/>
          <w:szCs w:val="22"/>
          <w:lang w:val="en-GB"/>
        </w:rPr>
        <w:t xml:space="preserve"> (2016) “Motivation and Compensation as Predictors of Employees’ Retention: Evidence </w:t>
      </w:r>
      <w:r w:rsidRPr="3B366774" w:rsidR="7791E989">
        <w:rPr>
          <w:rFonts w:ascii="Arial" w:hAnsi="Arial" w:eastAsia="Arial" w:cs="Arial"/>
          <w:noProof w:val="0"/>
          <w:sz w:val="22"/>
          <w:szCs w:val="22"/>
          <w:lang w:val="en-GB"/>
        </w:rPr>
        <w:t>From</w:t>
      </w:r>
      <w:r w:rsidRPr="3B366774" w:rsidR="7791E989">
        <w:rPr>
          <w:rFonts w:ascii="Arial" w:hAnsi="Arial" w:eastAsia="Arial" w:cs="Arial"/>
          <w:noProof w:val="0"/>
          <w:sz w:val="22"/>
          <w:szCs w:val="22"/>
          <w:lang w:val="en-GB"/>
        </w:rPr>
        <w:t xml:space="preserve"> Public Sector Oil and Gas Selling </w:t>
      </w:r>
      <w:r w:rsidRPr="3B366774" w:rsidR="4E716085">
        <w:rPr>
          <w:rFonts w:ascii="Arial" w:hAnsi="Arial" w:eastAsia="Arial" w:cs="Arial"/>
          <w:noProof w:val="0"/>
          <w:sz w:val="22"/>
          <w:szCs w:val="22"/>
          <w:lang w:val="en-GB"/>
        </w:rPr>
        <w:t>Organisation</w:t>
      </w:r>
      <w:r w:rsidRPr="3B366774" w:rsidR="7791E989">
        <w:rPr>
          <w:rFonts w:ascii="Arial" w:hAnsi="Arial" w:eastAsia="Arial" w:cs="Arial"/>
          <w:noProof w:val="0"/>
          <w:sz w:val="22"/>
          <w:szCs w:val="22"/>
          <w:lang w:val="en-GB"/>
        </w:rPr>
        <w:t xml:space="preserve">s,” </w:t>
      </w:r>
      <w:r w:rsidRPr="3B366774" w:rsidR="7791E989">
        <w:rPr>
          <w:rFonts w:ascii="Arial" w:hAnsi="Arial" w:eastAsia="Arial" w:cs="Arial"/>
          <w:i w:val="1"/>
          <w:iCs w:val="1"/>
          <w:noProof w:val="0"/>
          <w:sz w:val="22"/>
          <w:szCs w:val="22"/>
          <w:lang w:val="en-GB"/>
        </w:rPr>
        <w:t>Journal of behavioural sciences</w:t>
      </w:r>
      <w:r w:rsidRPr="3B366774" w:rsidR="7791E989">
        <w:rPr>
          <w:rFonts w:ascii="Arial" w:hAnsi="Arial" w:eastAsia="Arial" w:cs="Arial"/>
          <w:noProof w:val="0"/>
          <w:sz w:val="22"/>
          <w:szCs w:val="22"/>
          <w:lang w:val="en-GB"/>
        </w:rPr>
        <w:t>, 26(2), p. 174.</w:t>
      </w:r>
    </w:p>
    <w:p w:rsidR="3B366774" w:rsidP="3B366774" w:rsidRDefault="3B366774" w14:paraId="7AB31A06" w14:textId="3DCC264D">
      <w:pPr>
        <w:pStyle w:val="Normal"/>
        <w:bidi w:val="0"/>
        <w:spacing w:before="0" w:beforeAutospacing="off" w:after="0" w:afterAutospacing="off" w:line="360" w:lineRule="auto"/>
        <w:jc w:val="both"/>
        <w:rPr>
          <w:rFonts w:ascii="Arial" w:hAnsi="Arial" w:eastAsia="Arial" w:cs="Arial"/>
          <w:noProof w:val="0"/>
          <w:sz w:val="22"/>
          <w:szCs w:val="22"/>
          <w:lang w:val="en-GB"/>
        </w:rPr>
      </w:pPr>
    </w:p>
    <w:p w:rsidR="116719BB" w:rsidP="3B366774" w:rsidRDefault="116719BB" w14:paraId="00FDED68" w14:textId="730AA76F">
      <w:pPr>
        <w:pStyle w:val="Normal"/>
        <w:bidi w:val="0"/>
        <w:spacing w:before="0" w:beforeAutospacing="off" w:after="0" w:afterAutospacing="off" w:line="360" w:lineRule="auto"/>
        <w:jc w:val="both"/>
        <w:rPr>
          <w:rFonts w:ascii="Arial" w:hAnsi="Arial" w:eastAsia="Arial" w:cs="Arial"/>
          <w:noProof w:val="0"/>
          <w:sz w:val="22"/>
          <w:szCs w:val="22"/>
          <w:lang w:val="en-GB"/>
        </w:rPr>
      </w:pPr>
      <w:r w:rsidRPr="3B366774" w:rsidR="116719BB">
        <w:rPr>
          <w:rFonts w:ascii="Arial" w:hAnsi="Arial" w:eastAsia="Arial" w:cs="Arial"/>
          <w:b w:val="0"/>
          <w:bCs w:val="0"/>
          <w:i w:val="0"/>
          <w:iCs w:val="0"/>
          <w:caps w:val="0"/>
          <w:smallCaps w:val="0"/>
          <w:noProof w:val="0"/>
          <w:color w:val="222222"/>
          <w:sz w:val="22"/>
          <w:szCs w:val="22"/>
          <w:lang w:val="en-GB"/>
        </w:rPr>
        <w:t>Saunders, M., et al., (2007) Research Methods for Business Students Fourth Edition.</w:t>
      </w:r>
    </w:p>
    <w:p w:rsidR="3B366774" w:rsidP="3B366774" w:rsidRDefault="3B366774" w14:paraId="0BCD1C46" w14:textId="4A1850A0">
      <w:pPr>
        <w:pStyle w:val="Normal"/>
        <w:bidi w:val="0"/>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w:rsidR="6D746E34" w:rsidP="3B366774" w:rsidRDefault="6D746E34" w14:paraId="5650B518" w14:textId="26C21C12">
      <w:pPr>
        <w:bidi w:val="0"/>
        <w:spacing w:before="0" w:beforeAutospacing="off" w:after="0" w:afterAutospacing="off"/>
        <w:jc w:val="both"/>
      </w:pPr>
      <w:r w:rsidRPr="3B366774" w:rsidR="6D746E34">
        <w:rPr>
          <w:rFonts w:ascii="Arial" w:hAnsi="Arial" w:eastAsia="Arial" w:cs="Arial"/>
          <w:noProof w:val="0"/>
          <w:sz w:val="22"/>
          <w:szCs w:val="22"/>
          <w:lang w:val="en-GB"/>
        </w:rPr>
        <w:t xml:space="preserve">Serfointein, E. and Govender, K.K. (2020) “Stakeholders’ views regarding macro-environment impacts on commercial flight operations in South Africa,” </w:t>
      </w:r>
      <w:r w:rsidRPr="3B366774" w:rsidR="6D746E34">
        <w:rPr>
          <w:rFonts w:ascii="Arial" w:hAnsi="Arial" w:eastAsia="Arial" w:cs="Arial"/>
          <w:i w:val="1"/>
          <w:iCs w:val="1"/>
          <w:noProof w:val="0"/>
          <w:sz w:val="22"/>
          <w:szCs w:val="22"/>
          <w:lang w:val="en-GB"/>
        </w:rPr>
        <w:t>Journal of transport and supply chain management</w:t>
      </w:r>
      <w:r w:rsidRPr="3B366774" w:rsidR="6D746E34">
        <w:rPr>
          <w:rFonts w:ascii="Arial" w:hAnsi="Arial" w:eastAsia="Arial" w:cs="Arial"/>
          <w:noProof w:val="0"/>
          <w:sz w:val="22"/>
          <w:szCs w:val="22"/>
          <w:lang w:val="en-GB"/>
        </w:rPr>
        <w:t xml:space="preserve">, 14(1), pp. 1–11. Available at: </w:t>
      </w:r>
      <w:hyperlink r:id="R4f88dbcd84374636">
        <w:r w:rsidRPr="3B366774" w:rsidR="6D746E34">
          <w:rPr>
            <w:rStyle w:val="Hyperlink"/>
            <w:rFonts w:ascii="Arial" w:hAnsi="Arial" w:eastAsia="Arial" w:cs="Arial"/>
            <w:noProof w:val="0"/>
            <w:sz w:val="22"/>
            <w:szCs w:val="22"/>
            <w:lang w:val="en-GB"/>
          </w:rPr>
          <w:t>https://doi.org/10.4102/jtscm.v14i0.511</w:t>
        </w:r>
      </w:hyperlink>
      <w:r w:rsidRPr="3B366774" w:rsidR="6D746E34">
        <w:rPr>
          <w:rFonts w:ascii="Arial" w:hAnsi="Arial" w:eastAsia="Arial" w:cs="Arial"/>
          <w:noProof w:val="0"/>
          <w:sz w:val="22"/>
          <w:szCs w:val="22"/>
          <w:lang w:val="en-GB"/>
        </w:rPr>
        <w:t>.</w:t>
      </w:r>
    </w:p>
    <w:p w:rsidR="3B366774" w:rsidP="3B366774" w:rsidRDefault="3B366774" w14:paraId="4EB563EB" w14:textId="2C8B35FE">
      <w:pPr>
        <w:pStyle w:val="Normal"/>
        <w:bidi w:val="0"/>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w:rsidR="6D746E34" w:rsidP="3B366774" w:rsidRDefault="6D746E34" w14:paraId="105157DA" w14:textId="53577BC6">
      <w:pPr>
        <w:bidi w:val="0"/>
        <w:spacing w:before="0" w:beforeAutospacing="off" w:after="0" w:afterAutospacing="off"/>
        <w:jc w:val="both"/>
      </w:pPr>
      <w:r w:rsidRPr="3B366774" w:rsidR="6D746E34">
        <w:rPr>
          <w:rFonts w:ascii="Arial" w:hAnsi="Arial" w:eastAsia="Arial" w:cs="Arial"/>
          <w:noProof w:val="0"/>
          <w:sz w:val="22"/>
          <w:szCs w:val="22"/>
          <w:lang w:val="en-GB"/>
        </w:rPr>
        <w:t xml:space="preserve">Sluss, D.M., Klimchak, </w:t>
      </w:r>
      <w:r w:rsidRPr="3B366774" w:rsidR="6D746E34">
        <w:rPr>
          <w:rFonts w:ascii="Arial" w:hAnsi="Arial" w:eastAsia="Arial" w:cs="Arial"/>
          <w:noProof w:val="0"/>
          <w:sz w:val="22"/>
          <w:szCs w:val="22"/>
          <w:lang w:val="en-GB"/>
        </w:rPr>
        <w:t>M.</w:t>
      </w:r>
      <w:r w:rsidRPr="3B366774" w:rsidR="6D746E34">
        <w:rPr>
          <w:rFonts w:ascii="Arial" w:hAnsi="Arial" w:eastAsia="Arial" w:cs="Arial"/>
          <w:noProof w:val="0"/>
          <w:sz w:val="22"/>
          <w:szCs w:val="22"/>
          <w:lang w:val="en-GB"/>
        </w:rPr>
        <w:t xml:space="preserve"> and Holmes, J.J. (2008) “Perceived </w:t>
      </w:r>
      <w:r w:rsidRPr="3B366774" w:rsidR="4E716085">
        <w:rPr>
          <w:rFonts w:ascii="Arial" w:hAnsi="Arial" w:eastAsia="Arial" w:cs="Arial"/>
          <w:noProof w:val="0"/>
          <w:sz w:val="22"/>
          <w:szCs w:val="22"/>
          <w:lang w:val="en-GB"/>
        </w:rPr>
        <w:t>organisation</w:t>
      </w:r>
      <w:r w:rsidRPr="3B366774" w:rsidR="6D746E34">
        <w:rPr>
          <w:rFonts w:ascii="Arial" w:hAnsi="Arial" w:eastAsia="Arial" w:cs="Arial"/>
          <w:noProof w:val="0"/>
          <w:sz w:val="22"/>
          <w:szCs w:val="22"/>
          <w:lang w:val="en-GB"/>
        </w:rPr>
        <w:t xml:space="preserve">al support as a mediator between relational exchange and </w:t>
      </w:r>
      <w:r w:rsidRPr="3B366774" w:rsidR="4E716085">
        <w:rPr>
          <w:rFonts w:ascii="Arial" w:hAnsi="Arial" w:eastAsia="Arial" w:cs="Arial"/>
          <w:noProof w:val="0"/>
          <w:sz w:val="22"/>
          <w:szCs w:val="22"/>
          <w:lang w:val="en-GB"/>
        </w:rPr>
        <w:t>organisation</w:t>
      </w:r>
      <w:r w:rsidRPr="3B366774" w:rsidR="6D746E34">
        <w:rPr>
          <w:rFonts w:ascii="Arial" w:hAnsi="Arial" w:eastAsia="Arial" w:cs="Arial"/>
          <w:noProof w:val="0"/>
          <w:sz w:val="22"/>
          <w:szCs w:val="22"/>
          <w:lang w:val="en-GB"/>
        </w:rPr>
        <w:t xml:space="preserve">al identification,” </w:t>
      </w:r>
      <w:r w:rsidRPr="3B366774" w:rsidR="6D746E34">
        <w:rPr>
          <w:rFonts w:ascii="Arial" w:hAnsi="Arial" w:eastAsia="Arial" w:cs="Arial"/>
          <w:i w:val="1"/>
          <w:iCs w:val="1"/>
          <w:noProof w:val="0"/>
          <w:sz w:val="22"/>
          <w:szCs w:val="22"/>
          <w:lang w:val="en-GB"/>
        </w:rPr>
        <w:t xml:space="preserve">Journal of vocational </w:t>
      </w:r>
      <w:r w:rsidRPr="3B366774" w:rsidR="6D746E34">
        <w:rPr>
          <w:rFonts w:ascii="Arial" w:hAnsi="Arial" w:eastAsia="Arial" w:cs="Arial"/>
          <w:i w:val="1"/>
          <w:iCs w:val="1"/>
          <w:noProof w:val="0"/>
          <w:sz w:val="22"/>
          <w:szCs w:val="22"/>
          <w:lang w:val="en-GB"/>
        </w:rPr>
        <w:t>behavior</w:t>
      </w:r>
      <w:r w:rsidRPr="3B366774" w:rsidR="6D746E34">
        <w:rPr>
          <w:rFonts w:ascii="Arial" w:hAnsi="Arial" w:eastAsia="Arial" w:cs="Arial"/>
          <w:noProof w:val="0"/>
          <w:sz w:val="22"/>
          <w:szCs w:val="22"/>
          <w:lang w:val="en-GB"/>
        </w:rPr>
        <w:t xml:space="preserve">, 73(3), pp. 457–464. Available at: </w:t>
      </w:r>
      <w:hyperlink r:id="R856503262aa5420c">
        <w:r w:rsidRPr="3B366774" w:rsidR="6D746E34">
          <w:rPr>
            <w:rStyle w:val="Hyperlink"/>
            <w:rFonts w:ascii="Arial" w:hAnsi="Arial" w:eastAsia="Arial" w:cs="Arial"/>
            <w:noProof w:val="0"/>
            <w:sz w:val="22"/>
            <w:szCs w:val="22"/>
            <w:lang w:val="en-GB"/>
          </w:rPr>
          <w:t>https://doi.org/10.1016/j.jvb.2008.09.001</w:t>
        </w:r>
      </w:hyperlink>
      <w:r w:rsidRPr="3B366774" w:rsidR="6D746E34">
        <w:rPr>
          <w:rFonts w:ascii="Arial" w:hAnsi="Arial" w:eastAsia="Arial" w:cs="Arial"/>
          <w:noProof w:val="0"/>
          <w:sz w:val="22"/>
          <w:szCs w:val="22"/>
          <w:lang w:val="en-GB"/>
        </w:rPr>
        <w:t>.</w:t>
      </w:r>
    </w:p>
    <w:p w:rsidR="3B366774" w:rsidP="3B366774" w:rsidRDefault="3B366774" w14:paraId="78F4E599" w14:textId="1889B06F">
      <w:pPr>
        <w:bidi w:val="0"/>
        <w:spacing w:before="0" w:beforeAutospacing="off" w:after="0" w:afterAutospacing="off"/>
        <w:jc w:val="both"/>
        <w:rPr>
          <w:rFonts w:ascii="Arial" w:hAnsi="Arial" w:eastAsia="Arial" w:cs="Arial"/>
          <w:noProof w:val="0"/>
          <w:sz w:val="22"/>
          <w:szCs w:val="22"/>
          <w:lang w:val="en-GB"/>
        </w:rPr>
      </w:pPr>
    </w:p>
    <w:p w:rsidR="6D746E34" w:rsidP="3B366774" w:rsidRDefault="6D746E34" w14:paraId="337CA7CF" w14:textId="024DB90A">
      <w:pPr>
        <w:bidi w:val="0"/>
        <w:spacing w:before="0" w:beforeAutospacing="off" w:after="0" w:afterAutospacing="off" w:line="360" w:lineRule="auto"/>
        <w:jc w:val="both"/>
        <w:rPr>
          <w:rFonts w:ascii="Arial" w:hAnsi="Arial" w:eastAsia="Arial" w:cs="Arial"/>
          <w:noProof w:val="0"/>
          <w:sz w:val="22"/>
          <w:szCs w:val="22"/>
          <w:lang w:val="en-GB"/>
        </w:rPr>
      </w:pPr>
      <w:r w:rsidRPr="3B366774" w:rsidR="6D746E34">
        <w:rPr>
          <w:rFonts w:ascii="Arial" w:hAnsi="Arial" w:eastAsia="Arial" w:cs="Arial"/>
          <w:noProof w:val="0"/>
          <w:sz w:val="22"/>
          <w:szCs w:val="22"/>
          <w:lang w:val="en-GB"/>
        </w:rPr>
        <w:t xml:space="preserve">Snyder, H. (2019) “Literature review as a research methodology: An overview and guidelines,” </w:t>
      </w:r>
      <w:r w:rsidRPr="3B366774" w:rsidR="6D746E34">
        <w:rPr>
          <w:rFonts w:ascii="Arial" w:hAnsi="Arial" w:eastAsia="Arial" w:cs="Arial"/>
          <w:i w:val="1"/>
          <w:iCs w:val="1"/>
          <w:noProof w:val="0"/>
          <w:sz w:val="22"/>
          <w:szCs w:val="22"/>
          <w:lang w:val="en-GB"/>
        </w:rPr>
        <w:t>Journal of business research</w:t>
      </w:r>
      <w:r w:rsidRPr="3B366774" w:rsidR="6D746E34">
        <w:rPr>
          <w:rFonts w:ascii="Arial" w:hAnsi="Arial" w:eastAsia="Arial" w:cs="Arial"/>
          <w:noProof w:val="0"/>
          <w:sz w:val="22"/>
          <w:szCs w:val="22"/>
          <w:lang w:val="en-GB"/>
        </w:rPr>
        <w:t xml:space="preserve">, 104, pp. 333–339. Available at: </w:t>
      </w:r>
      <w:hyperlink r:id="R2c4872e5c3d14881">
        <w:r w:rsidRPr="3B366774" w:rsidR="6D746E34">
          <w:rPr>
            <w:rStyle w:val="Hyperlink"/>
            <w:rFonts w:ascii="Arial" w:hAnsi="Arial" w:eastAsia="Arial" w:cs="Arial"/>
            <w:noProof w:val="0"/>
            <w:sz w:val="22"/>
            <w:szCs w:val="22"/>
            <w:lang w:val="en-GB"/>
          </w:rPr>
          <w:t>https://doi.org/10.1016/j.jbusres.2019.07.039</w:t>
        </w:r>
      </w:hyperlink>
      <w:r w:rsidRPr="3B366774" w:rsidR="6D746E34">
        <w:rPr>
          <w:rFonts w:ascii="Arial" w:hAnsi="Arial" w:eastAsia="Arial" w:cs="Arial"/>
          <w:noProof w:val="0"/>
          <w:sz w:val="22"/>
          <w:szCs w:val="22"/>
          <w:lang w:val="en-GB"/>
        </w:rPr>
        <w:t>.</w:t>
      </w:r>
    </w:p>
    <w:p w:rsidR="3B366774" w:rsidP="3B366774" w:rsidRDefault="3B366774" w14:paraId="7697288E" w14:textId="3D32C1B0">
      <w:pPr>
        <w:pStyle w:val="Normal"/>
        <w:bidi w:val="0"/>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w:rsidR="6D746E34" w:rsidP="3B366774" w:rsidRDefault="6D746E34" w14:paraId="5989EF51" w14:textId="1DD301CC">
      <w:pPr>
        <w:bidi w:val="0"/>
        <w:spacing w:before="0" w:beforeAutospacing="off" w:after="0" w:afterAutospacing="off"/>
        <w:jc w:val="both"/>
      </w:pPr>
      <w:r w:rsidRPr="3B366774" w:rsidR="6D746E34">
        <w:rPr>
          <w:rFonts w:ascii="Arial" w:hAnsi="Arial" w:eastAsia="Arial" w:cs="Arial"/>
          <w:noProof w:val="0"/>
          <w:sz w:val="22"/>
          <w:szCs w:val="22"/>
          <w:lang w:val="en-GB"/>
        </w:rPr>
        <w:t xml:space="preserve">Steen, R. </w:t>
      </w:r>
      <w:r w:rsidRPr="3B366774" w:rsidR="6D746E34">
        <w:rPr>
          <w:rFonts w:ascii="Arial" w:hAnsi="Arial" w:eastAsia="Arial" w:cs="Arial"/>
          <w:i w:val="1"/>
          <w:iCs w:val="1"/>
          <w:noProof w:val="0"/>
          <w:sz w:val="22"/>
          <w:szCs w:val="22"/>
          <w:lang w:val="en-GB"/>
        </w:rPr>
        <w:t>et al.</w:t>
      </w:r>
      <w:r w:rsidRPr="3B366774" w:rsidR="6D746E34">
        <w:rPr>
          <w:rFonts w:ascii="Arial" w:hAnsi="Arial" w:eastAsia="Arial" w:cs="Arial"/>
          <w:noProof w:val="0"/>
          <w:sz w:val="22"/>
          <w:szCs w:val="22"/>
          <w:lang w:val="en-GB"/>
        </w:rPr>
        <w:t xml:space="preserve"> (2024) “Dark knights: Exploring resilience and hidden workarounds in commercial aviation through mixed methods,” </w:t>
      </w:r>
      <w:r w:rsidRPr="3B366774" w:rsidR="6D746E34">
        <w:rPr>
          <w:rFonts w:ascii="Arial" w:hAnsi="Arial" w:eastAsia="Arial" w:cs="Arial"/>
          <w:i w:val="1"/>
          <w:iCs w:val="1"/>
          <w:noProof w:val="0"/>
          <w:sz w:val="22"/>
          <w:szCs w:val="22"/>
          <w:lang w:val="en-GB"/>
        </w:rPr>
        <w:t>Safety science</w:t>
      </w:r>
      <w:r w:rsidRPr="3B366774" w:rsidR="6D746E34">
        <w:rPr>
          <w:rFonts w:ascii="Arial" w:hAnsi="Arial" w:eastAsia="Arial" w:cs="Arial"/>
          <w:noProof w:val="0"/>
          <w:sz w:val="22"/>
          <w:szCs w:val="22"/>
          <w:lang w:val="en-GB"/>
        </w:rPr>
        <w:t xml:space="preserve">, 175. Available at: </w:t>
      </w:r>
      <w:hyperlink r:id="R557e103a574c45e3">
        <w:r w:rsidRPr="3B366774" w:rsidR="6D746E34">
          <w:rPr>
            <w:rStyle w:val="Hyperlink"/>
            <w:rFonts w:ascii="Arial" w:hAnsi="Arial" w:eastAsia="Arial" w:cs="Arial"/>
            <w:noProof w:val="0"/>
            <w:sz w:val="22"/>
            <w:szCs w:val="22"/>
            <w:lang w:val="en-GB"/>
          </w:rPr>
          <w:t>https://doi.org/10.1016/j.ssci.2024.106498</w:t>
        </w:r>
      </w:hyperlink>
      <w:r w:rsidRPr="3B366774" w:rsidR="6D746E34">
        <w:rPr>
          <w:rFonts w:ascii="Arial" w:hAnsi="Arial" w:eastAsia="Arial" w:cs="Arial"/>
          <w:noProof w:val="0"/>
          <w:sz w:val="22"/>
          <w:szCs w:val="22"/>
          <w:lang w:val="en-GB"/>
        </w:rPr>
        <w:t>.</w:t>
      </w:r>
    </w:p>
    <w:p w:rsidR="3B366774" w:rsidP="3B366774" w:rsidRDefault="3B366774" w14:paraId="65410D30" w14:textId="62AC11EA">
      <w:pPr>
        <w:pStyle w:val="Normal"/>
        <w:bidi w:val="0"/>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w:rsidR="6D746E34" w:rsidP="3B366774" w:rsidRDefault="6D746E34" w14:paraId="61BE5987" w14:textId="47E8C98A">
      <w:pPr>
        <w:bidi w:val="0"/>
        <w:spacing w:before="0" w:beforeAutospacing="off" w:after="0" w:afterAutospacing="off"/>
        <w:jc w:val="both"/>
      </w:pPr>
      <w:r w:rsidRPr="3B366774" w:rsidR="6D746E34">
        <w:rPr>
          <w:rFonts w:ascii="Arial" w:hAnsi="Arial" w:eastAsia="Arial" w:cs="Arial"/>
          <w:noProof w:val="0"/>
          <w:sz w:val="22"/>
          <w:szCs w:val="22"/>
          <w:lang w:val="en-GB"/>
        </w:rPr>
        <w:t xml:space="preserve">Su, S., Baird, K. and Munir, R. (2023) “Organisational resilience: the role of organisational culture from an organisational life cycle perspective,” </w:t>
      </w:r>
      <w:r w:rsidRPr="3B366774" w:rsidR="6D746E34">
        <w:rPr>
          <w:rFonts w:ascii="Arial" w:hAnsi="Arial" w:eastAsia="Arial" w:cs="Arial"/>
          <w:i w:val="1"/>
          <w:iCs w:val="1"/>
          <w:noProof w:val="0"/>
          <w:sz w:val="22"/>
          <w:szCs w:val="22"/>
          <w:lang w:val="en-GB"/>
        </w:rPr>
        <w:t>International journal of manpower</w:t>
      </w:r>
      <w:r w:rsidRPr="3B366774" w:rsidR="6D746E34">
        <w:rPr>
          <w:rFonts w:ascii="Arial" w:hAnsi="Arial" w:eastAsia="Arial" w:cs="Arial"/>
          <w:noProof w:val="0"/>
          <w:sz w:val="22"/>
          <w:szCs w:val="22"/>
          <w:lang w:val="en-GB"/>
        </w:rPr>
        <w:t xml:space="preserve">, 44(3), pp. 403–421. Available at: </w:t>
      </w:r>
      <w:hyperlink r:id="R69be014068244458">
        <w:r w:rsidRPr="3B366774" w:rsidR="6D746E34">
          <w:rPr>
            <w:rStyle w:val="Hyperlink"/>
            <w:rFonts w:ascii="Arial" w:hAnsi="Arial" w:eastAsia="Arial" w:cs="Arial"/>
            <w:noProof w:val="0"/>
            <w:sz w:val="22"/>
            <w:szCs w:val="22"/>
            <w:lang w:val="en-GB"/>
          </w:rPr>
          <w:t>https://doi.org/10.1108/IJM-11-2021-0631</w:t>
        </w:r>
      </w:hyperlink>
      <w:r w:rsidRPr="3B366774" w:rsidR="6D746E34">
        <w:rPr>
          <w:rFonts w:ascii="Arial" w:hAnsi="Arial" w:eastAsia="Arial" w:cs="Arial"/>
          <w:noProof w:val="0"/>
          <w:sz w:val="22"/>
          <w:szCs w:val="22"/>
          <w:lang w:val="en-GB"/>
        </w:rPr>
        <w:t>.</w:t>
      </w:r>
    </w:p>
    <w:p w:rsidR="3B366774" w:rsidP="3B366774" w:rsidRDefault="3B366774" w14:paraId="1C7CC972" w14:textId="65ABAC92">
      <w:pPr>
        <w:pStyle w:val="Normal"/>
        <w:bidi w:val="0"/>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w:rsidR="6D746E34" w:rsidP="3B366774" w:rsidRDefault="6D746E34" w14:paraId="00C696AA" w14:textId="0CC110D2">
      <w:pPr>
        <w:bidi w:val="0"/>
        <w:spacing w:before="0" w:beforeAutospacing="off" w:after="0" w:afterAutospacing="off"/>
        <w:jc w:val="both"/>
      </w:pPr>
      <w:r w:rsidRPr="3B366774" w:rsidR="6D746E34">
        <w:rPr>
          <w:rFonts w:ascii="Arial" w:hAnsi="Arial" w:eastAsia="Arial" w:cs="Arial"/>
          <w:noProof w:val="0"/>
          <w:sz w:val="22"/>
          <w:szCs w:val="22"/>
          <w:lang w:val="en-GB"/>
        </w:rPr>
        <w:t xml:space="preserve">Tej, J. </w:t>
      </w:r>
      <w:r w:rsidRPr="3B366774" w:rsidR="6D746E34">
        <w:rPr>
          <w:rFonts w:ascii="Arial" w:hAnsi="Arial" w:eastAsia="Arial" w:cs="Arial"/>
          <w:i w:val="1"/>
          <w:iCs w:val="1"/>
          <w:noProof w:val="0"/>
          <w:sz w:val="22"/>
          <w:szCs w:val="22"/>
          <w:lang w:val="en-GB"/>
        </w:rPr>
        <w:t>et al.</w:t>
      </w:r>
      <w:r w:rsidRPr="3B366774" w:rsidR="6D746E34">
        <w:rPr>
          <w:rFonts w:ascii="Arial" w:hAnsi="Arial" w:eastAsia="Arial" w:cs="Arial"/>
          <w:noProof w:val="0"/>
          <w:sz w:val="22"/>
          <w:szCs w:val="22"/>
          <w:lang w:val="en-GB"/>
        </w:rPr>
        <w:t xml:space="preserve"> (2021) “Examining HRM Practices in Relation to the Retention and Commitment of Talented Employees,” </w:t>
      </w:r>
      <w:r w:rsidRPr="3B366774" w:rsidR="6D746E34">
        <w:rPr>
          <w:rFonts w:ascii="Arial" w:hAnsi="Arial" w:eastAsia="Arial" w:cs="Arial"/>
          <w:i w:val="1"/>
          <w:iCs w:val="1"/>
          <w:noProof w:val="0"/>
          <w:sz w:val="22"/>
          <w:szCs w:val="22"/>
          <w:lang w:val="en-GB"/>
        </w:rPr>
        <w:t>Sustainability</w:t>
      </w:r>
      <w:r w:rsidRPr="3B366774" w:rsidR="6D746E34">
        <w:rPr>
          <w:rFonts w:ascii="Arial" w:hAnsi="Arial" w:eastAsia="Arial" w:cs="Arial"/>
          <w:noProof w:val="0"/>
          <w:sz w:val="22"/>
          <w:szCs w:val="22"/>
          <w:lang w:val="en-GB"/>
        </w:rPr>
        <w:t xml:space="preserve">, 13(24), p. 13923. Available at: </w:t>
      </w:r>
      <w:hyperlink r:id="Recfc0b0b9fbe4931">
        <w:r w:rsidRPr="3B366774" w:rsidR="6D746E34">
          <w:rPr>
            <w:rStyle w:val="Hyperlink"/>
            <w:rFonts w:ascii="Arial" w:hAnsi="Arial" w:eastAsia="Arial" w:cs="Arial"/>
            <w:noProof w:val="0"/>
            <w:sz w:val="22"/>
            <w:szCs w:val="22"/>
            <w:lang w:val="en-GB"/>
          </w:rPr>
          <w:t>https://doi.org/10.3390/su132413923</w:t>
        </w:r>
      </w:hyperlink>
      <w:r w:rsidRPr="3B366774" w:rsidR="6D746E34">
        <w:rPr>
          <w:rFonts w:ascii="Arial" w:hAnsi="Arial" w:eastAsia="Arial" w:cs="Arial"/>
          <w:noProof w:val="0"/>
          <w:sz w:val="22"/>
          <w:szCs w:val="22"/>
          <w:lang w:val="en-GB"/>
        </w:rPr>
        <w:t>.</w:t>
      </w:r>
    </w:p>
    <w:p w:rsidR="3B366774" w:rsidP="3B366774" w:rsidRDefault="3B366774" w14:paraId="3DC70DDC" w14:textId="4D97C4BA">
      <w:pPr>
        <w:bidi w:val="0"/>
        <w:spacing w:before="0" w:beforeAutospacing="off" w:after="0" w:afterAutospacing="off" w:line="360" w:lineRule="auto"/>
        <w:jc w:val="both"/>
        <w:rPr>
          <w:rFonts w:ascii="Arial" w:hAnsi="Arial" w:eastAsia="Arial" w:cs="Arial"/>
          <w:noProof w:val="0"/>
          <w:sz w:val="22"/>
          <w:szCs w:val="22"/>
          <w:lang w:val="en-GB"/>
        </w:rPr>
      </w:pPr>
    </w:p>
    <w:p w:rsidR="3CFF5116" w:rsidP="3B366774" w:rsidRDefault="3CFF5116" w14:paraId="66A42349" w14:textId="57FE4C1B">
      <w:pPr>
        <w:bidi w:val="0"/>
        <w:spacing w:before="0" w:beforeAutospacing="off" w:after="0" w:afterAutospacing="off" w:line="360" w:lineRule="auto"/>
        <w:jc w:val="both"/>
        <w:rPr>
          <w:rFonts w:ascii="Arial" w:hAnsi="Arial" w:eastAsia="Arial" w:cs="Arial"/>
          <w:noProof w:val="0"/>
          <w:sz w:val="22"/>
          <w:szCs w:val="22"/>
          <w:lang w:val="en-GB"/>
        </w:rPr>
      </w:pPr>
      <w:r w:rsidRPr="3B366774" w:rsidR="3CFF5116">
        <w:rPr>
          <w:rFonts w:ascii="Arial" w:hAnsi="Arial" w:eastAsia="Arial" w:cs="Arial"/>
          <w:noProof w:val="0"/>
          <w:sz w:val="22"/>
          <w:szCs w:val="22"/>
          <w:lang w:val="en-GB"/>
        </w:rPr>
        <w:t xml:space="preserve">Thompson, P. (2011) “The trouble with HRM,” </w:t>
      </w:r>
      <w:r w:rsidRPr="3B366774" w:rsidR="3CFF5116">
        <w:rPr>
          <w:rFonts w:ascii="Arial" w:hAnsi="Arial" w:eastAsia="Arial" w:cs="Arial"/>
          <w:i w:val="1"/>
          <w:iCs w:val="1"/>
          <w:noProof w:val="0"/>
          <w:sz w:val="22"/>
          <w:szCs w:val="22"/>
          <w:lang w:val="en-GB"/>
        </w:rPr>
        <w:t>Human resource management journal</w:t>
      </w:r>
      <w:r w:rsidRPr="3B366774" w:rsidR="3CFF5116">
        <w:rPr>
          <w:rFonts w:ascii="Arial" w:hAnsi="Arial" w:eastAsia="Arial" w:cs="Arial"/>
          <w:noProof w:val="0"/>
          <w:sz w:val="22"/>
          <w:szCs w:val="22"/>
          <w:lang w:val="en-GB"/>
        </w:rPr>
        <w:t xml:space="preserve">, 21(4), pp. 355–367. Available at: </w:t>
      </w:r>
      <w:hyperlink r:id="R78557b7e3d894aae">
        <w:r w:rsidRPr="3B366774" w:rsidR="3CFF5116">
          <w:rPr>
            <w:rStyle w:val="Hyperlink"/>
            <w:rFonts w:ascii="Arial" w:hAnsi="Arial" w:eastAsia="Arial" w:cs="Arial"/>
            <w:noProof w:val="0"/>
            <w:sz w:val="22"/>
            <w:szCs w:val="22"/>
            <w:lang w:val="en-GB"/>
          </w:rPr>
          <w:t>https://doi.org/10.1111/j.1748-8583.2011.00180.x</w:t>
        </w:r>
      </w:hyperlink>
      <w:r w:rsidRPr="3B366774" w:rsidR="3CFF5116">
        <w:rPr>
          <w:rFonts w:ascii="Arial" w:hAnsi="Arial" w:eastAsia="Arial" w:cs="Arial"/>
          <w:noProof w:val="0"/>
          <w:sz w:val="22"/>
          <w:szCs w:val="22"/>
          <w:lang w:val="en-GB"/>
        </w:rPr>
        <w:t>.</w:t>
      </w:r>
    </w:p>
    <w:p w:rsidR="034594A6" w:rsidP="3B366774" w:rsidRDefault="034594A6" w14:paraId="23D4DCBF" w14:textId="3D490263">
      <w:pPr>
        <w:pStyle w:val="Normal"/>
        <w:bidi w:val="0"/>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w:rsidR="7FD983E1" w:rsidP="3B366774" w:rsidRDefault="7FD983E1" w14:paraId="28CBD388" w14:textId="292BAA7D">
      <w:pPr>
        <w:bidi w:val="0"/>
        <w:spacing w:before="0" w:beforeAutospacing="off" w:after="0" w:afterAutospacing="off" w:line="360" w:lineRule="auto"/>
        <w:jc w:val="both"/>
        <w:rPr>
          <w:rFonts w:ascii="Arial" w:hAnsi="Arial" w:eastAsia="Arial" w:cs="Arial"/>
          <w:noProof w:val="0"/>
          <w:sz w:val="22"/>
          <w:szCs w:val="22"/>
          <w:lang w:val="en-GB"/>
        </w:rPr>
      </w:pPr>
      <w:r w:rsidRPr="3B366774" w:rsidR="7FD983E1">
        <w:rPr>
          <w:rFonts w:ascii="Arial" w:hAnsi="Arial" w:eastAsia="Arial" w:cs="Arial"/>
          <w:noProof w:val="0"/>
          <w:sz w:val="22"/>
          <w:szCs w:val="22"/>
          <w:lang w:val="en-GB"/>
        </w:rPr>
        <w:t xml:space="preserve">Uddin, N. and Hossain, F. (2015) “Evolution of Modern Management through Taylorism: An Adjustment of Scientific Management Comprising Behavioral Science,” </w:t>
      </w:r>
      <w:r w:rsidRPr="3B366774" w:rsidR="7FD983E1">
        <w:rPr>
          <w:rFonts w:ascii="Arial" w:hAnsi="Arial" w:eastAsia="Arial" w:cs="Arial"/>
          <w:i w:val="1"/>
          <w:iCs w:val="1"/>
          <w:noProof w:val="0"/>
          <w:sz w:val="22"/>
          <w:szCs w:val="22"/>
          <w:lang w:val="en-GB"/>
        </w:rPr>
        <w:t>Procedia computer science</w:t>
      </w:r>
      <w:r w:rsidRPr="3B366774" w:rsidR="7FD983E1">
        <w:rPr>
          <w:rFonts w:ascii="Arial" w:hAnsi="Arial" w:eastAsia="Arial" w:cs="Arial"/>
          <w:noProof w:val="0"/>
          <w:sz w:val="22"/>
          <w:szCs w:val="22"/>
          <w:lang w:val="en-GB"/>
        </w:rPr>
        <w:t xml:space="preserve">, 62, pp. 578–584. Available at: </w:t>
      </w:r>
      <w:hyperlink r:id="R8f9009a48f304d57">
        <w:r w:rsidRPr="3B366774" w:rsidR="7FD983E1">
          <w:rPr>
            <w:rStyle w:val="Hyperlink"/>
            <w:rFonts w:ascii="Arial" w:hAnsi="Arial" w:eastAsia="Arial" w:cs="Arial"/>
            <w:noProof w:val="0"/>
            <w:sz w:val="22"/>
            <w:szCs w:val="22"/>
            <w:lang w:val="en-GB"/>
          </w:rPr>
          <w:t>https://doi.org/10.1016/j.procs.2015.08.537</w:t>
        </w:r>
      </w:hyperlink>
      <w:r w:rsidRPr="3B366774" w:rsidR="7FD983E1">
        <w:rPr>
          <w:rFonts w:ascii="Arial" w:hAnsi="Arial" w:eastAsia="Arial" w:cs="Arial"/>
          <w:noProof w:val="0"/>
          <w:sz w:val="22"/>
          <w:szCs w:val="22"/>
          <w:lang w:val="en-GB"/>
        </w:rPr>
        <w:t>.</w:t>
      </w:r>
    </w:p>
    <w:p w:rsidR="243BEF60" w:rsidP="3B366774" w:rsidRDefault="243BEF60" w14:paraId="5C67A17B" w14:textId="7AF4E5C9">
      <w:pPr>
        <w:bidi w:val="0"/>
        <w:spacing w:before="0" w:beforeAutospacing="off" w:after="0" w:afterAutospacing="off" w:line="360" w:lineRule="auto"/>
        <w:jc w:val="both"/>
        <w:rPr>
          <w:rFonts w:ascii="Arial" w:hAnsi="Arial" w:eastAsia="Arial" w:cs="Arial"/>
          <w:noProof w:val="0"/>
          <w:sz w:val="22"/>
          <w:szCs w:val="22"/>
          <w:lang w:val="en-GB"/>
        </w:rPr>
      </w:pPr>
    </w:p>
    <w:p w:rsidR="243BEF60" w:rsidP="3B366774" w:rsidRDefault="243BEF60" w14:paraId="03D8D69F" w14:textId="3CB5BCF8">
      <w:pPr>
        <w:bidi w:val="0"/>
        <w:spacing w:before="0" w:beforeAutospacing="off" w:after="0" w:afterAutospacing="off"/>
        <w:jc w:val="both"/>
      </w:pPr>
      <w:r w:rsidRPr="3B366774" w:rsidR="1C81BA86">
        <w:rPr>
          <w:rFonts w:ascii="Arial" w:hAnsi="Arial" w:eastAsia="Arial" w:cs="Arial"/>
          <w:noProof w:val="0"/>
          <w:sz w:val="22"/>
          <w:szCs w:val="22"/>
          <w:lang w:val="en-GB"/>
        </w:rPr>
        <w:t xml:space="preserve">Urbini, F. </w:t>
      </w:r>
      <w:r w:rsidRPr="3B366774" w:rsidR="1C81BA86">
        <w:rPr>
          <w:rFonts w:ascii="Arial" w:hAnsi="Arial" w:eastAsia="Arial" w:cs="Arial"/>
          <w:i w:val="1"/>
          <w:iCs w:val="1"/>
          <w:noProof w:val="0"/>
          <w:sz w:val="22"/>
          <w:szCs w:val="22"/>
          <w:lang w:val="en-GB"/>
        </w:rPr>
        <w:t>et al.</w:t>
      </w:r>
      <w:r w:rsidRPr="3B366774" w:rsidR="1C81BA86">
        <w:rPr>
          <w:rFonts w:ascii="Arial" w:hAnsi="Arial" w:eastAsia="Arial" w:cs="Arial"/>
          <w:noProof w:val="0"/>
          <w:sz w:val="22"/>
          <w:szCs w:val="22"/>
          <w:lang w:val="en-GB"/>
        </w:rPr>
        <w:t xml:space="preserve"> (2021) “HRM Practices and Work Engagement Relationship: Differences Concerning Individual Adaptability,” </w:t>
      </w:r>
      <w:r w:rsidRPr="3B366774" w:rsidR="1C81BA86">
        <w:rPr>
          <w:rFonts w:ascii="Arial" w:hAnsi="Arial" w:eastAsia="Arial" w:cs="Arial"/>
          <w:i w:val="1"/>
          <w:iCs w:val="1"/>
          <w:noProof w:val="0"/>
          <w:sz w:val="22"/>
          <w:szCs w:val="22"/>
          <w:lang w:val="en-GB"/>
        </w:rPr>
        <w:t>Sustainability</w:t>
      </w:r>
      <w:r w:rsidRPr="3B366774" w:rsidR="1C81BA86">
        <w:rPr>
          <w:rFonts w:ascii="Arial" w:hAnsi="Arial" w:eastAsia="Arial" w:cs="Arial"/>
          <w:noProof w:val="0"/>
          <w:sz w:val="22"/>
          <w:szCs w:val="22"/>
          <w:lang w:val="en-GB"/>
        </w:rPr>
        <w:t xml:space="preserve">, 13(19), p. 10666. Available at: </w:t>
      </w:r>
      <w:hyperlink r:id="R148470c6d1224a8c">
        <w:r w:rsidRPr="3B366774" w:rsidR="1C81BA86">
          <w:rPr>
            <w:rStyle w:val="Hyperlink"/>
            <w:rFonts w:ascii="Arial" w:hAnsi="Arial" w:eastAsia="Arial" w:cs="Arial"/>
            <w:noProof w:val="0"/>
            <w:sz w:val="22"/>
            <w:szCs w:val="22"/>
            <w:lang w:val="en-GB"/>
          </w:rPr>
          <w:t>https://doi.org/10.3390/su131910666</w:t>
        </w:r>
      </w:hyperlink>
      <w:r w:rsidRPr="3B366774" w:rsidR="1C81BA86">
        <w:rPr>
          <w:rFonts w:ascii="Arial" w:hAnsi="Arial" w:eastAsia="Arial" w:cs="Arial"/>
          <w:noProof w:val="0"/>
          <w:sz w:val="22"/>
          <w:szCs w:val="22"/>
          <w:lang w:val="en-GB"/>
        </w:rPr>
        <w:t>.</w:t>
      </w:r>
    </w:p>
    <w:p w:rsidR="243BEF60" w:rsidP="3B366774" w:rsidRDefault="243BEF60" w14:paraId="3025012B" w14:textId="3BAFDC23">
      <w:pPr>
        <w:bidi w:val="0"/>
        <w:spacing w:before="0" w:beforeAutospacing="off" w:after="0" w:afterAutospacing="off" w:line="360" w:lineRule="auto"/>
        <w:jc w:val="both"/>
        <w:rPr>
          <w:rFonts w:ascii="Arial" w:hAnsi="Arial" w:eastAsia="Arial" w:cs="Arial"/>
          <w:noProof w:val="0"/>
          <w:sz w:val="22"/>
          <w:szCs w:val="22"/>
          <w:lang w:val="en-GB"/>
        </w:rPr>
      </w:pPr>
    </w:p>
    <w:p w:rsidR="243BEF60" w:rsidP="3B366774" w:rsidRDefault="243BEF60" w14:paraId="66469920" w14:textId="787E8D12">
      <w:pPr>
        <w:bidi w:val="0"/>
        <w:spacing w:before="0" w:beforeAutospacing="off" w:after="0" w:afterAutospacing="off"/>
        <w:jc w:val="both"/>
      </w:pPr>
      <w:r w:rsidRPr="3B366774" w:rsidR="1C81BA86">
        <w:rPr>
          <w:rFonts w:ascii="Arial" w:hAnsi="Arial" w:eastAsia="Arial" w:cs="Arial"/>
          <w:noProof w:val="0"/>
          <w:sz w:val="22"/>
          <w:szCs w:val="22"/>
          <w:lang w:val="en-GB"/>
        </w:rPr>
        <w:t xml:space="preserve">Vu, T.-V. (2022) “Perceived socially responsible HRM, employee </w:t>
      </w:r>
      <w:r w:rsidRPr="3B366774" w:rsidR="4E716085">
        <w:rPr>
          <w:rFonts w:ascii="Arial" w:hAnsi="Arial" w:eastAsia="Arial" w:cs="Arial"/>
          <w:noProof w:val="0"/>
          <w:sz w:val="22"/>
          <w:szCs w:val="22"/>
          <w:lang w:val="en-GB"/>
        </w:rPr>
        <w:t>organisation</w:t>
      </w:r>
      <w:r w:rsidRPr="3B366774" w:rsidR="1C81BA86">
        <w:rPr>
          <w:rFonts w:ascii="Arial" w:hAnsi="Arial" w:eastAsia="Arial" w:cs="Arial"/>
          <w:noProof w:val="0"/>
          <w:sz w:val="22"/>
          <w:szCs w:val="22"/>
          <w:lang w:val="en-GB"/>
        </w:rPr>
        <w:t xml:space="preserve">al identification, and job performance: the moderating effect of perceived </w:t>
      </w:r>
      <w:r w:rsidRPr="3B366774" w:rsidR="4E716085">
        <w:rPr>
          <w:rFonts w:ascii="Arial" w:hAnsi="Arial" w:eastAsia="Arial" w:cs="Arial"/>
          <w:noProof w:val="0"/>
          <w:sz w:val="22"/>
          <w:szCs w:val="22"/>
          <w:lang w:val="en-GB"/>
        </w:rPr>
        <w:t>organisation</w:t>
      </w:r>
      <w:r w:rsidRPr="3B366774" w:rsidR="1C81BA86">
        <w:rPr>
          <w:rFonts w:ascii="Arial" w:hAnsi="Arial" w:eastAsia="Arial" w:cs="Arial"/>
          <w:noProof w:val="0"/>
          <w:sz w:val="22"/>
          <w:szCs w:val="22"/>
          <w:lang w:val="en-GB"/>
        </w:rPr>
        <w:t xml:space="preserve">al response to a global crisis,” </w:t>
      </w:r>
      <w:r w:rsidRPr="3B366774" w:rsidR="1C81BA86">
        <w:rPr>
          <w:rFonts w:ascii="Arial" w:hAnsi="Arial" w:eastAsia="Arial" w:cs="Arial"/>
          <w:i w:val="1"/>
          <w:iCs w:val="1"/>
          <w:noProof w:val="0"/>
          <w:sz w:val="22"/>
          <w:szCs w:val="22"/>
          <w:lang w:val="en-GB"/>
        </w:rPr>
        <w:t>Heliyon</w:t>
      </w:r>
      <w:r w:rsidRPr="3B366774" w:rsidR="1C81BA86">
        <w:rPr>
          <w:rFonts w:ascii="Arial" w:hAnsi="Arial" w:eastAsia="Arial" w:cs="Arial"/>
          <w:noProof w:val="0"/>
          <w:sz w:val="22"/>
          <w:szCs w:val="22"/>
          <w:lang w:val="en-GB"/>
        </w:rPr>
        <w:t xml:space="preserve">, 8(11). Available at: </w:t>
      </w:r>
      <w:hyperlink r:id="R27e3080563f744dc">
        <w:r w:rsidRPr="3B366774" w:rsidR="1C81BA86">
          <w:rPr>
            <w:rStyle w:val="Hyperlink"/>
            <w:rFonts w:ascii="Arial" w:hAnsi="Arial" w:eastAsia="Arial" w:cs="Arial"/>
            <w:noProof w:val="0"/>
            <w:sz w:val="22"/>
            <w:szCs w:val="22"/>
            <w:lang w:val="en-GB"/>
          </w:rPr>
          <w:t>https://doi.org/10.1016/j.heliyon.2022.e11563</w:t>
        </w:r>
      </w:hyperlink>
      <w:r w:rsidRPr="3B366774" w:rsidR="1C81BA86">
        <w:rPr>
          <w:rFonts w:ascii="Arial" w:hAnsi="Arial" w:eastAsia="Arial" w:cs="Arial"/>
          <w:noProof w:val="0"/>
          <w:sz w:val="22"/>
          <w:szCs w:val="22"/>
          <w:lang w:val="en-GB"/>
        </w:rPr>
        <w:t>.</w:t>
      </w:r>
    </w:p>
    <w:p w:rsidR="243BEF60" w:rsidP="3B366774" w:rsidRDefault="243BEF60" w14:paraId="15D6191B" w14:textId="680DD004">
      <w:pPr>
        <w:pStyle w:val="Normal"/>
        <w:bidi w:val="0"/>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C81BA86" w:rsidP="3B366774" w:rsidRDefault="1C81BA86" w14:paraId="1FE84640" w14:textId="1E2FACF8">
      <w:pPr>
        <w:bidi w:val="0"/>
        <w:spacing w:before="0" w:beforeAutospacing="off" w:after="0" w:afterAutospacing="off"/>
        <w:jc w:val="both"/>
      </w:pPr>
      <w:r w:rsidRPr="3B366774" w:rsidR="1C81BA86">
        <w:rPr>
          <w:rFonts w:ascii="Arial" w:hAnsi="Arial" w:eastAsia="Arial" w:cs="Arial"/>
          <w:noProof w:val="0"/>
          <w:sz w:val="22"/>
          <w:szCs w:val="22"/>
          <w:lang w:val="en-GB"/>
        </w:rPr>
        <w:t xml:space="preserve">Walthall, H. </w:t>
      </w:r>
      <w:r w:rsidRPr="3B366774" w:rsidR="1C81BA86">
        <w:rPr>
          <w:rFonts w:ascii="Arial" w:hAnsi="Arial" w:eastAsia="Arial" w:cs="Arial"/>
          <w:i w:val="1"/>
          <w:iCs w:val="1"/>
          <w:noProof w:val="0"/>
          <w:sz w:val="22"/>
          <w:szCs w:val="22"/>
          <w:lang w:val="en-GB"/>
        </w:rPr>
        <w:t>et al.</w:t>
      </w:r>
      <w:r w:rsidRPr="3B366774" w:rsidR="1C81BA86">
        <w:rPr>
          <w:rFonts w:ascii="Arial" w:hAnsi="Arial" w:eastAsia="Arial" w:cs="Arial"/>
          <w:noProof w:val="0"/>
          <w:sz w:val="22"/>
          <w:szCs w:val="22"/>
          <w:lang w:val="en-GB"/>
        </w:rPr>
        <w:t xml:space="preserve"> (2022) “Patients′ and clinicians′ experiences of remote consultation? A narrative synthesis,” </w:t>
      </w:r>
      <w:r w:rsidRPr="3B366774" w:rsidR="1C81BA86">
        <w:rPr>
          <w:rFonts w:ascii="Arial" w:hAnsi="Arial" w:eastAsia="Arial" w:cs="Arial"/>
          <w:i w:val="1"/>
          <w:iCs w:val="1"/>
          <w:noProof w:val="0"/>
          <w:sz w:val="22"/>
          <w:szCs w:val="22"/>
          <w:lang w:val="en-GB"/>
        </w:rPr>
        <w:t>Journal of advanced nursing</w:t>
      </w:r>
      <w:r w:rsidRPr="3B366774" w:rsidR="1C81BA86">
        <w:rPr>
          <w:rFonts w:ascii="Arial" w:hAnsi="Arial" w:eastAsia="Arial" w:cs="Arial"/>
          <w:noProof w:val="0"/>
          <w:sz w:val="22"/>
          <w:szCs w:val="22"/>
          <w:lang w:val="en-GB"/>
        </w:rPr>
        <w:t xml:space="preserve">, 78(7), pp. 1954–1967. Available at: </w:t>
      </w:r>
      <w:hyperlink r:id="R58e1e8b3099f4e0c">
        <w:r w:rsidRPr="3B366774" w:rsidR="1C81BA86">
          <w:rPr>
            <w:rStyle w:val="Hyperlink"/>
            <w:rFonts w:ascii="Arial" w:hAnsi="Arial" w:eastAsia="Arial" w:cs="Arial"/>
            <w:noProof w:val="0"/>
            <w:sz w:val="22"/>
            <w:szCs w:val="22"/>
            <w:lang w:val="en-GB"/>
          </w:rPr>
          <w:t>https://doi.org/10.1111/jan.15230</w:t>
        </w:r>
      </w:hyperlink>
      <w:r w:rsidRPr="3B366774" w:rsidR="1C81BA86">
        <w:rPr>
          <w:rFonts w:ascii="Arial" w:hAnsi="Arial" w:eastAsia="Arial" w:cs="Arial"/>
          <w:noProof w:val="0"/>
          <w:sz w:val="22"/>
          <w:szCs w:val="22"/>
          <w:lang w:val="en-GB"/>
        </w:rPr>
        <w:t>.</w:t>
      </w:r>
    </w:p>
    <w:p w:rsidR="3B366774" w:rsidP="3B366774" w:rsidRDefault="3B366774" w14:paraId="1D0E97D5" w14:textId="7CA6DA47">
      <w:pPr>
        <w:pStyle w:val="Normal"/>
        <w:bidi w:val="0"/>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C81BA86" w:rsidP="3B366774" w:rsidRDefault="1C81BA86" w14:paraId="75CF2BE4" w14:textId="6777E8FB">
      <w:pPr>
        <w:bidi w:val="0"/>
        <w:spacing w:before="0" w:beforeAutospacing="off" w:after="0" w:afterAutospacing="off"/>
        <w:jc w:val="both"/>
      </w:pPr>
      <w:r w:rsidRPr="3B366774" w:rsidR="1C81BA86">
        <w:rPr>
          <w:rFonts w:ascii="Arial" w:hAnsi="Arial" w:eastAsia="Arial" w:cs="Arial"/>
          <w:noProof w:val="0"/>
          <w:sz w:val="22"/>
          <w:szCs w:val="22"/>
          <w:lang w:val="en-GB"/>
        </w:rPr>
        <w:t xml:space="preserve">Wikström, E. </w:t>
      </w:r>
      <w:r w:rsidRPr="3B366774" w:rsidR="1C81BA86">
        <w:rPr>
          <w:rFonts w:ascii="Arial" w:hAnsi="Arial" w:eastAsia="Arial" w:cs="Arial"/>
          <w:i w:val="1"/>
          <w:iCs w:val="1"/>
          <w:noProof w:val="0"/>
          <w:sz w:val="22"/>
          <w:szCs w:val="22"/>
          <w:lang w:val="en-GB"/>
        </w:rPr>
        <w:t>et al.</w:t>
      </w:r>
      <w:r w:rsidRPr="3B366774" w:rsidR="1C81BA86">
        <w:rPr>
          <w:rFonts w:ascii="Arial" w:hAnsi="Arial" w:eastAsia="Arial" w:cs="Arial"/>
          <w:noProof w:val="0"/>
          <w:sz w:val="22"/>
          <w:szCs w:val="22"/>
          <w:lang w:val="en-GB"/>
        </w:rPr>
        <w:t xml:space="preserve"> (2023) “Mentoring programmes – building capacity for learning and retaining workers in the workplace,” </w:t>
      </w:r>
      <w:r w:rsidRPr="3B366774" w:rsidR="1C81BA86">
        <w:rPr>
          <w:rFonts w:ascii="Arial" w:hAnsi="Arial" w:eastAsia="Arial" w:cs="Arial"/>
          <w:i w:val="1"/>
          <w:iCs w:val="1"/>
          <w:noProof w:val="0"/>
          <w:sz w:val="22"/>
          <w:szCs w:val="22"/>
          <w:lang w:val="en-GB"/>
        </w:rPr>
        <w:t>The journal of workplace learning</w:t>
      </w:r>
      <w:r w:rsidRPr="3B366774" w:rsidR="1C81BA86">
        <w:rPr>
          <w:rFonts w:ascii="Arial" w:hAnsi="Arial" w:eastAsia="Arial" w:cs="Arial"/>
          <w:noProof w:val="0"/>
          <w:sz w:val="22"/>
          <w:szCs w:val="22"/>
          <w:lang w:val="en-GB"/>
        </w:rPr>
        <w:t xml:space="preserve">, 35(8), pp. 732–751. Available at: </w:t>
      </w:r>
      <w:hyperlink r:id="Rde10b439f5184482">
        <w:r w:rsidRPr="3B366774" w:rsidR="1C81BA86">
          <w:rPr>
            <w:rStyle w:val="Hyperlink"/>
            <w:rFonts w:ascii="Arial" w:hAnsi="Arial" w:eastAsia="Arial" w:cs="Arial"/>
            <w:noProof w:val="0"/>
            <w:sz w:val="22"/>
            <w:szCs w:val="22"/>
            <w:lang w:val="en-GB"/>
          </w:rPr>
          <w:t>https://doi.org/10.1108/JWL-01-2023-0003</w:t>
        </w:r>
      </w:hyperlink>
      <w:r w:rsidRPr="3B366774" w:rsidR="1C81BA86">
        <w:rPr>
          <w:rFonts w:ascii="Arial" w:hAnsi="Arial" w:eastAsia="Arial" w:cs="Arial"/>
          <w:noProof w:val="0"/>
          <w:sz w:val="22"/>
          <w:szCs w:val="22"/>
          <w:lang w:val="en-GB"/>
        </w:rPr>
        <w:t>.</w:t>
      </w:r>
    </w:p>
    <w:p w:rsidR="3B366774" w:rsidP="3B366774" w:rsidRDefault="3B366774" w14:paraId="4BE107A0" w14:textId="7A9100F0">
      <w:pPr>
        <w:pStyle w:val="Normal"/>
        <w:bidi w:val="0"/>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C81BA86" w:rsidP="3B366774" w:rsidRDefault="1C81BA86" w14:paraId="3A84477F" w14:textId="2CD38F97">
      <w:pPr>
        <w:bidi w:val="0"/>
        <w:spacing w:before="0" w:beforeAutospacing="off" w:after="0" w:afterAutospacing="off"/>
        <w:jc w:val="both"/>
      </w:pPr>
      <w:r w:rsidRPr="3B366774" w:rsidR="1C81BA86">
        <w:rPr>
          <w:rFonts w:ascii="Arial" w:hAnsi="Arial" w:eastAsia="Arial" w:cs="Arial"/>
          <w:noProof w:val="0"/>
          <w:sz w:val="22"/>
          <w:szCs w:val="22"/>
          <w:lang w:val="en-GB"/>
        </w:rPr>
        <w:t xml:space="preserve">Yaşar Dinçer, F.C. and Yirmibeşoğlu, G. (2024) “Constraints on women pilots in airline industry: A rising sector of international trade,” </w:t>
      </w:r>
      <w:r w:rsidRPr="3B366774" w:rsidR="1C81BA86">
        <w:rPr>
          <w:rFonts w:ascii="Arial" w:hAnsi="Arial" w:eastAsia="Arial" w:cs="Arial"/>
          <w:i w:val="1"/>
          <w:iCs w:val="1"/>
          <w:noProof w:val="0"/>
          <w:sz w:val="22"/>
          <w:szCs w:val="22"/>
          <w:lang w:val="en-GB"/>
        </w:rPr>
        <w:t>Journal of air transport management</w:t>
      </w:r>
      <w:r w:rsidRPr="3B366774" w:rsidR="1C81BA86">
        <w:rPr>
          <w:rFonts w:ascii="Arial" w:hAnsi="Arial" w:eastAsia="Arial" w:cs="Arial"/>
          <w:noProof w:val="0"/>
          <w:sz w:val="22"/>
          <w:szCs w:val="22"/>
          <w:lang w:val="en-GB"/>
        </w:rPr>
        <w:t xml:space="preserve">, 115. Available at: </w:t>
      </w:r>
      <w:hyperlink r:id="Rf54bdbd633564260">
        <w:r w:rsidRPr="3B366774" w:rsidR="1C81BA86">
          <w:rPr>
            <w:rStyle w:val="Hyperlink"/>
            <w:rFonts w:ascii="Arial" w:hAnsi="Arial" w:eastAsia="Arial" w:cs="Arial"/>
            <w:noProof w:val="0"/>
            <w:sz w:val="22"/>
            <w:szCs w:val="22"/>
            <w:lang w:val="en-GB"/>
          </w:rPr>
          <w:t>https://doi.org/10.1016/j.jairtraman.2024.102538</w:t>
        </w:r>
      </w:hyperlink>
      <w:r w:rsidRPr="3B366774" w:rsidR="1C81BA86">
        <w:rPr>
          <w:rFonts w:ascii="Arial" w:hAnsi="Arial" w:eastAsia="Arial" w:cs="Arial"/>
          <w:noProof w:val="0"/>
          <w:sz w:val="22"/>
          <w:szCs w:val="22"/>
          <w:lang w:val="en-GB"/>
        </w:rPr>
        <w:t>.</w:t>
      </w:r>
    </w:p>
    <w:p w:rsidR="3B366774" w:rsidP="3B366774" w:rsidRDefault="3B366774" w14:paraId="30D17FD0" w14:textId="73156FF8">
      <w:pPr>
        <w:pStyle w:val="Normal"/>
        <w:bidi w:val="0"/>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4D9AE83" w:rsidP="3B366774" w:rsidRDefault="44D9AE83" w14:paraId="670218D8" w14:textId="735B70E5">
      <w:pPr>
        <w:bidi w:val="0"/>
        <w:spacing w:before="0" w:beforeAutospacing="off" w:after="0" w:afterAutospacing="off"/>
        <w:jc w:val="both"/>
      </w:pPr>
      <w:r w:rsidRPr="3B366774" w:rsidR="44D9AE83">
        <w:rPr>
          <w:rFonts w:ascii="Arial" w:hAnsi="Arial" w:eastAsia="Arial" w:cs="Arial"/>
          <w:noProof w:val="0"/>
          <w:sz w:val="22"/>
          <w:szCs w:val="22"/>
          <w:lang w:val="en-GB"/>
        </w:rPr>
        <w:t xml:space="preserve">Zhang, Z. and Jia, M. (2010) “Using social exchange theory to predict the effects of high-performance human resource practices on corporate entrepreneurship: Evidence from China,” </w:t>
      </w:r>
      <w:r w:rsidRPr="3B366774" w:rsidR="44D9AE83">
        <w:rPr>
          <w:rFonts w:ascii="Arial" w:hAnsi="Arial" w:eastAsia="Arial" w:cs="Arial"/>
          <w:i w:val="1"/>
          <w:iCs w:val="1"/>
          <w:noProof w:val="0"/>
          <w:sz w:val="22"/>
          <w:szCs w:val="22"/>
          <w:lang w:val="en-GB"/>
        </w:rPr>
        <w:t>Human resource management</w:t>
      </w:r>
      <w:r w:rsidRPr="3B366774" w:rsidR="44D9AE83">
        <w:rPr>
          <w:rFonts w:ascii="Arial" w:hAnsi="Arial" w:eastAsia="Arial" w:cs="Arial"/>
          <w:noProof w:val="0"/>
          <w:sz w:val="22"/>
          <w:szCs w:val="22"/>
          <w:lang w:val="en-GB"/>
        </w:rPr>
        <w:t xml:space="preserve">, 49(4), pp. 743–765. Available at: </w:t>
      </w:r>
      <w:hyperlink r:id="Rfbd0211a8f8f4a51">
        <w:r w:rsidRPr="3B366774" w:rsidR="44D9AE83">
          <w:rPr>
            <w:rStyle w:val="Hyperlink"/>
            <w:rFonts w:ascii="Arial" w:hAnsi="Arial" w:eastAsia="Arial" w:cs="Arial"/>
            <w:noProof w:val="0"/>
            <w:sz w:val="22"/>
            <w:szCs w:val="22"/>
            <w:lang w:val="en-GB"/>
          </w:rPr>
          <w:t>https://doi.org/10.1002/hrm.20378</w:t>
        </w:r>
      </w:hyperlink>
      <w:r w:rsidRPr="3B366774" w:rsidR="44D9AE83">
        <w:rPr>
          <w:rFonts w:ascii="Arial" w:hAnsi="Arial" w:eastAsia="Arial" w:cs="Arial"/>
          <w:noProof w:val="0"/>
          <w:sz w:val="22"/>
          <w:szCs w:val="22"/>
          <w:lang w:val="en-GB"/>
        </w:rPr>
        <w:t>.</w:t>
      </w:r>
    </w:p>
    <w:p w:rsidR="3B366774" w:rsidP="3B366774" w:rsidRDefault="3B366774" w14:paraId="43EA04A3" w14:textId="59F8F322">
      <w:pPr>
        <w:pStyle w:val="Normal"/>
        <w:bidi w:val="0"/>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763AEA8" w:rsidP="3B366774" w:rsidRDefault="7763AEA8" w14:paraId="05F1470A" w14:textId="611298C7">
      <w:pPr>
        <w:pStyle w:val="Normal"/>
        <w:bidi w:val="0"/>
        <w:spacing w:before="0" w:beforeAutospacing="off" w:after="0" w:afterAutospacing="off" w:line="360" w:lineRule="auto"/>
        <w:jc w:val="both"/>
        <w:rPr>
          <w:rFonts w:ascii="Arial" w:hAnsi="Arial" w:eastAsia="Arial" w:cs="Arial"/>
          <w:noProof w:val="0"/>
          <w:sz w:val="22"/>
          <w:szCs w:val="22"/>
          <w:lang w:val="en-GB"/>
        </w:rPr>
      </w:pPr>
      <w:r w:rsidRPr="3B366774" w:rsidR="7763AEA8">
        <w:rPr>
          <w:rFonts w:ascii="Arial" w:hAnsi="Arial" w:eastAsia="Arial" w:cs="Arial"/>
          <w:b w:val="0"/>
          <w:bCs w:val="0"/>
          <w:i w:val="0"/>
          <w:iCs w:val="0"/>
          <w:caps w:val="0"/>
          <w:smallCaps w:val="0"/>
          <w:noProof w:val="0"/>
          <w:color w:val="222222"/>
          <w:sz w:val="22"/>
          <w:szCs w:val="22"/>
          <w:lang w:val="en-GB"/>
        </w:rPr>
        <w:t>Ziakkas</w:t>
      </w:r>
      <w:r w:rsidRPr="3B366774" w:rsidR="7763AEA8">
        <w:rPr>
          <w:rFonts w:ascii="Arial" w:hAnsi="Arial" w:eastAsia="Arial" w:cs="Arial"/>
          <w:b w:val="0"/>
          <w:bCs w:val="0"/>
          <w:i w:val="0"/>
          <w:iCs w:val="0"/>
          <w:caps w:val="0"/>
          <w:smallCaps w:val="0"/>
          <w:noProof w:val="0"/>
          <w:color w:val="222222"/>
          <w:sz w:val="22"/>
          <w:szCs w:val="22"/>
          <w:lang w:val="en-GB"/>
        </w:rPr>
        <w:t xml:space="preserve">, D., Michael, W.S. and </w:t>
      </w:r>
      <w:r w:rsidRPr="3B366774" w:rsidR="7763AEA8">
        <w:rPr>
          <w:rFonts w:ascii="Arial" w:hAnsi="Arial" w:eastAsia="Arial" w:cs="Arial"/>
          <w:b w:val="0"/>
          <w:bCs w:val="0"/>
          <w:i w:val="0"/>
          <w:iCs w:val="0"/>
          <w:caps w:val="0"/>
          <w:smallCaps w:val="0"/>
          <w:noProof w:val="0"/>
          <w:color w:val="222222"/>
          <w:sz w:val="22"/>
          <w:szCs w:val="22"/>
          <w:lang w:val="en-GB"/>
        </w:rPr>
        <w:t>Pechlivanis</w:t>
      </w:r>
      <w:r w:rsidRPr="3B366774" w:rsidR="7763AEA8">
        <w:rPr>
          <w:rFonts w:ascii="Arial" w:hAnsi="Arial" w:eastAsia="Arial" w:cs="Arial"/>
          <w:b w:val="0"/>
          <w:bCs w:val="0"/>
          <w:i w:val="0"/>
          <w:iCs w:val="0"/>
          <w:caps w:val="0"/>
          <w:smallCaps w:val="0"/>
          <w:noProof w:val="0"/>
          <w:color w:val="222222"/>
          <w:sz w:val="22"/>
          <w:szCs w:val="22"/>
          <w:lang w:val="en-GB"/>
        </w:rPr>
        <w:t xml:space="preserve">, K., </w:t>
      </w:r>
      <w:r w:rsidRPr="3B366774" w:rsidR="31A91001">
        <w:rPr>
          <w:rFonts w:ascii="Arial" w:hAnsi="Arial" w:eastAsia="Arial" w:cs="Arial"/>
          <w:b w:val="0"/>
          <w:bCs w:val="0"/>
          <w:i w:val="0"/>
          <w:iCs w:val="0"/>
          <w:caps w:val="0"/>
          <w:smallCaps w:val="0"/>
          <w:noProof w:val="0"/>
          <w:color w:val="222222"/>
          <w:sz w:val="22"/>
          <w:szCs w:val="22"/>
          <w:lang w:val="en-GB"/>
        </w:rPr>
        <w:t>(</w:t>
      </w:r>
      <w:r w:rsidRPr="3B366774" w:rsidR="7763AEA8">
        <w:rPr>
          <w:rFonts w:ascii="Arial" w:hAnsi="Arial" w:eastAsia="Arial" w:cs="Arial"/>
          <w:b w:val="0"/>
          <w:bCs w:val="0"/>
          <w:i w:val="0"/>
          <w:iCs w:val="0"/>
          <w:caps w:val="0"/>
          <w:smallCaps w:val="0"/>
          <w:noProof w:val="0"/>
          <w:color w:val="222222"/>
          <w:sz w:val="22"/>
          <w:szCs w:val="22"/>
          <w:lang w:val="en-GB"/>
        </w:rPr>
        <w:t>2022</w:t>
      </w:r>
      <w:r w:rsidRPr="3B366774" w:rsidR="3432DD51">
        <w:rPr>
          <w:rFonts w:ascii="Arial" w:hAnsi="Arial" w:eastAsia="Arial" w:cs="Arial"/>
          <w:b w:val="0"/>
          <w:bCs w:val="0"/>
          <w:i w:val="0"/>
          <w:iCs w:val="0"/>
          <w:caps w:val="0"/>
          <w:smallCaps w:val="0"/>
          <w:noProof w:val="0"/>
          <w:color w:val="222222"/>
          <w:sz w:val="22"/>
          <w:szCs w:val="22"/>
          <w:lang w:val="en-GB"/>
        </w:rPr>
        <w:t>)</w:t>
      </w:r>
      <w:r w:rsidRPr="3B366774" w:rsidR="7763AEA8">
        <w:rPr>
          <w:rFonts w:ascii="Arial" w:hAnsi="Arial" w:eastAsia="Arial" w:cs="Arial"/>
          <w:b w:val="0"/>
          <w:bCs w:val="0"/>
          <w:i w:val="0"/>
          <w:iCs w:val="0"/>
          <w:caps w:val="0"/>
          <w:smallCaps w:val="0"/>
          <w:noProof w:val="0"/>
          <w:color w:val="222222"/>
          <w:sz w:val="22"/>
          <w:szCs w:val="22"/>
          <w:lang w:val="en-GB"/>
        </w:rPr>
        <w:t xml:space="preserve"> The implementation of competency-based training and assessment (CBTA) framework in aviation </w:t>
      </w:r>
      <w:r w:rsidRPr="3B366774" w:rsidR="7763AEA8">
        <w:rPr>
          <w:rFonts w:ascii="Arial" w:hAnsi="Arial" w:eastAsia="Arial" w:cs="Arial"/>
          <w:b w:val="0"/>
          <w:bCs w:val="0"/>
          <w:i w:val="0"/>
          <w:iCs w:val="0"/>
          <w:caps w:val="0"/>
          <w:smallCaps w:val="0"/>
          <w:noProof w:val="0"/>
          <w:color w:val="222222"/>
          <w:sz w:val="22"/>
          <w:szCs w:val="22"/>
          <w:lang w:val="en-GB"/>
        </w:rPr>
        <w:t>manpower</w:t>
      </w:r>
      <w:r w:rsidRPr="3B366774" w:rsidR="7763AEA8">
        <w:rPr>
          <w:rFonts w:ascii="Arial" w:hAnsi="Arial" w:eastAsia="Arial" w:cs="Arial"/>
          <w:b w:val="0"/>
          <w:bCs w:val="0"/>
          <w:i w:val="0"/>
          <w:iCs w:val="0"/>
          <w:caps w:val="0"/>
          <w:smallCaps w:val="0"/>
          <w:noProof w:val="0"/>
          <w:color w:val="222222"/>
          <w:sz w:val="22"/>
          <w:szCs w:val="22"/>
          <w:lang w:val="en-GB"/>
        </w:rPr>
        <w:t xml:space="preserve"> planning. </w:t>
      </w:r>
      <w:r w:rsidRPr="3B366774" w:rsidR="7763AEA8">
        <w:rPr>
          <w:rFonts w:ascii="Arial" w:hAnsi="Arial" w:eastAsia="Arial" w:cs="Arial"/>
          <w:b w:val="0"/>
          <w:bCs w:val="0"/>
          <w:i w:val="1"/>
          <w:iCs w:val="1"/>
          <w:caps w:val="0"/>
          <w:smallCaps w:val="0"/>
          <w:noProof w:val="0"/>
          <w:color w:val="222222"/>
          <w:sz w:val="22"/>
          <w:szCs w:val="22"/>
          <w:lang w:val="en-GB"/>
        </w:rPr>
        <w:t>Transportation Research Procedia</w:t>
      </w:r>
      <w:r w:rsidRPr="3B366774" w:rsidR="7763AEA8">
        <w:rPr>
          <w:rFonts w:ascii="Arial" w:hAnsi="Arial" w:eastAsia="Arial" w:cs="Arial"/>
          <w:b w:val="0"/>
          <w:bCs w:val="0"/>
          <w:i w:val="0"/>
          <w:iCs w:val="0"/>
          <w:caps w:val="0"/>
          <w:smallCaps w:val="0"/>
          <w:noProof w:val="0"/>
          <w:color w:val="222222"/>
          <w:sz w:val="22"/>
          <w:szCs w:val="22"/>
          <w:lang w:val="en-GB"/>
        </w:rPr>
        <w:t xml:space="preserve">, </w:t>
      </w:r>
      <w:r w:rsidRPr="3B366774" w:rsidR="7763AEA8">
        <w:rPr>
          <w:rFonts w:ascii="Arial" w:hAnsi="Arial" w:eastAsia="Arial" w:cs="Arial"/>
          <w:b w:val="0"/>
          <w:bCs w:val="0"/>
          <w:i w:val="1"/>
          <w:iCs w:val="1"/>
          <w:caps w:val="0"/>
          <w:smallCaps w:val="0"/>
          <w:noProof w:val="0"/>
          <w:color w:val="222222"/>
          <w:sz w:val="22"/>
          <w:szCs w:val="22"/>
          <w:lang w:val="en-GB"/>
        </w:rPr>
        <w:t>66</w:t>
      </w:r>
      <w:r w:rsidRPr="3B366774" w:rsidR="7763AEA8">
        <w:rPr>
          <w:rFonts w:ascii="Arial" w:hAnsi="Arial" w:eastAsia="Arial" w:cs="Arial"/>
          <w:b w:val="0"/>
          <w:bCs w:val="0"/>
          <w:i w:val="0"/>
          <w:iCs w:val="0"/>
          <w:caps w:val="0"/>
          <w:smallCaps w:val="0"/>
          <w:noProof w:val="0"/>
          <w:color w:val="222222"/>
          <w:sz w:val="22"/>
          <w:szCs w:val="22"/>
          <w:lang w:val="en-GB"/>
        </w:rPr>
        <w:t>, pp.226-239.</w:t>
      </w:r>
    </w:p>
    <w:p w:rsidR="3B366774" w:rsidP="3B366774" w:rsidRDefault="3B366774" w14:paraId="48203752" w14:textId="65C8ED2F">
      <w:pPr>
        <w:pStyle w:val="Normal"/>
        <w:bidi w:val="0"/>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w:rsidR="3B366774" w:rsidP="3B366774" w:rsidRDefault="3B366774" w14:paraId="7008CC01" w14:textId="122106A2">
      <w:pPr>
        <w:pStyle w:val="Normal"/>
        <w:bidi w:val="0"/>
        <w:spacing w:before="0" w:beforeAutospacing="off" w:after="0" w:afterAutospacing="off" w:line="360" w:lineRule="auto"/>
        <w:jc w:val="both"/>
        <w:rPr>
          <w:rFonts w:ascii="Arial" w:hAnsi="Arial" w:eastAsia="Arial" w:cs="Arial"/>
          <w:b w:val="0"/>
          <w:bCs w:val="0"/>
          <w:i w:val="0"/>
          <w:iCs w:val="0"/>
          <w:caps w:val="0"/>
          <w:smallCaps w:val="0"/>
          <w:noProof w:val="0"/>
          <w:color w:val="222222"/>
          <w:sz w:val="22"/>
          <w:szCs w:val="22"/>
          <w:lang w:val="en-GB"/>
        </w:rPr>
      </w:pPr>
    </w:p>
    <w:p w:rsidR="3B366774" w:rsidRDefault="3B366774" w14:paraId="3A8E7FD1" w14:textId="4621D86E">
      <w:r>
        <w:br w:type="page"/>
      </w:r>
    </w:p>
    <w:p w:rsidR="29DCD53B" w:rsidP="3B366774" w:rsidRDefault="29DCD53B" w14:paraId="52A41807" w14:textId="3534170F">
      <w:pPr>
        <w:pStyle w:val="Heading1"/>
        <w:bidi w:val="0"/>
        <w:rPr>
          <w:noProof w:val="0"/>
          <w:lang w:val="en-GB"/>
        </w:rPr>
      </w:pPr>
      <w:r w:rsidRPr="3B366774" w:rsidR="29DCD53B">
        <w:rPr>
          <w:noProof w:val="0"/>
          <w:lang w:val="en-GB"/>
        </w:rPr>
        <w:t>Appendix</w:t>
      </w:r>
      <w:r w:rsidRPr="3B366774" w:rsidR="5C4829E2">
        <w:rPr>
          <w:noProof w:val="0"/>
          <w:lang w:val="en-GB"/>
        </w:rPr>
        <w:t xml:space="preserve"> 1</w:t>
      </w:r>
    </w:p>
    <w:p w:rsidR="3B366774" w:rsidP="3B366774" w:rsidRDefault="3B366774" w14:paraId="0501D2F7" w14:textId="26264C25">
      <w:pPr>
        <w:pStyle w:val="Normal"/>
        <w:bidi w:val="0"/>
        <w:rPr>
          <w:noProof w:val="0"/>
          <w:lang w:val="en-GB"/>
        </w:rPr>
      </w:pPr>
    </w:p>
    <w:p w:rsidR="141AC669" w:rsidP="3B366774" w:rsidRDefault="141AC669" w14:paraId="12AB4B69" w14:textId="4FEC814E">
      <w:pPr>
        <w:pStyle w:val="Normal"/>
        <w:bidi w:val="0"/>
        <w:rPr>
          <w:noProof w:val="0"/>
          <w:lang w:val="en-GB"/>
        </w:rPr>
      </w:pPr>
      <w:r w:rsidRPr="3B366774" w:rsidR="141AC669">
        <w:rPr>
          <w:noProof w:val="0"/>
          <w:lang w:val="en-GB"/>
        </w:rPr>
        <w:t>Thematic coding table.</w:t>
      </w:r>
    </w:p>
    <w:p w:rsidR="2EB8FBCD" w:rsidP="3B366774" w:rsidRDefault="2EB8FBCD" w14:paraId="2FC462EC" w14:textId="42F91B1E">
      <w:pPr>
        <w:pStyle w:val="Normal"/>
        <w:bidi w:val="0"/>
        <w:rPr>
          <w:noProof w:val="0"/>
          <w:lang w:val="en-GB"/>
        </w:rPr>
      </w:pPr>
      <w:r w:rsidR="2EB8FBCD">
        <w:drawing>
          <wp:inline wp14:editId="01FB03F1" wp14:anchorId="778183FE">
            <wp:extent cx="3801167" cy="3127124"/>
            <wp:effectExtent l="0" t="0" r="0" b="0"/>
            <wp:docPr id="19548681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54868163" name="Picture 1954868163"/>
                    <pic:cNvPicPr/>
                  </pic:nvPicPr>
                  <pic:blipFill>
                    <a:blip xmlns:r="http://schemas.openxmlformats.org/officeDocument/2006/relationships" r:embed="rId484852477">
                      <a:extLst>
                        <a:ext uri="{28A0092B-C50C-407E-A947-70E740481C1C}">
                          <a14:useLocalDpi xmlns:a14="http://schemas.microsoft.com/office/drawing/2010/main"/>
                        </a:ext>
                      </a:extLst>
                    </a:blip>
                    <a:stretch>
                      <a:fillRect/>
                    </a:stretch>
                  </pic:blipFill>
                  <pic:spPr>
                    <a:xfrm rot="0">
                      <a:off x="0" y="0"/>
                      <a:ext cx="3801167" cy="3127124"/>
                    </a:xfrm>
                    <a:prstGeom prst="rect">
                      <a:avLst/>
                    </a:prstGeom>
                  </pic:spPr>
                </pic:pic>
              </a:graphicData>
            </a:graphic>
          </wp:inline>
        </w:drawing>
      </w:r>
    </w:p>
    <w:p w:rsidR="243BEF60" w:rsidP="3B366774" w:rsidRDefault="243BEF60" w14:paraId="57079EE4" w14:textId="543B29FB">
      <w:pPr>
        <w:suppressLineNumbers w:val="0"/>
        <w:bidi w:val="0"/>
        <w:spacing w:before="0" w:beforeAutospacing="off" w:after="0" w:afterAutospacing="off" w:line="360" w:lineRule="auto"/>
        <w:ind/>
        <w:jc w:val="both"/>
        <w:rPr>
          <w:rFonts w:ascii="Arial" w:hAnsi="Arial" w:eastAsia="Arial" w:cs="Arial"/>
          <w:noProof w:val="0"/>
          <w:sz w:val="22"/>
          <w:szCs w:val="22"/>
          <w:lang w:val="en-GB"/>
        </w:rPr>
      </w:pPr>
      <w:r w:rsidR="2EB8FBCD">
        <w:drawing>
          <wp:inline wp14:editId="33A993E5" wp14:anchorId="524957D0">
            <wp:extent cx="3839807" cy="3460963"/>
            <wp:effectExtent l="0" t="0" r="0" b="0"/>
            <wp:docPr id="19502230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50223018" name="Picture 1950223018"/>
                    <pic:cNvPicPr/>
                  </pic:nvPicPr>
                  <pic:blipFill>
                    <a:blip xmlns:r="http://schemas.openxmlformats.org/officeDocument/2006/relationships" r:embed="rId1660336286">
                      <a:extLst>
                        <a:ext uri="{28A0092B-C50C-407E-A947-70E740481C1C}">
                          <a14:useLocalDpi xmlns:a14="http://schemas.microsoft.com/office/drawing/2010/main"/>
                        </a:ext>
                      </a:extLst>
                    </a:blip>
                    <a:stretch>
                      <a:fillRect/>
                    </a:stretch>
                  </pic:blipFill>
                  <pic:spPr>
                    <a:xfrm rot="0">
                      <a:off x="0" y="0"/>
                      <a:ext cx="3839807" cy="3460963"/>
                    </a:xfrm>
                    <a:prstGeom prst="rect">
                      <a:avLst/>
                    </a:prstGeom>
                  </pic:spPr>
                </pic:pic>
              </a:graphicData>
            </a:graphic>
          </wp:inline>
        </w:drawing>
      </w:r>
    </w:p>
    <w:p w:rsidR="243BEF60" w:rsidP="3B366774" w:rsidRDefault="243BEF60" w14:paraId="56FBFC7D" w14:textId="3209B2EB">
      <w:pPr>
        <w:pStyle w:val="Normal"/>
        <w:suppressLineNumbers w:val="0"/>
        <w:bidi w:val="0"/>
        <w:spacing w:before="0" w:beforeAutospacing="off" w:after="160" w:afterAutospacing="off" w:line="360" w:lineRule="auto"/>
        <w:ind w:left="0" w:right="0"/>
        <w:jc w:val="both"/>
        <w:rPr>
          <w:rFonts w:ascii="Arial" w:hAnsi="Arial" w:eastAsia="Arial" w:cs="Arial"/>
          <w:sz w:val="22"/>
          <w:szCs w:val="22"/>
        </w:rPr>
      </w:pPr>
      <w:r w:rsidR="2EB8FBCD">
        <w:drawing>
          <wp:inline wp14:editId="22FF7F71" wp14:anchorId="11D2468B">
            <wp:extent cx="3845278" cy="383888"/>
            <wp:effectExtent l="0" t="0" r="0" b="0"/>
            <wp:docPr id="13235993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3599364" name="Picture 1323599364"/>
                    <pic:cNvPicPr/>
                  </pic:nvPicPr>
                  <pic:blipFill>
                    <a:blip xmlns:r="http://schemas.openxmlformats.org/officeDocument/2006/relationships" r:embed="rId1988280085">
                      <a:extLst>
                        <a:ext uri="{28A0092B-C50C-407E-A947-70E740481C1C}">
                          <a14:useLocalDpi xmlns:a14="http://schemas.microsoft.com/office/drawing/2010/main"/>
                        </a:ext>
                      </a:extLst>
                    </a:blip>
                    <a:stretch>
                      <a:fillRect/>
                    </a:stretch>
                  </pic:blipFill>
                  <pic:spPr>
                    <a:xfrm rot="0">
                      <a:off x="0" y="0"/>
                      <a:ext cx="3845278" cy="383888"/>
                    </a:xfrm>
                    <a:prstGeom prst="rect">
                      <a:avLst/>
                    </a:prstGeom>
                  </pic:spPr>
                </pic:pic>
              </a:graphicData>
            </a:graphic>
          </wp:inline>
        </w:drawing>
      </w:r>
    </w:p>
    <w:sectPr>
      <w:pgSz w:w="11906" w:h="16838" w:orient="portrait"/>
      <w:pgMar w:top="1440" w:right="1440" w:bottom="1440" w:left="1440" w:header="720" w:footer="720" w:gutter="0"/>
      <w:cols w:space="720"/>
      <w:docGrid w:linePitch="360"/>
      <w:headerReference w:type="default" r:id="R990440a5e7254b38"/>
      <w:footerReference w:type="default" r:id="R6ebe59da7bf4469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p w:rsidR="3B366774" w:rsidP="3B366774" w:rsidRDefault="3B366774" w14:paraId="573861BD" w14:textId="5F98A6DA">
    <w:pPr>
      <w:pStyle w:val="Normal"/>
    </w:pPr>
  </w:p>
  <w:tbl>
    <w:tblPr>
      <w:tblStyle w:val="TableNormal"/>
      <w:bidiVisual w:val="0"/>
      <w:tblW w:w="0" w:type="auto"/>
      <w:tblLook w:val="06A0" w:firstRow="1" w:lastRow="0" w:firstColumn="1" w:lastColumn="0" w:noHBand="1" w:noVBand="1"/>
    </w:tblPr>
    <w:tblGrid>
      <w:gridCol w:w="3005"/>
      <w:gridCol w:w="3005"/>
      <w:gridCol w:w="3005"/>
    </w:tblGrid>
    <w:tr w:rsidR="3B366774" w:rsidTr="3B366774" w14:paraId="4BD41CFC">
      <w:trPr>
        <w:trHeight w:val="300"/>
      </w:trPr>
      <w:tc>
        <w:tcPr>
          <w:tcW w:w="3005" w:type="dxa"/>
          <w:tcMar/>
        </w:tcPr>
        <w:p w:rsidR="3B366774" w:rsidP="3B366774" w:rsidRDefault="3B366774" w14:paraId="1A8E7A12" w14:textId="12669288">
          <w:pPr>
            <w:pStyle w:val="Header"/>
            <w:bidi w:val="0"/>
            <w:ind w:left="-115"/>
            <w:jc w:val="left"/>
          </w:pPr>
        </w:p>
      </w:tc>
      <w:tc>
        <w:tcPr>
          <w:tcW w:w="3005" w:type="dxa"/>
          <w:tcMar/>
        </w:tcPr>
        <w:p w:rsidR="3B366774" w:rsidP="3B366774" w:rsidRDefault="3B366774" w14:paraId="23C8855D" w14:textId="2E5B7DA9">
          <w:pPr>
            <w:pStyle w:val="Header"/>
            <w:bidi w:val="0"/>
            <w:jc w:val="center"/>
          </w:pPr>
        </w:p>
      </w:tc>
      <w:tc>
        <w:tcPr>
          <w:tcW w:w="3005" w:type="dxa"/>
          <w:tcMar/>
        </w:tcPr>
        <w:p w:rsidR="3B366774" w:rsidP="3B366774" w:rsidRDefault="3B366774" w14:paraId="7ECD6020" w14:textId="48006553">
          <w:pPr>
            <w:pStyle w:val="Header"/>
            <w:bidi w:val="0"/>
            <w:ind w:right="-115"/>
            <w:jc w:val="right"/>
          </w:pPr>
          <w:r>
            <w:fldChar w:fldCharType="begin"/>
          </w:r>
          <w:r>
            <w:instrText xml:space="preserve">PAGE</w:instrText>
          </w:r>
          <w:r>
            <w:fldChar w:fldCharType="separate"/>
          </w:r>
          <w:r>
            <w:fldChar w:fldCharType="end"/>
          </w:r>
        </w:p>
      </w:tc>
    </w:tr>
  </w:tbl>
  <w:p w:rsidR="3B366774" w:rsidP="3B366774" w:rsidRDefault="3B366774" w14:paraId="22677086" w14:textId="6EB56A1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B366774" w:rsidTr="3B366774" w14:paraId="30E32012">
      <w:trPr>
        <w:trHeight w:val="300"/>
      </w:trPr>
      <w:tc>
        <w:tcPr>
          <w:tcW w:w="3005" w:type="dxa"/>
          <w:tcMar/>
        </w:tcPr>
        <w:p w:rsidR="3B366774" w:rsidP="3B366774" w:rsidRDefault="3B366774" w14:paraId="7FEA3823" w14:textId="6FE916BD">
          <w:pPr>
            <w:pStyle w:val="Header"/>
            <w:bidi w:val="0"/>
            <w:ind w:left="-115"/>
            <w:jc w:val="left"/>
          </w:pPr>
        </w:p>
      </w:tc>
      <w:tc>
        <w:tcPr>
          <w:tcW w:w="3005" w:type="dxa"/>
          <w:tcMar/>
        </w:tcPr>
        <w:p w:rsidR="3B366774" w:rsidP="3B366774" w:rsidRDefault="3B366774" w14:paraId="5A4ABC79" w14:textId="6383C300">
          <w:pPr>
            <w:pStyle w:val="Header"/>
            <w:bidi w:val="0"/>
            <w:jc w:val="center"/>
          </w:pPr>
        </w:p>
      </w:tc>
      <w:tc>
        <w:tcPr>
          <w:tcW w:w="3005" w:type="dxa"/>
          <w:tcMar/>
        </w:tcPr>
        <w:p w:rsidR="3B366774" w:rsidP="3B366774" w:rsidRDefault="3B366774" w14:paraId="793CC045" w14:textId="1DDE5BCA">
          <w:pPr>
            <w:pStyle w:val="Header"/>
            <w:bidi w:val="0"/>
            <w:ind w:right="-115"/>
            <w:jc w:val="right"/>
          </w:pPr>
        </w:p>
      </w:tc>
    </w:tr>
  </w:tbl>
  <w:p w:rsidR="3B366774" w:rsidP="3B366774" w:rsidRDefault="3B366774" w14:paraId="330C8534" w14:textId="2E4273D4">
    <w:pPr>
      <w:pStyle w:val="Header"/>
      <w:bidi w:val="0"/>
    </w:pPr>
  </w:p>
</w:hdr>
</file>

<file path=word/intelligence2.xml><?xml version="1.0" encoding="utf-8"?>
<int2:intelligence xmlns:int2="http://schemas.microsoft.com/office/intelligence/2020/intelligence">
  <int2:observations>
    <int2:textHash int2:hashCode="gXYLDTHVskw0tO" int2:id="oFBkqErK">
      <int2:state int2:type="spell" int2:value="Rejected"/>
    </int2:textHash>
    <int2:textHash int2:hashCode="x4dAjrhRWVcP3k" int2:id="NhKu0NuC">
      <int2:state int2:type="spell" int2:value="Rejected"/>
    </int2:textHash>
    <int2:textHash int2:hashCode="AUJfwZgDv2J+yT" int2:id="0WYnaAAT">
      <int2:state int2:type="spell" int2:value="Rejected"/>
    </int2:textHash>
    <int2:textHash int2:hashCode="D0hi+4MpFLLD1R" int2:id="xmxjKsw9">
      <int2:state int2:type="spell" int2:value="Rejected"/>
    </int2:textHash>
    <int2:textHash int2:hashCode="XgNmH4Mak29Uex" int2:id="DvmFst7w">
      <int2:state int2:type="spell" int2:value="Rejected"/>
    </int2:textHash>
    <int2:textHash int2:hashCode="AV/UJyLwn1K4MP" int2:id="NdUdKNT4">
      <int2:state int2:type="spell" int2:value="Rejected"/>
    </int2:textHash>
    <int2:textHash int2:hashCode="FqIRT9zcXZ/Ur1" int2:id="decWoiiQ">
      <int2:state int2:type="spell" int2:value="Rejected"/>
    </int2:textHash>
    <int2:textHash int2:hashCode="/cKHkWhXtVa+Tv" int2:id="Xsmt950Z">
      <int2:state int2:type="spell" int2:value="Rejected"/>
    </int2:textHash>
    <int2:textHash int2:hashCode="uE45VSbo9TdYsm" int2:id="gvtsFNgE">
      <int2:state int2:type="spell" int2:value="Rejected"/>
    </int2:textHash>
    <int2:textHash int2:hashCode="BNxhIvUXCoM001" int2:id="ZbCDoNWB">
      <int2:state int2:type="spell" int2:value="Rejected"/>
    </int2:textHash>
    <int2:textHash int2:hashCode="ZHo+2T6kzz03XU" int2:id="uym5RBFb">
      <int2:state int2:type="spell" int2:value="Rejected"/>
    </int2:textHash>
    <int2:textHash int2:hashCode="WAvzNandeMx7tU" int2:id="TWxD5bS1">
      <int2:state int2:type="spell" int2:value="Rejected"/>
    </int2:textHash>
    <int2:textHash int2:hashCode="NOwqnvQpvWlExf" int2:id="4zC0pI9J">
      <int2:state int2:type="spell" int2:value="Rejected"/>
    </int2:textHash>
    <int2:textHash int2:hashCode="c/7oaG8xHxtqkW" int2:id="kVSibHsY">
      <int2:state int2:type="spell" int2:value="Rejected"/>
    </int2:textHash>
    <int2:bookmark int2:bookmarkName="_Int_ULT5yKme" int2:invalidationBookmarkName="" int2:hashCode="4QRcNS7P52+gGB" int2:id="aisNpkwL">
      <int2:state int2:type="style" int2:value="Rejected"/>
    </int2:bookmark>
    <int2:bookmark int2:bookmarkName="_Int_SRmVBTYY" int2:invalidationBookmarkName="" int2:hashCode="tNMsyySVbuW8nd" int2:id="A5qyGFp0">
      <int2:state int2:type="style" int2:value="Rejected"/>
    </int2:bookmark>
    <int2:bookmark int2:bookmarkName="_Int_gFgWZPbm" int2:invalidationBookmarkName="" int2:hashCode="Zz10vaPI9OBXT0" int2:id="mfAkVmtx">
      <int2:state int2:type="style" int2:value="Rejected"/>
    </int2:bookmark>
    <int2:bookmark int2:bookmarkName="_Int_U0NMD1FV" int2:invalidationBookmarkName="" int2:hashCode="Y2HyYbwB3KNZdT" int2:id="uiugDlV3">
      <int2:state int2:type="style" int2:value="Rejected"/>
    </int2:bookmark>
    <int2:bookmark int2:bookmarkName="_Int_dBd2txxW" int2:invalidationBookmarkName="" int2:hashCode="e0dMsLOcF3PXGS" int2:id="dtvvjQyq">
      <int2:state int2:type="style" int2:value="Rejected"/>
    </int2:bookmark>
    <int2:bookmark int2:bookmarkName="_Int_RqEzWYub" int2:invalidationBookmarkName="" int2:hashCode="gGjVY9pZaSGLMg" int2:id="w9yub95Y">
      <int2:state int2:type="style" int2:value="Rejected"/>
    </int2:bookmark>
    <int2:bookmark int2:bookmarkName="_Int_TOJSGZv3" int2:invalidationBookmarkName="" int2:hashCode="HxzOSu9d5cb1Nc" int2:id="YeMlKhyB">
      <int2:state int2:type="style" int2:value="Rejected"/>
    </int2:bookmark>
    <int2:bookmark int2:bookmarkName="_Int_ikiWKDnz" int2:invalidationBookmarkName="" int2:hashCode="frYFDQUgrITknG" int2:id="MtYMzSlp">
      <int2:state int2:type="style" int2:value="Rejected"/>
    </int2:bookmark>
    <int2:bookmark int2:bookmarkName="_Int_uaXpmeI5" int2:invalidationBookmarkName="" int2:hashCode="maS+KK4PEzqNKd" int2:id="BL01I68E">
      <int2:state int2:type="style" int2:value="Rejected"/>
    </int2:bookmark>
    <int2:bookmark int2:bookmarkName="_Int_xe2jhqkR" int2:invalidationBookmarkName="" int2:hashCode="T2uh1uCfFUtYOn" int2:id="D48Rkext">
      <int2:state int2:type="style" int2:value="Rejected"/>
    </int2:bookmark>
    <int2:bookmark int2:bookmarkName="_Int_eY8Ip3hK" int2:invalidationBookmarkName="" int2:hashCode="/1I258GnHCeGQ5" int2:id="gKb1ZNtk">
      <int2:state int2:type="style" int2:value="Rejected"/>
    </int2:bookmark>
    <int2:bookmark int2:bookmarkName="_Int_Aq1eqx0q" int2:invalidationBookmarkName="" int2:hashCode="Z4fzlzrIYO0xIz" int2:id="y5VaP0VV">
      <int2:state int2:type="style" int2:value="Rejected"/>
    </int2:bookmark>
    <int2:bookmark int2:bookmarkName="_Int_LxcWpl67" int2:invalidationBookmarkName="" int2:hashCode="/SAQ9xG+TlaiOc" int2:id="Q2iwGW3K">
      <int2:state int2:type="style" int2:value="Rejected"/>
    </int2:bookmark>
    <int2:bookmark int2:bookmarkName="_Int_aGaYcM2H" int2:invalidationBookmarkName="" int2:hashCode="jUFgbbEVX3sQnm" int2:id="nDy4EePy">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3">
    <w:nsid w:val="4dfc4f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7cd01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76312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cfa68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e8a33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4aacd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eb7db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3f4c6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42142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71491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34b1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660cf5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40b76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BF3835"/>
    <w:rsid w:val="00123C9F"/>
    <w:rsid w:val="001FBEDE"/>
    <w:rsid w:val="004B8ACB"/>
    <w:rsid w:val="008F6AC5"/>
    <w:rsid w:val="012343DF"/>
    <w:rsid w:val="012BE6A4"/>
    <w:rsid w:val="015B867E"/>
    <w:rsid w:val="019D5F89"/>
    <w:rsid w:val="01E1BD4D"/>
    <w:rsid w:val="01E2C1A9"/>
    <w:rsid w:val="0206E559"/>
    <w:rsid w:val="024B0421"/>
    <w:rsid w:val="024CBDFC"/>
    <w:rsid w:val="0252E512"/>
    <w:rsid w:val="02B5E450"/>
    <w:rsid w:val="03013082"/>
    <w:rsid w:val="0306592A"/>
    <w:rsid w:val="034594A6"/>
    <w:rsid w:val="03727CC2"/>
    <w:rsid w:val="037F4F82"/>
    <w:rsid w:val="039AB2C9"/>
    <w:rsid w:val="03CC62F3"/>
    <w:rsid w:val="03CEB6B1"/>
    <w:rsid w:val="03F36E47"/>
    <w:rsid w:val="03FEC115"/>
    <w:rsid w:val="040173C5"/>
    <w:rsid w:val="041221FA"/>
    <w:rsid w:val="04411CE6"/>
    <w:rsid w:val="04713E60"/>
    <w:rsid w:val="04FB81AE"/>
    <w:rsid w:val="05083453"/>
    <w:rsid w:val="0521111F"/>
    <w:rsid w:val="0537FF75"/>
    <w:rsid w:val="054C2A8F"/>
    <w:rsid w:val="05DB25FC"/>
    <w:rsid w:val="063B7C83"/>
    <w:rsid w:val="066FA1C3"/>
    <w:rsid w:val="06D8520B"/>
    <w:rsid w:val="06FC5A04"/>
    <w:rsid w:val="0735F3D0"/>
    <w:rsid w:val="079292A5"/>
    <w:rsid w:val="07F81B2B"/>
    <w:rsid w:val="07FE5508"/>
    <w:rsid w:val="080C23C6"/>
    <w:rsid w:val="086BDC7B"/>
    <w:rsid w:val="08880907"/>
    <w:rsid w:val="089BD9A6"/>
    <w:rsid w:val="08A0CD19"/>
    <w:rsid w:val="08DEF47A"/>
    <w:rsid w:val="098809C9"/>
    <w:rsid w:val="09AA2E55"/>
    <w:rsid w:val="09B6F53C"/>
    <w:rsid w:val="09F7D287"/>
    <w:rsid w:val="0A32234C"/>
    <w:rsid w:val="0A32234C"/>
    <w:rsid w:val="0A786232"/>
    <w:rsid w:val="0A96025F"/>
    <w:rsid w:val="0ABCE6F8"/>
    <w:rsid w:val="0B2D4C2D"/>
    <w:rsid w:val="0B430022"/>
    <w:rsid w:val="0B4B9EE5"/>
    <w:rsid w:val="0C0FE6B5"/>
    <w:rsid w:val="0C204E58"/>
    <w:rsid w:val="0C29B93D"/>
    <w:rsid w:val="0C4EDDF5"/>
    <w:rsid w:val="0CC08318"/>
    <w:rsid w:val="0CD98B83"/>
    <w:rsid w:val="0D579932"/>
    <w:rsid w:val="0D5F67F9"/>
    <w:rsid w:val="0DC5D607"/>
    <w:rsid w:val="0DE8572F"/>
    <w:rsid w:val="0E4E5A46"/>
    <w:rsid w:val="0ED46B36"/>
    <w:rsid w:val="0F0DABBC"/>
    <w:rsid w:val="0F139884"/>
    <w:rsid w:val="0F5A0B6F"/>
    <w:rsid w:val="0F880EEF"/>
    <w:rsid w:val="103837AD"/>
    <w:rsid w:val="11261166"/>
    <w:rsid w:val="11298F0D"/>
    <w:rsid w:val="116719BB"/>
    <w:rsid w:val="11801EC8"/>
    <w:rsid w:val="1189CBDF"/>
    <w:rsid w:val="11C98FF9"/>
    <w:rsid w:val="11DCB474"/>
    <w:rsid w:val="1232F932"/>
    <w:rsid w:val="126B43E6"/>
    <w:rsid w:val="13850A59"/>
    <w:rsid w:val="13B1EE2A"/>
    <w:rsid w:val="13CAB372"/>
    <w:rsid w:val="13E9CB8C"/>
    <w:rsid w:val="13EE2E6F"/>
    <w:rsid w:val="1417A264"/>
    <w:rsid w:val="141AC669"/>
    <w:rsid w:val="143B9FBE"/>
    <w:rsid w:val="1477CC3B"/>
    <w:rsid w:val="147E6DCB"/>
    <w:rsid w:val="14B13571"/>
    <w:rsid w:val="15CA7278"/>
    <w:rsid w:val="15EB9E80"/>
    <w:rsid w:val="1639698B"/>
    <w:rsid w:val="163A2DEC"/>
    <w:rsid w:val="16612189"/>
    <w:rsid w:val="166D4296"/>
    <w:rsid w:val="168A14AC"/>
    <w:rsid w:val="16C268F2"/>
    <w:rsid w:val="172CFD95"/>
    <w:rsid w:val="173A9537"/>
    <w:rsid w:val="17535DE3"/>
    <w:rsid w:val="17B5E6A4"/>
    <w:rsid w:val="17D76364"/>
    <w:rsid w:val="1822DDCE"/>
    <w:rsid w:val="183636C5"/>
    <w:rsid w:val="18400501"/>
    <w:rsid w:val="18A73EDF"/>
    <w:rsid w:val="19667A29"/>
    <w:rsid w:val="1A3AE23D"/>
    <w:rsid w:val="1ABDFB1B"/>
    <w:rsid w:val="1AC07E11"/>
    <w:rsid w:val="1AC8F551"/>
    <w:rsid w:val="1B118FE5"/>
    <w:rsid w:val="1B249578"/>
    <w:rsid w:val="1B6004DA"/>
    <w:rsid w:val="1B644951"/>
    <w:rsid w:val="1B7E4B96"/>
    <w:rsid w:val="1B8AC078"/>
    <w:rsid w:val="1BEC2282"/>
    <w:rsid w:val="1BF991E7"/>
    <w:rsid w:val="1C371803"/>
    <w:rsid w:val="1C81BA86"/>
    <w:rsid w:val="1CC0554E"/>
    <w:rsid w:val="1D018A31"/>
    <w:rsid w:val="1D1F0941"/>
    <w:rsid w:val="1D68180D"/>
    <w:rsid w:val="1DC14ADC"/>
    <w:rsid w:val="1DEB1A4C"/>
    <w:rsid w:val="1E3D5F94"/>
    <w:rsid w:val="1E488F4D"/>
    <w:rsid w:val="1E6001D6"/>
    <w:rsid w:val="1E8E9A43"/>
    <w:rsid w:val="1EA437A3"/>
    <w:rsid w:val="1ED82406"/>
    <w:rsid w:val="1F3D653D"/>
    <w:rsid w:val="1F621DAC"/>
    <w:rsid w:val="1F70BA21"/>
    <w:rsid w:val="1FB80523"/>
    <w:rsid w:val="1FC7207E"/>
    <w:rsid w:val="1FEA0DB1"/>
    <w:rsid w:val="200275EE"/>
    <w:rsid w:val="2013C732"/>
    <w:rsid w:val="20270212"/>
    <w:rsid w:val="20707F0C"/>
    <w:rsid w:val="208ACF9E"/>
    <w:rsid w:val="20C7BB60"/>
    <w:rsid w:val="20D90B53"/>
    <w:rsid w:val="20E73D6C"/>
    <w:rsid w:val="21132EB1"/>
    <w:rsid w:val="21674B46"/>
    <w:rsid w:val="216BEB33"/>
    <w:rsid w:val="21886977"/>
    <w:rsid w:val="219CB7EB"/>
    <w:rsid w:val="219E8604"/>
    <w:rsid w:val="21F480F6"/>
    <w:rsid w:val="223EC48C"/>
    <w:rsid w:val="224381D1"/>
    <w:rsid w:val="22D82782"/>
    <w:rsid w:val="22FA975C"/>
    <w:rsid w:val="233E7FB4"/>
    <w:rsid w:val="23B4F052"/>
    <w:rsid w:val="23DB8256"/>
    <w:rsid w:val="2426FE7F"/>
    <w:rsid w:val="243BEF60"/>
    <w:rsid w:val="244ABBA6"/>
    <w:rsid w:val="24765128"/>
    <w:rsid w:val="251B34D1"/>
    <w:rsid w:val="254B2BBA"/>
    <w:rsid w:val="255E90EC"/>
    <w:rsid w:val="25CA70A1"/>
    <w:rsid w:val="268A85A9"/>
    <w:rsid w:val="269B7A0A"/>
    <w:rsid w:val="27581F9C"/>
    <w:rsid w:val="276C5F44"/>
    <w:rsid w:val="27AF5DDF"/>
    <w:rsid w:val="282145E4"/>
    <w:rsid w:val="283D0F0A"/>
    <w:rsid w:val="288893D2"/>
    <w:rsid w:val="28AEE90D"/>
    <w:rsid w:val="290B281B"/>
    <w:rsid w:val="290C282C"/>
    <w:rsid w:val="2916E970"/>
    <w:rsid w:val="2972BA74"/>
    <w:rsid w:val="29A5DEF6"/>
    <w:rsid w:val="29C843A9"/>
    <w:rsid w:val="29DCD53B"/>
    <w:rsid w:val="29F45452"/>
    <w:rsid w:val="29F89D5A"/>
    <w:rsid w:val="2A39D77D"/>
    <w:rsid w:val="2A46C741"/>
    <w:rsid w:val="2A56B56E"/>
    <w:rsid w:val="2A7DB786"/>
    <w:rsid w:val="2AB370B9"/>
    <w:rsid w:val="2AB52D73"/>
    <w:rsid w:val="2AE3EC26"/>
    <w:rsid w:val="2B261116"/>
    <w:rsid w:val="2B48D264"/>
    <w:rsid w:val="2B598F2F"/>
    <w:rsid w:val="2B9C298A"/>
    <w:rsid w:val="2BC97536"/>
    <w:rsid w:val="2BDA9774"/>
    <w:rsid w:val="2C047BB2"/>
    <w:rsid w:val="2CAC0B0D"/>
    <w:rsid w:val="2D0DC420"/>
    <w:rsid w:val="2D1AE827"/>
    <w:rsid w:val="2DA87766"/>
    <w:rsid w:val="2E336A8F"/>
    <w:rsid w:val="2EB8FBCD"/>
    <w:rsid w:val="2ECED335"/>
    <w:rsid w:val="2EDC7229"/>
    <w:rsid w:val="2F3C6202"/>
    <w:rsid w:val="2F407036"/>
    <w:rsid w:val="2F7ACA52"/>
    <w:rsid w:val="2F98739C"/>
    <w:rsid w:val="2F9E6FC6"/>
    <w:rsid w:val="2FFF2E9D"/>
    <w:rsid w:val="30701EF6"/>
    <w:rsid w:val="308EA1E7"/>
    <w:rsid w:val="3099A8FC"/>
    <w:rsid w:val="30A5781E"/>
    <w:rsid w:val="30D79E45"/>
    <w:rsid w:val="30F13E0E"/>
    <w:rsid w:val="3105412A"/>
    <w:rsid w:val="3151E5D0"/>
    <w:rsid w:val="3154FDC9"/>
    <w:rsid w:val="315E7155"/>
    <w:rsid w:val="3180AB45"/>
    <w:rsid w:val="31A91001"/>
    <w:rsid w:val="31B4F69A"/>
    <w:rsid w:val="31D2CBE5"/>
    <w:rsid w:val="3218C074"/>
    <w:rsid w:val="324E19FE"/>
    <w:rsid w:val="32610813"/>
    <w:rsid w:val="326A88D1"/>
    <w:rsid w:val="335B1F78"/>
    <w:rsid w:val="3360C5E8"/>
    <w:rsid w:val="33A5FC8B"/>
    <w:rsid w:val="33A8FE50"/>
    <w:rsid w:val="33C7BA29"/>
    <w:rsid w:val="33CF37FB"/>
    <w:rsid w:val="33DCEBF1"/>
    <w:rsid w:val="33FFDA40"/>
    <w:rsid w:val="34239155"/>
    <w:rsid w:val="3432DD51"/>
    <w:rsid w:val="344F72D6"/>
    <w:rsid w:val="347AFF5B"/>
    <w:rsid w:val="34973E74"/>
    <w:rsid w:val="34D83902"/>
    <w:rsid w:val="34EF0AB2"/>
    <w:rsid w:val="34EF6E75"/>
    <w:rsid w:val="34F66F96"/>
    <w:rsid w:val="352EBB79"/>
    <w:rsid w:val="3530DCD2"/>
    <w:rsid w:val="355BD1DE"/>
    <w:rsid w:val="3571BD5F"/>
    <w:rsid w:val="357CA350"/>
    <w:rsid w:val="359AD0A4"/>
    <w:rsid w:val="35A2EDC6"/>
    <w:rsid w:val="35B6B5A9"/>
    <w:rsid w:val="366164B2"/>
    <w:rsid w:val="369662DC"/>
    <w:rsid w:val="376A8F35"/>
    <w:rsid w:val="37B3911E"/>
    <w:rsid w:val="37BF6EE0"/>
    <w:rsid w:val="37F6E493"/>
    <w:rsid w:val="3817183C"/>
    <w:rsid w:val="38ED8B6A"/>
    <w:rsid w:val="39254D2E"/>
    <w:rsid w:val="393ED601"/>
    <w:rsid w:val="3989EB8F"/>
    <w:rsid w:val="398EE654"/>
    <w:rsid w:val="39B9444E"/>
    <w:rsid w:val="39B9A988"/>
    <w:rsid w:val="39C57274"/>
    <w:rsid w:val="39CD6F84"/>
    <w:rsid w:val="39E0CD92"/>
    <w:rsid w:val="3A8F5030"/>
    <w:rsid w:val="3AB55B49"/>
    <w:rsid w:val="3AE9AF87"/>
    <w:rsid w:val="3AEC3AFE"/>
    <w:rsid w:val="3B031C4D"/>
    <w:rsid w:val="3B366774"/>
    <w:rsid w:val="3BD7479E"/>
    <w:rsid w:val="3C3D39AF"/>
    <w:rsid w:val="3C7203CE"/>
    <w:rsid w:val="3C73FF22"/>
    <w:rsid w:val="3CAA3458"/>
    <w:rsid w:val="3CE23346"/>
    <w:rsid w:val="3CE57471"/>
    <w:rsid w:val="3CFF5116"/>
    <w:rsid w:val="3D23AD35"/>
    <w:rsid w:val="3D5A10F2"/>
    <w:rsid w:val="3DA7CA32"/>
    <w:rsid w:val="3DB00CB3"/>
    <w:rsid w:val="3DE8B1AD"/>
    <w:rsid w:val="3DF4C15B"/>
    <w:rsid w:val="3EDEE64E"/>
    <w:rsid w:val="3F3E3996"/>
    <w:rsid w:val="3FBBCD9F"/>
    <w:rsid w:val="3FC6E67D"/>
    <w:rsid w:val="4036803F"/>
    <w:rsid w:val="410DF62C"/>
    <w:rsid w:val="4143D20E"/>
    <w:rsid w:val="4166AAE2"/>
    <w:rsid w:val="41ECB52D"/>
    <w:rsid w:val="42255568"/>
    <w:rsid w:val="42274C1B"/>
    <w:rsid w:val="4266ADCC"/>
    <w:rsid w:val="427A1BA0"/>
    <w:rsid w:val="429C8FA6"/>
    <w:rsid w:val="42BF5A2C"/>
    <w:rsid w:val="42C68390"/>
    <w:rsid w:val="42EF0929"/>
    <w:rsid w:val="43245D51"/>
    <w:rsid w:val="4357C0A3"/>
    <w:rsid w:val="44A4BB35"/>
    <w:rsid w:val="44C6BE6A"/>
    <w:rsid w:val="44D9AE83"/>
    <w:rsid w:val="44E22F0E"/>
    <w:rsid w:val="451A20AA"/>
    <w:rsid w:val="45A30FE5"/>
    <w:rsid w:val="45E55AAB"/>
    <w:rsid w:val="4605ACD4"/>
    <w:rsid w:val="46156E1B"/>
    <w:rsid w:val="4637AD86"/>
    <w:rsid w:val="46381C1C"/>
    <w:rsid w:val="464ABB60"/>
    <w:rsid w:val="469B2C38"/>
    <w:rsid w:val="46D1F1A9"/>
    <w:rsid w:val="472D5F0A"/>
    <w:rsid w:val="4749E9C1"/>
    <w:rsid w:val="478C46AD"/>
    <w:rsid w:val="4796662E"/>
    <w:rsid w:val="47C25D81"/>
    <w:rsid w:val="47E143C9"/>
    <w:rsid w:val="48006683"/>
    <w:rsid w:val="48411DFA"/>
    <w:rsid w:val="48596420"/>
    <w:rsid w:val="487F93F5"/>
    <w:rsid w:val="48949F93"/>
    <w:rsid w:val="48E4063A"/>
    <w:rsid w:val="48F3D586"/>
    <w:rsid w:val="4913CB5D"/>
    <w:rsid w:val="49140792"/>
    <w:rsid w:val="49172A8A"/>
    <w:rsid w:val="4A09CB71"/>
    <w:rsid w:val="4A7A3A34"/>
    <w:rsid w:val="4AB8E0DF"/>
    <w:rsid w:val="4B0F08D8"/>
    <w:rsid w:val="4B22F80B"/>
    <w:rsid w:val="4B41128D"/>
    <w:rsid w:val="4C0E236F"/>
    <w:rsid w:val="4C7E84C1"/>
    <w:rsid w:val="4C84ED3B"/>
    <w:rsid w:val="4CA6F1A0"/>
    <w:rsid w:val="4CB55D82"/>
    <w:rsid w:val="4CC8F141"/>
    <w:rsid w:val="4D36E4BB"/>
    <w:rsid w:val="4D4CDD70"/>
    <w:rsid w:val="4D955F18"/>
    <w:rsid w:val="4DDC2293"/>
    <w:rsid w:val="4DF9B105"/>
    <w:rsid w:val="4DFA466E"/>
    <w:rsid w:val="4E555A97"/>
    <w:rsid w:val="4E6F5AF1"/>
    <w:rsid w:val="4E716085"/>
    <w:rsid w:val="4E9532B0"/>
    <w:rsid w:val="4E9FC7A2"/>
    <w:rsid w:val="4EBD62E4"/>
    <w:rsid w:val="4EF39126"/>
    <w:rsid w:val="50011661"/>
    <w:rsid w:val="5029A4E1"/>
    <w:rsid w:val="50B730B5"/>
    <w:rsid w:val="50F287FA"/>
    <w:rsid w:val="50F41F19"/>
    <w:rsid w:val="5121CD29"/>
    <w:rsid w:val="516FD7CD"/>
    <w:rsid w:val="51ABA2C3"/>
    <w:rsid w:val="51D09D66"/>
    <w:rsid w:val="520B5212"/>
    <w:rsid w:val="52684AFE"/>
    <w:rsid w:val="52687345"/>
    <w:rsid w:val="526D3194"/>
    <w:rsid w:val="52992C0A"/>
    <w:rsid w:val="52B5E82F"/>
    <w:rsid w:val="52DDB031"/>
    <w:rsid w:val="52F370FC"/>
    <w:rsid w:val="53073A6F"/>
    <w:rsid w:val="531BB6E8"/>
    <w:rsid w:val="538FB3FB"/>
    <w:rsid w:val="53AD3D3E"/>
    <w:rsid w:val="53CF3EA3"/>
    <w:rsid w:val="53DA412A"/>
    <w:rsid w:val="53DE9789"/>
    <w:rsid w:val="5455DE25"/>
    <w:rsid w:val="54836460"/>
    <w:rsid w:val="55DC929F"/>
    <w:rsid w:val="5645702A"/>
    <w:rsid w:val="564584EE"/>
    <w:rsid w:val="56515D32"/>
    <w:rsid w:val="567DC563"/>
    <w:rsid w:val="5697B811"/>
    <w:rsid w:val="56C21B2C"/>
    <w:rsid w:val="56D6EF12"/>
    <w:rsid w:val="57B4B78D"/>
    <w:rsid w:val="57BE8FF5"/>
    <w:rsid w:val="57BE9A07"/>
    <w:rsid w:val="57DE0E76"/>
    <w:rsid w:val="58075829"/>
    <w:rsid w:val="58760D2A"/>
    <w:rsid w:val="589E4FD4"/>
    <w:rsid w:val="593F391F"/>
    <w:rsid w:val="5A62F0C2"/>
    <w:rsid w:val="5A807755"/>
    <w:rsid w:val="5A8D597C"/>
    <w:rsid w:val="5A901293"/>
    <w:rsid w:val="5AF07CEB"/>
    <w:rsid w:val="5B09D1FA"/>
    <w:rsid w:val="5B1010B0"/>
    <w:rsid w:val="5B6586EE"/>
    <w:rsid w:val="5B6DE585"/>
    <w:rsid w:val="5B94CD6B"/>
    <w:rsid w:val="5BB0DC7F"/>
    <w:rsid w:val="5BD12765"/>
    <w:rsid w:val="5C2258F1"/>
    <w:rsid w:val="5C35C25C"/>
    <w:rsid w:val="5C4829E2"/>
    <w:rsid w:val="5C7AB038"/>
    <w:rsid w:val="5C9B8609"/>
    <w:rsid w:val="5CB6C3E9"/>
    <w:rsid w:val="5CC2F7C3"/>
    <w:rsid w:val="5CEFFDAA"/>
    <w:rsid w:val="5D02B3DF"/>
    <w:rsid w:val="5D0DB34F"/>
    <w:rsid w:val="5D6EDA03"/>
    <w:rsid w:val="5DA2B24E"/>
    <w:rsid w:val="5DDF08E8"/>
    <w:rsid w:val="5DE63767"/>
    <w:rsid w:val="5DFDFF85"/>
    <w:rsid w:val="5E2963D2"/>
    <w:rsid w:val="5E4B0088"/>
    <w:rsid w:val="5E5E4CC2"/>
    <w:rsid w:val="5E672DA1"/>
    <w:rsid w:val="5E873797"/>
    <w:rsid w:val="5EAA54D1"/>
    <w:rsid w:val="5EBF3835"/>
    <w:rsid w:val="5EBFA41A"/>
    <w:rsid w:val="5EC1B82B"/>
    <w:rsid w:val="5ECA3E5F"/>
    <w:rsid w:val="5ECE4DB3"/>
    <w:rsid w:val="5F2C20E3"/>
    <w:rsid w:val="5F500ACD"/>
    <w:rsid w:val="5FD02165"/>
    <w:rsid w:val="5FDEA4BF"/>
    <w:rsid w:val="600647AA"/>
    <w:rsid w:val="60477B2B"/>
    <w:rsid w:val="6049CB7E"/>
    <w:rsid w:val="60D47C1E"/>
    <w:rsid w:val="61262F7A"/>
    <w:rsid w:val="613E27F8"/>
    <w:rsid w:val="61F75971"/>
    <w:rsid w:val="62026D60"/>
    <w:rsid w:val="625F09FB"/>
    <w:rsid w:val="6266C0FC"/>
    <w:rsid w:val="626BF981"/>
    <w:rsid w:val="630CC561"/>
    <w:rsid w:val="633E5BF7"/>
    <w:rsid w:val="63484A5A"/>
    <w:rsid w:val="63C74130"/>
    <w:rsid w:val="6455BAD4"/>
    <w:rsid w:val="647B3A94"/>
    <w:rsid w:val="648AF4B2"/>
    <w:rsid w:val="64B58513"/>
    <w:rsid w:val="64E3D939"/>
    <w:rsid w:val="64FBE35A"/>
    <w:rsid w:val="64FC195E"/>
    <w:rsid w:val="65256694"/>
    <w:rsid w:val="652B57A1"/>
    <w:rsid w:val="65665192"/>
    <w:rsid w:val="65925891"/>
    <w:rsid w:val="6594B7B3"/>
    <w:rsid w:val="6698FCB0"/>
    <w:rsid w:val="67182F88"/>
    <w:rsid w:val="67D131A3"/>
    <w:rsid w:val="68027885"/>
    <w:rsid w:val="68921B22"/>
    <w:rsid w:val="68AF5CF8"/>
    <w:rsid w:val="68D687FD"/>
    <w:rsid w:val="68F3FA13"/>
    <w:rsid w:val="6900CD6E"/>
    <w:rsid w:val="6919B3E4"/>
    <w:rsid w:val="69548731"/>
    <w:rsid w:val="696AAAE0"/>
    <w:rsid w:val="6987E3E7"/>
    <w:rsid w:val="699D3B4C"/>
    <w:rsid w:val="69E2C71B"/>
    <w:rsid w:val="69F63A38"/>
    <w:rsid w:val="6A35A1A9"/>
    <w:rsid w:val="6A383E11"/>
    <w:rsid w:val="6A3F3B26"/>
    <w:rsid w:val="6A757321"/>
    <w:rsid w:val="6A8CE3E0"/>
    <w:rsid w:val="6AC7E5A4"/>
    <w:rsid w:val="6ACBC73D"/>
    <w:rsid w:val="6B087DB5"/>
    <w:rsid w:val="6B3E6EE9"/>
    <w:rsid w:val="6B828EB4"/>
    <w:rsid w:val="6BCC0B94"/>
    <w:rsid w:val="6C533FC2"/>
    <w:rsid w:val="6C64C4D2"/>
    <w:rsid w:val="6C64EF9D"/>
    <w:rsid w:val="6C9EE360"/>
    <w:rsid w:val="6CA8831B"/>
    <w:rsid w:val="6CD6301E"/>
    <w:rsid w:val="6D4205B5"/>
    <w:rsid w:val="6D5AA630"/>
    <w:rsid w:val="6D6BEF05"/>
    <w:rsid w:val="6D746E34"/>
    <w:rsid w:val="6DEC5DD5"/>
    <w:rsid w:val="6E141042"/>
    <w:rsid w:val="6E141042"/>
    <w:rsid w:val="6EA8A097"/>
    <w:rsid w:val="6ED3F92E"/>
    <w:rsid w:val="6F09285E"/>
    <w:rsid w:val="6F53D002"/>
    <w:rsid w:val="6F9CBD1C"/>
    <w:rsid w:val="6F9FF70A"/>
    <w:rsid w:val="6FC5205E"/>
    <w:rsid w:val="6FE81CB8"/>
    <w:rsid w:val="702289BC"/>
    <w:rsid w:val="70466BE5"/>
    <w:rsid w:val="705905E3"/>
    <w:rsid w:val="712D6D97"/>
    <w:rsid w:val="71B78913"/>
    <w:rsid w:val="71F3B898"/>
    <w:rsid w:val="721A280D"/>
    <w:rsid w:val="725A386D"/>
    <w:rsid w:val="72FA0DD6"/>
    <w:rsid w:val="73192E0B"/>
    <w:rsid w:val="731D8FD1"/>
    <w:rsid w:val="735B8EAD"/>
    <w:rsid w:val="736D288F"/>
    <w:rsid w:val="73791568"/>
    <w:rsid w:val="738D0B62"/>
    <w:rsid w:val="73D2C3B4"/>
    <w:rsid w:val="73E54476"/>
    <w:rsid w:val="742F52EA"/>
    <w:rsid w:val="7465B863"/>
    <w:rsid w:val="749DCBAC"/>
    <w:rsid w:val="7514ACB0"/>
    <w:rsid w:val="757B8F8F"/>
    <w:rsid w:val="7589D75B"/>
    <w:rsid w:val="75F34C45"/>
    <w:rsid w:val="761D4ED9"/>
    <w:rsid w:val="76531A34"/>
    <w:rsid w:val="766592D3"/>
    <w:rsid w:val="7666338F"/>
    <w:rsid w:val="76896F18"/>
    <w:rsid w:val="769EC6BC"/>
    <w:rsid w:val="76FFBBB0"/>
    <w:rsid w:val="7746B96B"/>
    <w:rsid w:val="775A8D25"/>
    <w:rsid w:val="7763AEA8"/>
    <w:rsid w:val="7768B1A0"/>
    <w:rsid w:val="77852C03"/>
    <w:rsid w:val="77855393"/>
    <w:rsid w:val="7791E989"/>
    <w:rsid w:val="77AE1605"/>
    <w:rsid w:val="77C7A3E1"/>
    <w:rsid w:val="77F3E64F"/>
    <w:rsid w:val="782B54CC"/>
    <w:rsid w:val="78328B8B"/>
    <w:rsid w:val="7891BAC3"/>
    <w:rsid w:val="794DFD5A"/>
    <w:rsid w:val="7966235A"/>
    <w:rsid w:val="79751D75"/>
    <w:rsid w:val="79862B3D"/>
    <w:rsid w:val="79B185F1"/>
    <w:rsid w:val="79BECCD8"/>
    <w:rsid w:val="79F6B90B"/>
    <w:rsid w:val="79FDFB0F"/>
    <w:rsid w:val="7A1368D0"/>
    <w:rsid w:val="7A1D1927"/>
    <w:rsid w:val="7A2DFEE5"/>
    <w:rsid w:val="7A3C02D3"/>
    <w:rsid w:val="7A459BAB"/>
    <w:rsid w:val="7A4F271E"/>
    <w:rsid w:val="7AB597FB"/>
    <w:rsid w:val="7B1A5343"/>
    <w:rsid w:val="7C2FC781"/>
    <w:rsid w:val="7C3E8617"/>
    <w:rsid w:val="7C7399FB"/>
    <w:rsid w:val="7C9138C1"/>
    <w:rsid w:val="7CF9AF10"/>
    <w:rsid w:val="7CFB3E82"/>
    <w:rsid w:val="7D24DF9E"/>
    <w:rsid w:val="7D626543"/>
    <w:rsid w:val="7DBC6ABE"/>
    <w:rsid w:val="7E20A467"/>
    <w:rsid w:val="7E335798"/>
    <w:rsid w:val="7E3E5A19"/>
    <w:rsid w:val="7E577FFA"/>
    <w:rsid w:val="7E76963E"/>
    <w:rsid w:val="7EAC78DF"/>
    <w:rsid w:val="7ED0B05F"/>
    <w:rsid w:val="7EDEF7C1"/>
    <w:rsid w:val="7EE316FB"/>
    <w:rsid w:val="7EF57E76"/>
    <w:rsid w:val="7F1451A4"/>
    <w:rsid w:val="7FC6C6BF"/>
    <w:rsid w:val="7FD983E1"/>
    <w:rsid w:val="7FE588D9"/>
    <w:rsid w:val="7FE74A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D3123"/>
  <w15:chartTrackingRefBased/>
  <w15:docId w15:val="{37DB314A-9772-4CD7-9C5B-9DA93758C4C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43BEF60"/>
    <w:rPr>
      <w:color w:val="467886"/>
      <w:u w:val="single"/>
    </w:rPr>
  </w:style>
  <w:style w:type="paragraph" w:styleId="ListParagraph">
    <w:uiPriority w:val="34"/>
    <w:name w:val="List Paragraph"/>
    <w:basedOn w:val="Normal"/>
    <w:qFormat/>
    <w:rsid w:val="243BEF60"/>
    <w:pPr>
      <w:spacing/>
      <w:ind w:left="720"/>
      <w:contextualSpacing/>
    </w:pPr>
  </w:style>
  <w:style w:type="paragraph" w:styleId="Heading1">
    <w:uiPriority w:val="9"/>
    <w:name w:val="heading 1"/>
    <w:basedOn w:val="Normal"/>
    <w:next w:val="Normal"/>
    <w:qFormat/>
    <w:rsid w:val="034594A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034594A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1">
    <w:uiPriority w:val="39"/>
    <w:name w:val="toc 1"/>
    <w:basedOn w:val="Normal"/>
    <w:next w:val="Normal"/>
    <w:unhideWhenUsed/>
    <w:rsid w:val="034594A6"/>
    <w:pPr>
      <w:spacing w:after="100"/>
    </w:pPr>
  </w:style>
  <w:style w:type="paragraph" w:styleId="TOC2">
    <w:uiPriority w:val="39"/>
    <w:name w:val="toc 2"/>
    <w:basedOn w:val="Normal"/>
    <w:next w:val="Normal"/>
    <w:unhideWhenUsed/>
    <w:rsid w:val="034594A6"/>
    <w:pPr>
      <w:spacing w:after="100"/>
      <w:ind w:left="220"/>
    </w:pPr>
  </w:style>
  <w:style w:type="character" w:styleId="Heading2Char" w:customStyle="true">
    <w:uiPriority w:val="9"/>
    <w:name w:val="Heading 2 Char"/>
    <w:basedOn w:val="DefaultParagraphFont"/>
    <w:link w:val="Heading2"/>
    <w:rsid w:val="034594A6"/>
    <w:rPr>
      <w:rFonts w:ascii="Aptos Display" w:hAnsi="Aptos Display" w:eastAsia="" w:cs="" w:asciiTheme="majorAscii" w:hAnsiTheme="majorAscii" w:eastAsiaTheme="majorEastAsia" w:cstheme="majorBidi"/>
      <w:color w:val="0F4761" w:themeColor="accent1" w:themeTint="FF" w:themeShade="BF"/>
      <w:sz w:val="32"/>
      <w:szCs w:val="32"/>
    </w:rPr>
  </w:style>
  <w:style w:type="paragraph" w:styleId="Heading3">
    <w:uiPriority w:val="9"/>
    <w:name w:val="heading 3"/>
    <w:basedOn w:val="Normal"/>
    <w:next w:val="Normal"/>
    <w:unhideWhenUsed/>
    <w:qFormat/>
    <w:rsid w:val="034594A6"/>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OC3">
    <w:uiPriority w:val="39"/>
    <w:name w:val="toc 3"/>
    <w:basedOn w:val="Normal"/>
    <w:next w:val="Normal"/>
    <w:unhideWhenUsed/>
    <w:rsid w:val="034594A6"/>
    <w:pPr>
      <w:spacing w:after="100"/>
      <w:ind w:left="440"/>
    </w:pPr>
  </w:style>
  <w:style w:type="paragraph" w:styleId="Header">
    <w:uiPriority w:val="99"/>
    <w:name w:val="header"/>
    <w:basedOn w:val="Normal"/>
    <w:unhideWhenUsed/>
    <w:rsid w:val="3B366774"/>
    <w:pPr>
      <w:tabs>
        <w:tab w:val="center" w:leader="none" w:pos="4680"/>
        <w:tab w:val="right" w:leader="none" w:pos="9360"/>
      </w:tabs>
      <w:spacing w:after="0" w:line="240" w:lineRule="auto"/>
    </w:pPr>
  </w:style>
  <w:style w:type="paragraph" w:styleId="Footer">
    <w:uiPriority w:val="99"/>
    <w:name w:val="footer"/>
    <w:basedOn w:val="Normal"/>
    <w:unhideWhenUsed/>
    <w:rsid w:val="3B36677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81e77b6271346f4" /><Relationship Type="http://schemas.openxmlformats.org/officeDocument/2006/relationships/image" Target="/media/image.png" Id="rId656822318" /><Relationship Type="http://schemas.openxmlformats.org/officeDocument/2006/relationships/image" Target="/media/image2.png" Id="rId596676118" /><Relationship Type="http://schemas.openxmlformats.org/officeDocument/2006/relationships/image" Target="/media/image3.png" Id="rId877509154" /><Relationship Type="http://schemas.openxmlformats.org/officeDocument/2006/relationships/image" Target="/media/image4.png" Id="rId1077053746" /><Relationship Type="http://schemas.openxmlformats.org/officeDocument/2006/relationships/hyperlink" Target="https://doi.org/10.20409/berj.2024.445" TargetMode="External" Id="Ra8d4043a5a284e8a" /><Relationship Type="http://schemas.openxmlformats.org/officeDocument/2006/relationships/hyperlink" Target="https://doi.org/10.1371/journal.pone.0245460" TargetMode="External" Id="R7113fcb3cbd54694" /><Relationship Type="http://schemas.openxmlformats.org/officeDocument/2006/relationships/hyperlink" Target="https://doi.org/10.1016/j.actpsy.2024.104177" TargetMode="External" Id="R9a87693b0b934ec5" /><Relationship Type="http://schemas.openxmlformats.org/officeDocument/2006/relationships/hyperlink" Target="https://doi.org/10.1057/s41267-023-00643-w" TargetMode="External" Id="R54668967b3554342" /><Relationship Type="http://schemas.openxmlformats.org/officeDocument/2006/relationships/hyperlink" Target="https://doi.org/10.3368/jhr.57.4.0919-10416R2" TargetMode="External" Id="Rd41694dbaf624e0c" /><Relationship Type="http://schemas.openxmlformats.org/officeDocument/2006/relationships/hyperlink" Target="https://doi.org/10.15394/ijaaa.2020.1470" TargetMode="External" Id="R59e48950571449d6" /><Relationship Type="http://schemas.openxmlformats.org/officeDocument/2006/relationships/hyperlink" Target="https://doi.org/10.1108/13552529710168843" TargetMode="External" Id="Rd037538dabb443e2" /><Relationship Type="http://schemas.openxmlformats.org/officeDocument/2006/relationships/hyperlink" Target="https://doi.org/10.1017/iop.2018.5" TargetMode="External" Id="R866d59fafb8c4181" /><Relationship Type="http://schemas.openxmlformats.org/officeDocument/2006/relationships/hyperlink" Target="https://doi.org/10.1177/0091026016669169" TargetMode="External" Id="R488fd5f29cca4099" /><Relationship Type="http://schemas.openxmlformats.org/officeDocument/2006/relationships/hyperlink" Target="https://doi.org/10.1016/j.orgdyn.2025.101177" TargetMode="External" Id="Ra873854539174cec" /><Relationship Type="http://schemas.openxmlformats.org/officeDocument/2006/relationships/hyperlink" Target="https://doi.org/10.1097/00006247-199508000-00011" TargetMode="External" Id="R49bb07531cbf4d0a" /><Relationship Type="http://schemas.openxmlformats.org/officeDocument/2006/relationships/hyperlink" Target="https://doi.org/10.1080/24721840.2020.1763175" TargetMode="External" Id="Rfadb065183784b18" /><Relationship Type="http://schemas.openxmlformats.org/officeDocument/2006/relationships/hyperlink" Target="https://doi.org/10.1016/j.jairtraman.2020.101997" TargetMode="External" Id="R4ee593823ec9451a" /><Relationship Type="http://schemas.openxmlformats.org/officeDocument/2006/relationships/hyperlink" Target="https://doi.org/10.2478/fman-2023-0012" TargetMode="External" Id="Rb453a96e72924fb2" /><Relationship Type="http://schemas.openxmlformats.org/officeDocument/2006/relationships/hyperlink" Target="https://doi.org/10.1080/02739615.2023.2279064" TargetMode="External" Id="Rb70165d9d74744aa" /><Relationship Type="http://schemas.openxmlformats.org/officeDocument/2006/relationships/hyperlink" Target="https://doi.org/10.1080/1471903042000339392" TargetMode="External" Id="R886e723f06f74ed3" /><Relationship Type="http://schemas.openxmlformats.org/officeDocument/2006/relationships/hyperlink" Target="https://doi.org/10.1111/1748-8583.12139" TargetMode="External" Id="Ra5324f429b5d478e" /><Relationship Type="http://schemas.openxmlformats.org/officeDocument/2006/relationships/hyperlink" Target="https://doi.org/10.1111/joop.70017" TargetMode="External" Id="R8feb8baf39364b01" /><Relationship Type="http://schemas.openxmlformats.org/officeDocument/2006/relationships/hyperlink" Target="https://doi.org/10.1093/scipol/scaf084" TargetMode="External" Id="R951811384c294f6c" /><Relationship Type="http://schemas.openxmlformats.org/officeDocument/2006/relationships/hyperlink" Target="https://doi.org/10.1080/09585190903509548" TargetMode="External" Id="R53339f7f317d4e40" /><Relationship Type="http://schemas.openxmlformats.org/officeDocument/2006/relationships/hyperlink" Target="https://doi.org/10.1093/occmed/kql021" TargetMode="External" Id="Rba38006829974081" /><Relationship Type="http://schemas.openxmlformats.org/officeDocument/2006/relationships/hyperlink" Target="https://doi.org/10.1111/nuf.12435" TargetMode="External" Id="R8256e51e18744d62" /><Relationship Type="http://schemas.openxmlformats.org/officeDocument/2006/relationships/hyperlink" Target="https://doi.org/10.15394/ijaaa.2019.1321" TargetMode="External" Id="R6254e0073eb945ca" /><Relationship Type="http://schemas.openxmlformats.org/officeDocument/2006/relationships/hyperlink" Target="https://doi.org/10.3390/admsci15040125" TargetMode="External" Id="R8245c3ae91c44d39" /><Relationship Type="http://schemas.openxmlformats.org/officeDocument/2006/relationships/hyperlink" Target="https://doi.org/10.1111/1748-8583.12527" TargetMode="External" Id="Rf4aa55d82c494e99" /><Relationship Type="http://schemas.openxmlformats.org/officeDocument/2006/relationships/hyperlink" Target="https://doi.org/10.3390/su12155941" TargetMode="External" Id="R6cfe236786ba41ea" /><Relationship Type="http://schemas.openxmlformats.org/officeDocument/2006/relationships/hyperlink" Target="https://doi.org/10.1108/09534810610676680" TargetMode="External" Id="R7d8a2473b8954e19" /><Relationship Type="http://schemas.openxmlformats.org/officeDocument/2006/relationships/hyperlink" Target="https://doi.org/10.1177/0950422219876472" TargetMode="External" Id="Rc926286a98684229" /><Relationship Type="http://schemas.openxmlformats.org/officeDocument/2006/relationships/hyperlink" Target="https://doi.org/10.4102/SAJIP.v52i0.2409" TargetMode="External" Id="R387754086ba742be" /><Relationship Type="http://schemas.openxmlformats.org/officeDocument/2006/relationships/hyperlink" Target="https://doi.org/10.4467/24498939IJCM.19.013.11756" TargetMode="External" Id="Rc715c5b26f3242a5" /><Relationship Type="http://schemas.openxmlformats.org/officeDocument/2006/relationships/hyperlink" Target="https://doi.org/10.1177/0163278718772879" TargetMode="External" Id="R21414999a8d944ec" /><Relationship Type="http://schemas.openxmlformats.org/officeDocument/2006/relationships/hyperlink" Target="https://doi.org/10.1080/09585192.2018.1528473" TargetMode="External" Id="Rb0c990e67b3044b9" /><Relationship Type="http://schemas.openxmlformats.org/officeDocument/2006/relationships/hyperlink" Target="https://doi.org/10.5937/StraMan2200024N" TargetMode="External" Id="R399bd0e68f364230" /><Relationship Type="http://schemas.openxmlformats.org/officeDocument/2006/relationships/hyperlink" Target="https://doi.org/10.1108/IJM-04-2018-0127" TargetMode="External" Id="Rb6b3e9fbc6194119" /><Relationship Type="http://schemas.openxmlformats.org/officeDocument/2006/relationships/hyperlink" Target="https://doi.org/10.1111/1748-8583.12472" TargetMode="External" Id="R0cbd0573991346b7" /><Relationship Type="http://schemas.openxmlformats.org/officeDocument/2006/relationships/hyperlink" Target="https://doi.org/10.1080/00208825.2025.2554006" TargetMode="External" Id="R27016a97d0dc4dd0" /><Relationship Type="http://schemas.openxmlformats.org/officeDocument/2006/relationships/hyperlink" Target="https://doi.org/10.24857/rgsa.v17n4-002" TargetMode="External" Id="Ra985c57d2a6641d2" /><Relationship Type="http://schemas.openxmlformats.org/officeDocument/2006/relationships/hyperlink" Target="https://doi.org/10.3389/fpsyg.2022.825397" TargetMode="External" Id="R19d55b245a8d451a" /><Relationship Type="http://schemas.openxmlformats.org/officeDocument/2006/relationships/hyperlink" Target="https://doi.org/10.1108/JOEPP-07-2023-0288" TargetMode="External" Id="R415f7eb961bb4d22" /><Relationship Type="http://schemas.openxmlformats.org/officeDocument/2006/relationships/hyperlink" Target="https://doi.org/10.1108/IJCHM-02-2022-0211" TargetMode="External" Id="R6bd6d9fafb424598" /><Relationship Type="http://schemas.openxmlformats.org/officeDocument/2006/relationships/hyperlink" Target="https://doi.org/10.3390/admsci13060137" TargetMode="External" Id="Rd600d2827ed24a2e" /><Relationship Type="http://schemas.openxmlformats.org/officeDocument/2006/relationships/hyperlink" Target="https://doi.org/10.1108/IJM-03-2014-0078" TargetMode="External" Id="Rcf0080e12f8e47c1" /><Relationship Type="http://schemas.openxmlformats.org/officeDocument/2006/relationships/hyperlink" Target="https://doi.org/10.1177/1356389008097871" TargetMode="External" Id="R06b9bcab54c34543" /><Relationship Type="http://schemas.openxmlformats.org/officeDocument/2006/relationships/hyperlink" Target="https://doi.org/10.1177/13591053251410633" TargetMode="External" Id="R6fbc18ca87fe4d6e" /><Relationship Type="http://schemas.openxmlformats.org/officeDocument/2006/relationships/hyperlink" Target="https://doi.org/10.4102/jtscm.v14i0.511" TargetMode="External" Id="R4f88dbcd84374636" /><Relationship Type="http://schemas.openxmlformats.org/officeDocument/2006/relationships/hyperlink" Target="https://doi.org/10.1016/j.jvb.2008.09.001" TargetMode="External" Id="R856503262aa5420c" /><Relationship Type="http://schemas.openxmlformats.org/officeDocument/2006/relationships/hyperlink" Target="https://doi.org/10.1016/j.jbusres.2019.07.039" TargetMode="External" Id="R2c4872e5c3d14881" /><Relationship Type="http://schemas.openxmlformats.org/officeDocument/2006/relationships/hyperlink" Target="https://doi.org/10.1016/j.ssci.2024.106498" TargetMode="External" Id="R557e103a574c45e3" /><Relationship Type="http://schemas.openxmlformats.org/officeDocument/2006/relationships/hyperlink" Target="https://doi.org/10.1108/IJM-11-2021-0631" TargetMode="External" Id="R69be014068244458" /><Relationship Type="http://schemas.openxmlformats.org/officeDocument/2006/relationships/hyperlink" Target="https://doi.org/10.3390/su132413923" TargetMode="External" Id="Recfc0b0b9fbe4931" /><Relationship Type="http://schemas.openxmlformats.org/officeDocument/2006/relationships/hyperlink" Target="https://doi.org/10.1111/j.1748-8583.2011.00180.x" TargetMode="External" Id="R78557b7e3d894aae" /><Relationship Type="http://schemas.openxmlformats.org/officeDocument/2006/relationships/hyperlink" Target="https://doi.org/10.1016/j.procs.2015.08.537" TargetMode="External" Id="R8f9009a48f304d57" /><Relationship Type="http://schemas.openxmlformats.org/officeDocument/2006/relationships/hyperlink" Target="https://doi.org/10.3390/su131910666" TargetMode="External" Id="R148470c6d1224a8c" /><Relationship Type="http://schemas.openxmlformats.org/officeDocument/2006/relationships/hyperlink" Target="https://doi.org/10.1016/j.heliyon.2022.e11563" TargetMode="External" Id="R27e3080563f744dc" /><Relationship Type="http://schemas.openxmlformats.org/officeDocument/2006/relationships/hyperlink" Target="https://doi.org/10.1111/jan.15230" TargetMode="External" Id="R58e1e8b3099f4e0c" /><Relationship Type="http://schemas.openxmlformats.org/officeDocument/2006/relationships/hyperlink" Target="https://doi.org/10.1108/JWL-01-2023-0003" TargetMode="External" Id="Rde10b439f5184482" /><Relationship Type="http://schemas.openxmlformats.org/officeDocument/2006/relationships/hyperlink" Target="https://doi.org/10.1016/j.jairtraman.2024.102538" TargetMode="External" Id="Rf54bdbd633564260" /><Relationship Type="http://schemas.openxmlformats.org/officeDocument/2006/relationships/hyperlink" Target="https://doi.org/10.1002/hrm.20378" TargetMode="External" Id="Rfbd0211a8f8f4a51" /><Relationship Type="http://schemas.openxmlformats.org/officeDocument/2006/relationships/image" Target="/media/image5.png" Id="rId484852477" /><Relationship Type="http://schemas.openxmlformats.org/officeDocument/2006/relationships/image" Target="/media/image6.png" Id="rId1660336286" /><Relationship Type="http://schemas.openxmlformats.org/officeDocument/2006/relationships/image" Target="/media/image7.png" Id="rId1988280085" /><Relationship Type="http://schemas.openxmlformats.org/officeDocument/2006/relationships/header" Target="/word/header.xml" Id="R990440a5e7254b38" /><Relationship Type="http://schemas.openxmlformats.org/officeDocument/2006/relationships/footer" Target="/word/footer.xml" Id="R6ebe59da7bf4469e" /><Relationship Type="http://schemas.microsoft.com/office/2020/10/relationships/intelligence" Target="/word/intelligence2.xml" Id="Ra4258890573745a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Travers (2128316)</dc:creator>
  <keywords/>
  <dc:description/>
  <lastModifiedBy>Rebecca Travers (2128316)</lastModifiedBy>
  <revision>5</revision>
  <dcterms:created xsi:type="dcterms:W3CDTF">2026-04-02T08:22:14.9411890Z</dcterms:created>
  <dcterms:modified xsi:type="dcterms:W3CDTF">2026-05-06T09:37:31.5980509Z</dcterms:modified>
</coreProperties>
</file>