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200" w:line="360"/>
        <w:ind w:right="0" w:left="0" w:firstLine="0"/>
        <w:jc w:val="center"/>
        <w:rPr>
          <w:rFonts w:ascii="Times New Roman" w:hAnsi="Times New Roman" w:cs="Times New Roman" w:eastAsia="Times New Roman"/>
          <w:b/>
          <w:color w:val="auto"/>
          <w:spacing w:val="0"/>
          <w:position w:val="0"/>
          <w:sz w:val="32"/>
          <w:shd w:fill="auto" w:val="clear"/>
        </w:rPr>
      </w:pPr>
    </w:p>
    <w:p>
      <w:pPr>
        <w:spacing w:before="0" w:after="200" w:line="360"/>
        <w:ind w:right="0" w:left="0" w:firstLine="0"/>
        <w:jc w:val="center"/>
        <w:rPr>
          <w:rFonts w:ascii="Times New Roman" w:hAnsi="Times New Roman" w:cs="Times New Roman" w:eastAsia="Times New Roman"/>
          <w:b/>
          <w:color w:val="auto"/>
          <w:spacing w:val="0"/>
          <w:position w:val="0"/>
          <w:sz w:val="32"/>
          <w:shd w:fill="auto" w:val="clear"/>
        </w:rPr>
      </w:pPr>
    </w:p>
    <w:p>
      <w:pPr>
        <w:spacing w:before="0" w:after="200" w:line="360"/>
        <w:ind w:right="0" w:left="0" w:firstLine="0"/>
        <w:jc w:val="center"/>
        <w:rPr>
          <w:rFonts w:ascii="Times New Roman" w:hAnsi="Times New Roman" w:cs="Times New Roman" w:eastAsia="Times New Roman"/>
          <w:b/>
          <w:color w:val="auto"/>
          <w:spacing w:val="0"/>
          <w:position w:val="0"/>
          <w:sz w:val="32"/>
          <w:shd w:fill="auto" w:val="clear"/>
        </w:rPr>
      </w:pPr>
    </w:p>
    <w:p>
      <w:pPr>
        <w:spacing w:before="0" w:after="200" w:line="360"/>
        <w:ind w:right="0" w:left="0" w:firstLine="0"/>
        <w:jc w:val="center"/>
        <w:rPr>
          <w:rFonts w:ascii="Times New Roman" w:hAnsi="Times New Roman" w:cs="Times New Roman" w:eastAsia="Times New Roman"/>
          <w:b/>
          <w:color w:val="auto"/>
          <w:spacing w:val="0"/>
          <w:position w:val="0"/>
          <w:sz w:val="32"/>
          <w:shd w:fill="auto" w:val="clear"/>
        </w:rPr>
      </w:pPr>
    </w:p>
    <w:p>
      <w:pPr>
        <w:spacing w:before="0" w:after="200" w:line="360"/>
        <w:ind w:right="0" w:left="0" w:firstLine="0"/>
        <w:jc w:val="center"/>
        <w:rPr>
          <w:rFonts w:ascii="Times New Roman" w:hAnsi="Times New Roman" w:cs="Times New Roman" w:eastAsia="Times New Roman"/>
          <w:b/>
          <w:color w:val="auto"/>
          <w:spacing w:val="0"/>
          <w:position w:val="0"/>
          <w:sz w:val="32"/>
          <w:shd w:fill="auto" w:val="clear"/>
        </w:rPr>
      </w:pPr>
    </w:p>
    <w:p>
      <w:pPr>
        <w:spacing w:before="0" w:after="200" w:line="360"/>
        <w:ind w:right="0" w:left="0" w:firstLine="0"/>
        <w:jc w:val="center"/>
        <w:rPr>
          <w:rFonts w:ascii="Times New Roman" w:hAnsi="Times New Roman" w:cs="Times New Roman" w:eastAsia="Times New Roman"/>
          <w:b/>
          <w:color w:val="auto"/>
          <w:spacing w:val="0"/>
          <w:position w:val="0"/>
          <w:sz w:val="32"/>
          <w:shd w:fill="auto" w:val="clear"/>
        </w:rPr>
      </w:pPr>
    </w:p>
    <w:p>
      <w:pPr>
        <w:spacing w:before="0" w:after="200" w:line="360"/>
        <w:ind w:right="0" w:left="0" w:firstLine="0"/>
        <w:jc w:val="center"/>
        <w:rPr>
          <w:rFonts w:ascii="Times New Roman" w:hAnsi="Times New Roman" w:cs="Times New Roman" w:eastAsia="Times New Roman"/>
          <w:b/>
          <w:color w:val="auto"/>
          <w:spacing w:val="0"/>
          <w:position w:val="0"/>
          <w:sz w:val="32"/>
          <w:shd w:fill="auto" w:val="clear"/>
        </w:rPr>
      </w:pPr>
    </w:p>
    <w:p>
      <w:pPr>
        <w:spacing w:before="0" w:after="200" w:line="360"/>
        <w:ind w:right="0" w:left="0" w:firstLine="0"/>
        <w:jc w:val="center"/>
        <w:rPr>
          <w:rFonts w:ascii="Times New Roman" w:hAnsi="Times New Roman" w:cs="Times New Roman" w:eastAsia="Times New Roman"/>
          <w:b/>
          <w:color w:val="auto"/>
          <w:spacing w:val="0"/>
          <w:position w:val="0"/>
          <w:sz w:val="32"/>
          <w:shd w:fill="auto" w:val="clear"/>
        </w:rPr>
      </w:pPr>
    </w:p>
    <w:p>
      <w:pPr>
        <w:spacing w:before="0" w:after="200" w:line="360"/>
        <w:ind w:right="0" w:left="0" w:firstLine="0"/>
        <w:jc w:val="center"/>
        <w:rPr>
          <w:rFonts w:ascii="Times New Roman" w:hAnsi="Times New Roman" w:cs="Times New Roman" w:eastAsia="Times New Roman"/>
          <w:b/>
          <w:color w:val="auto"/>
          <w:spacing w:val="0"/>
          <w:position w:val="0"/>
          <w:sz w:val="32"/>
          <w:shd w:fill="auto" w:val="clear"/>
        </w:rPr>
      </w:pPr>
    </w:p>
    <w:p>
      <w:pPr>
        <w:spacing w:before="0" w:after="200" w:line="360"/>
        <w:ind w:right="0" w:left="0" w:firstLine="0"/>
        <w:jc w:val="center"/>
        <w:rPr>
          <w:rFonts w:ascii="Times New Roman" w:hAnsi="Times New Roman" w:cs="Times New Roman" w:eastAsia="Times New Roman"/>
          <w:b/>
          <w:color w:val="auto"/>
          <w:spacing w:val="0"/>
          <w:position w:val="0"/>
          <w:sz w:val="32"/>
          <w:shd w:fill="auto" w:val="clear"/>
        </w:rPr>
      </w:pPr>
    </w:p>
    <w:p>
      <w:pPr>
        <w:spacing w:before="0" w:after="200" w:line="360"/>
        <w:ind w:right="0" w:left="0" w:firstLine="0"/>
        <w:jc w:val="center"/>
        <w:rPr>
          <w:rFonts w:ascii="Times New Roman" w:hAnsi="Times New Roman" w:cs="Times New Roman" w:eastAsia="Times New Roman"/>
          <w:b/>
          <w:color w:val="auto"/>
          <w:spacing w:val="0"/>
          <w:position w:val="0"/>
          <w:sz w:val="32"/>
          <w:shd w:fill="auto" w:val="clear"/>
        </w:rPr>
      </w:pPr>
      <w:r>
        <w:rPr>
          <w:rFonts w:ascii="Times New Roman" w:hAnsi="Times New Roman" w:cs="Times New Roman" w:eastAsia="Times New Roman"/>
          <w:b/>
          <w:color w:val="auto"/>
          <w:spacing w:val="0"/>
          <w:position w:val="0"/>
          <w:sz w:val="32"/>
          <w:shd w:fill="auto" w:val="clear"/>
        </w:rPr>
        <w:t xml:space="preserve">ACADEMIC AND EMPLOYABILITY SKILLS</w:t>
      </w:r>
    </w:p>
    <w:p>
      <w:pPr>
        <w:spacing w:before="0" w:after="20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200" w:line="276"/>
        <w:ind w:right="0" w:left="0" w:firstLine="0"/>
        <w:jc w:val="left"/>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276"/>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2"/>
          <w:shd w:fill="auto" w:val="clear"/>
        </w:rPr>
        <w:t xml:space="preserve"> </w:t>
      </w:r>
    </w:p>
    <w:p>
      <w:pPr>
        <w:spacing w:before="0" w:after="200" w:line="276"/>
        <w:ind w:right="0" w:left="0" w:firstLine="0"/>
        <w:jc w:val="left"/>
        <w:rPr>
          <w:rFonts w:ascii="Times New Roman" w:hAnsi="Times New Roman" w:cs="Times New Roman" w:eastAsia="Times New Roman"/>
          <w:b/>
          <w:color w:val="auto"/>
          <w:spacing w:val="0"/>
          <w:position w:val="0"/>
          <w:sz w:val="28"/>
          <w:shd w:fill="auto" w:val="clear"/>
        </w:rPr>
      </w:pPr>
    </w:p>
    <w:p>
      <w:pPr>
        <w:keepNext w:val="true"/>
        <w:keepLines w:val="true"/>
        <w:spacing w:before="480" w:after="0" w:line="480"/>
        <w:ind w:right="0" w:left="0" w:firstLine="0"/>
        <w:jc w:val="left"/>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Task 1: “What is the most effective way to motivate staff?”</w:t>
      </w:r>
    </w:p>
    <w:p>
      <w:pPr>
        <w:keepNext w:val="true"/>
        <w:keepLines w:val="true"/>
        <w:spacing w:before="200" w:after="0" w:line="480"/>
        <w:ind w:right="0" w:left="0" w:firstLine="0"/>
        <w:jc w:val="left"/>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Introduction</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Human motivation is a kind of behavioural pattern associated with economics and psychology that leads to a moral qualification. It includes the act of initiating, steering, intensifying, and persisting with a desired object such as a hobby or a goal, as well as engaging in ideal behaviours. At this time, the sustainability of any entrepreneurial firm is dependent on its workers' ability to use their maximum skills and motivational capabilities. Managers typically see motivation as a mysterious phenomenon even though theories and techniques are accessible. The most important aspect of motivation is to provide individuals with what they desire most from their work environments. To achieve their goals, managers need to deliver more of what they want. Efficiency, competence, and service should all increase as a result of a positive incentive theory and practice (</w:t>
      </w:r>
      <w:r>
        <w:rPr>
          <w:rFonts w:ascii="Times New Roman" w:hAnsi="Times New Roman" w:cs="Times New Roman" w:eastAsia="Times New Roman"/>
          <w:color w:val="222222"/>
          <w:spacing w:val="0"/>
          <w:position w:val="0"/>
          <w:sz w:val="24"/>
          <w:shd w:fill="FFFFFF" w:val="clear"/>
        </w:rPr>
        <w:t xml:space="preserve">Maina et al. 2022</w:t>
      </w:r>
      <w:r>
        <w:rPr>
          <w:rFonts w:ascii="Times New Roman" w:hAnsi="Times New Roman" w:cs="Times New Roman" w:eastAsia="Times New Roman"/>
          <w:color w:val="auto"/>
          <w:spacing w:val="0"/>
          <w:position w:val="0"/>
          <w:sz w:val="24"/>
          <w:shd w:fill="auto" w:val="clear"/>
        </w:rPr>
        <w:t xml:space="preserve">). The capacity to be motivated allows individuals to accomplish their objectives, obtain a positive viewpoint, acquire the capacity to evolve, increase their self-esteem and competence, explore their potential with creativity, and control their growth and capacities.</w:t>
      </w:r>
    </w:p>
    <w:p>
      <w:pPr>
        <w:keepNext w:val="true"/>
        <w:keepLines w:val="true"/>
        <w:spacing w:before="480" w:after="0" w:line="480"/>
        <w:ind w:right="0" w:left="0" w:firstLine="0"/>
        <w:jc w:val="left"/>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The different ways that staff can be motivated</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There are several common methods of motivation, such as positive reinforcement. Workers of a firm can hold property in the organization’s goals and objectives. A compensation package is another method of incentive, as is the Scanlon plan. The Scanlon organization is a series of gain combining plan that provides incentives for incremental changes. Merit plans, gain sharing, yearly bonuses and other forms of compensation are all ways to motivate individuals (</w:t>
      </w:r>
      <w:r>
        <w:rPr>
          <w:rFonts w:ascii="Times New Roman" w:hAnsi="Times New Roman" w:cs="Times New Roman" w:eastAsia="Times New Roman"/>
          <w:color w:val="222222"/>
          <w:spacing w:val="0"/>
          <w:position w:val="0"/>
          <w:sz w:val="24"/>
          <w:shd w:fill="FFFFFF" w:val="clear"/>
        </w:rPr>
        <w:t xml:space="preserve">Cotronei-Baird, 2020</w:t>
      </w:r>
      <w:r>
        <w:rPr>
          <w:rFonts w:ascii="Times New Roman" w:hAnsi="Times New Roman" w:cs="Times New Roman" w:eastAsia="Times New Roman"/>
          <w:color w:val="auto"/>
          <w:spacing w:val="0"/>
          <w:position w:val="0"/>
          <w:sz w:val="24"/>
          <w:shd w:fill="auto" w:val="clear"/>
        </w:rPr>
        <w:t xml:space="preserve">). A gain sharing plan, as Dessler (1999) pointed out, is an early form of what was then characterized as a performance incentive plan, which is an inducement plan that includes numerous or all workers in a joint effort to accomplish a firm's performance targets; any additional cost-saving benefits are shared amongst customers and the organization.</w:t>
      </w:r>
    </w:p>
    <w:p>
      <w:pPr>
        <w:keepNext w:val="true"/>
        <w:keepLines w:val="true"/>
        <w:spacing w:before="200" w:after="0" w:line="480"/>
        <w:ind w:right="0" w:left="0" w:firstLine="0"/>
        <w:jc w:val="left"/>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Pay</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poses a very sensitive problem for many workers, who see it as a kind of discrimination against their peers. The danger is that an employee's view of compensation is skewed toward the basic salary: When inflation and service time are taken into account, the fixed sum increases each year. Upon promotion to a more responsible position, base salary will also be affected. Base salary is becoming less important for certain companies. To answer the issue of how to accomplish conventional incentive goals of recruiting, retaining, and inspiring employees while keeping the pay budget as cost-effective as possible, consider the following: Whether to pay the variable components as a one-time bonus or to include them in the base wage is an important consideration. One-time cash bonuses have become more popular in the United States (</w:t>
      </w:r>
      <w:r>
        <w:rPr>
          <w:rFonts w:ascii="Times New Roman" w:hAnsi="Times New Roman" w:cs="Times New Roman" w:eastAsia="Times New Roman"/>
          <w:color w:val="222222"/>
          <w:spacing w:val="0"/>
          <w:position w:val="0"/>
          <w:sz w:val="24"/>
          <w:shd w:fill="FFFFFF" w:val="clear"/>
        </w:rPr>
        <w:t xml:space="preserve">Osmani et al. 2019</w:t>
      </w:r>
      <w:r>
        <w:rPr>
          <w:rFonts w:ascii="Times New Roman" w:hAnsi="Times New Roman" w:cs="Times New Roman" w:eastAsia="Times New Roman"/>
          <w:color w:val="auto"/>
          <w:spacing w:val="0"/>
          <w:position w:val="0"/>
          <w:sz w:val="24"/>
          <w:shd w:fill="auto" w:val="clear"/>
        </w:rPr>
        <w:t xml:space="preserve">). It's hardly unexpected, considering that the organization is saving money. Unlike other payments like overtime and pensions, one-time cash bonuses do not affect the future base salary or any related payments. However, to reward achievement, a method for assessing performance must first be in place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most typically in the form of an assessment or review system.</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Using this method, each individual's personality is rated on a scale, such as extending from poor to excellent. Managers may have some leeway in how these scores are translated into compensation increases under certain systems. A matrix system or formula is often used to assign a grade, degree, or area of work to each performance category for determining the pay increase's performance component (</w:t>
      </w:r>
      <w:r>
        <w:rPr>
          <w:rFonts w:ascii="Times New Roman" w:hAnsi="Times New Roman" w:cs="Times New Roman" w:eastAsia="Times New Roman"/>
          <w:color w:val="222222"/>
          <w:spacing w:val="0"/>
          <w:position w:val="0"/>
          <w:sz w:val="24"/>
          <w:shd w:fill="FFFFFF" w:val="clear"/>
        </w:rPr>
        <w:t xml:space="preserve">Scott et al. 2019</w:t>
      </w:r>
      <w:r>
        <w:rPr>
          <w:rFonts w:ascii="Times New Roman" w:hAnsi="Times New Roman" w:cs="Times New Roman" w:eastAsia="Times New Roman"/>
          <w:color w:val="auto"/>
          <w:spacing w:val="0"/>
          <w:position w:val="0"/>
          <w:sz w:val="24"/>
          <w:shd w:fill="auto" w:val="clear"/>
        </w:rPr>
        <w:t xml:space="preserve">). This is the more common practice. For example, a comparison ratio may be used to determine how much each employee makes in proportion to the middle of their grade. As a result, the comparability ratio for an employee in the middle of their salary range would be 100 percent.</w:t>
      </w:r>
    </w:p>
    <w:p>
      <w:pPr>
        <w:keepNext w:val="true"/>
        <w:keepLines w:val="true"/>
        <w:spacing w:before="200" w:after="0" w:line="480"/>
        <w:ind w:right="0" w:left="0" w:firstLine="0"/>
        <w:jc w:val="left"/>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Recognition and awards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When a company has a culture in which non-management workers obtain increases solely based on seniority, there is always a group of people who advocate for merit raises. Gathering together a large number of guys doing identical labour for a set hourly wage considerably increases the general propensity to "take it easy.” Working for a few days beside a naturally active individual, the premise of the question is incomprehensible (</w:t>
      </w:r>
      <w:r>
        <w:rPr>
          <w:rFonts w:ascii="Times New Roman" w:hAnsi="Times New Roman" w:cs="Times New Roman" w:eastAsia="Times New Roman"/>
          <w:color w:val="222222"/>
          <w:spacing w:val="0"/>
          <w:position w:val="0"/>
          <w:sz w:val="24"/>
          <w:shd w:fill="FFFFFF" w:val="clear"/>
        </w:rPr>
        <w:t xml:space="preserve">Sokhanvar et al. 2021</w:t>
      </w:r>
      <w:r>
        <w:rPr>
          <w:rFonts w:ascii="Times New Roman" w:hAnsi="Times New Roman" w:cs="Times New Roman" w:eastAsia="Times New Roman"/>
          <w:color w:val="auto"/>
          <w:spacing w:val="0"/>
          <w:position w:val="0"/>
          <w:sz w:val="24"/>
          <w:shd w:fill="auto" w:val="clear"/>
        </w:rPr>
        <w:t xml:space="preserve">). The issue that may arise in the mind of the motivated employee is: why should I put in more effort when the lazy employee receives the same compensation as I do? That feeling was voiced in the minds of a large number of employees. However, the reality is that their managers and colleagues do not agree with their self-evaluation. Performance-related pay is a kind of payment in which pay advancement is linked to an evaluation of an individual's performance. Individual, consolidated pay is the primary emphasis of this factsheet, but achievement pay is often incorporated into basic pay but may be paid in non-consolidated money (</w:t>
      </w:r>
      <w:r>
        <w:rPr>
          <w:rFonts w:ascii="Times New Roman" w:hAnsi="Times New Roman" w:cs="Times New Roman" w:eastAsia="Times New Roman"/>
          <w:color w:val="222222"/>
          <w:spacing w:val="0"/>
          <w:position w:val="0"/>
          <w:sz w:val="24"/>
          <w:shd w:fill="FFFFFF" w:val="clear"/>
        </w:rPr>
        <w:t xml:space="preserve">Pinto and He, 2019</w:t>
      </w:r>
      <w:r>
        <w:rPr>
          <w:rFonts w:ascii="Times New Roman" w:hAnsi="Times New Roman" w:cs="Times New Roman" w:eastAsia="Times New Roman"/>
          <w:color w:val="auto"/>
          <w:spacing w:val="0"/>
          <w:position w:val="0"/>
          <w:sz w:val="24"/>
          <w:shd w:fill="auto" w:val="clear"/>
        </w:rPr>
        <w:t xml:space="preserve">). Many different compensation arrangements tie organizational and individual performance together, including bonus schemes that might be classified as performance-related pay to determine advancement in one's salary.</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This approach to incentive compensation administration seems to be extremely reasonable at first glance, but it involves substantial assumptions, according to Dr. Gilam (2004), about how a manager should evaluate performance and devise a reward plan. Consider the primary driving reason behind the rewards method (</w:t>
      </w:r>
      <w:r>
        <w:rPr>
          <w:rFonts w:ascii="Times New Roman" w:hAnsi="Times New Roman" w:cs="Times New Roman" w:eastAsia="Times New Roman"/>
          <w:color w:val="222222"/>
          <w:spacing w:val="0"/>
          <w:position w:val="0"/>
          <w:sz w:val="24"/>
          <w:shd w:fill="FFFFFF" w:val="clear"/>
        </w:rPr>
        <w:t xml:space="preserve">Stewart, 2021</w:t>
      </w:r>
      <w:r>
        <w:rPr>
          <w:rFonts w:ascii="Times New Roman" w:hAnsi="Times New Roman" w:cs="Times New Roman" w:eastAsia="Times New Roman"/>
          <w:color w:val="auto"/>
          <w:spacing w:val="0"/>
          <w:position w:val="0"/>
          <w:sz w:val="24"/>
          <w:shd w:fill="auto" w:val="clear"/>
        </w:rPr>
        <w:t xml:space="preserv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Organizations and workplaces that reward and recognize their employees are essential. To boost employee morale, it's important to reward them for their hard work and help them see the value in what they do for the company. Even though a great lot of study has been done on merit pay, workers who have performed under a merit compensation structure have been given little chance to communicate what is on their minds about their jobs as well as what those who thought of this incentive system (</w:t>
      </w:r>
      <w:r>
        <w:rPr>
          <w:rFonts w:ascii="Times New Roman" w:hAnsi="Times New Roman" w:cs="Times New Roman" w:eastAsia="Times New Roman"/>
          <w:color w:val="222222"/>
          <w:spacing w:val="0"/>
          <w:position w:val="0"/>
          <w:sz w:val="24"/>
          <w:shd w:fill="FFFFFF" w:val="clear"/>
        </w:rPr>
        <w:t xml:space="preserve">Bhagra and Sharma, 2018</w:t>
      </w:r>
      <w:r>
        <w:rPr>
          <w:rFonts w:ascii="Times New Roman" w:hAnsi="Times New Roman" w:cs="Times New Roman" w:eastAsia="Times New Roman"/>
          <w:color w:val="auto"/>
          <w:spacing w:val="0"/>
          <w:position w:val="0"/>
          <w:sz w:val="24"/>
          <w:shd w:fill="auto" w:val="clear"/>
        </w:rPr>
        <w:t xml:space="preserve">). It seems to be an easy definition of merit, for instance, in the context of employee retention and promotion; because everyone who is "meritorious" may be recognized, does not need to compare various forms of performance. Employees at a huge corporation discuss a performance-based compensation scheme that was just established, and the paper writes about how they feel about it. If you believe in merit pay, you should be able to express your thoughts openly and without fear of reprisal. The response was overwhelming in its support for merit-based remuneration. As a consequence of the use of currency as a motivation and workers' belief in the importance of compensation, employees are more likely to perform at their best and achieve better results than those who are less successful (</w:t>
      </w:r>
      <w:r>
        <w:rPr>
          <w:rFonts w:ascii="Times New Roman" w:hAnsi="Times New Roman" w:cs="Times New Roman" w:eastAsia="Times New Roman"/>
          <w:color w:val="222222"/>
          <w:spacing w:val="0"/>
          <w:position w:val="0"/>
          <w:sz w:val="24"/>
          <w:shd w:fill="FFFFFF" w:val="clear"/>
        </w:rPr>
        <w:t xml:space="preserve">Keiper et al. 2019</w:t>
      </w:r>
      <w:r>
        <w:rPr>
          <w:rFonts w:ascii="Times New Roman" w:hAnsi="Times New Roman" w:cs="Times New Roman" w:eastAsia="Times New Roman"/>
          <w:color w:val="auto"/>
          <w:spacing w:val="0"/>
          <w:position w:val="0"/>
          <w:sz w:val="24"/>
          <w:shd w:fill="auto" w:val="clear"/>
        </w:rPr>
        <w:t xml:space="preserve">). A company's workers are rewarded and recognized via compensation, perks, and prizes. There are many ways that financial incentives may encourage good or bad behaviour. These include bonuses, raises in pay, and other financial incentives. Team engagement may be reinforced and encouraged through a well-designed term incentive (</w:t>
      </w:r>
      <w:r>
        <w:rPr>
          <w:rFonts w:ascii="Times New Roman" w:hAnsi="Times New Roman" w:cs="Times New Roman" w:eastAsia="Times New Roman"/>
          <w:color w:val="222222"/>
          <w:spacing w:val="0"/>
          <w:position w:val="0"/>
          <w:sz w:val="24"/>
          <w:shd w:fill="FFFFFF" w:val="clear"/>
        </w:rPr>
        <w:t xml:space="preserve">Sharifi Asadi Malafeh et al. 2019</w:t>
      </w:r>
      <w:r>
        <w:rPr>
          <w:rFonts w:ascii="Times New Roman" w:hAnsi="Times New Roman" w:cs="Times New Roman" w:eastAsia="Times New Roman"/>
          <w:color w:val="auto"/>
          <w:spacing w:val="0"/>
          <w:position w:val="0"/>
          <w:sz w:val="24"/>
          <w:shd w:fill="auto" w:val="clear"/>
        </w:rPr>
        <w:t xml:space="preserve">). As a manager, you may promote and reinforce good behaviours by praising the employees for their hard work.</w:t>
      </w:r>
    </w:p>
    <w:p>
      <w:pPr>
        <w:keepNext w:val="true"/>
        <w:keepLines w:val="true"/>
        <w:spacing w:before="200" w:after="0" w:line="48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Additional holiday</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When a corporation manages holiday entitlement appropriately, it is advantageous to both the company and the employees. Vacation and holiday pay disagreements occur when rights are not explicitly agreed upon and documented in writing. These arguments might result in a worsening in the connection with employees, as well as the filing of grievances with occupational arbitration courts (</w:t>
      </w:r>
      <w:r>
        <w:rPr>
          <w:rFonts w:ascii="Times New Roman" w:hAnsi="Times New Roman" w:cs="Times New Roman" w:eastAsia="Times New Roman"/>
          <w:color w:val="222222"/>
          <w:spacing w:val="0"/>
          <w:position w:val="0"/>
          <w:sz w:val="24"/>
          <w:shd w:fill="FFFFFF" w:val="clear"/>
        </w:rPr>
        <w:t xml:space="preserve">Hart, 2019</w:t>
      </w:r>
      <w:r>
        <w:rPr>
          <w:rFonts w:ascii="Times New Roman" w:hAnsi="Times New Roman" w:cs="Times New Roman" w:eastAsia="Times New Roman"/>
          <w:color w:val="auto"/>
          <w:spacing w:val="0"/>
          <w:position w:val="0"/>
          <w:sz w:val="24"/>
          <w:shd w:fill="auto" w:val="clear"/>
        </w:rPr>
        <w:t xml:space="preserve">). Furthermore, practically all employees over the age of school leaving are entitled to constitutional paid vacation entitlement, so businesses should be aware of what this implies for their operations and how it is calculated for each employee.</w:t>
      </w:r>
    </w:p>
    <w:p>
      <w:pPr>
        <w:numPr>
          <w:ilvl w:val="0"/>
          <w:numId w:val="16"/>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variety of corporate advantages may be realized by effectively managing employee vacation and sick leave entitlements.</w:t>
      </w:r>
    </w:p>
    <w:p>
      <w:pPr>
        <w:numPr>
          <w:ilvl w:val="0"/>
          <w:numId w:val="16"/>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Employees who are allowed to take frequent vacations might feel more appreciated and enthusiastic about their job, which in turn allows them to perform more efficiently (</w:t>
      </w:r>
      <w:r>
        <w:rPr>
          <w:rFonts w:ascii="Times New Roman" w:hAnsi="Times New Roman" w:cs="Times New Roman" w:eastAsia="Times New Roman"/>
          <w:color w:val="222222"/>
          <w:spacing w:val="0"/>
          <w:position w:val="0"/>
          <w:sz w:val="24"/>
          <w:shd w:fill="FFFFFF" w:val="clear"/>
        </w:rPr>
        <w:t xml:space="preserve">Suarta et al. 2018</w:t>
      </w:r>
      <w:r>
        <w:rPr>
          <w:rFonts w:ascii="Times New Roman" w:hAnsi="Times New Roman" w:cs="Times New Roman" w:eastAsia="Times New Roman"/>
          <w:color w:val="auto"/>
          <w:spacing w:val="0"/>
          <w:position w:val="0"/>
          <w:sz w:val="24"/>
          <w:shd w:fill="auto" w:val="clear"/>
        </w:rPr>
        <w:t xml:space="preserve">).</w:t>
      </w:r>
    </w:p>
    <w:p>
      <w:pPr>
        <w:numPr>
          <w:ilvl w:val="0"/>
          <w:numId w:val="16"/>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Taking frequent breaks from the job guarantees that employees are less likely to be involved in accidents and are less likely to experience stress as a result of having regular opportunities to relax.</w:t>
      </w:r>
    </w:p>
    <w:p>
      <w:pPr>
        <w:numPr>
          <w:ilvl w:val="0"/>
          <w:numId w:val="16"/>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It is important to have an annual leave policy in place and to include paid holiday entitlement in workers' employment contracts so that everyone is aware of the rules and procedures (</w:t>
      </w:r>
      <w:r>
        <w:rPr>
          <w:rFonts w:ascii="Times New Roman" w:hAnsi="Times New Roman" w:cs="Times New Roman" w:eastAsia="Times New Roman"/>
          <w:color w:val="222222"/>
          <w:spacing w:val="0"/>
          <w:position w:val="0"/>
          <w:sz w:val="24"/>
          <w:shd w:fill="FFFFFF" w:val="clear"/>
        </w:rPr>
        <w:t xml:space="preserve">Sarkar et al. 2020</w:t>
      </w:r>
      <w:r>
        <w:rPr>
          <w:rFonts w:ascii="Times New Roman" w:hAnsi="Times New Roman" w:cs="Times New Roman" w:eastAsia="Times New Roman"/>
          <w:color w:val="auto"/>
          <w:spacing w:val="0"/>
          <w:position w:val="0"/>
          <w:sz w:val="24"/>
          <w:shd w:fill="auto" w:val="clear"/>
        </w:rPr>
        <w:t xml:space="preserve">). For workers to believe they have already been treated properly, a uniform approach to personal leave should be taken across the organization.</w:t>
      </w:r>
    </w:p>
    <w:p>
      <w:pPr>
        <w:numPr>
          <w:ilvl w:val="0"/>
          <w:numId w:val="16"/>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Having a policy in place, as well as suitable processes in place reduces the likelihood of conflicts occurring. If the proper protocol has been performed and the employee has been given ample warning of the absence so that they may be prepared for the leave, the employee is more likely to have their annual leave request approved by the employer (</w:t>
      </w:r>
      <w:r>
        <w:rPr>
          <w:rFonts w:ascii="Times New Roman" w:hAnsi="Times New Roman" w:cs="Times New Roman" w:eastAsia="Times New Roman"/>
          <w:color w:val="222222"/>
          <w:spacing w:val="0"/>
          <w:position w:val="0"/>
          <w:sz w:val="24"/>
          <w:shd w:fill="FFFFFF" w:val="clear"/>
        </w:rPr>
        <w:t xml:space="preserve">Husam and Abraham, 2019</w:t>
      </w:r>
      <w:r>
        <w:rPr>
          <w:rFonts w:ascii="Times New Roman" w:hAnsi="Times New Roman" w:cs="Times New Roman" w:eastAsia="Times New Roman"/>
          <w:color w:val="auto"/>
          <w:spacing w:val="0"/>
          <w:position w:val="0"/>
          <w:sz w:val="24"/>
          <w:shd w:fill="auto" w:val="clear"/>
        </w:rPr>
        <w:t xml:space="preserve">).</w:t>
      </w:r>
    </w:p>
    <w:p>
      <w:pPr>
        <w:numPr>
          <w:ilvl w:val="0"/>
          <w:numId w:val="16"/>
        </w:numPr>
        <w:spacing w:before="0" w:after="200" w:line="360"/>
        <w:ind w:right="0" w:left="720" w:hanging="36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In addition, the company should see a reduction in sick leave and employee turnover as a result of increased employee appreciation, which means that employees are less likely to utilize sick leave whenever they need to take a day off work.</w:t>
      </w:r>
    </w:p>
    <w:p>
      <w:pPr>
        <w:keepNext w:val="true"/>
        <w:keepLines w:val="true"/>
        <w:spacing w:before="200" w:after="0" w:line="480"/>
        <w:ind w:right="0" w:left="0" w:firstLine="0"/>
        <w:jc w:val="left"/>
        <w:rPr>
          <w:rFonts w:ascii="Times New Roman" w:hAnsi="Times New Roman" w:cs="Times New Roman" w:eastAsia="Times New Roman"/>
          <w:b/>
          <w:color w:val="auto"/>
          <w:spacing w:val="0"/>
          <w:position w:val="0"/>
          <w:sz w:val="24"/>
          <w:shd w:fill="auto" w:val="clear"/>
        </w:rPr>
      </w:pPr>
      <w:r>
        <w:rPr>
          <w:rFonts w:ascii="Times New Roman" w:hAnsi="Times New Roman" w:cs="Times New Roman" w:eastAsia="Times New Roman"/>
          <w:b/>
          <w:color w:val="auto"/>
          <w:spacing w:val="0"/>
          <w:position w:val="0"/>
          <w:sz w:val="24"/>
          <w:shd w:fill="auto" w:val="clear"/>
        </w:rPr>
        <w:t xml:space="preserve">Good working conditions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Allowing employees to work in a variety of environments may help them perform at their best. This should contain sections for solitary work as well as those that encourage collaboration. These settings may be tailored to meet the specific duties and activities that employees do. An organization's overall objectives might benefit from employees' motivation to improve the way they operate as a result of a strong organizational culture (</w:t>
      </w:r>
      <w:r>
        <w:rPr>
          <w:rFonts w:ascii="Times New Roman" w:hAnsi="Times New Roman" w:cs="Times New Roman" w:eastAsia="Times New Roman"/>
          <w:color w:val="222222"/>
          <w:spacing w:val="0"/>
          <w:position w:val="0"/>
          <w:sz w:val="24"/>
          <w:shd w:fill="FFFFFF" w:val="clear"/>
        </w:rPr>
        <w:t xml:space="preserve">Igwe et al. 2020</w:t>
      </w:r>
      <w:r>
        <w:rPr>
          <w:rFonts w:ascii="Times New Roman" w:hAnsi="Times New Roman" w:cs="Times New Roman" w:eastAsia="Times New Roman"/>
          <w:color w:val="auto"/>
          <w:spacing w:val="0"/>
          <w:position w:val="0"/>
          <w:sz w:val="24"/>
          <w:shd w:fill="auto" w:val="clear"/>
        </w:rPr>
        <w:t xml:space="preserve">). For workers to perform at their best, they must have a positive workplace environment, which serves as a motivational component. Poor working circumstances lead to unhappiness with one's employment, which in turn causes decreased output and, as a result, staff attrition. Key people with tacit knowledge are often difficult to replace, and if the firm is unable to find replacements for the key employees, it may have to shut and sack the remainder of its workforce. This is always an issue for a corporation (</w:t>
      </w:r>
      <w:r>
        <w:rPr>
          <w:rFonts w:ascii="Times New Roman" w:hAnsi="Times New Roman" w:cs="Times New Roman" w:eastAsia="Times New Roman"/>
          <w:color w:val="222222"/>
          <w:spacing w:val="0"/>
          <w:position w:val="0"/>
          <w:sz w:val="24"/>
          <w:shd w:fill="FFFFFF" w:val="clear"/>
        </w:rPr>
        <w:t xml:space="preserve">Aliu and Aigbavboa, 2019</w:t>
      </w:r>
      <w:r>
        <w:rPr>
          <w:rFonts w:ascii="Times New Roman" w:hAnsi="Times New Roman" w:cs="Times New Roman" w:eastAsia="Times New Roman"/>
          <w:color w:val="auto"/>
          <w:spacing w:val="0"/>
          <w:position w:val="0"/>
          <w:sz w:val="24"/>
          <w:shd w:fill="auto" w:val="clear"/>
        </w:rPr>
        <w:t xml:space="preserve">). As an alternative, happy employees can be instinctually motivated by their work environment, which leads to stable or even improved performance as well as increased communication and customer loyalty. This ensures that the company's tacit knowledge is preserved and can be used to spur new ideas and changes that are essential to ensure competitiveness in today's market. In a word, a positive work environment has a direct impact on staff productivity and motivation. People's jobs, the way they work, and the results of their work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as well as their interest in those results </w:t>
      </w:r>
      <w:r>
        <w:rPr>
          <w:rFonts w:ascii="Times New Roman" w:hAnsi="Times New Roman" w:cs="Times New Roman" w:eastAsia="Times New Roman"/>
          <w:color w:val="auto"/>
          <w:spacing w:val="0"/>
          <w:position w:val="0"/>
          <w:sz w:val="24"/>
          <w:shd w:fill="auto" w:val="clear"/>
        </w:rPr>
        <w:t xml:space="preserve">—</w:t>
      </w:r>
      <w:r>
        <w:rPr>
          <w:rFonts w:ascii="Times New Roman" w:hAnsi="Times New Roman" w:cs="Times New Roman" w:eastAsia="Times New Roman"/>
          <w:color w:val="auto"/>
          <w:spacing w:val="0"/>
          <w:position w:val="0"/>
          <w:sz w:val="24"/>
          <w:shd w:fill="auto" w:val="clear"/>
        </w:rPr>
        <w:t xml:space="preserve"> are all affected by their work environment, which often has an impact on their personal lives as well. Employee morale, productivity, and well-being may all suffer in an unfriendly business environment. Workplace diversity may foster innovative approaches to problem-solving and allow employees to choose the workplace that best meets their needs and the project at hand. Employee productivity is highly dependent on their immediate work environment (</w:t>
      </w:r>
      <w:r>
        <w:rPr>
          <w:rFonts w:ascii="Times New Roman" w:hAnsi="Times New Roman" w:cs="Times New Roman" w:eastAsia="Times New Roman"/>
          <w:color w:val="222222"/>
          <w:spacing w:val="0"/>
          <w:position w:val="0"/>
          <w:sz w:val="24"/>
          <w:shd w:fill="FFFFFF" w:val="clear"/>
        </w:rPr>
        <w:t xml:space="preserve">Griffin and Coelhoso, 2018</w:t>
      </w:r>
      <w:r>
        <w:rPr>
          <w:rFonts w:ascii="Times New Roman" w:hAnsi="Times New Roman" w:cs="Times New Roman" w:eastAsia="Times New Roman"/>
          <w:color w:val="auto"/>
          <w:spacing w:val="0"/>
          <w:position w:val="0"/>
          <w:sz w:val="24"/>
          <w:shd w:fill="auto" w:val="clear"/>
        </w:rPr>
        <w:t xml:space="preserve">). A “company's productivity, performance, health and safety, convenience, attention levels”, and overall feelings of well-being are all directly influenced by the physical characteristics of the workplace.</w:t>
      </w:r>
    </w:p>
    <w:p>
      <w:pPr>
        <w:keepNext w:val="true"/>
        <w:keepLines w:val="true"/>
        <w:spacing w:before="200" w:after="0" w:line="480"/>
        <w:ind w:right="0" w:left="0" w:firstLine="0"/>
        <w:jc w:val="left"/>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Conclusion &amp; Recommendations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As long as the company is committed to implementing merit pay, it should keep performance and pay evaluations separately. During a performance review, management should make a payment choice based on how well employees are doing on a day-to-day basis or on how well they are working toward the objectives they set for themselves. Management should also ensure that the salary ranges are broad enough to keep the employee satisfied after earning the award. '</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There isn't a wage structure in existence that can meet the needs of every employee. It is possible, however, for a successful management team to establish a compensation structure that helps them achieve their aim of a motivated and high-performing workforce. Because of this, a commercial organization's drive is an essential and crucial instrument for moving forward with a creative structure and an original approach to globalization.</w:t>
      </w:r>
    </w:p>
    <w:p>
      <w:pPr>
        <w:spacing w:before="0" w:after="20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200" w:line="276"/>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spacing w:before="480" w:after="0" w:line="480"/>
        <w:ind w:right="0" w:left="0" w:firstLine="0"/>
        <w:jc w:val="left"/>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Task 2: Reflective report</w:t>
      </w:r>
    </w:p>
    <w:p>
      <w:pPr>
        <w:keepNext w:val="true"/>
        <w:keepLines w:val="true"/>
        <w:spacing w:before="200" w:after="0" w:line="480"/>
        <w:ind w:right="0" w:left="0" w:firstLine="0"/>
        <w:jc w:val="left"/>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Introduction</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 person's professional growth is heavily influenced by their personal growth. Aside from academic proficiency, I'm hoping to gain employable skills by completing all of my coursework. “Communication, Teamwork, and Time Management are the most important professional abilities” that may be developed via self-awareness and evaluation. “Gibbs Reflective Cycle” has been an excellent tool for demonstrating my present abilities and enhancing them. The purpose of this report is to reflect on my academic progress in this program (</w:t>
      </w:r>
      <w:r>
        <w:rPr>
          <w:rFonts w:ascii="Times New Roman" w:hAnsi="Times New Roman" w:cs="Times New Roman" w:eastAsia="Times New Roman"/>
          <w:color w:val="222222"/>
          <w:spacing w:val="0"/>
          <w:position w:val="0"/>
          <w:sz w:val="24"/>
          <w:shd w:fill="FFFFFF" w:val="clear"/>
        </w:rPr>
        <w:t xml:space="preserve">Griffiths et al. 2018</w:t>
      </w:r>
      <w:r>
        <w:rPr>
          <w:rFonts w:ascii="Times New Roman" w:hAnsi="Times New Roman" w:cs="Times New Roman" w:eastAsia="Times New Roman"/>
          <w:color w:val="auto"/>
          <w:spacing w:val="0"/>
          <w:position w:val="0"/>
          <w:sz w:val="24"/>
          <w:shd w:fill="auto" w:val="clear"/>
        </w:rPr>
        <w:t xml:space="preserve">). In this assessment, I'll go through my positives and negatives, along with my prospects and dangers. My performance management system will also be included in this report, which focuses on the abilities needed to get a job. This report provides a summary of what I've learned and the skills I've developed over the course. Several aspects of me will be discussed in this report, including what I thought about the course before it began and how I feel now that term 1 is over. In addition, I'll think about how far I've come academically. At the end of this section, we'll provide you with a summary of everything we've discussed.</w:t>
      </w:r>
    </w:p>
    <w:p>
      <w:pPr>
        <w:keepNext w:val="true"/>
        <w:keepLines w:val="true"/>
        <w:spacing w:before="200" w:after="0" w:line="480"/>
        <w:ind w:right="0" w:left="0" w:firstLine="0"/>
        <w:jc w:val="left"/>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Gibbs Reflective Cycle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Using an example from a real-world setting, I have discussed the need of improving academic skills in addition to employability skills in this evaluation. When it comes to comprehending and assessing a specific situation, I have taken into consideration the Gibbs Reflective Cycle, along with my own experiences both after and during the incident. I believe that as a result of this, I have gained a better understanding of the method through which I conduct my critical thinking and related tasks (</w:t>
      </w:r>
      <w:r>
        <w:rPr>
          <w:rFonts w:ascii="Times New Roman" w:hAnsi="Times New Roman" w:cs="Times New Roman" w:eastAsia="Times New Roman"/>
          <w:color w:val="222222"/>
          <w:spacing w:val="0"/>
          <w:position w:val="0"/>
          <w:sz w:val="24"/>
          <w:shd w:fill="FFFFFF" w:val="clear"/>
        </w:rPr>
        <w:t xml:space="preserve">Maxwell and Armellini, 2018</w:t>
      </w:r>
      <w:r>
        <w:rPr>
          <w:rFonts w:ascii="Times New Roman" w:hAnsi="Times New Roman" w:cs="Times New Roman" w:eastAsia="Times New Roman"/>
          <w:color w:val="auto"/>
          <w:spacing w:val="0"/>
          <w:position w:val="0"/>
          <w:sz w:val="24"/>
          <w:shd w:fill="auto" w:val="clear"/>
        </w:rPr>
        <w:t xml:space="preserve">). When I took the learning module, it became clear to me that I need to enhance my communication, organizational management, and organizational skills abilities. When it comes to my particular situation, the Gibbs model may have assisted me in defining the kind of measures that needed to be taken to make considerable progress in both my academic and employable abilities (</w:t>
      </w:r>
      <w:r>
        <w:rPr>
          <w:rFonts w:ascii="Times New Roman" w:hAnsi="Times New Roman" w:cs="Times New Roman" w:eastAsia="Times New Roman"/>
          <w:color w:val="222222"/>
          <w:spacing w:val="0"/>
          <w:position w:val="0"/>
          <w:sz w:val="24"/>
          <w:shd w:fill="FFFFFF" w:val="clear"/>
        </w:rPr>
        <w:t xml:space="preserve">Sharifi et al. 2019</w:t>
      </w:r>
      <w:r>
        <w:rPr>
          <w:rFonts w:ascii="Times New Roman" w:hAnsi="Times New Roman" w:cs="Times New Roman" w:eastAsia="Times New Roman"/>
          <w:color w:val="auto"/>
          <w:spacing w:val="0"/>
          <w:position w:val="0"/>
          <w:sz w:val="24"/>
          <w:shd w:fill="auto" w:val="clear"/>
        </w:rPr>
        <w:t xml:space="preserve">). It has been determined that the main factors influencing the Gibbs model are described as follows: description of the circumstance, identification of sentiments in response to the scenario, appraisal of the situation, making a conclusion, and developing an action plan for enhancing abilities in the future. In generating a cohesive evaluation of my own experience across the whole learning module, the associated implementation of this approach at all levels may have assisted me.</w:t>
      </w:r>
    </w:p>
    <w:p>
      <w:pPr>
        <w:keepNext w:val="true"/>
        <w:keepLines w:val="true"/>
        <w:spacing w:before="200" w:after="0" w:line="480"/>
        <w:ind w:right="0" w:left="0" w:firstLine="0"/>
        <w:jc w:val="left"/>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Discussion</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Any career requires a variety of abilities, including intellectual prowess as well as the ability to network effectively. In this report, I'll go into more detail about these talents and also get to know more about myself. Coordination, collaboration, problem-solving, understanding, dedication, and motivation are the most critical job requirements (</w:t>
      </w:r>
      <w:r>
        <w:rPr>
          <w:rFonts w:ascii="Times New Roman" w:hAnsi="Times New Roman" w:cs="Times New Roman" w:eastAsia="Times New Roman"/>
          <w:color w:val="222222"/>
          <w:spacing w:val="0"/>
          <w:position w:val="0"/>
          <w:sz w:val="24"/>
          <w:shd w:fill="FFFFFF" w:val="clear"/>
        </w:rPr>
        <w:t xml:space="preserve">Goodwin et al. 2019</w:t>
      </w:r>
      <w:r>
        <w:rPr>
          <w:rFonts w:ascii="Times New Roman" w:hAnsi="Times New Roman" w:cs="Times New Roman" w:eastAsia="Times New Roman"/>
          <w:color w:val="auto"/>
          <w:spacing w:val="0"/>
          <w:position w:val="0"/>
          <w:sz w:val="24"/>
          <w:shd w:fill="auto" w:val="clear"/>
        </w:rPr>
        <w:t xml:space="preserve">). I believe that this skill set is vital for everyone who wants to do their work well, and I obtained this knowledge via this training. The following is a self-assessment of my research and technical abilities.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I feel that I am a good team player, based on what I know about myself. I have always shown my complete engagement in whatever group activity that I have been a part of in the past. As a team player, I believe I am a good one, and I respect the efforts of my co-workers as well, which helps to keep the workplace pleasant.</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ability to communicate well with others is critical in the workplace since it is constantly necessary to collaborate with co-workers and supervisors. Family assistance is a vocation I'd want to pursue since I have a strong sense of empathy and the ability to effectively interact with others. In my initial encounters with individuals, I am often hesitant to open up to them because of my poor communication abilities. My communication skills are something I'm continuously working on, and it's something I'm excited to see progress on (</w:t>
      </w:r>
      <w:r>
        <w:rPr>
          <w:rFonts w:ascii="Times New Roman" w:hAnsi="Times New Roman" w:cs="Times New Roman" w:eastAsia="Times New Roman"/>
          <w:color w:val="222222"/>
          <w:spacing w:val="0"/>
          <w:position w:val="0"/>
          <w:sz w:val="24"/>
          <w:shd w:fill="FFFFFF" w:val="clear"/>
        </w:rPr>
        <w:t xml:space="preserve">Ayodele et al. 2020</w:t>
      </w:r>
      <w:r>
        <w:rPr>
          <w:rFonts w:ascii="Times New Roman" w:hAnsi="Times New Roman" w:cs="Times New Roman" w:eastAsia="Times New Roman"/>
          <w:color w:val="auto"/>
          <w:spacing w:val="0"/>
          <w:position w:val="0"/>
          <w:sz w:val="24"/>
          <w:shd w:fill="auto" w:val="clear"/>
        </w:rPr>
        <w:t xml:space="preserv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The ability to think creatively and effectively under pressure is critical in every career. A person must be able to think fast and come up with a solution to difficulties that may arise while at work. I believe my aptitude for problem-solving lies in my ability to pick things up quickly and my eagerness to learn new things. I'm able to rapidly tackle these problems and go on to the next one.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Work avoidance methods should not participate in by someone doing the duties of their job if they are fully devoted to them (</w:t>
      </w:r>
      <w:r>
        <w:rPr>
          <w:rFonts w:ascii="Times New Roman" w:hAnsi="Times New Roman" w:cs="Times New Roman" w:eastAsia="Times New Roman"/>
          <w:color w:val="222222"/>
          <w:spacing w:val="0"/>
          <w:position w:val="0"/>
          <w:sz w:val="24"/>
          <w:shd w:fill="FFFFFF" w:val="clear"/>
        </w:rPr>
        <w:t xml:space="preserve">Sarfraz et al. 2018</w:t>
      </w:r>
      <w:r>
        <w:rPr>
          <w:rFonts w:ascii="Times New Roman" w:hAnsi="Times New Roman" w:cs="Times New Roman" w:eastAsia="Times New Roman"/>
          <w:color w:val="auto"/>
          <w:spacing w:val="0"/>
          <w:position w:val="0"/>
          <w:sz w:val="24"/>
          <w:shd w:fill="auto" w:val="clear"/>
        </w:rPr>
        <w:t xml:space="preserve">). I believe that I am dedicated to my job while I speak about myself. Whatever task I embark on, I give it all I've got.</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Maintaining a work-life balance is essential while working under pressure. As a single mother, there are times when I have to reconcile my home life with my academic pursuits (</w:t>
      </w:r>
      <w:r>
        <w:rPr>
          <w:rFonts w:ascii="Times New Roman" w:hAnsi="Times New Roman" w:cs="Times New Roman" w:eastAsia="Times New Roman"/>
          <w:color w:val="222222"/>
          <w:spacing w:val="0"/>
          <w:position w:val="0"/>
          <w:sz w:val="24"/>
          <w:shd w:fill="FFFFFF" w:val="clear"/>
        </w:rPr>
        <w:t xml:space="preserve">Teng et al. 2019</w:t>
      </w:r>
      <w:r>
        <w:rPr>
          <w:rFonts w:ascii="Times New Roman" w:hAnsi="Times New Roman" w:cs="Times New Roman" w:eastAsia="Times New Roman"/>
          <w:color w:val="auto"/>
          <w:spacing w:val="0"/>
          <w:position w:val="0"/>
          <w:sz w:val="24"/>
          <w:shd w:fill="auto" w:val="clear"/>
        </w:rPr>
        <w:t xml:space="preserve">). I'll have to learn to operate well under pressure if I want to succeed in my career. Although this may prove difficult, I am making an effort to master time management so that I may better manage my family and career.</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Working in any firm requires a certain level of knowledge. No effort or accomplishment can be done if you lack information. I'm doing all I can to learn more about the felid I need to do my job better. I'm also learning how to speak effectively and empathize with others.</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Effective time management is a critical life skill that must be mastered by everyone. I struggle to balance my time between school, employment, and family obligations. We've learned about a variety of time-management tools that I want to use in the future. Additionally, expressing the present scenario via the use of the Gibbs framework may have aided in the evaluation and analysis of individual components while also bringing up anecdotal experience. Therefore, it is clear that the use of Gibbs' model is critical in explaining why the event occurred during the educational module (</w:t>
      </w:r>
      <w:r>
        <w:rPr>
          <w:rFonts w:ascii="Times New Roman" w:hAnsi="Times New Roman" w:cs="Times New Roman" w:eastAsia="Times New Roman"/>
          <w:color w:val="222222"/>
          <w:spacing w:val="0"/>
          <w:position w:val="0"/>
          <w:sz w:val="24"/>
          <w:shd w:fill="FFFFFF" w:val="clear"/>
        </w:rPr>
        <w:t xml:space="preserve">McGunagle and Zizka, 2020</w:t>
      </w:r>
      <w:r>
        <w:rPr>
          <w:rFonts w:ascii="Times New Roman" w:hAnsi="Times New Roman" w:cs="Times New Roman" w:eastAsia="Times New Roman"/>
          <w:color w:val="auto"/>
          <w:spacing w:val="0"/>
          <w:position w:val="0"/>
          <w:sz w:val="24"/>
          <w:shd w:fill="auto" w:val="clear"/>
        </w:rPr>
        <w:t xml:space="preserve">). To improve my ability to communicate effectively, I've realized that this would allow me to impart a more particular and in-depth foundation of information based on the event I've been encountering. This, in turn, will lead to a rise in the level of knowledge on the part public. With this, I'll be able to get the job done more effectively. So, maybe I'm now able to improve teamwork by directing everyone toward the same objective. From this point forward, it has been shown that providing a thorough account of a specific event and the associated experience aids in time management. For this reason, I want to depict the occurrence in a way that will help me produce and improve knowledge bases for a large number of individuals. Time needs may be reduced by using task-based communication in this manner. This may have made me more marketable to any potential employer.</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For both research and technical endeavors, the ability to analyze one's emotions is critical. This may have allowed me to better understand my thoughts about the learning module and the experience I obtained. So that they may better comprehend and relate to what I'm saying, others will have a better understanding of my perspective. Finally, I've finished this lesson and have a clear understanding of the importance I place on my critical thinking and analyzing abilities. Individuals may have been able to improve their performance through a large-scale exposure to the development of employability skills to build their careers (</w:t>
      </w:r>
      <w:r>
        <w:rPr>
          <w:rFonts w:ascii="Times New Roman" w:hAnsi="Times New Roman" w:cs="Times New Roman" w:eastAsia="Times New Roman"/>
          <w:color w:val="222222"/>
          <w:spacing w:val="0"/>
          <w:position w:val="0"/>
          <w:sz w:val="24"/>
          <w:shd w:fill="FFFFFF" w:val="clear"/>
        </w:rPr>
        <w:t xml:space="preserve">Nisha and Rajasekaran, 2018</w:t>
      </w:r>
      <w:r>
        <w:rPr>
          <w:rFonts w:ascii="Times New Roman" w:hAnsi="Times New Roman" w:cs="Times New Roman" w:eastAsia="Times New Roman"/>
          <w:color w:val="auto"/>
          <w:spacing w:val="0"/>
          <w:position w:val="0"/>
          <w:sz w:val="24"/>
          <w:shd w:fill="auto" w:val="clear"/>
        </w:rPr>
        <w:t xml:space="preserve">). As a result of the present learning module, I've been able to see my talents in academic writing and progressions on a much higher scale. Attending time management classes made me realize that I needed to improve my time management abilities for both personal and professional reasons. Academic writing workshops, such as those focused on paraphrasing and grammar helped me understand the importance of these abilities. Using them, I may have been able to get an edge in academic argumentation.</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When writing a job application, I believe it is necessary to include administrative terms to highlight my chosen areas of work and the corresponding needs. On the other hand, to catch the eye of potential employers, I must acquire a level of specificity in my use of phrases, paragraphs, and words. If I take lessons regularly, I may learn how to compose a paragraph with only a handful of phrases. As a result of this, I may have been able to better manage my time when researching this topic or an essay (</w:t>
      </w:r>
      <w:r>
        <w:rPr>
          <w:rFonts w:ascii="Times New Roman" w:hAnsi="Times New Roman" w:cs="Times New Roman" w:eastAsia="Times New Roman"/>
          <w:color w:val="222222"/>
          <w:spacing w:val="0"/>
          <w:position w:val="0"/>
          <w:sz w:val="24"/>
          <w:shd w:fill="FFFFFF" w:val="clear"/>
        </w:rPr>
        <w:t xml:space="preserve">Robson et al. 2020</w:t>
      </w:r>
      <w:r>
        <w:rPr>
          <w:rFonts w:ascii="Times New Roman" w:hAnsi="Times New Roman" w:cs="Times New Roman" w:eastAsia="Times New Roman"/>
          <w:color w:val="auto"/>
          <w:spacing w:val="0"/>
          <w:position w:val="0"/>
          <w:sz w:val="24"/>
          <w:shd w:fill="auto" w:val="clear"/>
        </w:rPr>
        <w:t xml:space="preserve">). This may assist me to construct my Curriculum Vitae (CV) in a more friendly way with a better degree of acceptability. I was able to boost my self-esteem as a result of acquiring academic skills in a logical order, thanks to the current module's lessons. With the aid of expanding our current talents, we can improve our academic and professional abilities in the most important ways possible.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To expand my expository writing talents as well as my analytical abilities, the regarded academic module has developed an effective sequence of facts. Apart from that, timely communication and management skills are also considered in developing the route to my professional growth as easy as possible every format of information writing that I have acquired has been saved for future use to improve my talents and efficiency to meet the demands of my educational and occupational development process. Academic workshops have assisted me in developing a concept that will allow me to build strategies for each of the responsibilities that I have been allocated to manage my time effectively. According to the Gibbs model, critical assessment abilities are necessary for ensuring that a person understands the relevance of each activity (</w:t>
      </w:r>
      <w:r>
        <w:rPr>
          <w:rFonts w:ascii="Times New Roman" w:hAnsi="Times New Roman" w:cs="Times New Roman" w:eastAsia="Times New Roman"/>
          <w:color w:val="222222"/>
          <w:spacing w:val="0"/>
          <w:position w:val="0"/>
          <w:sz w:val="24"/>
          <w:shd w:fill="FFFFFF" w:val="clear"/>
        </w:rPr>
        <w:t xml:space="preserve">Cachia et al. 2018</w:t>
      </w:r>
      <w:r>
        <w:rPr>
          <w:rFonts w:ascii="Times New Roman" w:hAnsi="Times New Roman" w:cs="Times New Roman" w:eastAsia="Times New Roman"/>
          <w:color w:val="auto"/>
          <w:spacing w:val="0"/>
          <w:position w:val="0"/>
          <w:sz w:val="24"/>
          <w:shd w:fill="auto" w:val="clear"/>
        </w:rPr>
        <w:t xml:space="preserve">). Following up on the methodical way in which all chores were completed, I may have been able to build a to-do list that would allow me to achieve more success. Furthermore, assessment skills are beneficial for constructing my CV since they may assist me in prioritizing my previous abilities and achievements and placing them at the head of the list of my most recent accomplishments As a result of my improvement in assessment skills, I may be in a position to produce a report based on a meeting by soliciting input from others, allowing me to demonstrate my interpersonal and time managerial skills in the workplace. Aside from that, I will be able to submit my assessment of a solution to my peers, which will aid in the maintenance of collaboration (</w:t>
      </w:r>
      <w:r>
        <w:rPr>
          <w:rFonts w:ascii="Times New Roman" w:hAnsi="Times New Roman" w:cs="Times New Roman" w:eastAsia="Times New Roman"/>
          <w:color w:val="222222"/>
          <w:spacing w:val="0"/>
          <w:position w:val="0"/>
          <w:sz w:val="24"/>
          <w:shd w:fill="FFFFFF" w:val="clear"/>
        </w:rPr>
        <w:t xml:space="preserve">Kamaliah et al. 2018</w:t>
      </w:r>
      <w:r>
        <w:rPr>
          <w:rFonts w:ascii="Times New Roman" w:hAnsi="Times New Roman" w:cs="Times New Roman" w:eastAsia="Times New Roman"/>
          <w:color w:val="auto"/>
          <w:spacing w:val="0"/>
          <w:position w:val="0"/>
          <w:sz w:val="24"/>
          <w:shd w:fill="auto" w:val="clear"/>
        </w:rPr>
        <w:t xml:space="preserve">).</w:t>
      </w:r>
    </w:p>
    <w:p>
      <w:pPr>
        <w:keepNext w:val="true"/>
        <w:keepLines w:val="true"/>
        <w:spacing w:before="200" w:after="0" w:line="480"/>
        <w:ind w:right="0" w:left="0" w:firstLine="0"/>
        <w:jc w:val="left"/>
        <w:rPr>
          <w:rFonts w:ascii="Times New Roman" w:hAnsi="Times New Roman" w:cs="Times New Roman" w:eastAsia="Times New Roman"/>
          <w:b/>
          <w:color w:val="auto"/>
          <w:spacing w:val="0"/>
          <w:position w:val="0"/>
          <w:sz w:val="26"/>
          <w:shd w:fill="auto" w:val="clear"/>
        </w:rPr>
      </w:pPr>
      <w:r>
        <w:rPr>
          <w:rFonts w:ascii="Times New Roman" w:hAnsi="Times New Roman" w:cs="Times New Roman" w:eastAsia="Times New Roman"/>
          <w:b/>
          <w:color w:val="auto"/>
          <w:spacing w:val="0"/>
          <w:position w:val="0"/>
          <w:sz w:val="26"/>
          <w:shd w:fill="auto" w:val="clear"/>
        </w:rPr>
        <w:t xml:space="preserve">Conclusion</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Making an example specific and showing it in all its facets may have benefited me to get the most out of my research. As a result, my abilities in collaboration and verbal exchange may come in handy in this situation. When writing a group report, for instance, I may also need to explain the results of my colleagues, as well as my own, to consolidate them. I shall rely on the help of my classmates and co-workers in the workplace when it comes to my studies. Using the "Hyper-connected Critical Thinking Model," I believe I can better handle high-stress situations in the future. This session has also taught me how to properly reference my sources using Harvard Referencing Format. As a result, I've come to realize that I need to work on my critical analytical abilities to be able to effectively manage a team while also managing all areas of communication and time.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“Gibbs Reflective Cycle” has proven to be an excellent tool for evaluating how I approach critical thinking in a given context. My interpersonal, communication, and time management skills have all been identified as areas for improvement. The Gibbs reflective cycle has helped me to grasp the aspects that need to be taken into account while developing academic abilities to improve one's employability.</w:t>
      </w:r>
    </w:p>
    <w:p>
      <w:pPr>
        <w:spacing w:before="0" w:after="200" w:line="276"/>
        <w:ind w:right="0" w:left="0" w:firstLine="0"/>
        <w:jc w:val="left"/>
        <w:rPr>
          <w:rFonts w:ascii="Times New Roman" w:hAnsi="Times New Roman" w:cs="Times New Roman" w:eastAsia="Times New Roman"/>
          <w:color w:val="auto"/>
          <w:spacing w:val="0"/>
          <w:position w:val="0"/>
          <w:sz w:val="24"/>
          <w:shd w:fill="auto" w:val="clear"/>
        </w:rPr>
      </w:pPr>
      <w:r>
        <w:rPr>
          <w:rFonts w:ascii="Times New Roman" w:hAnsi="Times New Roman" w:cs="Times New Roman" w:eastAsia="Times New Roman"/>
          <w:color w:val="auto"/>
          <w:spacing w:val="0"/>
          <w:position w:val="0"/>
          <w:sz w:val="24"/>
          <w:shd w:fill="auto" w:val="clear"/>
        </w:rPr>
        <w:t xml:space="preserve"> </w:t>
      </w:r>
    </w:p>
    <w:p>
      <w:pPr>
        <w:spacing w:before="0" w:after="200" w:line="276"/>
        <w:ind w:right="0" w:left="0" w:firstLine="0"/>
        <w:jc w:val="left"/>
        <w:rPr>
          <w:rFonts w:ascii="Times New Roman" w:hAnsi="Times New Roman" w:cs="Times New Roman" w:eastAsia="Times New Roman"/>
          <w:color w:val="auto"/>
          <w:spacing w:val="0"/>
          <w:position w:val="0"/>
          <w:sz w:val="24"/>
          <w:shd w:fill="auto" w:val="clear"/>
        </w:rPr>
      </w:pPr>
    </w:p>
    <w:p>
      <w:pPr>
        <w:keepNext w:val="true"/>
        <w:keepLines w:val="true"/>
        <w:spacing w:before="480" w:after="0" w:line="480"/>
        <w:ind w:right="0" w:left="0" w:firstLine="0"/>
        <w:jc w:val="left"/>
        <w:rPr>
          <w:rFonts w:ascii="Times New Roman" w:hAnsi="Times New Roman" w:cs="Times New Roman" w:eastAsia="Times New Roman"/>
          <w:b/>
          <w:color w:val="auto"/>
          <w:spacing w:val="0"/>
          <w:position w:val="0"/>
          <w:sz w:val="28"/>
          <w:shd w:fill="auto" w:val="clear"/>
        </w:rPr>
      </w:pPr>
      <w:r>
        <w:rPr>
          <w:rFonts w:ascii="Times New Roman" w:hAnsi="Times New Roman" w:cs="Times New Roman" w:eastAsia="Times New Roman"/>
          <w:b/>
          <w:color w:val="auto"/>
          <w:spacing w:val="0"/>
          <w:position w:val="0"/>
          <w:sz w:val="28"/>
          <w:shd w:fill="auto" w:val="clear"/>
        </w:rPr>
        <w:t xml:space="preserve">Reference list</w:t>
      </w:r>
    </w:p>
    <w:p>
      <w:pPr>
        <w:spacing w:before="0" w:after="200" w:line="276"/>
        <w:ind w:right="0" w:left="0" w:firstLine="0"/>
        <w:jc w:val="left"/>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Aliu, J. and Aigbavboa, C.O., 2019. Employers’ perception of employability skills among built-environment graduates. </w:t>
      </w:r>
      <w:r>
        <w:rPr>
          <w:rFonts w:ascii="Times New Roman" w:hAnsi="Times New Roman" w:cs="Times New Roman" w:eastAsia="Times New Roman"/>
          <w:i/>
          <w:color w:val="222222"/>
          <w:spacing w:val="0"/>
          <w:position w:val="0"/>
          <w:sz w:val="24"/>
          <w:shd w:fill="FFFFFF" w:val="clear"/>
        </w:rPr>
        <w:t xml:space="preserve">Journal of Engineering, Design, and Technology</w:t>
      </w:r>
      <w:r>
        <w:rPr>
          <w:rFonts w:ascii="Times New Roman" w:hAnsi="Times New Roman" w:cs="Times New Roman" w:eastAsia="Times New Roman"/>
          <w:color w:val="222222"/>
          <w:spacing w:val="0"/>
          <w:position w:val="0"/>
          <w:sz w:val="24"/>
          <w:shd w:fill="FFFFFF" w:val="clear"/>
        </w:rPr>
        <w:t xml:space="preserve">.</w:t>
      </w:r>
    </w:p>
    <w:p>
      <w:pPr>
        <w:spacing w:before="0" w:after="200" w:line="276"/>
        <w:ind w:right="0" w:left="0" w:firstLine="0"/>
        <w:jc w:val="left"/>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Ayodele, T.O., Oladokun, T.T. and Kajimo-Shakantu, K., 2020. Employability skills of real estate graduates in Nigeria: a skill gap analysis. </w:t>
      </w:r>
      <w:r>
        <w:rPr>
          <w:rFonts w:ascii="Times New Roman" w:hAnsi="Times New Roman" w:cs="Times New Roman" w:eastAsia="Times New Roman"/>
          <w:i/>
          <w:color w:val="222222"/>
          <w:spacing w:val="0"/>
          <w:position w:val="0"/>
          <w:sz w:val="24"/>
          <w:shd w:fill="FFFFFF" w:val="clear"/>
        </w:rPr>
        <w:t xml:space="preserve">Journal of Facilities Management</w:t>
      </w:r>
      <w:r>
        <w:rPr>
          <w:rFonts w:ascii="Times New Roman" w:hAnsi="Times New Roman" w:cs="Times New Roman" w:eastAsia="Times New Roman"/>
          <w:color w:val="222222"/>
          <w:spacing w:val="0"/>
          <w:position w:val="0"/>
          <w:sz w:val="24"/>
          <w:shd w:fill="FFFFFF" w:val="clear"/>
        </w:rPr>
        <w:t xml:space="preserve">.</w:t>
      </w:r>
    </w:p>
    <w:p>
      <w:pPr>
        <w:spacing w:before="0" w:after="200" w:line="276"/>
        <w:ind w:right="0" w:left="0" w:firstLine="0"/>
        <w:jc w:val="left"/>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Bhangra, A. and Sharma, D.K., 2018. Changing paradigm of employability skills in the global business world: A review. </w:t>
      </w:r>
      <w:r>
        <w:rPr>
          <w:rFonts w:ascii="Times New Roman" w:hAnsi="Times New Roman" w:cs="Times New Roman" w:eastAsia="Times New Roman"/>
          <w:i/>
          <w:color w:val="222222"/>
          <w:spacing w:val="0"/>
          <w:position w:val="0"/>
          <w:sz w:val="24"/>
          <w:shd w:fill="FFFFFF" w:val="clear"/>
        </w:rPr>
        <w:t xml:space="preserve">IUP Journal of Soft Skills</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12</w:t>
      </w:r>
      <w:r>
        <w:rPr>
          <w:rFonts w:ascii="Times New Roman" w:hAnsi="Times New Roman" w:cs="Times New Roman" w:eastAsia="Times New Roman"/>
          <w:color w:val="222222"/>
          <w:spacing w:val="0"/>
          <w:position w:val="0"/>
          <w:sz w:val="24"/>
          <w:shd w:fill="FFFFFF" w:val="clear"/>
        </w:rPr>
        <w:t xml:space="preserve">(2), pp.7-24.</w:t>
      </w:r>
    </w:p>
    <w:p>
      <w:pPr>
        <w:spacing w:before="0" w:after="200" w:line="276"/>
        <w:ind w:right="0" w:left="0" w:firstLine="0"/>
        <w:jc w:val="left"/>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Cachia, M., Lynam, S. and Stock, R., 2018. Academic success: Is it just about the grades?. </w:t>
      </w:r>
      <w:r>
        <w:rPr>
          <w:rFonts w:ascii="Times New Roman" w:hAnsi="Times New Roman" w:cs="Times New Roman" w:eastAsia="Times New Roman"/>
          <w:i/>
          <w:color w:val="222222"/>
          <w:spacing w:val="0"/>
          <w:position w:val="0"/>
          <w:sz w:val="24"/>
          <w:shd w:fill="FFFFFF" w:val="clear"/>
        </w:rPr>
        <w:t xml:space="preserve">Higher Education Pedagogies</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3</w:t>
      </w:r>
      <w:r>
        <w:rPr>
          <w:rFonts w:ascii="Times New Roman" w:hAnsi="Times New Roman" w:cs="Times New Roman" w:eastAsia="Times New Roman"/>
          <w:color w:val="222222"/>
          <w:spacing w:val="0"/>
          <w:position w:val="0"/>
          <w:sz w:val="24"/>
          <w:shd w:fill="FFFFFF" w:val="clear"/>
        </w:rPr>
        <w:t xml:space="preserve">(1), pp.434-439.</w:t>
      </w:r>
    </w:p>
    <w:p>
      <w:pPr>
        <w:spacing w:before="0" w:after="200" w:line="276"/>
        <w:ind w:right="0" w:left="0" w:firstLine="0"/>
        <w:jc w:val="left"/>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Cotronei-Baird, V.S., 2020. Academic hindrances in the integration of employability skills development in teaching and assessment practice. </w:t>
      </w:r>
      <w:r>
        <w:rPr>
          <w:rFonts w:ascii="Times New Roman" w:hAnsi="Times New Roman" w:cs="Times New Roman" w:eastAsia="Times New Roman"/>
          <w:i/>
          <w:color w:val="222222"/>
          <w:spacing w:val="0"/>
          <w:position w:val="0"/>
          <w:sz w:val="24"/>
          <w:shd w:fill="FFFFFF" w:val="clear"/>
        </w:rPr>
        <w:t xml:space="preserve">Higher Education</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79</w:t>
      </w:r>
      <w:r>
        <w:rPr>
          <w:rFonts w:ascii="Times New Roman" w:hAnsi="Times New Roman" w:cs="Times New Roman" w:eastAsia="Times New Roman"/>
          <w:color w:val="222222"/>
          <w:spacing w:val="0"/>
          <w:position w:val="0"/>
          <w:sz w:val="24"/>
          <w:shd w:fill="FFFFFF" w:val="clear"/>
        </w:rPr>
        <w:t xml:space="preserve">(2), pp.203-223.</w:t>
      </w:r>
    </w:p>
    <w:p>
      <w:pPr>
        <w:spacing w:before="0" w:after="200" w:line="276"/>
        <w:ind w:right="0" w:left="0" w:firstLine="0"/>
        <w:jc w:val="left"/>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Goodwin, J.T., Goh, J., Verkoeyen, S. and Lithgow, K., 2019. Can students be taught to articulate employability skills?. </w:t>
      </w:r>
      <w:r>
        <w:rPr>
          <w:rFonts w:ascii="Times New Roman" w:hAnsi="Times New Roman" w:cs="Times New Roman" w:eastAsia="Times New Roman"/>
          <w:i/>
          <w:color w:val="222222"/>
          <w:spacing w:val="0"/>
          <w:position w:val="0"/>
          <w:sz w:val="24"/>
          <w:shd w:fill="FFFFFF" w:val="clear"/>
        </w:rPr>
        <w:t xml:space="preserve">Education+ Training</w:t>
      </w:r>
      <w:r>
        <w:rPr>
          <w:rFonts w:ascii="Times New Roman" w:hAnsi="Times New Roman" w:cs="Times New Roman" w:eastAsia="Times New Roman"/>
          <w:color w:val="222222"/>
          <w:spacing w:val="0"/>
          <w:position w:val="0"/>
          <w:sz w:val="24"/>
          <w:shd w:fill="FFFFFF" w:val="clear"/>
        </w:rPr>
        <w:t xml:space="preserve">.</w:t>
      </w:r>
    </w:p>
    <w:p>
      <w:pPr>
        <w:spacing w:before="0" w:after="200" w:line="276"/>
        <w:ind w:right="0" w:left="0" w:firstLine="0"/>
        <w:jc w:val="left"/>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Griffin, M. and Coelhoso, P., 2018. Business students’ perspectives on employability skills post internship experience: lessons from the UAE. </w:t>
      </w:r>
      <w:r>
        <w:rPr>
          <w:rFonts w:ascii="Times New Roman" w:hAnsi="Times New Roman" w:cs="Times New Roman" w:eastAsia="Times New Roman"/>
          <w:i/>
          <w:color w:val="222222"/>
          <w:spacing w:val="0"/>
          <w:position w:val="0"/>
          <w:sz w:val="24"/>
          <w:shd w:fill="FFFFFF" w:val="clear"/>
        </w:rPr>
        <w:t xml:space="preserve">Higher Education, Skills and Work-Based Learning</w:t>
      </w:r>
      <w:r>
        <w:rPr>
          <w:rFonts w:ascii="Times New Roman" w:hAnsi="Times New Roman" w:cs="Times New Roman" w:eastAsia="Times New Roman"/>
          <w:color w:val="222222"/>
          <w:spacing w:val="0"/>
          <w:position w:val="0"/>
          <w:sz w:val="24"/>
          <w:shd w:fill="FFFFFF" w:val="clear"/>
        </w:rPr>
        <w:t xml:space="preserve">.</w:t>
      </w:r>
    </w:p>
    <w:p>
      <w:pPr>
        <w:spacing w:before="0" w:after="200" w:line="276"/>
        <w:ind w:right="0" w:left="0" w:firstLine="0"/>
        <w:jc w:val="left"/>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Griffiths, D.A., Inman, M., Rojas, H. and Williams, K., 2018. Transitioning student identity and sense of place: future possibilities for assessment and development of student employability skills. </w:t>
      </w:r>
      <w:r>
        <w:rPr>
          <w:rFonts w:ascii="Times New Roman" w:hAnsi="Times New Roman" w:cs="Times New Roman" w:eastAsia="Times New Roman"/>
          <w:i/>
          <w:color w:val="222222"/>
          <w:spacing w:val="0"/>
          <w:position w:val="0"/>
          <w:sz w:val="24"/>
          <w:shd w:fill="FFFFFF" w:val="clear"/>
        </w:rPr>
        <w:t xml:space="preserve">Studies in Higher Education</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43</w:t>
      </w:r>
      <w:r>
        <w:rPr>
          <w:rFonts w:ascii="Times New Roman" w:hAnsi="Times New Roman" w:cs="Times New Roman" w:eastAsia="Times New Roman"/>
          <w:color w:val="222222"/>
          <w:spacing w:val="0"/>
          <w:position w:val="0"/>
          <w:sz w:val="24"/>
          <w:shd w:fill="FFFFFF" w:val="clear"/>
        </w:rPr>
        <w:t xml:space="preserve">(5), pp.891-913.</w:t>
      </w:r>
    </w:p>
    <w:p>
      <w:pPr>
        <w:spacing w:before="0" w:after="200" w:line="276"/>
        <w:ind w:right="0" w:left="0" w:firstLine="0"/>
        <w:jc w:val="left"/>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Hart, J., 2019. Interdisciplinary project-based learning as a means of developing employability skills in undergraduate science degree programs. </w:t>
      </w:r>
      <w:r>
        <w:rPr>
          <w:rFonts w:ascii="Times New Roman" w:hAnsi="Times New Roman" w:cs="Times New Roman" w:eastAsia="Times New Roman"/>
          <w:i/>
          <w:color w:val="222222"/>
          <w:spacing w:val="0"/>
          <w:position w:val="0"/>
          <w:sz w:val="24"/>
          <w:shd w:fill="FFFFFF" w:val="clear"/>
        </w:rPr>
        <w:t xml:space="preserve">Journal of Teaching and Learning for Graduate Employability</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10</w:t>
      </w:r>
      <w:r>
        <w:rPr>
          <w:rFonts w:ascii="Times New Roman" w:hAnsi="Times New Roman" w:cs="Times New Roman" w:eastAsia="Times New Roman"/>
          <w:color w:val="222222"/>
          <w:spacing w:val="0"/>
          <w:position w:val="0"/>
          <w:sz w:val="24"/>
          <w:shd w:fill="FFFFFF" w:val="clear"/>
        </w:rPr>
        <w:t xml:space="preserve">(2), pp.50-66.</w:t>
      </w:r>
    </w:p>
    <w:p>
      <w:pPr>
        <w:spacing w:before="0" w:after="200" w:line="276"/>
        <w:ind w:right="0" w:left="0" w:firstLine="0"/>
        <w:jc w:val="left"/>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Husam, H.A. and Abraham, P., 2019. Employability skills development through assessment in higher education: Students’ voices on reflective assessments. </w:t>
      </w:r>
      <w:r>
        <w:rPr>
          <w:rFonts w:ascii="Times New Roman" w:hAnsi="Times New Roman" w:cs="Times New Roman" w:eastAsia="Times New Roman"/>
          <w:i/>
          <w:color w:val="222222"/>
          <w:spacing w:val="0"/>
          <w:position w:val="0"/>
          <w:sz w:val="24"/>
          <w:shd w:fill="FFFFFF" w:val="clear"/>
        </w:rPr>
        <w:t xml:space="preserve">Glob Acad J Econ Buss</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1</w:t>
      </w:r>
      <w:r>
        <w:rPr>
          <w:rFonts w:ascii="Times New Roman" w:hAnsi="Times New Roman" w:cs="Times New Roman" w:eastAsia="Times New Roman"/>
          <w:color w:val="222222"/>
          <w:spacing w:val="0"/>
          <w:position w:val="0"/>
          <w:sz w:val="24"/>
          <w:shd w:fill="FFFFFF" w:val="clear"/>
        </w:rPr>
        <w:t xml:space="preserve">, pp.36-42.</w:t>
      </w:r>
    </w:p>
    <w:p>
      <w:pPr>
        <w:spacing w:before="0" w:after="200" w:line="276"/>
        <w:ind w:right="0" w:left="0" w:firstLine="0"/>
        <w:jc w:val="left"/>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Igwe, P.A., Lock, D. and Rugara, D.G., 2020. What factors determine the development of employability skills in Nigerian higher education?. </w:t>
      </w:r>
      <w:r>
        <w:rPr>
          <w:rFonts w:ascii="Times New Roman" w:hAnsi="Times New Roman" w:cs="Times New Roman" w:eastAsia="Times New Roman"/>
          <w:i/>
          <w:color w:val="222222"/>
          <w:spacing w:val="0"/>
          <w:position w:val="0"/>
          <w:sz w:val="24"/>
          <w:shd w:fill="FFFFFF" w:val="clear"/>
        </w:rPr>
        <w:t xml:space="preserve">Innovations in Education and Teaching International</w:t>
      </w:r>
      <w:r>
        <w:rPr>
          <w:rFonts w:ascii="Times New Roman" w:hAnsi="Times New Roman" w:cs="Times New Roman" w:eastAsia="Times New Roman"/>
          <w:color w:val="222222"/>
          <w:spacing w:val="0"/>
          <w:position w:val="0"/>
          <w:sz w:val="24"/>
          <w:shd w:fill="FFFFFF" w:val="clear"/>
        </w:rPr>
        <w:t xml:space="preserve">, pp.1-12.</w:t>
      </w:r>
    </w:p>
    <w:p>
      <w:pPr>
        <w:spacing w:before="0" w:after="200" w:line="276"/>
        <w:ind w:right="0" w:left="0" w:firstLine="0"/>
        <w:jc w:val="left"/>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Kamaliah, S., Roslan, S., Bakar, A.R. and Ghiami, Z., 2018. The effect of supervised work experience on the acquisition of employability skills among Malaysian students. </w:t>
      </w:r>
      <w:r>
        <w:rPr>
          <w:rFonts w:ascii="Times New Roman" w:hAnsi="Times New Roman" w:cs="Times New Roman" w:eastAsia="Times New Roman"/>
          <w:i/>
          <w:color w:val="222222"/>
          <w:spacing w:val="0"/>
          <w:position w:val="0"/>
          <w:sz w:val="24"/>
          <w:shd w:fill="FFFFFF" w:val="clear"/>
        </w:rPr>
        <w:t xml:space="preserve">Higher Education, Skills and Work-Based Learning</w:t>
      </w:r>
      <w:r>
        <w:rPr>
          <w:rFonts w:ascii="Times New Roman" w:hAnsi="Times New Roman" w:cs="Times New Roman" w:eastAsia="Times New Roman"/>
          <w:color w:val="222222"/>
          <w:spacing w:val="0"/>
          <w:position w:val="0"/>
          <w:sz w:val="24"/>
          <w:shd w:fill="FFFFFF" w:val="clear"/>
        </w:rPr>
        <w:t xml:space="preserve">.</w:t>
      </w:r>
    </w:p>
    <w:p>
      <w:pPr>
        <w:spacing w:before="0" w:after="200" w:line="276"/>
        <w:ind w:right="0" w:left="0" w:firstLine="0"/>
        <w:jc w:val="left"/>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Keiper, M.C., Sieszputowski, J., Morgan, T. and Mackey, M.J., 2019. Employability Skills: A Case Study on a Business-Oriented Sport Management Program. </w:t>
      </w:r>
      <w:r>
        <w:rPr>
          <w:rFonts w:ascii="Times New Roman" w:hAnsi="Times New Roman" w:cs="Times New Roman" w:eastAsia="Times New Roman"/>
          <w:i/>
          <w:color w:val="222222"/>
          <w:spacing w:val="0"/>
          <w:position w:val="0"/>
          <w:sz w:val="24"/>
          <w:shd w:fill="FFFFFF" w:val="clear"/>
        </w:rPr>
        <w:t xml:space="preserve">e-Journal of Business Education and Scholarship of Teaching</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13</w:t>
      </w:r>
      <w:r>
        <w:rPr>
          <w:rFonts w:ascii="Times New Roman" w:hAnsi="Times New Roman" w:cs="Times New Roman" w:eastAsia="Times New Roman"/>
          <w:color w:val="222222"/>
          <w:spacing w:val="0"/>
          <w:position w:val="0"/>
          <w:sz w:val="24"/>
          <w:shd w:fill="FFFFFF" w:val="clear"/>
        </w:rPr>
        <w:t xml:space="preserve">(1), pp.59-68.</w:t>
      </w:r>
    </w:p>
    <w:p>
      <w:pPr>
        <w:spacing w:before="0" w:after="200" w:line="276"/>
        <w:ind w:right="0" w:left="0" w:firstLine="0"/>
        <w:jc w:val="left"/>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Maina, M.F., Guàrdia Ortiz, L., Mancini, F. and Martinez Melo, M., 2022. A micro-credentialing methodology for improved recognition of HE employability skills. </w:t>
      </w:r>
      <w:r>
        <w:rPr>
          <w:rFonts w:ascii="Times New Roman" w:hAnsi="Times New Roman" w:cs="Times New Roman" w:eastAsia="Times New Roman"/>
          <w:i/>
          <w:color w:val="222222"/>
          <w:spacing w:val="0"/>
          <w:position w:val="0"/>
          <w:sz w:val="24"/>
          <w:shd w:fill="FFFFFF" w:val="clear"/>
        </w:rPr>
        <w:t xml:space="preserve">International Journal of Educational Technology in Higher Education</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19</w:t>
      </w:r>
      <w:r>
        <w:rPr>
          <w:rFonts w:ascii="Times New Roman" w:hAnsi="Times New Roman" w:cs="Times New Roman" w:eastAsia="Times New Roman"/>
          <w:color w:val="222222"/>
          <w:spacing w:val="0"/>
          <w:position w:val="0"/>
          <w:sz w:val="24"/>
          <w:shd w:fill="FFFFFF" w:val="clear"/>
        </w:rPr>
        <w:t xml:space="preserve">(1), pp.1-22.</w:t>
      </w:r>
    </w:p>
    <w:p>
      <w:pPr>
        <w:spacing w:before="0" w:after="200" w:line="276"/>
        <w:ind w:right="0" w:left="0" w:firstLine="0"/>
        <w:jc w:val="left"/>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Maxwell, R. and Armellini, A., 2018. Identity, employability and entrepreneurship: the ChANGE framework of graduate attributes. </w:t>
      </w:r>
      <w:r>
        <w:rPr>
          <w:rFonts w:ascii="Times New Roman" w:hAnsi="Times New Roman" w:cs="Times New Roman" w:eastAsia="Times New Roman"/>
          <w:i/>
          <w:color w:val="222222"/>
          <w:spacing w:val="0"/>
          <w:position w:val="0"/>
          <w:sz w:val="24"/>
          <w:shd w:fill="FFFFFF" w:val="clear"/>
        </w:rPr>
        <w:t xml:space="preserve">Higher Education, Skills and Work-Based Learning</w:t>
      </w:r>
      <w:r>
        <w:rPr>
          <w:rFonts w:ascii="Times New Roman" w:hAnsi="Times New Roman" w:cs="Times New Roman" w:eastAsia="Times New Roman"/>
          <w:color w:val="222222"/>
          <w:spacing w:val="0"/>
          <w:position w:val="0"/>
          <w:sz w:val="24"/>
          <w:shd w:fill="FFFFFF" w:val="clear"/>
        </w:rPr>
        <w:t xml:space="preserve">.</w:t>
      </w:r>
    </w:p>
    <w:p>
      <w:pPr>
        <w:spacing w:before="0" w:after="200" w:line="276"/>
        <w:ind w:right="0" w:left="0" w:firstLine="0"/>
        <w:jc w:val="left"/>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McGunagle, D. and Zizka, L., 2020. Employability skills for 21st-century STEM students: the employers' perspective. </w:t>
      </w:r>
      <w:r>
        <w:rPr>
          <w:rFonts w:ascii="Times New Roman" w:hAnsi="Times New Roman" w:cs="Times New Roman" w:eastAsia="Times New Roman"/>
          <w:i/>
          <w:color w:val="222222"/>
          <w:spacing w:val="0"/>
          <w:position w:val="0"/>
          <w:sz w:val="24"/>
          <w:shd w:fill="FFFFFF" w:val="clear"/>
        </w:rPr>
        <w:t xml:space="preserve">Higher education, skills and work-based learning</w:t>
      </w:r>
      <w:r>
        <w:rPr>
          <w:rFonts w:ascii="Times New Roman" w:hAnsi="Times New Roman" w:cs="Times New Roman" w:eastAsia="Times New Roman"/>
          <w:color w:val="222222"/>
          <w:spacing w:val="0"/>
          <w:position w:val="0"/>
          <w:sz w:val="24"/>
          <w:shd w:fill="FFFFFF" w:val="clear"/>
        </w:rPr>
        <w:t xml:space="preserve">.</w:t>
      </w:r>
    </w:p>
    <w:p>
      <w:pPr>
        <w:spacing w:before="0" w:after="200" w:line="276"/>
        <w:ind w:right="0" w:left="0" w:firstLine="0"/>
        <w:jc w:val="left"/>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Nisha, S.M. and Rajasekaran, V., 2018. Employability skills: A review. </w:t>
      </w:r>
      <w:r>
        <w:rPr>
          <w:rFonts w:ascii="Times New Roman" w:hAnsi="Times New Roman" w:cs="Times New Roman" w:eastAsia="Times New Roman"/>
          <w:i/>
          <w:color w:val="222222"/>
          <w:spacing w:val="0"/>
          <w:position w:val="0"/>
          <w:sz w:val="24"/>
          <w:shd w:fill="FFFFFF" w:val="clear"/>
        </w:rPr>
        <w:t xml:space="preserve">IUP Journal of Soft Skills</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12</w:t>
      </w:r>
      <w:r>
        <w:rPr>
          <w:rFonts w:ascii="Times New Roman" w:hAnsi="Times New Roman" w:cs="Times New Roman" w:eastAsia="Times New Roman"/>
          <w:color w:val="222222"/>
          <w:spacing w:val="0"/>
          <w:position w:val="0"/>
          <w:sz w:val="24"/>
          <w:shd w:fill="FFFFFF" w:val="clear"/>
        </w:rPr>
        <w:t xml:space="preserve">(1), pp.29-37.</w:t>
      </w:r>
    </w:p>
    <w:p>
      <w:pPr>
        <w:spacing w:before="0" w:after="200" w:line="276"/>
        <w:ind w:right="0" w:left="0" w:firstLine="0"/>
        <w:jc w:val="left"/>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Osmani, M., Weerakkody, V., Hindi, N. and Eldabi, T., 2019. Graduates employability skills: A review of literature against market demand. </w:t>
      </w:r>
      <w:r>
        <w:rPr>
          <w:rFonts w:ascii="Times New Roman" w:hAnsi="Times New Roman" w:cs="Times New Roman" w:eastAsia="Times New Roman"/>
          <w:i/>
          <w:color w:val="222222"/>
          <w:spacing w:val="0"/>
          <w:position w:val="0"/>
          <w:sz w:val="24"/>
          <w:shd w:fill="FFFFFF" w:val="clear"/>
        </w:rPr>
        <w:t xml:space="preserve">Journal of Education for Business</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94</w:t>
      </w:r>
      <w:r>
        <w:rPr>
          <w:rFonts w:ascii="Times New Roman" w:hAnsi="Times New Roman" w:cs="Times New Roman" w:eastAsia="Times New Roman"/>
          <w:color w:val="222222"/>
          <w:spacing w:val="0"/>
          <w:position w:val="0"/>
          <w:sz w:val="24"/>
          <w:shd w:fill="FFFFFF" w:val="clear"/>
        </w:rPr>
        <w:t xml:space="preserve">(7), pp.423-432.</w:t>
      </w:r>
    </w:p>
    <w:p>
      <w:pPr>
        <w:spacing w:before="0" w:after="200" w:line="276"/>
        <w:ind w:right="0" w:left="0" w:firstLine="0"/>
        <w:jc w:val="left"/>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Pinto, L.H. and He, K., 2019. ‘In the eyes of the beholder’: the influence of academic performance and extracurricular activities on the perceived employability of Chinese business graduates. </w:t>
      </w:r>
      <w:r>
        <w:rPr>
          <w:rFonts w:ascii="Times New Roman" w:hAnsi="Times New Roman" w:cs="Times New Roman" w:eastAsia="Times New Roman"/>
          <w:i/>
          <w:color w:val="222222"/>
          <w:spacing w:val="0"/>
          <w:position w:val="0"/>
          <w:sz w:val="24"/>
          <w:shd w:fill="FFFFFF" w:val="clear"/>
        </w:rPr>
        <w:t xml:space="preserve">Asia Pacific Journal of Human Resources</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57</w:t>
      </w:r>
      <w:r>
        <w:rPr>
          <w:rFonts w:ascii="Times New Roman" w:hAnsi="Times New Roman" w:cs="Times New Roman" w:eastAsia="Times New Roman"/>
          <w:color w:val="222222"/>
          <w:spacing w:val="0"/>
          <w:position w:val="0"/>
          <w:sz w:val="24"/>
          <w:shd w:fill="FFFFFF" w:val="clear"/>
        </w:rPr>
        <w:t xml:space="preserve">(4), pp.503-527.</w:t>
      </w:r>
    </w:p>
    <w:p>
      <w:pPr>
        <w:spacing w:before="0" w:after="200" w:line="276"/>
        <w:ind w:right="0" w:left="0" w:firstLine="0"/>
        <w:jc w:val="left"/>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Robson, J., Randhawa, A. and Keep, E., 2022. Employability skills in mainstream education: Innovations in schooling and institutional isomorphism. </w:t>
      </w:r>
      <w:r>
        <w:rPr>
          <w:rFonts w:ascii="Times New Roman" w:hAnsi="Times New Roman" w:cs="Times New Roman" w:eastAsia="Times New Roman"/>
          <w:i/>
          <w:color w:val="222222"/>
          <w:spacing w:val="0"/>
          <w:position w:val="0"/>
          <w:sz w:val="24"/>
          <w:shd w:fill="FFFFFF" w:val="clear"/>
        </w:rPr>
        <w:t xml:space="preserve">British Educational Research Journal</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48</w:t>
      </w:r>
      <w:r>
        <w:rPr>
          <w:rFonts w:ascii="Times New Roman" w:hAnsi="Times New Roman" w:cs="Times New Roman" w:eastAsia="Times New Roman"/>
          <w:color w:val="222222"/>
          <w:spacing w:val="0"/>
          <w:position w:val="0"/>
          <w:sz w:val="24"/>
          <w:shd w:fill="FFFFFF" w:val="clear"/>
        </w:rPr>
        <w:t xml:space="preserve">(1), pp.120-136.</w:t>
      </w:r>
    </w:p>
    <w:p>
      <w:pPr>
        <w:spacing w:before="0" w:after="200" w:line="276"/>
        <w:ind w:right="0" w:left="0" w:firstLine="0"/>
        <w:jc w:val="left"/>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Sarfraz, I., Rajendran, D., Hewege, C. and Mohan, M.D., 2018. An exploration of global employability skills: a systematic research review. </w:t>
      </w:r>
      <w:r>
        <w:rPr>
          <w:rFonts w:ascii="Times New Roman" w:hAnsi="Times New Roman" w:cs="Times New Roman" w:eastAsia="Times New Roman"/>
          <w:i/>
          <w:color w:val="222222"/>
          <w:spacing w:val="0"/>
          <w:position w:val="0"/>
          <w:sz w:val="24"/>
          <w:shd w:fill="FFFFFF" w:val="clear"/>
        </w:rPr>
        <w:t xml:space="preserve">International Journal of Work Organisation and Emotion</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9</w:t>
      </w:r>
      <w:r>
        <w:rPr>
          <w:rFonts w:ascii="Times New Roman" w:hAnsi="Times New Roman" w:cs="Times New Roman" w:eastAsia="Times New Roman"/>
          <w:color w:val="222222"/>
          <w:spacing w:val="0"/>
          <w:position w:val="0"/>
          <w:sz w:val="24"/>
          <w:shd w:fill="FFFFFF" w:val="clear"/>
        </w:rPr>
        <w:t xml:space="preserve">(1), pp.63-88.</w:t>
      </w:r>
    </w:p>
    <w:p>
      <w:pPr>
        <w:spacing w:before="0" w:after="200" w:line="276"/>
        <w:ind w:right="0" w:left="0" w:firstLine="0"/>
        <w:jc w:val="left"/>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Sarkar, M., Overton, T., Thompson, C.D. and Rayner, G., 2020. Academics’ perspectives of the teaching and development of generic employability skills in science curricula. </w:t>
      </w:r>
      <w:r>
        <w:rPr>
          <w:rFonts w:ascii="Times New Roman" w:hAnsi="Times New Roman" w:cs="Times New Roman" w:eastAsia="Times New Roman"/>
          <w:i/>
          <w:color w:val="222222"/>
          <w:spacing w:val="0"/>
          <w:position w:val="0"/>
          <w:sz w:val="24"/>
          <w:shd w:fill="FFFFFF" w:val="clear"/>
        </w:rPr>
        <w:t xml:space="preserve">Higher Education Research &amp; Development</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39</w:t>
      </w:r>
      <w:r>
        <w:rPr>
          <w:rFonts w:ascii="Times New Roman" w:hAnsi="Times New Roman" w:cs="Times New Roman" w:eastAsia="Times New Roman"/>
          <w:color w:val="222222"/>
          <w:spacing w:val="0"/>
          <w:position w:val="0"/>
          <w:sz w:val="24"/>
          <w:shd w:fill="FFFFFF" w:val="clear"/>
        </w:rPr>
        <w:t xml:space="preserve">(2), pp.346-361.</w:t>
      </w:r>
    </w:p>
    <w:p>
      <w:pPr>
        <w:spacing w:before="0" w:after="200" w:line="276"/>
        <w:ind w:right="0" w:left="0" w:firstLine="0"/>
        <w:jc w:val="left"/>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Scott, F.J., Connell, P., Thomson, L.A., and Willison, D., 2019. Empowering students by enhancing their employability skills. </w:t>
      </w:r>
      <w:r>
        <w:rPr>
          <w:rFonts w:ascii="Times New Roman" w:hAnsi="Times New Roman" w:cs="Times New Roman" w:eastAsia="Times New Roman"/>
          <w:i/>
          <w:color w:val="222222"/>
          <w:spacing w:val="0"/>
          <w:position w:val="0"/>
          <w:sz w:val="24"/>
          <w:shd w:fill="FFFFFF" w:val="clear"/>
        </w:rPr>
        <w:t xml:space="preserve">Journal of Further and Higher Education</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43</w:t>
      </w:r>
      <w:r>
        <w:rPr>
          <w:rFonts w:ascii="Times New Roman" w:hAnsi="Times New Roman" w:cs="Times New Roman" w:eastAsia="Times New Roman"/>
          <w:color w:val="222222"/>
          <w:spacing w:val="0"/>
          <w:position w:val="0"/>
          <w:sz w:val="24"/>
          <w:shd w:fill="FFFFFF" w:val="clear"/>
        </w:rPr>
        <w:t xml:space="preserve">(5), pp.692-707.</w:t>
      </w:r>
    </w:p>
    <w:p>
      <w:pPr>
        <w:spacing w:before="0" w:after="200" w:line="276"/>
        <w:ind w:right="0" w:left="0" w:firstLine="0"/>
        <w:jc w:val="left"/>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Sharifi Asadi Malafeh, F., Khorasani, A., Fathivagargah, K. and Salehiomran, E., 2019. Determination of employability skills of academic graduates with the exploratory mixed-method approach. </w:t>
      </w:r>
      <w:r>
        <w:rPr>
          <w:rFonts w:ascii="Times New Roman" w:hAnsi="Times New Roman" w:cs="Times New Roman" w:eastAsia="Times New Roman"/>
          <w:i/>
          <w:color w:val="222222"/>
          <w:spacing w:val="0"/>
          <w:position w:val="0"/>
          <w:sz w:val="24"/>
          <w:shd w:fill="FFFFFF" w:val="clear"/>
        </w:rPr>
        <w:t xml:space="preserve">Theory &amp; Practice in Curriculum Journal</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7</w:t>
      </w:r>
      <w:r>
        <w:rPr>
          <w:rFonts w:ascii="Times New Roman" w:hAnsi="Times New Roman" w:cs="Times New Roman" w:eastAsia="Times New Roman"/>
          <w:color w:val="222222"/>
          <w:spacing w:val="0"/>
          <w:position w:val="0"/>
          <w:sz w:val="24"/>
          <w:shd w:fill="FFFFFF" w:val="clear"/>
        </w:rPr>
        <w:t xml:space="preserve">(13), pp.29-52.</w:t>
      </w:r>
    </w:p>
    <w:p>
      <w:pPr>
        <w:spacing w:before="0" w:after="200" w:line="276"/>
        <w:ind w:right="0" w:left="0" w:firstLine="0"/>
        <w:jc w:val="left"/>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Sharifi, A.M.F., KHORASANI, A., FATHI, V.K. and SALEHI, O.E., 2019. Employability skills of Academic Graduates: an Exploratory Mixed Approach.</w:t>
      </w:r>
    </w:p>
    <w:p>
      <w:pPr>
        <w:spacing w:before="0" w:after="200" w:line="276"/>
        <w:ind w:right="0" w:left="0" w:firstLine="0"/>
        <w:jc w:val="left"/>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Sokhanvar, Z., Salehi, K. and Sokhanvar, F., 2021. Advantages of authentic assessment for improving the learning experience and employability skills of higher education students: A systematic literature review. </w:t>
      </w:r>
      <w:r>
        <w:rPr>
          <w:rFonts w:ascii="Times New Roman" w:hAnsi="Times New Roman" w:cs="Times New Roman" w:eastAsia="Times New Roman"/>
          <w:i/>
          <w:color w:val="222222"/>
          <w:spacing w:val="0"/>
          <w:position w:val="0"/>
          <w:sz w:val="24"/>
          <w:shd w:fill="FFFFFF" w:val="clear"/>
        </w:rPr>
        <w:t xml:space="preserve">Studies in Educational Evaluation</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70</w:t>
      </w:r>
      <w:r>
        <w:rPr>
          <w:rFonts w:ascii="Times New Roman" w:hAnsi="Times New Roman" w:cs="Times New Roman" w:eastAsia="Times New Roman"/>
          <w:color w:val="222222"/>
          <w:spacing w:val="0"/>
          <w:position w:val="0"/>
          <w:sz w:val="24"/>
          <w:shd w:fill="FFFFFF" w:val="clear"/>
        </w:rPr>
        <w:t xml:space="preserve">, pp.101030.</w:t>
      </w:r>
    </w:p>
    <w:p>
      <w:pPr>
        <w:spacing w:before="0" w:after="200" w:line="276"/>
        <w:ind w:right="0" w:left="0" w:firstLine="0"/>
        <w:jc w:val="left"/>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Stewart, B.A., 2021. An empirical approach to identifying employability skills required of graduates in the environmental sciences. </w:t>
      </w:r>
      <w:r>
        <w:rPr>
          <w:rFonts w:ascii="Times New Roman" w:hAnsi="Times New Roman" w:cs="Times New Roman" w:eastAsia="Times New Roman"/>
          <w:i/>
          <w:color w:val="222222"/>
          <w:spacing w:val="0"/>
          <w:position w:val="0"/>
          <w:sz w:val="24"/>
          <w:shd w:fill="FFFFFF" w:val="clear"/>
        </w:rPr>
        <w:t xml:space="preserve">Industry and Higher Education</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35</w:t>
      </w:r>
      <w:r>
        <w:rPr>
          <w:rFonts w:ascii="Times New Roman" w:hAnsi="Times New Roman" w:cs="Times New Roman" w:eastAsia="Times New Roman"/>
          <w:color w:val="222222"/>
          <w:spacing w:val="0"/>
          <w:position w:val="0"/>
          <w:sz w:val="24"/>
          <w:shd w:fill="FFFFFF" w:val="clear"/>
        </w:rPr>
        <w:t xml:space="preserve">(2), pp.89-101.</w:t>
      </w:r>
    </w:p>
    <w:p>
      <w:pPr>
        <w:spacing w:before="0" w:after="200" w:line="276"/>
        <w:ind w:right="0" w:left="0" w:firstLine="0"/>
        <w:jc w:val="left"/>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Suarta, I.M., Suwintana, I.K., Sudhana, I.F.P. and Hariyanti, N.K.D., 2018. Employability skills for entry level workers: a content analysis of job advertisements in Indonesia. </w:t>
      </w:r>
      <w:r>
        <w:rPr>
          <w:rFonts w:ascii="Times New Roman" w:hAnsi="Times New Roman" w:cs="Times New Roman" w:eastAsia="Times New Roman"/>
          <w:i/>
          <w:color w:val="222222"/>
          <w:spacing w:val="0"/>
          <w:position w:val="0"/>
          <w:sz w:val="24"/>
          <w:shd w:fill="FFFFFF" w:val="clear"/>
        </w:rPr>
        <w:t xml:space="preserve">Journal of Technical Education and Training</w:t>
      </w:r>
      <w:r>
        <w:rPr>
          <w:rFonts w:ascii="Times New Roman" w:hAnsi="Times New Roman" w:cs="Times New Roman" w:eastAsia="Times New Roman"/>
          <w:color w:val="222222"/>
          <w:spacing w:val="0"/>
          <w:position w:val="0"/>
          <w:sz w:val="24"/>
          <w:shd w:fill="FFFFFF" w:val="clear"/>
        </w:rPr>
        <w:t xml:space="preserve">, </w:t>
      </w:r>
      <w:r>
        <w:rPr>
          <w:rFonts w:ascii="Times New Roman" w:hAnsi="Times New Roman" w:cs="Times New Roman" w:eastAsia="Times New Roman"/>
          <w:i/>
          <w:color w:val="222222"/>
          <w:spacing w:val="0"/>
          <w:position w:val="0"/>
          <w:sz w:val="24"/>
          <w:shd w:fill="FFFFFF" w:val="clear"/>
        </w:rPr>
        <w:t xml:space="preserve">10</w:t>
      </w:r>
      <w:r>
        <w:rPr>
          <w:rFonts w:ascii="Times New Roman" w:hAnsi="Times New Roman" w:cs="Times New Roman" w:eastAsia="Times New Roman"/>
          <w:color w:val="222222"/>
          <w:spacing w:val="0"/>
          <w:position w:val="0"/>
          <w:sz w:val="24"/>
          <w:shd w:fill="FFFFFF" w:val="clear"/>
        </w:rPr>
        <w:t xml:space="preserve">(2).</w:t>
      </w:r>
    </w:p>
    <w:p>
      <w:pPr>
        <w:spacing w:before="0" w:after="200" w:line="276"/>
        <w:ind w:right="0" w:left="0" w:firstLine="0"/>
        <w:jc w:val="left"/>
        <w:rPr>
          <w:rFonts w:ascii="Times New Roman" w:hAnsi="Times New Roman" w:cs="Times New Roman" w:eastAsia="Times New Roman"/>
          <w:color w:val="222222"/>
          <w:spacing w:val="0"/>
          <w:position w:val="0"/>
          <w:sz w:val="24"/>
          <w:shd w:fill="FFFFFF" w:val="clear"/>
        </w:rPr>
      </w:pPr>
      <w:r>
        <w:rPr>
          <w:rFonts w:ascii="Times New Roman" w:hAnsi="Times New Roman" w:cs="Times New Roman" w:eastAsia="Times New Roman"/>
          <w:color w:val="222222"/>
          <w:spacing w:val="0"/>
          <w:position w:val="0"/>
          <w:sz w:val="24"/>
          <w:shd w:fill="FFFFFF" w:val="clear"/>
        </w:rPr>
        <w:t xml:space="preserve">Teng, W., Ma, C., Pahlevansharif, S. and Turner, J.J., 2019. Graduate readiness for the employment market of the 4th industrial revolution: The development of soft employability skills. </w:t>
      </w:r>
      <w:r>
        <w:rPr>
          <w:rFonts w:ascii="Times New Roman" w:hAnsi="Times New Roman" w:cs="Times New Roman" w:eastAsia="Times New Roman"/>
          <w:i/>
          <w:color w:val="222222"/>
          <w:spacing w:val="0"/>
          <w:position w:val="0"/>
          <w:sz w:val="24"/>
          <w:shd w:fill="FFFFFF" w:val="clear"/>
        </w:rPr>
        <w:t xml:space="preserve">Education+ Training</w:t>
      </w:r>
      <w:r>
        <w:rPr>
          <w:rFonts w:ascii="Times New Roman" w:hAnsi="Times New Roman" w:cs="Times New Roman" w:eastAsia="Times New Roman"/>
          <w:color w:val="222222"/>
          <w:spacing w:val="0"/>
          <w:position w:val="0"/>
          <w:sz w:val="24"/>
          <w:shd w:fill="FFFFFF" w:val="clear"/>
        </w:rPr>
        <w:t xml:space="preserve">.</w:t>
      </w: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p>
      <w:pPr>
        <w:spacing w:before="0" w:after="200" w:line="360"/>
        <w:ind w:right="0" w:left="0" w:firstLine="0"/>
        <w:jc w:val="both"/>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num w:numId="16">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