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076A9" w14:textId="1DBC9E1E"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Danielle Sarah Maskery</w:t>
      </w:r>
    </w:p>
    <w:p w14:paraId="26252B64" w14:textId="1A4B9A80"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Student ID: 1</w:t>
      </w:r>
      <w:r w:rsidRPr="003F07AC">
        <w:rPr>
          <w:rFonts w:ascii="Arial" w:eastAsiaTheme="minorEastAsia" w:hAnsi="Arial" w:cs="Arial"/>
          <w:b/>
          <w:bCs/>
        </w:rPr>
        <w:t>451073</w:t>
      </w:r>
    </w:p>
    <w:p w14:paraId="7AFE62F5" w14:textId="77777777"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University of Wales Trinity St. David</w:t>
      </w:r>
    </w:p>
    <w:p w14:paraId="0C2743B9" w14:textId="77777777"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Post-Graduate Certificate in Education (PGCE)</w:t>
      </w:r>
    </w:p>
    <w:p w14:paraId="41C22BC2" w14:textId="77777777" w:rsidR="005421B6" w:rsidRPr="003F07AC" w:rsidRDefault="005421B6" w:rsidP="003F07AC">
      <w:pPr>
        <w:spacing w:line="360" w:lineRule="auto"/>
        <w:jc w:val="center"/>
        <w:rPr>
          <w:rFonts w:ascii="Arial" w:eastAsiaTheme="minorEastAsia" w:hAnsi="Arial" w:cs="Arial"/>
          <w:b/>
          <w:bCs/>
        </w:rPr>
      </w:pPr>
    </w:p>
    <w:p w14:paraId="4274A3A6" w14:textId="77777777" w:rsidR="005421B6" w:rsidRPr="003F07AC" w:rsidRDefault="005421B6" w:rsidP="003F07AC">
      <w:pPr>
        <w:spacing w:line="360" w:lineRule="auto"/>
        <w:jc w:val="center"/>
        <w:rPr>
          <w:rFonts w:ascii="Arial" w:eastAsiaTheme="minorEastAsia" w:hAnsi="Arial" w:cs="Arial"/>
          <w:b/>
          <w:bCs/>
        </w:rPr>
      </w:pPr>
    </w:p>
    <w:p w14:paraId="7753D55D" w14:textId="77777777" w:rsidR="005421B6" w:rsidRPr="003F07AC" w:rsidRDefault="005421B6" w:rsidP="003F07AC">
      <w:pPr>
        <w:spacing w:line="360" w:lineRule="auto"/>
        <w:jc w:val="center"/>
        <w:rPr>
          <w:rFonts w:ascii="Arial" w:eastAsiaTheme="minorEastAsia" w:hAnsi="Arial" w:cs="Arial"/>
          <w:b/>
          <w:bCs/>
        </w:rPr>
      </w:pPr>
    </w:p>
    <w:p w14:paraId="6FB497AE" w14:textId="77777777" w:rsidR="005421B6" w:rsidRPr="003F07AC" w:rsidRDefault="005421B6" w:rsidP="003F07AC">
      <w:pPr>
        <w:spacing w:line="360" w:lineRule="auto"/>
        <w:jc w:val="center"/>
        <w:rPr>
          <w:rFonts w:ascii="Arial" w:eastAsiaTheme="minorEastAsia" w:hAnsi="Arial" w:cs="Arial"/>
          <w:b/>
          <w:bCs/>
        </w:rPr>
      </w:pPr>
    </w:p>
    <w:p w14:paraId="7435A365" w14:textId="77777777" w:rsidR="005421B6" w:rsidRPr="003F07AC" w:rsidRDefault="005421B6" w:rsidP="003F07AC">
      <w:pPr>
        <w:spacing w:line="360" w:lineRule="auto"/>
        <w:jc w:val="center"/>
        <w:rPr>
          <w:rFonts w:ascii="Arial" w:eastAsiaTheme="minorEastAsia" w:hAnsi="Arial" w:cs="Arial"/>
          <w:b/>
          <w:bCs/>
        </w:rPr>
      </w:pPr>
    </w:p>
    <w:p w14:paraId="158B7C14" w14:textId="77777777" w:rsidR="005421B6" w:rsidRPr="003F07AC" w:rsidRDefault="005421B6" w:rsidP="003F07AC">
      <w:pPr>
        <w:spacing w:line="360" w:lineRule="auto"/>
        <w:jc w:val="center"/>
        <w:rPr>
          <w:rFonts w:ascii="Arial" w:eastAsiaTheme="minorEastAsia" w:hAnsi="Arial" w:cs="Arial"/>
          <w:b/>
          <w:bCs/>
        </w:rPr>
      </w:pPr>
    </w:p>
    <w:p w14:paraId="595DC747" w14:textId="48CA577F"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 xml:space="preserve"> </w:t>
      </w:r>
    </w:p>
    <w:p w14:paraId="7DB2DC09" w14:textId="77777777"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 xml:space="preserve"> </w:t>
      </w:r>
    </w:p>
    <w:p w14:paraId="51B03F07" w14:textId="77777777" w:rsidR="005421B6" w:rsidRPr="003F07AC" w:rsidRDefault="005421B6" w:rsidP="003F07AC">
      <w:pPr>
        <w:spacing w:line="360" w:lineRule="auto"/>
        <w:jc w:val="center"/>
        <w:rPr>
          <w:rFonts w:ascii="Arial" w:eastAsiaTheme="minorEastAsia" w:hAnsi="Arial" w:cs="Arial"/>
          <w:b/>
          <w:bCs/>
          <w:u w:val="single"/>
        </w:rPr>
      </w:pPr>
      <w:r w:rsidRPr="003F07AC">
        <w:rPr>
          <w:rFonts w:ascii="Arial" w:eastAsiaTheme="minorEastAsia" w:hAnsi="Arial" w:cs="Arial"/>
          <w:b/>
          <w:bCs/>
          <w:u w:val="single"/>
        </w:rPr>
        <w:t>ECAD7004: Professional and Pedagogic Studies</w:t>
      </w:r>
    </w:p>
    <w:p w14:paraId="716ECFD3" w14:textId="77777777" w:rsidR="005421B6" w:rsidRPr="003F07AC" w:rsidRDefault="005421B6" w:rsidP="003F07AC">
      <w:pPr>
        <w:spacing w:line="360" w:lineRule="auto"/>
        <w:jc w:val="center"/>
        <w:rPr>
          <w:rFonts w:ascii="Arial" w:eastAsiaTheme="minorEastAsia" w:hAnsi="Arial" w:cs="Arial"/>
          <w:b/>
          <w:bCs/>
          <w:u w:val="single"/>
        </w:rPr>
      </w:pPr>
      <w:r w:rsidRPr="003F07AC">
        <w:rPr>
          <w:rFonts w:ascii="Arial" w:eastAsiaTheme="minorEastAsia" w:hAnsi="Arial" w:cs="Arial"/>
          <w:b/>
          <w:bCs/>
          <w:u w:val="single"/>
        </w:rPr>
        <w:t>Researching the Learning: what, how and why am I teaching?</w:t>
      </w:r>
    </w:p>
    <w:p w14:paraId="4327BB27" w14:textId="2F4147F3" w:rsidR="005421B6" w:rsidRPr="003F07AC" w:rsidRDefault="005421B6" w:rsidP="003F07AC">
      <w:pPr>
        <w:spacing w:line="360" w:lineRule="auto"/>
        <w:jc w:val="center"/>
        <w:rPr>
          <w:rFonts w:ascii="Arial" w:eastAsiaTheme="minorEastAsia" w:hAnsi="Arial" w:cs="Arial"/>
          <w:i/>
          <w:iCs/>
        </w:rPr>
      </w:pPr>
      <w:r w:rsidRPr="003F07AC">
        <w:rPr>
          <w:rFonts w:ascii="Arial" w:eastAsiaTheme="minorEastAsia" w:hAnsi="Arial" w:cs="Arial"/>
          <w:i/>
          <w:iCs/>
        </w:rPr>
        <w:t>‘</w:t>
      </w:r>
      <w:r w:rsidRPr="003F07AC">
        <w:rPr>
          <w:rFonts w:ascii="Arial" w:eastAsiaTheme="minorEastAsia" w:hAnsi="Arial" w:cs="Arial"/>
          <w:i/>
          <w:iCs/>
          <w:lang w:val="en-GB"/>
        </w:rPr>
        <w:t>Design, conduct and critically evaluate a close-to-practice research project focusing on the model of the transformative teacher in developing practice that has a positive impact on the learner</w:t>
      </w:r>
      <w:r w:rsidRPr="003F07AC">
        <w:rPr>
          <w:rFonts w:ascii="Arial" w:eastAsiaTheme="minorEastAsia" w:hAnsi="Arial" w:cs="Arial"/>
          <w:i/>
          <w:iCs/>
        </w:rPr>
        <w:t>.’</w:t>
      </w:r>
    </w:p>
    <w:p w14:paraId="6643976A" w14:textId="77777777"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 xml:space="preserve"> </w:t>
      </w:r>
    </w:p>
    <w:p w14:paraId="4A14ABF4" w14:textId="77777777"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 xml:space="preserve"> </w:t>
      </w:r>
    </w:p>
    <w:p w14:paraId="16157F71" w14:textId="77777777"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 xml:space="preserve"> </w:t>
      </w:r>
    </w:p>
    <w:p w14:paraId="51C6D6AF" w14:textId="77777777" w:rsidR="005421B6" w:rsidRPr="003F07AC" w:rsidRDefault="005421B6" w:rsidP="003F07AC">
      <w:pPr>
        <w:spacing w:line="360" w:lineRule="auto"/>
        <w:jc w:val="center"/>
        <w:rPr>
          <w:rFonts w:ascii="Arial" w:eastAsiaTheme="minorEastAsia" w:hAnsi="Arial" w:cs="Arial"/>
          <w:b/>
          <w:bCs/>
          <w:u w:val="single"/>
        </w:rPr>
      </w:pPr>
      <w:r w:rsidRPr="003F07AC">
        <w:rPr>
          <w:rFonts w:ascii="Arial" w:eastAsiaTheme="minorEastAsia" w:hAnsi="Arial" w:cs="Arial"/>
          <w:b/>
          <w:bCs/>
          <w:u w:val="single"/>
        </w:rPr>
        <w:t>Research Question:</w:t>
      </w:r>
    </w:p>
    <w:p w14:paraId="727007D4" w14:textId="7D9D87B8" w:rsidR="005421B6" w:rsidRPr="003F07AC" w:rsidRDefault="005421B6" w:rsidP="003F07AC">
      <w:pPr>
        <w:spacing w:line="360" w:lineRule="auto"/>
        <w:jc w:val="center"/>
        <w:rPr>
          <w:rFonts w:ascii="Arial" w:eastAsiaTheme="minorEastAsia" w:hAnsi="Arial" w:cs="Arial"/>
          <w:b/>
          <w:bCs/>
          <w:i/>
          <w:iCs/>
        </w:rPr>
      </w:pPr>
      <w:r w:rsidRPr="003F07AC">
        <w:rPr>
          <w:rFonts w:ascii="Arial" w:hAnsi="Arial" w:cs="Arial"/>
          <w:i/>
          <w:iCs/>
        </w:rPr>
        <w:t>‘</w:t>
      </w:r>
      <w:r w:rsidRPr="003F07AC">
        <w:rPr>
          <w:rFonts w:ascii="Arial" w:hAnsi="Arial" w:cs="Arial"/>
          <w:i/>
          <w:iCs/>
        </w:rPr>
        <w:t>How does varying the timing of sharing lesson intentions within a secondary-level classroom impact student engagement levels and understanding of the lesson content?</w:t>
      </w:r>
      <w:r w:rsidRPr="003F07AC">
        <w:rPr>
          <w:rFonts w:ascii="Arial" w:hAnsi="Arial" w:cs="Arial"/>
          <w:i/>
          <w:iCs/>
        </w:rPr>
        <w:t>’</w:t>
      </w:r>
    </w:p>
    <w:p w14:paraId="4EE94DAB" w14:textId="77777777"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 xml:space="preserve"> </w:t>
      </w:r>
    </w:p>
    <w:p w14:paraId="71050A12" w14:textId="4B831E40" w:rsidR="005421B6" w:rsidRPr="003F07AC" w:rsidRDefault="005421B6" w:rsidP="003F07AC">
      <w:pPr>
        <w:spacing w:line="360" w:lineRule="auto"/>
        <w:jc w:val="center"/>
        <w:rPr>
          <w:rFonts w:ascii="Arial" w:eastAsiaTheme="minorEastAsia" w:hAnsi="Arial" w:cs="Arial"/>
          <w:b/>
          <w:bCs/>
        </w:rPr>
      </w:pPr>
    </w:p>
    <w:p w14:paraId="69604D65" w14:textId="77777777"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 xml:space="preserve"> </w:t>
      </w:r>
    </w:p>
    <w:p w14:paraId="2E861B72" w14:textId="77777777"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 xml:space="preserve"> </w:t>
      </w:r>
    </w:p>
    <w:p w14:paraId="69D7B2A3" w14:textId="77777777" w:rsidR="005421B6" w:rsidRPr="003F07AC" w:rsidRDefault="005421B6" w:rsidP="003F07AC">
      <w:pPr>
        <w:spacing w:line="360" w:lineRule="auto"/>
        <w:rPr>
          <w:rFonts w:ascii="Arial" w:eastAsiaTheme="minorEastAsia" w:hAnsi="Arial" w:cs="Arial"/>
          <w:b/>
          <w:bCs/>
        </w:rPr>
      </w:pPr>
      <w:r w:rsidRPr="003F07AC">
        <w:rPr>
          <w:rFonts w:ascii="Arial" w:eastAsiaTheme="minorEastAsia" w:hAnsi="Arial" w:cs="Arial"/>
          <w:b/>
          <w:bCs/>
        </w:rPr>
        <w:t xml:space="preserve"> </w:t>
      </w:r>
    </w:p>
    <w:p w14:paraId="12ED0955" w14:textId="77777777" w:rsidR="005421B6" w:rsidRPr="003F07AC" w:rsidRDefault="005421B6" w:rsidP="003F07AC">
      <w:pPr>
        <w:spacing w:line="360" w:lineRule="auto"/>
        <w:jc w:val="center"/>
        <w:rPr>
          <w:rFonts w:ascii="Arial" w:eastAsiaTheme="minorEastAsia" w:hAnsi="Arial" w:cs="Arial"/>
          <w:b/>
          <w:bCs/>
        </w:rPr>
      </w:pPr>
      <w:r w:rsidRPr="003F07AC">
        <w:rPr>
          <w:rFonts w:ascii="Arial" w:eastAsiaTheme="minorEastAsia" w:hAnsi="Arial" w:cs="Arial"/>
          <w:b/>
          <w:bCs/>
        </w:rPr>
        <w:t xml:space="preserve"> </w:t>
      </w:r>
    </w:p>
    <w:p w14:paraId="2A8BCDDC" w14:textId="77777777" w:rsidR="005421B6" w:rsidRPr="003F07AC" w:rsidRDefault="005421B6" w:rsidP="003F07AC">
      <w:pPr>
        <w:spacing w:line="360" w:lineRule="auto"/>
        <w:jc w:val="right"/>
        <w:rPr>
          <w:rFonts w:ascii="Arial" w:eastAsiaTheme="minorEastAsia" w:hAnsi="Arial" w:cs="Arial"/>
          <w:b/>
          <w:bCs/>
        </w:rPr>
      </w:pPr>
      <w:r w:rsidRPr="003F07AC">
        <w:rPr>
          <w:rFonts w:ascii="Arial" w:eastAsiaTheme="minorEastAsia" w:hAnsi="Arial" w:cs="Arial"/>
          <w:b/>
          <w:bCs/>
        </w:rPr>
        <w:t xml:space="preserve"> </w:t>
      </w:r>
    </w:p>
    <w:p w14:paraId="2B6222C7" w14:textId="7F988E57" w:rsidR="00DD3516" w:rsidRPr="003F07AC" w:rsidRDefault="005421B6" w:rsidP="003F07AC">
      <w:pPr>
        <w:spacing w:line="360" w:lineRule="auto"/>
        <w:jc w:val="right"/>
        <w:rPr>
          <w:rFonts w:ascii="Arial" w:eastAsiaTheme="minorEastAsia" w:hAnsi="Arial" w:cs="Arial"/>
          <w:b/>
          <w:bCs/>
        </w:rPr>
      </w:pPr>
      <w:r w:rsidRPr="003F07AC">
        <w:rPr>
          <w:rFonts w:ascii="Arial" w:eastAsiaTheme="minorEastAsia" w:hAnsi="Arial" w:cs="Arial"/>
          <w:b/>
          <w:bCs/>
        </w:rPr>
        <w:t xml:space="preserve"> </w:t>
      </w:r>
      <w:r w:rsidRPr="003F07AC">
        <w:rPr>
          <w:rFonts w:ascii="Arial" w:eastAsiaTheme="minorEastAsia" w:hAnsi="Arial" w:cs="Arial"/>
          <w:b/>
          <w:bCs/>
          <w:color w:val="000000" w:themeColor="text1"/>
        </w:rPr>
        <w:t>Word Count: 4,8</w:t>
      </w:r>
      <w:r w:rsidRPr="003F07AC">
        <w:rPr>
          <w:rFonts w:ascii="Arial" w:eastAsiaTheme="minorEastAsia" w:hAnsi="Arial" w:cs="Arial"/>
          <w:b/>
          <w:bCs/>
          <w:color w:val="000000" w:themeColor="text1"/>
        </w:rPr>
        <w:t>27</w:t>
      </w:r>
    </w:p>
    <w:p w14:paraId="2D24DBD9" w14:textId="77777777"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lastRenderedPageBreak/>
        <w:t>Aim, Focus, and Purpose of the Research</w:t>
      </w:r>
    </w:p>
    <w:p w14:paraId="41BF01F8" w14:textId="668C01AD" w:rsidR="00DD3516" w:rsidRPr="003F07AC" w:rsidRDefault="00000000" w:rsidP="003F07AC">
      <w:pPr>
        <w:spacing w:before="240" w:after="240" w:line="360" w:lineRule="auto"/>
        <w:rPr>
          <w:rFonts w:ascii="Arial" w:hAnsi="Arial" w:cs="Arial"/>
        </w:rPr>
      </w:pPr>
      <w:r w:rsidRPr="003F07AC">
        <w:rPr>
          <w:rFonts w:ascii="Arial" w:hAnsi="Arial" w:cs="Arial"/>
        </w:rPr>
        <w:t xml:space="preserve">This research aims to investigate how the timing of sharing lesson intentions within a secondary-level classroom impacts student engagement and understanding of lesson content. Specifically, the study seeks to determine the optimal time to communicate lesson objectives to enhance student participation, interest, and comprehension. By examining students' feedback and conducting observational assessments, the research aims to identify effective strategies for teachers to implement in secondary education settings. This research aligns with personal learning plan (PLP) reflections, </w:t>
      </w:r>
      <w:proofErr w:type="spellStart"/>
      <w:r w:rsidRPr="003F07AC">
        <w:rPr>
          <w:rFonts w:ascii="Arial" w:hAnsi="Arial" w:cs="Arial"/>
        </w:rPr>
        <w:t>emphasising</w:t>
      </w:r>
      <w:proofErr w:type="spellEnd"/>
      <w:r w:rsidRPr="003F07AC">
        <w:rPr>
          <w:rFonts w:ascii="Arial" w:hAnsi="Arial" w:cs="Arial"/>
        </w:rPr>
        <w:t xml:space="preserve"> the importance of refining instructional practices to become more effective educators.</w:t>
      </w:r>
    </w:p>
    <w:p w14:paraId="57BB5F22" w14:textId="77777777"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t>School Context</w:t>
      </w:r>
    </w:p>
    <w:p w14:paraId="3A665367" w14:textId="2FFB132D" w:rsidR="00DD3516" w:rsidRPr="003F07AC" w:rsidRDefault="00000000" w:rsidP="003F07AC">
      <w:pPr>
        <w:spacing w:before="240" w:after="240" w:line="360" w:lineRule="auto"/>
        <w:rPr>
          <w:rFonts w:ascii="Arial" w:hAnsi="Arial" w:cs="Arial"/>
        </w:rPr>
      </w:pPr>
      <w:r w:rsidRPr="003F07AC">
        <w:rPr>
          <w:rFonts w:ascii="Arial" w:hAnsi="Arial" w:cs="Arial"/>
        </w:rPr>
        <w:t>The research was conducted in an English medium Secondary School in the City and County Council of Swansea, South Wales. Approximately 6% of the pupils are eligible for free school meals, significantly lower than the national average of 17% for secondary schools. Less than 10% of the students reside in Wales's 20% most deprived areas. Additionally, around 12% of the pupils have special educational needs, and 1.7% have a statement of special educational needs, below the Welsh averages of 21.5% and 2%, respectively. Nearly 25% of the pupils come from ethnic minority backgrounds, and just over 20% speak English as an additional language (</w:t>
      </w:r>
      <w:proofErr w:type="spellStart"/>
      <w:r w:rsidRPr="003F07AC">
        <w:rPr>
          <w:rFonts w:ascii="Arial" w:hAnsi="Arial" w:cs="Arial"/>
        </w:rPr>
        <w:t>Estyn</w:t>
      </w:r>
      <w:proofErr w:type="spellEnd"/>
      <w:r w:rsidRPr="003F07AC">
        <w:rPr>
          <w:rFonts w:ascii="Arial" w:hAnsi="Arial" w:cs="Arial"/>
        </w:rPr>
        <w:t>, 2018)</w:t>
      </w:r>
      <w:r w:rsidR="00A140CB" w:rsidRPr="003F07AC">
        <w:rPr>
          <w:rFonts w:ascii="Arial" w:hAnsi="Arial" w:cs="Arial"/>
        </w:rPr>
        <w:t xml:space="preserve">. </w:t>
      </w:r>
      <w:r w:rsidRPr="003F07AC">
        <w:rPr>
          <w:rFonts w:ascii="Arial" w:hAnsi="Arial" w:cs="Arial"/>
        </w:rPr>
        <w:t xml:space="preserve">This demographic information is required for the research as it provides context on the diversity and unique needs of the student population. Understanding these factors is essential in examining how varying the timing of sharing lesson intentions impacts student engagement and understanding, as different groups of students may respond differently to changes in instructional strategies. For instance, students with special educational needs or those for whom English is an additional language may require differentiated approaches to </w:t>
      </w:r>
      <w:proofErr w:type="spellStart"/>
      <w:r w:rsidRPr="003F07AC">
        <w:rPr>
          <w:rFonts w:ascii="Arial" w:hAnsi="Arial" w:cs="Arial"/>
        </w:rPr>
        <w:t>maximise</w:t>
      </w:r>
      <w:proofErr w:type="spellEnd"/>
      <w:r w:rsidRPr="003F07AC">
        <w:rPr>
          <w:rFonts w:ascii="Arial" w:hAnsi="Arial" w:cs="Arial"/>
        </w:rPr>
        <w:t xml:space="preserve"> their engagement and comprehension.</w:t>
      </w:r>
    </w:p>
    <w:p w14:paraId="27693246" w14:textId="77777777" w:rsidR="003F07AC" w:rsidRDefault="003F07AC" w:rsidP="003F07AC">
      <w:pPr>
        <w:pStyle w:val="Heading1"/>
        <w:keepNext w:val="0"/>
        <w:keepLines w:val="0"/>
        <w:spacing w:before="322" w:after="322" w:line="360" w:lineRule="auto"/>
        <w:rPr>
          <w:rFonts w:ascii="Arial" w:hAnsi="Arial" w:cs="Arial"/>
          <w:color w:val="auto"/>
          <w:sz w:val="28"/>
          <w:szCs w:val="28"/>
          <w:u w:val="single"/>
        </w:rPr>
      </w:pPr>
    </w:p>
    <w:p w14:paraId="4FEA692C" w14:textId="77777777" w:rsidR="003F07AC" w:rsidRDefault="003F07AC" w:rsidP="003F07AC">
      <w:pPr>
        <w:pStyle w:val="Heading1"/>
        <w:keepNext w:val="0"/>
        <w:keepLines w:val="0"/>
        <w:spacing w:before="322" w:after="322" w:line="360" w:lineRule="auto"/>
        <w:rPr>
          <w:rFonts w:ascii="Arial" w:hAnsi="Arial" w:cs="Arial"/>
          <w:color w:val="auto"/>
          <w:sz w:val="28"/>
          <w:szCs w:val="28"/>
          <w:u w:val="single"/>
        </w:rPr>
      </w:pPr>
    </w:p>
    <w:p w14:paraId="029A69F8" w14:textId="09BA6CBE"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lastRenderedPageBreak/>
        <w:t>Classroom Context</w:t>
      </w:r>
    </w:p>
    <w:p w14:paraId="78DFF082" w14:textId="77777777" w:rsidR="00DD3516" w:rsidRPr="003F07AC" w:rsidRDefault="00000000" w:rsidP="003F07AC">
      <w:pPr>
        <w:spacing w:before="240" w:after="240" w:line="360" w:lineRule="auto"/>
        <w:rPr>
          <w:rFonts w:ascii="Arial" w:hAnsi="Arial" w:cs="Arial"/>
        </w:rPr>
      </w:pPr>
      <w:r w:rsidRPr="003F07AC">
        <w:rPr>
          <w:rFonts w:ascii="Arial" w:hAnsi="Arial" w:cs="Arial"/>
        </w:rPr>
        <w:t>The research focused on two mixed-ability art classes from Year Seven. For the assignment, these test groups will be protected under compliance with the 2018 Ethical Guidelines from the British Educational Research Association (BERA) and, therefore, shall be referred to as Class A7 and Class B7. The study investigates how varying the timing of lesson intentions affects students' engagement and understanding, focusing on practical, real-world classroom dynamics.</w:t>
      </w:r>
    </w:p>
    <w:p w14:paraId="421AABE2" w14:textId="77777777"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t>Objectives of the Research</w:t>
      </w:r>
    </w:p>
    <w:p w14:paraId="1440C2DD" w14:textId="77777777" w:rsidR="00DD3516" w:rsidRPr="003F07AC" w:rsidRDefault="00000000" w:rsidP="003F07AC">
      <w:pPr>
        <w:spacing w:before="240" w:after="240" w:line="360" w:lineRule="auto"/>
        <w:rPr>
          <w:rFonts w:ascii="Arial" w:hAnsi="Arial" w:cs="Arial"/>
        </w:rPr>
      </w:pPr>
      <w:r w:rsidRPr="003F07AC">
        <w:rPr>
          <w:rFonts w:ascii="Arial" w:hAnsi="Arial" w:cs="Arial"/>
        </w:rPr>
        <w:t>The study explores how different timing strategies for communicating lesson objectives can affect student engagement and involvement. It also assesses how timing impacts students' understanding and retention of lesson content. Additionally, the study aims to gather students' subjective feedback on the effectiveness of sharing lesson intentions at various times. Finally, the study aims to identify the most effective methods for communicating lesson intentions to improve learning outcomes in secondary-level educational environments.</w:t>
      </w:r>
    </w:p>
    <w:p w14:paraId="13804FE3" w14:textId="77777777"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t>Lesson Intentions Literature Review</w:t>
      </w:r>
    </w:p>
    <w:p w14:paraId="641CBFF7" w14:textId="547E94E3" w:rsidR="00DD3516" w:rsidRPr="003F07AC" w:rsidRDefault="00000000" w:rsidP="003F07AC">
      <w:pPr>
        <w:spacing w:before="240" w:after="240" w:line="360" w:lineRule="auto"/>
        <w:rPr>
          <w:rFonts w:ascii="Arial" w:hAnsi="Arial" w:cs="Arial"/>
        </w:rPr>
      </w:pPr>
      <w:r w:rsidRPr="003F07AC">
        <w:rPr>
          <w:rFonts w:ascii="Arial" w:hAnsi="Arial" w:cs="Arial"/>
        </w:rPr>
        <w:t xml:space="preserve">"Lesson intentions," also called learning objectives or goals, play a crucial role in the educational process. They represent clear and precise statements regarding what students are expected to comprehend, learn, and be able to accomplish at the conclusion of a lesson or a series of lessons. The following literature review aims to critically evaluate the benefits and constraints of lesson intentions by </w:t>
      </w:r>
      <w:r w:rsidR="00A140CB" w:rsidRPr="003F07AC">
        <w:rPr>
          <w:rFonts w:ascii="Arial" w:hAnsi="Arial" w:cs="Arial"/>
        </w:rPr>
        <w:t>comparing</w:t>
      </w:r>
      <w:r w:rsidRPr="003F07AC">
        <w:rPr>
          <w:rFonts w:ascii="Arial" w:hAnsi="Arial" w:cs="Arial"/>
        </w:rPr>
        <w:t xml:space="preserve"> fundamental research discoveries, theoretical frameworks, and practical implementations. The review relies on influential works by prominent figures such as John Hattie, Grant Wiggins, Jay McTighe, Dylan </w:t>
      </w:r>
      <w:proofErr w:type="spellStart"/>
      <w:r w:rsidRPr="003F07AC">
        <w:rPr>
          <w:rFonts w:ascii="Arial" w:hAnsi="Arial" w:cs="Arial"/>
        </w:rPr>
        <w:t>Wiliam</w:t>
      </w:r>
      <w:proofErr w:type="spellEnd"/>
      <w:r w:rsidRPr="003F07AC">
        <w:rPr>
          <w:rFonts w:ascii="Arial" w:hAnsi="Arial" w:cs="Arial"/>
        </w:rPr>
        <w:t xml:space="preserve"> and Robert Marzano, among others, to comprehensively understand this instructional approach.</w:t>
      </w:r>
    </w:p>
    <w:p w14:paraId="38FBE331" w14:textId="2765D440" w:rsidR="00DD3516" w:rsidRPr="003F07AC" w:rsidRDefault="00000000" w:rsidP="003F07AC">
      <w:pPr>
        <w:spacing w:before="240" w:after="240" w:line="360" w:lineRule="auto"/>
        <w:rPr>
          <w:rFonts w:ascii="Arial" w:hAnsi="Arial" w:cs="Arial"/>
        </w:rPr>
      </w:pPr>
      <w:r w:rsidRPr="003F07AC">
        <w:rPr>
          <w:rFonts w:ascii="Arial" w:hAnsi="Arial" w:cs="Arial"/>
        </w:rPr>
        <w:lastRenderedPageBreak/>
        <w:t>In recent years, the significance of communicating the purpose behind students' learning at the beginning of lessons to enhance the learning process has been a heavily debated topic in education.</w:t>
      </w:r>
      <w:r w:rsidR="00A140CB" w:rsidRPr="003F07AC">
        <w:rPr>
          <w:rFonts w:ascii="Arial" w:hAnsi="Arial" w:cs="Arial"/>
        </w:rPr>
        <w:t xml:space="preserve"> </w:t>
      </w:r>
      <w:r w:rsidRPr="003F07AC">
        <w:rPr>
          <w:rFonts w:ascii="Arial" w:hAnsi="Arial" w:cs="Arial"/>
        </w:rPr>
        <w:t xml:space="preserve">Furthermore, the practice of having students write down their learning objectives at the beginning of each lesson has been criticised. While some educators believe it helps reinforce the lesson's goals, others argue it can become a mindless task if not carefully implemented (Tomlinson 2001; Marzano 2007). It is essential to ensure that recording learning intentions are a meaningful and connected part of reflective learning practices rather than just a procedural activity (Hattie, 2012; </w:t>
      </w:r>
      <w:proofErr w:type="spellStart"/>
      <w:r w:rsidRPr="003F07AC">
        <w:rPr>
          <w:rFonts w:ascii="Arial" w:hAnsi="Arial" w:cs="Arial"/>
        </w:rPr>
        <w:t>Wiliam</w:t>
      </w:r>
      <w:proofErr w:type="spellEnd"/>
      <w:r w:rsidRPr="003F07AC">
        <w:rPr>
          <w:rFonts w:ascii="Arial" w:hAnsi="Arial" w:cs="Arial"/>
        </w:rPr>
        <w:t xml:space="preserve">, 2011; Black &amp; </w:t>
      </w:r>
      <w:proofErr w:type="spellStart"/>
      <w:r w:rsidRPr="003F07AC">
        <w:rPr>
          <w:rFonts w:ascii="Arial" w:hAnsi="Arial" w:cs="Arial"/>
        </w:rPr>
        <w:t>Wiliam</w:t>
      </w:r>
      <w:proofErr w:type="spellEnd"/>
      <w:r w:rsidRPr="003F07AC">
        <w:rPr>
          <w:rFonts w:ascii="Arial" w:hAnsi="Arial" w:cs="Arial"/>
        </w:rPr>
        <w:t xml:space="preserve">, 1998; Brookhart, 2017). Additionally, the literature shows that hastening or limiting this experience with predetermined learning intentions could result in rote learning. While educators may take for granted the meaning behind these intentions due to their expertise, students are still learning and needing help understanding the 'why' or 'how' of what they are expected to be learning (Hattie, 2009). For example, a learning intention such as "To comprehend the effects of </w:t>
      </w:r>
      <w:proofErr w:type="spellStart"/>
      <w:r w:rsidRPr="003F07AC">
        <w:rPr>
          <w:rFonts w:ascii="Arial" w:hAnsi="Arial" w:cs="Arial"/>
        </w:rPr>
        <w:t>colour</w:t>
      </w:r>
      <w:proofErr w:type="spellEnd"/>
      <w:r w:rsidRPr="003F07AC">
        <w:rPr>
          <w:rFonts w:ascii="Arial" w:hAnsi="Arial" w:cs="Arial"/>
        </w:rPr>
        <w:t xml:space="preserve"> theory in artwork" is relatively broad.</w:t>
      </w:r>
    </w:p>
    <w:p w14:paraId="3247AC63" w14:textId="77777777" w:rsidR="00DD3516" w:rsidRPr="003F07AC" w:rsidRDefault="00DD3516" w:rsidP="003F07AC">
      <w:pPr>
        <w:spacing w:before="240" w:after="240" w:line="360" w:lineRule="auto"/>
        <w:rPr>
          <w:rFonts w:ascii="Arial" w:hAnsi="Arial" w:cs="Arial"/>
        </w:rPr>
      </w:pPr>
    </w:p>
    <w:p w14:paraId="3F6DE5CA" w14:textId="6ED1A701" w:rsidR="003F07AC" w:rsidRPr="003F07AC" w:rsidRDefault="00000000" w:rsidP="003F07AC">
      <w:pPr>
        <w:spacing w:before="240" w:after="240" w:line="360" w:lineRule="auto"/>
        <w:rPr>
          <w:rFonts w:ascii="Arial" w:hAnsi="Arial" w:cs="Arial"/>
        </w:rPr>
      </w:pPr>
      <w:r w:rsidRPr="003F07AC">
        <w:rPr>
          <w:rFonts w:ascii="Arial" w:hAnsi="Arial" w:cs="Arial"/>
        </w:rPr>
        <w:t xml:space="preserve">Furthermore, when paired with specific success criteria, an expert may easily understand it. However, to a novice, it is a checklist of tasks to follow to succeed. Therefore, this fails to support the students' deeper understanding (Black &amp; </w:t>
      </w:r>
      <w:proofErr w:type="spellStart"/>
      <w:r w:rsidRPr="003F07AC">
        <w:rPr>
          <w:rFonts w:ascii="Arial" w:hAnsi="Arial" w:cs="Arial"/>
        </w:rPr>
        <w:t>Wiliam</w:t>
      </w:r>
      <w:proofErr w:type="spellEnd"/>
      <w:r w:rsidRPr="003F07AC">
        <w:rPr>
          <w:rFonts w:ascii="Arial" w:hAnsi="Arial" w:cs="Arial"/>
        </w:rPr>
        <w:t xml:space="preserve">, 1998). Hattie (2009) states that well-defined learning intentions are crucial for effective teaching, as they offer guidance and purpose for both teachers and students. Furthermore, Wiggins and McTighe (2005) stress that learning intentions are central to the "Understanding by Design" framework, which promotes backward planning to ensure that all instructional activities are aligned with the desired learning outcomes. </w:t>
      </w:r>
      <w:proofErr w:type="spellStart"/>
      <w:r w:rsidRPr="003F07AC">
        <w:rPr>
          <w:rFonts w:ascii="Arial" w:hAnsi="Arial" w:cs="Arial"/>
        </w:rPr>
        <w:t>Sweller's</w:t>
      </w:r>
      <w:proofErr w:type="spellEnd"/>
      <w:r w:rsidRPr="003F07AC">
        <w:rPr>
          <w:rFonts w:ascii="Arial" w:hAnsi="Arial" w:cs="Arial"/>
        </w:rPr>
        <w:t xml:space="preserve"> (1988) cognitive load theory underscores the significance of explicit learning intentions in effectively managing cognitive load. As cited by Cooper (1990), when apparent learning intentions provide guidance and </w:t>
      </w:r>
      <w:proofErr w:type="spellStart"/>
      <w:r w:rsidRPr="003F07AC">
        <w:rPr>
          <w:rFonts w:ascii="Arial" w:hAnsi="Arial" w:cs="Arial"/>
        </w:rPr>
        <w:t>minimise</w:t>
      </w:r>
      <w:proofErr w:type="spellEnd"/>
      <w:r w:rsidRPr="003F07AC">
        <w:rPr>
          <w:rFonts w:ascii="Arial" w:hAnsi="Arial" w:cs="Arial"/>
        </w:rPr>
        <w:t xml:space="preserve"> irrelevant information. However, the theory also </w:t>
      </w:r>
      <w:proofErr w:type="spellStart"/>
      <w:r w:rsidRPr="003F07AC">
        <w:rPr>
          <w:rFonts w:ascii="Arial" w:hAnsi="Arial" w:cs="Arial"/>
        </w:rPr>
        <w:t>recognises</w:t>
      </w:r>
      <w:proofErr w:type="spellEnd"/>
      <w:r w:rsidRPr="003F07AC">
        <w:rPr>
          <w:rFonts w:ascii="Arial" w:hAnsi="Arial" w:cs="Arial"/>
        </w:rPr>
        <w:t xml:space="preserve"> that overly detailed learning intentions can increase cognitive load if too complex or numerous, underscoring the importance of striking a balance (Hattie, 2009).</w:t>
      </w:r>
    </w:p>
    <w:p w14:paraId="216750F2" w14:textId="1B9F0ACC" w:rsidR="00DD3516" w:rsidRPr="003F07AC" w:rsidRDefault="00000000" w:rsidP="003F07AC">
      <w:pPr>
        <w:spacing w:before="240" w:after="240" w:line="360" w:lineRule="auto"/>
        <w:rPr>
          <w:rFonts w:ascii="Arial" w:hAnsi="Arial" w:cs="Arial"/>
        </w:rPr>
      </w:pPr>
      <w:r w:rsidRPr="003F07AC">
        <w:rPr>
          <w:rFonts w:ascii="Arial" w:hAnsi="Arial" w:cs="Arial"/>
          <w:b/>
          <w:bCs/>
          <w:u w:val="single"/>
        </w:rPr>
        <w:lastRenderedPageBreak/>
        <w:t>Advantages of Lesson Intentions</w:t>
      </w:r>
    </w:p>
    <w:p w14:paraId="1399200B" w14:textId="77777777" w:rsidR="00DD3516" w:rsidRPr="003F07AC" w:rsidRDefault="00000000" w:rsidP="003F07AC">
      <w:pPr>
        <w:spacing w:before="240" w:after="240" w:line="360" w:lineRule="auto"/>
        <w:rPr>
          <w:rFonts w:ascii="Arial" w:hAnsi="Arial" w:cs="Arial"/>
        </w:rPr>
      </w:pPr>
      <w:r w:rsidRPr="003F07AC">
        <w:rPr>
          <w:rFonts w:ascii="Arial" w:hAnsi="Arial" w:cs="Arial"/>
        </w:rPr>
        <w:t>Establishing clear lesson intentions offers the key benefit of providing students with clarity and focus. When students know and comprehend their learning objectives, they can effectively direct their efforts toward accomplishing them (</w:t>
      </w:r>
      <w:proofErr w:type="spellStart"/>
      <w:r w:rsidRPr="003F07AC">
        <w:rPr>
          <w:rFonts w:ascii="Arial" w:hAnsi="Arial" w:cs="Arial"/>
        </w:rPr>
        <w:t>Wiliam</w:t>
      </w:r>
      <w:proofErr w:type="spellEnd"/>
      <w:r w:rsidRPr="003F07AC">
        <w:rPr>
          <w:rFonts w:ascii="Arial" w:hAnsi="Arial" w:cs="Arial"/>
        </w:rPr>
        <w:t xml:space="preserve">, 2011). Transparent learning intentions, as </w:t>
      </w:r>
      <w:proofErr w:type="spellStart"/>
      <w:r w:rsidRPr="003F07AC">
        <w:rPr>
          <w:rFonts w:ascii="Arial" w:hAnsi="Arial" w:cs="Arial"/>
        </w:rPr>
        <w:t>emphasised</w:t>
      </w:r>
      <w:proofErr w:type="spellEnd"/>
      <w:r w:rsidRPr="003F07AC">
        <w:rPr>
          <w:rFonts w:ascii="Arial" w:hAnsi="Arial" w:cs="Arial"/>
        </w:rPr>
        <w:t xml:space="preserve"> by Hattie (2009), assist students in comprehending the purpose of their learning activities and have the potential to increase engagement and motivation. Moreover, clear lesson intentions can aid teachers in more effective instructional planning, providing teachers and students with a clear roadmap for teaching and learning (Black &amp; </w:t>
      </w:r>
      <w:proofErr w:type="spellStart"/>
      <w:r w:rsidRPr="003F07AC">
        <w:rPr>
          <w:rFonts w:ascii="Arial" w:hAnsi="Arial" w:cs="Arial"/>
        </w:rPr>
        <w:t>Wiliam</w:t>
      </w:r>
      <w:proofErr w:type="spellEnd"/>
      <w:r w:rsidRPr="003F07AC">
        <w:rPr>
          <w:rFonts w:ascii="Arial" w:hAnsi="Arial" w:cs="Arial"/>
        </w:rPr>
        <w:t>,</w:t>
      </w:r>
    </w:p>
    <w:p w14:paraId="0CD4234B" w14:textId="415AAC84" w:rsidR="00A140CB" w:rsidRPr="003F07AC" w:rsidRDefault="00000000" w:rsidP="003F07AC">
      <w:pPr>
        <w:spacing w:before="240" w:after="240" w:line="360" w:lineRule="auto"/>
        <w:rPr>
          <w:rFonts w:ascii="Arial" w:hAnsi="Arial" w:cs="Arial"/>
        </w:rPr>
      </w:pPr>
      <w:r w:rsidRPr="003F07AC">
        <w:rPr>
          <w:rFonts w:ascii="Arial" w:hAnsi="Arial" w:cs="Arial"/>
        </w:rPr>
        <w:t xml:space="preserve">2018). Furthermore, </w:t>
      </w:r>
      <w:proofErr w:type="gramStart"/>
      <w:r w:rsidRPr="003F07AC">
        <w:rPr>
          <w:rFonts w:ascii="Arial" w:hAnsi="Arial" w:cs="Arial"/>
        </w:rPr>
        <w:t>According</w:t>
      </w:r>
      <w:proofErr w:type="gramEnd"/>
      <w:r w:rsidRPr="003F07AC">
        <w:rPr>
          <w:rFonts w:ascii="Arial" w:hAnsi="Arial" w:cs="Arial"/>
        </w:rPr>
        <w:t xml:space="preserve"> to Marzano (2007), when teachers have clear objectives for their students, they can design more targeted and coherent lessons, thus enhancing the overall learning experience. Building on Marzano's findings, John Hattie's analysis of the literature in "Visible Learning" (2009) underscores that clear goals and objectives significantly impact student achievement. The analysis conducted by Hattie (2009) regarding achievement highlights teacher clarity as one of the most impactful approaches for enhancing student learning results. Grant Wiggins and Jay McTighe (1998) also endorse the backward design approach, which starts with clear objectives and desired outcomes to create effective and coherent instructional plans.</w:t>
      </w:r>
    </w:p>
    <w:p w14:paraId="35715BBD" w14:textId="4E992D9A" w:rsidR="00DD3516" w:rsidRPr="003F07AC" w:rsidRDefault="00000000" w:rsidP="003F07AC">
      <w:pPr>
        <w:spacing w:before="240" w:after="240" w:line="360" w:lineRule="auto"/>
        <w:rPr>
          <w:rFonts w:ascii="Arial" w:hAnsi="Arial" w:cs="Arial"/>
        </w:rPr>
      </w:pPr>
      <w:r w:rsidRPr="003F07AC">
        <w:rPr>
          <w:rFonts w:ascii="Arial" w:hAnsi="Arial" w:cs="Arial"/>
        </w:rPr>
        <w:t xml:space="preserve">Furthermore, lesson intentions are closely connected to formative assessment practices. Black and </w:t>
      </w:r>
      <w:proofErr w:type="spellStart"/>
      <w:r w:rsidRPr="003F07AC">
        <w:rPr>
          <w:rFonts w:ascii="Arial" w:hAnsi="Arial" w:cs="Arial"/>
        </w:rPr>
        <w:t>Wiliam</w:t>
      </w:r>
      <w:proofErr w:type="spellEnd"/>
      <w:r w:rsidRPr="003F07AC">
        <w:rPr>
          <w:rFonts w:ascii="Arial" w:hAnsi="Arial" w:cs="Arial"/>
        </w:rPr>
        <w:t xml:space="preserve"> (1998) </w:t>
      </w:r>
      <w:proofErr w:type="spellStart"/>
      <w:r w:rsidRPr="003F07AC">
        <w:rPr>
          <w:rFonts w:ascii="Arial" w:hAnsi="Arial" w:cs="Arial"/>
        </w:rPr>
        <w:t>emphasise</w:t>
      </w:r>
      <w:proofErr w:type="spellEnd"/>
      <w:r w:rsidRPr="003F07AC">
        <w:rPr>
          <w:rFonts w:ascii="Arial" w:hAnsi="Arial" w:cs="Arial"/>
        </w:rPr>
        <w:t xml:space="preserve"> that clear learning objectives provide a framework for giving precise and constructive feedback, which is crucial for student learning and improvement. Nicol and Macfarlane-Dick (2006) support this view, suggesting that students can better interpret feedback and take corrective actions to improve their performance when they understand the learning intention. Clear learning targets enable teachers to provide more specific, actionable feedback, helping students understand what they need to do to improve (Brookhart and McMillan, 2020). When teachers provide more specific and clear feedback, students can have more autonomy over learning (Black &amp; </w:t>
      </w:r>
      <w:proofErr w:type="spellStart"/>
      <w:r w:rsidRPr="003F07AC">
        <w:rPr>
          <w:rFonts w:ascii="Arial" w:hAnsi="Arial" w:cs="Arial"/>
        </w:rPr>
        <w:t>Wiliam</w:t>
      </w:r>
      <w:proofErr w:type="spellEnd"/>
      <w:r w:rsidRPr="003F07AC">
        <w:rPr>
          <w:rFonts w:ascii="Arial" w:hAnsi="Arial" w:cs="Arial"/>
        </w:rPr>
        <w:t xml:space="preserve">, 1998). When students know what they need to achieve, </w:t>
      </w:r>
      <w:r w:rsidRPr="003F07AC">
        <w:rPr>
          <w:rFonts w:ascii="Arial" w:hAnsi="Arial" w:cs="Arial"/>
        </w:rPr>
        <w:lastRenderedPageBreak/>
        <w:t>they can monitor their progress and adjust their learning strategies. This self-regulation is a critical skill for lifelong learning and academic success (Zimmerman, 2002).</w:t>
      </w:r>
    </w:p>
    <w:p w14:paraId="2064F3D4" w14:textId="65774B21" w:rsidR="00DD3516" w:rsidRPr="003F07AC" w:rsidRDefault="00000000" w:rsidP="003F07AC">
      <w:pPr>
        <w:spacing w:before="240" w:after="240" w:line="360" w:lineRule="auto"/>
        <w:rPr>
          <w:rFonts w:ascii="Arial" w:hAnsi="Arial" w:cs="Arial"/>
        </w:rPr>
      </w:pPr>
      <w:r w:rsidRPr="003F07AC">
        <w:rPr>
          <w:rFonts w:ascii="Arial" w:hAnsi="Arial" w:cs="Arial"/>
        </w:rPr>
        <w:t xml:space="preserve">Moreover, Carol Dweck's (2017) research on well-being supports the idea that clear objectives and formative feedback help cultivate a growth mindset, where students see their abilities as improvable through effort and effective strategies. Dweck's research emphasises that students who believe their abilities can improve with effort tend to exhibit higher resilience and better mental health. Students were also found to be less likely to experience anxiety and depression when they viewed challenges as opportunities to learn and grow. This is significant as the Welsh Government increasingly emphasises the role of formative assessment and feedback (Welsh Government, 2022). Aligning with Dweck's principles, the Education Endowment Foundation (2024) (EEF) advocates for specific, actionable feedback and focuses on improvement. Such practices help students develop a healthy self-image and motivation, which is crucial for their well-being. This comes at a time in Wales whereby the New Curriculum for Wales </w:t>
      </w:r>
      <w:proofErr w:type="spellStart"/>
      <w:r w:rsidRPr="003F07AC">
        <w:rPr>
          <w:rFonts w:ascii="Arial" w:hAnsi="Arial" w:cs="Arial"/>
        </w:rPr>
        <w:t>centres</w:t>
      </w:r>
      <w:proofErr w:type="spellEnd"/>
      <w:r w:rsidRPr="003F07AC">
        <w:rPr>
          <w:rFonts w:ascii="Arial" w:hAnsi="Arial" w:cs="Arial"/>
        </w:rPr>
        <w:t xml:space="preserve"> around the 'The Four Purposes' that seek to foster "Ambitious, capable learners ready to learn throughout their lives." and "Healthy, confident individuals, ready to lead fulfilling lives as valued members of society" (Donaldson, 2015). The connection between academic success and self-esteem is further supported by The Children's Society (2024), which found that academic achievement positively correlates with children's life satisfaction and self-esteem. Therefore, promoting effective use of lesson intentions by educators can help foster children's holistic development. This alignment underscores the importance of integrating practical pedagogical principles into education that can foster supportive and enriching learning environments for all students.</w:t>
      </w:r>
    </w:p>
    <w:p w14:paraId="5CAC1DCD" w14:textId="2C8A1731" w:rsidR="00DD3516" w:rsidRPr="003F07AC" w:rsidRDefault="00000000" w:rsidP="003F07AC">
      <w:pPr>
        <w:spacing w:before="240" w:after="240" w:line="360" w:lineRule="auto"/>
        <w:rPr>
          <w:rFonts w:ascii="Arial" w:hAnsi="Arial" w:cs="Arial"/>
        </w:rPr>
      </w:pPr>
      <w:r w:rsidRPr="003F07AC">
        <w:rPr>
          <w:rFonts w:ascii="Arial" w:hAnsi="Arial" w:cs="Arial"/>
        </w:rPr>
        <w:t xml:space="preserve">Lesson intentions can ensure that teaching aligns with curriculum standards and learning outcomes. This alignment is critical in educational systems that </w:t>
      </w:r>
      <w:proofErr w:type="spellStart"/>
      <w:r w:rsidRPr="003F07AC">
        <w:rPr>
          <w:rFonts w:ascii="Arial" w:hAnsi="Arial" w:cs="Arial"/>
        </w:rPr>
        <w:t>emphasise</w:t>
      </w:r>
      <w:proofErr w:type="spellEnd"/>
      <w:r w:rsidRPr="003F07AC">
        <w:rPr>
          <w:rFonts w:ascii="Arial" w:hAnsi="Arial" w:cs="Arial"/>
        </w:rPr>
        <w:t xml:space="preserve"> accountability and </w:t>
      </w:r>
      <w:proofErr w:type="spellStart"/>
      <w:r w:rsidRPr="003F07AC">
        <w:rPr>
          <w:rFonts w:ascii="Arial" w:hAnsi="Arial" w:cs="Arial"/>
        </w:rPr>
        <w:t>standardised</w:t>
      </w:r>
      <w:proofErr w:type="spellEnd"/>
      <w:r w:rsidRPr="003F07AC">
        <w:rPr>
          <w:rFonts w:ascii="Arial" w:hAnsi="Arial" w:cs="Arial"/>
        </w:rPr>
        <w:t xml:space="preserve"> testing. As Wiggins and McTighe (2005) noted, lesson intentions help teachers ensure that their instruction meets the required standards and that students are adequately prepared for assessments.</w:t>
      </w:r>
    </w:p>
    <w:p w14:paraId="520018EA" w14:textId="77777777" w:rsidR="00DD3516" w:rsidRPr="003F07AC" w:rsidRDefault="00000000" w:rsidP="003F07AC">
      <w:pPr>
        <w:spacing w:before="240" w:after="240" w:line="360" w:lineRule="auto"/>
        <w:rPr>
          <w:rFonts w:ascii="Arial" w:hAnsi="Arial" w:cs="Arial"/>
        </w:rPr>
      </w:pPr>
      <w:r w:rsidRPr="003F07AC">
        <w:rPr>
          <w:rFonts w:ascii="Arial" w:hAnsi="Arial" w:cs="Arial"/>
          <w:b/>
          <w:bCs/>
          <w:u w:val="single"/>
        </w:rPr>
        <w:lastRenderedPageBreak/>
        <w:t>Limitations</w:t>
      </w:r>
    </w:p>
    <w:p w14:paraId="73F6D22F" w14:textId="48A88359" w:rsidR="00DD3516" w:rsidRPr="003F07AC" w:rsidRDefault="00000000" w:rsidP="003F07AC">
      <w:pPr>
        <w:spacing w:before="240" w:after="240" w:line="360" w:lineRule="auto"/>
        <w:rPr>
          <w:rFonts w:ascii="Arial" w:hAnsi="Arial" w:cs="Arial"/>
        </w:rPr>
      </w:pPr>
      <w:r w:rsidRPr="003F07AC">
        <w:rPr>
          <w:rFonts w:ascii="Arial" w:hAnsi="Arial" w:cs="Arial"/>
        </w:rPr>
        <w:t xml:space="preserve">However, it is essential to be aware of potential limitations when setting lesson intentions. One significant drawback is the possibility of narrowing the curriculum too much. Focusing on </w:t>
      </w:r>
      <w:proofErr w:type="gramStart"/>
      <w:r w:rsidRPr="003F07AC">
        <w:rPr>
          <w:rFonts w:ascii="Arial" w:hAnsi="Arial" w:cs="Arial"/>
        </w:rPr>
        <w:t>particular learning</w:t>
      </w:r>
      <w:proofErr w:type="gramEnd"/>
      <w:r w:rsidRPr="003F07AC">
        <w:rPr>
          <w:rFonts w:ascii="Arial" w:hAnsi="Arial" w:cs="Arial"/>
        </w:rPr>
        <w:t xml:space="preserve"> goals may result in an oversimplified method of education in which quantifiable results come before comprehensive educational encounters (Eisner, 2002) and hinder opportunities for creativity, critical thinking, and deeper understanding (Black &amp; </w:t>
      </w:r>
      <w:proofErr w:type="spellStart"/>
      <w:r w:rsidRPr="003F07AC">
        <w:rPr>
          <w:rFonts w:ascii="Arial" w:hAnsi="Arial" w:cs="Arial"/>
        </w:rPr>
        <w:t>Wiliam</w:t>
      </w:r>
      <w:proofErr w:type="spellEnd"/>
      <w:r w:rsidRPr="003F07AC">
        <w:rPr>
          <w:rFonts w:ascii="Arial" w:hAnsi="Arial" w:cs="Arial"/>
        </w:rPr>
        <w:t>, 2003). This supports early work from the likes of Dewey (1937) and highlights that while adopting a comprehensive strategy to education that considers both quantifiable results and broader educational objectives is crucial, they should be aware of the importance of nurturing creativity, critical thinking, and a passion for learning (Dewey 1937). Overly prescriptive learning intentions could potentially restrict students' opportunities to explore their interests and assume responsibility for their learning, dampening intrinsic motivation and engagement (Biesta, 2010).</w:t>
      </w:r>
    </w:p>
    <w:p w14:paraId="5B4CDF33" w14:textId="03C3D14A" w:rsidR="00DD3516" w:rsidRPr="003F07AC" w:rsidRDefault="00000000" w:rsidP="003F07AC">
      <w:pPr>
        <w:spacing w:before="240" w:after="240" w:line="360" w:lineRule="auto"/>
        <w:rPr>
          <w:rFonts w:ascii="Arial" w:hAnsi="Arial" w:cs="Arial"/>
        </w:rPr>
      </w:pPr>
      <w:r w:rsidRPr="003F07AC">
        <w:rPr>
          <w:rFonts w:ascii="Arial" w:hAnsi="Arial" w:cs="Arial"/>
        </w:rPr>
        <w:t xml:space="preserve">Similarly, focusing on specific learning objectives might result in "teaching to the test" as teachers </w:t>
      </w:r>
      <w:proofErr w:type="spellStart"/>
      <w:r w:rsidRPr="003F07AC">
        <w:rPr>
          <w:rFonts w:ascii="Arial" w:hAnsi="Arial" w:cs="Arial"/>
        </w:rPr>
        <w:t>prioritise</w:t>
      </w:r>
      <w:proofErr w:type="spellEnd"/>
      <w:r w:rsidRPr="003F07AC">
        <w:rPr>
          <w:rFonts w:ascii="Arial" w:hAnsi="Arial" w:cs="Arial"/>
        </w:rPr>
        <w:t xml:space="preserve"> instructing content that will be assessed, possibly overlooking broader educational goals. Popham (2001) argues that this approach could impede the development of advanced cognitive skills and diminish students' overall learning experiences. Many educators and researchers also express concerns about the potential downsides of </w:t>
      </w:r>
      <w:proofErr w:type="spellStart"/>
      <w:r w:rsidRPr="003F07AC">
        <w:rPr>
          <w:rFonts w:ascii="Arial" w:hAnsi="Arial" w:cs="Arial"/>
        </w:rPr>
        <w:t>prioritising</w:t>
      </w:r>
      <w:proofErr w:type="spellEnd"/>
      <w:r w:rsidRPr="003F07AC">
        <w:rPr>
          <w:rFonts w:ascii="Arial" w:hAnsi="Arial" w:cs="Arial"/>
        </w:rPr>
        <w:t xml:space="preserve"> specific learning objectives and </w:t>
      </w:r>
      <w:proofErr w:type="spellStart"/>
      <w:r w:rsidRPr="003F07AC">
        <w:rPr>
          <w:rFonts w:ascii="Arial" w:hAnsi="Arial" w:cs="Arial"/>
        </w:rPr>
        <w:t>standardised</w:t>
      </w:r>
      <w:proofErr w:type="spellEnd"/>
      <w:r w:rsidRPr="003F07AC">
        <w:rPr>
          <w:rFonts w:ascii="Arial" w:hAnsi="Arial" w:cs="Arial"/>
        </w:rPr>
        <w:t xml:space="preserve"> testing. The challenges stem from the differences in how teachers interpret and implement lesson objectives (</w:t>
      </w:r>
      <w:proofErr w:type="spellStart"/>
      <w:r w:rsidRPr="003F07AC">
        <w:rPr>
          <w:rFonts w:ascii="Arial" w:hAnsi="Arial" w:cs="Arial"/>
        </w:rPr>
        <w:t>Khon</w:t>
      </w:r>
      <w:proofErr w:type="spellEnd"/>
      <w:r w:rsidRPr="003F07AC">
        <w:rPr>
          <w:rFonts w:ascii="Arial" w:hAnsi="Arial" w:cs="Arial"/>
        </w:rPr>
        <w:t>, 2000). Although clear learning goals are easily understood, implementation can differ significantly among classrooms (</w:t>
      </w:r>
      <w:proofErr w:type="spellStart"/>
      <w:r w:rsidRPr="003F07AC">
        <w:rPr>
          <w:rFonts w:ascii="Arial" w:hAnsi="Arial" w:cs="Arial"/>
        </w:rPr>
        <w:t>Wiliam</w:t>
      </w:r>
      <w:proofErr w:type="spellEnd"/>
      <w:r w:rsidRPr="003F07AC">
        <w:rPr>
          <w:rFonts w:ascii="Arial" w:hAnsi="Arial" w:cs="Arial"/>
        </w:rPr>
        <w:t xml:space="preserve"> 2011, Brookhart 2008). It is also worth noting that establishing and effectively communicating clear learning objectives can be demanding, particularly in diverse and rapidly changing classroom settings (Chapman and King, 2009). Educators may need help formulating specific and impactful learning targets suitable for all students, especially in mixed-ability groups (Tomlinson 2001; Marzano 2007).</w:t>
      </w:r>
    </w:p>
    <w:p w14:paraId="45599B86" w14:textId="39B65095" w:rsidR="00DD3516" w:rsidRPr="003F07AC" w:rsidRDefault="00000000" w:rsidP="003F07AC">
      <w:pPr>
        <w:spacing w:before="240" w:after="240" w:line="360" w:lineRule="auto"/>
        <w:rPr>
          <w:rFonts w:ascii="Arial" w:hAnsi="Arial" w:cs="Arial"/>
        </w:rPr>
      </w:pPr>
      <w:r w:rsidRPr="003F07AC">
        <w:rPr>
          <w:rFonts w:ascii="Arial" w:hAnsi="Arial" w:cs="Arial"/>
        </w:rPr>
        <w:lastRenderedPageBreak/>
        <w:t xml:space="preserve">The impact of lesson intentions may </w:t>
      </w:r>
      <w:r w:rsidR="00A140CB" w:rsidRPr="003F07AC">
        <w:rPr>
          <w:rFonts w:ascii="Arial" w:hAnsi="Arial" w:cs="Arial"/>
        </w:rPr>
        <w:t xml:space="preserve">additionally </w:t>
      </w:r>
      <w:r w:rsidRPr="003F07AC">
        <w:rPr>
          <w:rFonts w:ascii="Arial" w:hAnsi="Arial" w:cs="Arial"/>
        </w:rPr>
        <w:t xml:space="preserve">vary between primary and secondary education settings. In primary education, where foundational skills and knowledge are </w:t>
      </w:r>
      <w:proofErr w:type="spellStart"/>
      <w:r w:rsidRPr="003F07AC">
        <w:rPr>
          <w:rFonts w:ascii="Arial" w:hAnsi="Arial" w:cs="Arial"/>
        </w:rPr>
        <w:t>emphasised</w:t>
      </w:r>
      <w:proofErr w:type="spellEnd"/>
      <w:r w:rsidRPr="003F07AC">
        <w:rPr>
          <w:rFonts w:ascii="Arial" w:hAnsi="Arial" w:cs="Arial"/>
        </w:rPr>
        <w:t xml:space="preserve">, clear learning goals can offer structure and guidance (Marzano, 2007). Conversely, secondary education often involves more intricate and interdisciplinary learning, where overly specific goals may restrict deeper exploration and critical thinking (Eisner, 2002). Hattie's (2009) research emphasises the importance of establishing clear learning objectives and success criteria, particularly in primary education, to enhance student performance. According to Hattie's meta-analyses, setting clear goals is among the most effective strategies for improving student learning, especially in the early stages of education. However, Biesta (2010) </w:t>
      </w:r>
      <w:r w:rsidR="00A140CB" w:rsidRPr="003F07AC">
        <w:rPr>
          <w:rFonts w:ascii="Arial" w:hAnsi="Arial" w:cs="Arial"/>
        </w:rPr>
        <w:t>criticizes</w:t>
      </w:r>
      <w:r w:rsidRPr="003F07AC">
        <w:rPr>
          <w:rFonts w:ascii="Arial" w:hAnsi="Arial" w:cs="Arial"/>
        </w:rPr>
        <w:t xml:space="preserve"> the emphasis on measurable outcomes and specific goals in secondary education, advocating for a more holistic approach that encourages critical thinking and exploration. Biesta argues that education should focus on predetermined outcomes and the processes that engage students in meaningful and reflective learning experiences.</w:t>
      </w:r>
    </w:p>
    <w:p w14:paraId="1BBE8BC3" w14:textId="223E34FB" w:rsidR="00DD3516" w:rsidRPr="003F07AC" w:rsidRDefault="00000000" w:rsidP="003F07AC">
      <w:pPr>
        <w:spacing w:before="240" w:after="240" w:line="360" w:lineRule="auto"/>
        <w:rPr>
          <w:rFonts w:ascii="Arial" w:hAnsi="Arial" w:cs="Arial"/>
        </w:rPr>
      </w:pPr>
      <w:r w:rsidRPr="003F07AC">
        <w:rPr>
          <w:rFonts w:ascii="Arial" w:hAnsi="Arial" w:cs="Arial"/>
        </w:rPr>
        <w:t xml:space="preserve">Additionally, the impact of instructional objectives may vary depending on the subject. For example, well-defined learning goals can improve educational achievements in subjects such as mathematics and science, where precise competencies and knowledge are essential (Hattie, 2009). Conversely, in fields such as art and literature, which </w:t>
      </w:r>
      <w:proofErr w:type="spellStart"/>
      <w:r w:rsidRPr="003F07AC">
        <w:rPr>
          <w:rFonts w:ascii="Arial" w:hAnsi="Arial" w:cs="Arial"/>
        </w:rPr>
        <w:t>prioritise</w:t>
      </w:r>
      <w:proofErr w:type="spellEnd"/>
      <w:r w:rsidRPr="003F07AC">
        <w:rPr>
          <w:rFonts w:ascii="Arial" w:hAnsi="Arial" w:cs="Arial"/>
        </w:rPr>
        <w:t xml:space="preserve"> creativity and interpretation, stringent learning objectives could constrain students' creative freedom and critical evaluation (Eisner, 2002).</w:t>
      </w:r>
    </w:p>
    <w:p w14:paraId="213E9E3D" w14:textId="469417ED" w:rsidR="005421B6" w:rsidRPr="003F07AC" w:rsidRDefault="00000000" w:rsidP="003F07AC">
      <w:pPr>
        <w:spacing w:before="240" w:after="240" w:line="360" w:lineRule="auto"/>
        <w:rPr>
          <w:rFonts w:ascii="Arial" w:hAnsi="Arial" w:cs="Arial"/>
        </w:rPr>
      </w:pPr>
      <w:r w:rsidRPr="003F07AC">
        <w:rPr>
          <w:rFonts w:ascii="Arial" w:hAnsi="Arial" w:cs="Arial"/>
        </w:rPr>
        <w:t>Therefore, when sharing lesson intentions with students, it is vital to encourage critical thinking, connections to previous learning, and questions. In curriculum planning, backward design involves setting clear goals, essential questions, and assessment methods before developing instructional activities (Wiggins and McTighe, 2005). They are often referred to within the literature as 'inquiry-based learning' (Teachers TV/UK Department of Education 2008). This approach can be highly effective for creative subjects (</w:t>
      </w:r>
      <w:proofErr w:type="spellStart"/>
      <w:r w:rsidRPr="003F07AC">
        <w:rPr>
          <w:rFonts w:ascii="Arial" w:hAnsi="Arial" w:cs="Arial"/>
        </w:rPr>
        <w:t>Hetland</w:t>
      </w:r>
      <w:proofErr w:type="spellEnd"/>
      <w:r w:rsidRPr="003F07AC">
        <w:rPr>
          <w:rFonts w:ascii="Arial" w:hAnsi="Arial" w:cs="Arial"/>
        </w:rPr>
        <w:t xml:space="preserve">, 2013). Research shows that when students are encouraged to explore open-ended questions and engage in investigative processes, they develop critical thinking skills and a deeper understanding of the subject matter (Harvey &amp; Daniels, 2015). Giving students autonomy over their learning helps them understand the </w:t>
      </w:r>
      <w:r w:rsidRPr="003F07AC">
        <w:rPr>
          <w:rFonts w:ascii="Arial" w:hAnsi="Arial" w:cs="Arial"/>
        </w:rPr>
        <w:lastRenderedPageBreak/>
        <w:t>lesson's intention. This instructional method aligns with Constructivist educational theories, highlighting the significance of students developing upon their existing knowledge through active participation and reflection. In the context of creative subjects, establishing investigative learning processes that encourage students to link new information with their current knowledge base can strengthen critical thinking and creativity (Brooks &amp; Brooks, 1999).</w:t>
      </w:r>
    </w:p>
    <w:p w14:paraId="47152CAC" w14:textId="0A0FF535" w:rsidR="00DD3516" w:rsidRPr="003F07AC" w:rsidRDefault="00000000" w:rsidP="003F07AC">
      <w:pPr>
        <w:spacing w:before="240" w:after="240" w:line="360" w:lineRule="auto"/>
        <w:rPr>
          <w:rFonts w:ascii="Arial" w:hAnsi="Arial" w:cs="Arial"/>
        </w:rPr>
      </w:pPr>
      <w:r w:rsidRPr="003F07AC">
        <w:rPr>
          <w:rFonts w:ascii="Arial" w:hAnsi="Arial" w:cs="Arial"/>
          <w:b/>
          <w:bCs/>
          <w:u w:val="single"/>
        </w:rPr>
        <w:t>Practical Implications</w:t>
      </w:r>
    </w:p>
    <w:p w14:paraId="23282587" w14:textId="77777777" w:rsidR="00A140CB" w:rsidRPr="003F07AC" w:rsidRDefault="00000000" w:rsidP="003F07AC">
      <w:pPr>
        <w:spacing w:before="240" w:after="240" w:line="360" w:lineRule="auto"/>
        <w:rPr>
          <w:rFonts w:ascii="Arial" w:hAnsi="Arial" w:cs="Arial"/>
        </w:rPr>
      </w:pPr>
      <w:r w:rsidRPr="003F07AC">
        <w:rPr>
          <w:rFonts w:ascii="Arial" w:hAnsi="Arial" w:cs="Arial"/>
        </w:rPr>
        <w:t>The practical implications of incorporating lesson intentions in the classroom are varied. As mentioned earlier, successful implementation necessitates thoughtful consideration of the advantages and limitations.</w:t>
      </w:r>
      <w:r w:rsidR="00A140CB" w:rsidRPr="003F07AC">
        <w:rPr>
          <w:rFonts w:ascii="Arial" w:hAnsi="Arial" w:cs="Arial"/>
        </w:rPr>
        <w:t xml:space="preserve"> </w:t>
      </w:r>
      <w:proofErr w:type="gramStart"/>
      <w:r w:rsidRPr="003F07AC">
        <w:rPr>
          <w:rFonts w:ascii="Arial" w:hAnsi="Arial" w:cs="Arial"/>
        </w:rPr>
        <w:t>Continued</w:t>
      </w:r>
      <w:proofErr w:type="gramEnd"/>
      <w:r w:rsidRPr="003F07AC">
        <w:rPr>
          <w:rFonts w:ascii="Arial" w:hAnsi="Arial" w:cs="Arial"/>
        </w:rPr>
        <w:t xml:space="preserve"> professional development is essential to equip teachers with professional development to establish and </w:t>
      </w:r>
      <w:proofErr w:type="spellStart"/>
      <w:r w:rsidRPr="003F07AC">
        <w:rPr>
          <w:rFonts w:ascii="Arial" w:hAnsi="Arial" w:cs="Arial"/>
        </w:rPr>
        <w:t>realise</w:t>
      </w:r>
      <w:proofErr w:type="spellEnd"/>
      <w:r w:rsidRPr="003F07AC">
        <w:rPr>
          <w:rFonts w:ascii="Arial" w:hAnsi="Arial" w:cs="Arial"/>
        </w:rPr>
        <w:t xml:space="preserve"> clear learning intentions. This involves training on crafting meaningful and attainable objectives, aligning them with curriculum standards, and effectively communicating them to students (Marzano, 2007). Encouraging collaborative planning among educators can improve the consistency and quality of learning objectives. Professional learning communities (PLCs) offer a valuable forum for teachers to exchange best practices, address challenges, and collectively improve their educational goals (Barber, Moffit and </w:t>
      </w:r>
      <w:proofErr w:type="spellStart"/>
      <w:r w:rsidRPr="003F07AC">
        <w:rPr>
          <w:rFonts w:ascii="Arial" w:hAnsi="Arial" w:cs="Arial"/>
        </w:rPr>
        <w:t>Kihn</w:t>
      </w:r>
      <w:proofErr w:type="spellEnd"/>
      <w:r w:rsidRPr="003F07AC">
        <w:rPr>
          <w:rFonts w:ascii="Arial" w:hAnsi="Arial" w:cs="Arial"/>
        </w:rPr>
        <w:t>., 2010). Educators should be proficient at differentiating learning intentions to suit the diverse needs of their students, requiring the creation of flexible and inclusive targets that can be adjusted based on students' abilities, preferences, and learning styles (Tomlinson, 2001).</w:t>
      </w:r>
      <w:r w:rsidR="00A140CB" w:rsidRPr="003F07AC">
        <w:rPr>
          <w:rFonts w:ascii="Arial" w:hAnsi="Arial" w:cs="Arial"/>
        </w:rPr>
        <w:t xml:space="preserve"> </w:t>
      </w:r>
    </w:p>
    <w:p w14:paraId="6B34DA0F" w14:textId="62D1BC0D" w:rsidR="00DD3516" w:rsidRPr="003F07AC" w:rsidRDefault="00000000" w:rsidP="003F07AC">
      <w:pPr>
        <w:spacing w:before="240" w:after="240" w:line="360" w:lineRule="auto"/>
        <w:rPr>
          <w:rFonts w:ascii="Arial" w:hAnsi="Arial" w:cs="Arial"/>
        </w:rPr>
      </w:pPr>
      <w:r w:rsidRPr="003F07AC">
        <w:rPr>
          <w:rFonts w:ascii="Arial" w:hAnsi="Arial" w:cs="Arial"/>
        </w:rPr>
        <w:t xml:space="preserve">Differentiation entails offering various approaches to content, processes, and outcomes. By doing so, educators can cater to the differing needs of students, including their readiness levels, interests, and learning profiles, by </w:t>
      </w:r>
      <w:proofErr w:type="spellStart"/>
      <w:r w:rsidRPr="003F07AC">
        <w:rPr>
          <w:rFonts w:ascii="Arial" w:hAnsi="Arial" w:cs="Arial"/>
        </w:rPr>
        <w:t>customising</w:t>
      </w:r>
      <w:proofErr w:type="spellEnd"/>
      <w:r w:rsidRPr="003F07AC">
        <w:rPr>
          <w:rFonts w:ascii="Arial" w:hAnsi="Arial" w:cs="Arial"/>
        </w:rPr>
        <w:t xml:space="preserve"> the learning environment and methods to provide diverse pathways for students to achieve their learning goals (Tomlinson, 2001). Moreover, </w:t>
      </w:r>
      <w:proofErr w:type="spellStart"/>
      <w:r w:rsidRPr="003F07AC">
        <w:rPr>
          <w:rFonts w:ascii="Arial" w:hAnsi="Arial" w:cs="Arial"/>
        </w:rPr>
        <w:t>customising</w:t>
      </w:r>
      <w:proofErr w:type="spellEnd"/>
      <w:r w:rsidRPr="003F07AC">
        <w:rPr>
          <w:rFonts w:ascii="Arial" w:hAnsi="Arial" w:cs="Arial"/>
        </w:rPr>
        <w:t xml:space="preserve"> learning goals to accommodate the varying needs of students, as detailed by Tomlinson (2001), is closely connected to the concept of reflective practice promoted by many influential figures in the fields of education and professional development.</w:t>
      </w:r>
    </w:p>
    <w:p w14:paraId="659E58C6" w14:textId="77777777" w:rsidR="00DD3516" w:rsidRPr="003F07AC" w:rsidRDefault="00DD3516" w:rsidP="003F07AC">
      <w:pPr>
        <w:spacing w:before="240" w:after="240" w:line="360" w:lineRule="auto"/>
        <w:rPr>
          <w:rFonts w:ascii="Arial" w:hAnsi="Arial" w:cs="Arial"/>
        </w:rPr>
      </w:pPr>
    </w:p>
    <w:p w14:paraId="06C0905B" w14:textId="77777777" w:rsidR="00DD3516" w:rsidRPr="003F07AC" w:rsidRDefault="00000000" w:rsidP="003F07AC">
      <w:pPr>
        <w:spacing w:before="240" w:after="240" w:line="360" w:lineRule="auto"/>
        <w:rPr>
          <w:rFonts w:ascii="Arial" w:hAnsi="Arial" w:cs="Arial"/>
        </w:rPr>
      </w:pPr>
      <w:r w:rsidRPr="003F07AC">
        <w:rPr>
          <w:rFonts w:ascii="Arial" w:hAnsi="Arial" w:cs="Arial"/>
          <w:b/>
          <w:bCs/>
          <w:u w:val="single"/>
        </w:rPr>
        <w:t>Reflective Practice and Learning Intentions</w:t>
      </w:r>
    </w:p>
    <w:p w14:paraId="4303526F" w14:textId="71088204" w:rsidR="00DD3516" w:rsidRPr="003F07AC" w:rsidRDefault="00000000" w:rsidP="003F07AC">
      <w:pPr>
        <w:spacing w:before="240" w:after="240" w:line="360" w:lineRule="auto"/>
        <w:rPr>
          <w:rFonts w:ascii="Arial" w:hAnsi="Arial" w:cs="Arial"/>
        </w:rPr>
      </w:pPr>
      <w:r w:rsidRPr="003F07AC">
        <w:rPr>
          <w:rFonts w:ascii="Arial" w:hAnsi="Arial" w:cs="Arial"/>
        </w:rPr>
        <w:t>Reflective practice often necessitates a methodical approach, which may only be innate for some educators. Jack Mezirow's 1991 work, "Transformative Dimensions of Adult Learning," is a crucial contribution to the literature on reflective practice and transformative learning. Mezirow's theory revolves around perspective transformation, where educators engage in critical reflection to fundamentally shift their deeply ingrained frames of reference, including their assumptions, beliefs, and values. Mezirow underscores the significance of critical reflection in the transformation process, identifying three types: content reflection (evaluating the problem at hand), process reflection (analysing the problem-solving process), and premise reflection (questioning underlying assumptions and beliefs). According to Mezirow's theory, the phases of transformative learning include the "</w:t>
      </w:r>
      <w:r w:rsidR="005421B6" w:rsidRPr="003F07AC">
        <w:rPr>
          <w:rFonts w:ascii="Arial" w:hAnsi="Arial" w:cs="Arial"/>
        </w:rPr>
        <w:t>d</w:t>
      </w:r>
      <w:r w:rsidRPr="003F07AC">
        <w:rPr>
          <w:rFonts w:ascii="Arial" w:hAnsi="Arial" w:cs="Arial"/>
        </w:rPr>
        <w:t xml:space="preserve">isorienting </w:t>
      </w:r>
      <w:r w:rsidR="005421B6" w:rsidRPr="003F07AC">
        <w:rPr>
          <w:rFonts w:ascii="Arial" w:hAnsi="Arial" w:cs="Arial"/>
        </w:rPr>
        <w:t>dilemma" (p. 189), which involves e</w:t>
      </w:r>
      <w:r w:rsidRPr="003F07AC">
        <w:rPr>
          <w:rFonts w:ascii="Arial" w:hAnsi="Arial" w:cs="Arial"/>
        </w:rPr>
        <w:t>ncountering an event or experience that challenges existing perspectives, self-examining emotions, and questioning realistic assumptions, such as student ability. It also involves recognising any commonality with others regarding experiences and challenges. Then, one can examine options for action and devise a plan to implement a new perspective that responds to the learner's needs.</w:t>
      </w:r>
    </w:p>
    <w:p w14:paraId="1505E30B" w14:textId="191A71B3" w:rsidR="00DD3516" w:rsidRPr="003F07AC" w:rsidRDefault="00000000" w:rsidP="003F07AC">
      <w:pPr>
        <w:spacing w:before="240" w:after="240" w:line="360" w:lineRule="auto"/>
        <w:rPr>
          <w:rFonts w:ascii="Arial" w:hAnsi="Arial" w:cs="Arial"/>
        </w:rPr>
      </w:pPr>
      <w:r w:rsidRPr="003F07AC">
        <w:rPr>
          <w:rFonts w:ascii="Arial" w:hAnsi="Arial" w:cs="Arial"/>
        </w:rPr>
        <w:t>Similarly, Stephen Brookfield (2017) emphasises critical reflection in his approach to reflective practice. He advocates for critically reflective practice to identify and challenge power dynamics and assumptions in teaching. Brookfield introduces 'Four Lenses for Educators'</w:t>
      </w:r>
      <w:r w:rsidRPr="003F07AC">
        <w:rPr>
          <w:rFonts w:ascii="Arial" w:hAnsi="Arial" w:cs="Arial"/>
          <w:b/>
          <w:bCs/>
        </w:rPr>
        <w:t xml:space="preserve"> </w:t>
      </w:r>
      <w:r w:rsidR="003F07AC" w:rsidRPr="003F07AC">
        <w:rPr>
          <w:rFonts w:ascii="Arial" w:hAnsi="Arial" w:cs="Arial"/>
        </w:rPr>
        <w:t xml:space="preserve">(p.59) </w:t>
      </w:r>
      <w:r w:rsidRPr="003F07AC">
        <w:rPr>
          <w:rFonts w:ascii="Arial" w:hAnsi="Arial" w:cs="Arial"/>
        </w:rPr>
        <w:t>to use in their reflection: their own experiences as learners, their students' perspectives, their colleagues' viewpoints, and theoretical literature. Grounded in critical theory and influenced by thinkers such as Paulo Freire and Jurgen Habermas, his work underscores the significance of power and ideology in shaping educational practices and the importance of transformative reflection. The goal is to cultivate a more profound, critical comprehension of practice that can drive meaningful changes in how educators approach teaching and pedagogy, with a focus on both systemic change and personal transformation.</w:t>
      </w:r>
    </w:p>
    <w:p w14:paraId="4A4566A9" w14:textId="1268697F" w:rsidR="00DD3516" w:rsidRPr="003F07AC" w:rsidRDefault="00000000" w:rsidP="003F07AC">
      <w:pPr>
        <w:spacing w:before="240" w:after="240" w:line="360" w:lineRule="auto"/>
        <w:rPr>
          <w:rFonts w:ascii="Arial" w:hAnsi="Arial" w:cs="Arial"/>
        </w:rPr>
      </w:pPr>
      <w:r w:rsidRPr="003F07AC">
        <w:rPr>
          <w:rFonts w:ascii="Arial" w:hAnsi="Arial" w:cs="Arial"/>
        </w:rPr>
        <w:lastRenderedPageBreak/>
        <w:t xml:space="preserve">Furthermore, if we are to </w:t>
      </w:r>
      <w:proofErr w:type="spellStart"/>
      <w:r w:rsidRPr="003F07AC">
        <w:rPr>
          <w:rFonts w:ascii="Arial" w:hAnsi="Arial" w:cs="Arial"/>
        </w:rPr>
        <w:t>analyse</w:t>
      </w:r>
      <w:proofErr w:type="spellEnd"/>
      <w:r w:rsidRPr="003F07AC">
        <w:rPr>
          <w:rFonts w:ascii="Arial" w:hAnsi="Arial" w:cs="Arial"/>
        </w:rPr>
        <w:t xml:space="preserve"> David Tripp's Critical Incident Methodology (1993) whereby, educators identify and document significant events or incidents, </w:t>
      </w:r>
      <w:proofErr w:type="spellStart"/>
      <w:r w:rsidRPr="003F07AC">
        <w:rPr>
          <w:rFonts w:ascii="Arial" w:hAnsi="Arial" w:cs="Arial"/>
        </w:rPr>
        <w:t>analyse</w:t>
      </w:r>
      <w:proofErr w:type="spellEnd"/>
      <w:r w:rsidRPr="003F07AC">
        <w:rPr>
          <w:rFonts w:ascii="Arial" w:hAnsi="Arial" w:cs="Arial"/>
        </w:rPr>
        <w:t xml:space="preserve"> the reasons behind them, and consider the implications for practice to identify lessons learned and areas for improvement. This method emphasises the importance of practical enhancements in daily professional practice, leading to gradual, impactful changes. Reflective practice prompts, in this instance, can help teachers to thoughtfully consider their teaching approaches, including how they establish learning intentions. By evaluating what is effective and what is not, educators can better </w:t>
      </w:r>
      <w:proofErr w:type="spellStart"/>
      <w:r w:rsidRPr="003F07AC">
        <w:rPr>
          <w:rFonts w:ascii="Arial" w:hAnsi="Arial" w:cs="Arial"/>
        </w:rPr>
        <w:t>customise</w:t>
      </w:r>
      <w:proofErr w:type="spellEnd"/>
      <w:r w:rsidRPr="003F07AC">
        <w:rPr>
          <w:rFonts w:ascii="Arial" w:hAnsi="Arial" w:cs="Arial"/>
        </w:rPr>
        <w:t xml:space="preserve"> their objectives to address the diverse needs of their students.</w:t>
      </w:r>
    </w:p>
    <w:p w14:paraId="63803862" w14:textId="77777777" w:rsidR="00DD3516" w:rsidRPr="003F07AC" w:rsidRDefault="00000000" w:rsidP="003F07AC">
      <w:pPr>
        <w:spacing w:before="240" w:after="240" w:line="360" w:lineRule="auto"/>
        <w:rPr>
          <w:rFonts w:ascii="Arial" w:hAnsi="Arial" w:cs="Arial"/>
        </w:rPr>
      </w:pPr>
      <w:r w:rsidRPr="003F07AC">
        <w:rPr>
          <w:rFonts w:ascii="Arial" w:hAnsi="Arial" w:cs="Arial"/>
        </w:rPr>
        <w:t>Combining Mezirow's transformative learning theory, Brookfield's critical reflective practice and Tripp's practical analysis of critical incidents creates a robust framework for reflective practice. This integrated approach enables practitioners to critically assess and transform their assumptions, leading to personal and professional growth. By engaging with disorienting dilemmas and critical incidents through multiple lenses and reflecting deeply on these experiences, educators and professionals can achieve meaningful, transformative learning and continuous improvement in their practice.</w:t>
      </w:r>
    </w:p>
    <w:p w14:paraId="1D79D6AA" w14:textId="4FD30203" w:rsidR="00DD3516" w:rsidRPr="003F07AC" w:rsidRDefault="00000000" w:rsidP="003F07AC">
      <w:pPr>
        <w:spacing w:before="240" w:after="240" w:line="360" w:lineRule="auto"/>
        <w:rPr>
          <w:rFonts w:ascii="Arial" w:hAnsi="Arial" w:cs="Arial"/>
        </w:rPr>
      </w:pPr>
      <w:r w:rsidRPr="003F07AC">
        <w:rPr>
          <w:rFonts w:ascii="Arial" w:hAnsi="Arial" w:cs="Arial"/>
        </w:rPr>
        <w:t>Encouraging reflective practice among educators aligns with Tomlinson's</w:t>
      </w:r>
      <w:r w:rsidR="00A140CB" w:rsidRPr="003F07AC">
        <w:rPr>
          <w:rFonts w:ascii="Arial" w:hAnsi="Arial" w:cs="Arial"/>
        </w:rPr>
        <w:t xml:space="preserve"> </w:t>
      </w:r>
      <w:r w:rsidRPr="003F07AC">
        <w:rPr>
          <w:rFonts w:ascii="Arial" w:hAnsi="Arial" w:cs="Arial"/>
        </w:rPr>
        <w:t xml:space="preserve">advocation of differentiation in the classroom by facilitating a means of evaluating the efficacy of their learning intentions and enabling educators to make essential adjustments. Therefore, the reflective practice serves as a pathway for professional growth. As educators reflect on their methods, they gain insights into their strengths and areas for enhancement. This </w:t>
      </w:r>
      <w:proofErr w:type="spellStart"/>
      <w:r w:rsidRPr="003F07AC">
        <w:rPr>
          <w:rFonts w:ascii="Arial" w:hAnsi="Arial" w:cs="Arial"/>
        </w:rPr>
        <w:t>self</w:t>
      </w:r>
      <w:r w:rsidR="00A140CB" w:rsidRPr="003F07AC">
        <w:rPr>
          <w:rFonts w:ascii="Arial" w:hAnsi="Arial" w:cs="Arial"/>
        </w:rPr>
        <w:t xml:space="preserve"> </w:t>
      </w:r>
      <w:r w:rsidRPr="003F07AC">
        <w:rPr>
          <w:rFonts w:ascii="Arial" w:hAnsi="Arial" w:cs="Arial"/>
        </w:rPr>
        <w:t>awareness</w:t>
      </w:r>
      <w:proofErr w:type="spellEnd"/>
      <w:r w:rsidRPr="003F07AC">
        <w:rPr>
          <w:rFonts w:ascii="Arial" w:hAnsi="Arial" w:cs="Arial"/>
        </w:rPr>
        <w:t xml:space="preserve"> helps them become more proficient at developing adaptable and inclusive learning outcomes.</w:t>
      </w:r>
    </w:p>
    <w:p w14:paraId="662CED1B" w14:textId="77777777" w:rsidR="00DD3516" w:rsidRPr="003F07AC" w:rsidRDefault="00000000" w:rsidP="003F07AC">
      <w:pPr>
        <w:spacing w:before="240" w:after="240" w:line="360" w:lineRule="auto"/>
        <w:rPr>
          <w:rFonts w:ascii="Arial" w:hAnsi="Arial" w:cs="Arial"/>
        </w:rPr>
      </w:pPr>
      <w:r w:rsidRPr="003F07AC">
        <w:rPr>
          <w:rFonts w:ascii="Arial" w:hAnsi="Arial" w:cs="Arial"/>
        </w:rPr>
        <w:t xml:space="preserve">However, this also requires continual professional development in areas such as ALN, EAL and Social Emotional Behavioural Difficulties. To ensure that differentiation is appropriate (Tomlinson, 2001). Reflective practice also requires support and training from educational institutions. Educators need dedicated time, resources, and encouragement for deep reflection and differentiation. Balancing structured planning and the flexibility to adapt to evolving learning needs is also crucial. </w:t>
      </w:r>
      <w:proofErr w:type="spellStart"/>
      <w:r w:rsidRPr="003F07AC">
        <w:rPr>
          <w:rFonts w:ascii="Arial" w:hAnsi="Arial" w:cs="Arial"/>
        </w:rPr>
        <w:t>Utilising</w:t>
      </w:r>
      <w:proofErr w:type="spellEnd"/>
      <w:r w:rsidRPr="003F07AC">
        <w:rPr>
          <w:rFonts w:ascii="Arial" w:hAnsi="Arial" w:cs="Arial"/>
        </w:rPr>
        <w:t xml:space="preserve"> </w:t>
      </w:r>
      <w:r w:rsidRPr="003F07AC">
        <w:rPr>
          <w:rFonts w:ascii="Arial" w:hAnsi="Arial" w:cs="Arial"/>
        </w:rPr>
        <w:lastRenderedPageBreak/>
        <w:t>comprehensive learning objectives that accommodate various approaches to achievement is essential. This approach fosters focus and creativity and can be facilitated through the sharing and collaboration of effective practices among colleagues and educational institutions (Wiggins &amp; McTighe, 2005).</w:t>
      </w:r>
    </w:p>
    <w:p w14:paraId="2B68E240" w14:textId="34F4C8F6"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t>Purpose of Using a Case Study Approach</w:t>
      </w:r>
    </w:p>
    <w:p w14:paraId="68DA86E8" w14:textId="2DCE4A74" w:rsidR="00DD3516" w:rsidRPr="003F07AC" w:rsidRDefault="00000000" w:rsidP="003F07AC">
      <w:pPr>
        <w:spacing w:before="240" w:after="240" w:line="360" w:lineRule="auto"/>
        <w:rPr>
          <w:rFonts w:ascii="Arial" w:hAnsi="Arial" w:cs="Arial"/>
        </w:rPr>
      </w:pPr>
      <w:r w:rsidRPr="003F07AC">
        <w:rPr>
          <w:rFonts w:ascii="Arial" w:hAnsi="Arial" w:cs="Arial"/>
        </w:rPr>
        <w:t xml:space="preserve">Case study research involves a detailed and intensive analysis of a single case or a small number of cases. It typically includes multiple data collection methods, such as observations, interviews, and document analysis, to comprehensively understand the case (Stake, 1995). The case study approach is particularly suited for in-depth exploration of complex issues in real-life contexts. According to Yin (2014), a case study is an empirical inquiry that investigates a contemporary phenomenon within its real-life context, especially when the boundaries between phenomenon and context are unclear. This method is especially valuable in educational research because it allows for a detailed examination of the interactions and dynamics within a specific setting, providing rich insights that other methods might overlook (Merriam &amp; </w:t>
      </w:r>
      <w:proofErr w:type="spellStart"/>
      <w:r w:rsidRPr="003F07AC">
        <w:rPr>
          <w:rFonts w:ascii="Arial" w:hAnsi="Arial" w:cs="Arial"/>
        </w:rPr>
        <w:t>Tisdell</w:t>
      </w:r>
      <w:proofErr w:type="spellEnd"/>
      <w:r w:rsidRPr="003F07AC">
        <w:rPr>
          <w:rFonts w:ascii="Arial" w:hAnsi="Arial" w:cs="Arial"/>
        </w:rPr>
        <w:t>, 2015).</w:t>
      </w:r>
    </w:p>
    <w:p w14:paraId="308984F8" w14:textId="5E0B09BF" w:rsidR="00DD3516" w:rsidRPr="003F07AC" w:rsidRDefault="00000000" w:rsidP="003F07AC">
      <w:pPr>
        <w:spacing w:before="240" w:after="240" w:line="360" w:lineRule="auto"/>
        <w:rPr>
          <w:rFonts w:ascii="Arial" w:hAnsi="Arial" w:cs="Arial"/>
        </w:rPr>
      </w:pPr>
      <w:r w:rsidRPr="003F07AC">
        <w:rPr>
          <w:rFonts w:ascii="Arial" w:hAnsi="Arial" w:cs="Arial"/>
        </w:rPr>
        <w:t xml:space="preserve">It is widely acknowledged within educational research that case studies are a powerful tool for data collection (Merriam &amp; </w:t>
      </w:r>
      <w:proofErr w:type="spellStart"/>
      <w:r w:rsidRPr="003F07AC">
        <w:rPr>
          <w:rFonts w:ascii="Arial" w:hAnsi="Arial" w:cs="Arial"/>
        </w:rPr>
        <w:t>Tisdell</w:t>
      </w:r>
      <w:proofErr w:type="spellEnd"/>
      <w:r w:rsidRPr="003F07AC">
        <w:rPr>
          <w:rFonts w:ascii="Arial" w:hAnsi="Arial" w:cs="Arial"/>
        </w:rPr>
        <w:t>, 2015) due to their demanding and meticulous nature, ensuring thorough analysis and comprehension (Yin, 2018). Furthermore, case studies are valuable for individuals with limited research experience as they provide insight into essential aspects and decisions related to research methodology (Hamilton, 2011).</w:t>
      </w:r>
    </w:p>
    <w:p w14:paraId="03B3C61C" w14:textId="751DBA10" w:rsidR="00DD3516" w:rsidRPr="003F07AC" w:rsidRDefault="00000000" w:rsidP="003F07AC">
      <w:pPr>
        <w:spacing w:before="240" w:after="240" w:line="360" w:lineRule="auto"/>
        <w:rPr>
          <w:rFonts w:ascii="Arial" w:hAnsi="Arial" w:cs="Arial"/>
        </w:rPr>
      </w:pPr>
      <w:r w:rsidRPr="003F07AC">
        <w:rPr>
          <w:rFonts w:ascii="Arial" w:hAnsi="Arial" w:cs="Arial"/>
        </w:rPr>
        <w:t xml:space="preserve">In this research, the case study approach is valuable for evaluating lesson intentions, as it can capture the subtle nuances of how educators and students perceive, communicate, and execute lesson intentions (Merriam, 1998). The detailed nature of case studies enables in-depth exploration of classroom practices, teacher-student interactions, and the impact of lesson intentions on learning outcomes (Stake, 1995). This is beneficial for my professional development as it aids in comprehending the </w:t>
      </w:r>
      <w:r w:rsidRPr="003F07AC">
        <w:rPr>
          <w:rFonts w:ascii="Arial" w:hAnsi="Arial" w:cs="Arial"/>
        </w:rPr>
        <w:lastRenderedPageBreak/>
        <w:t>contextual factors that affect the effectiveness of lesson intentions and offers practical and theoretical insights for future practice (Hamilton, 2011).</w:t>
      </w:r>
    </w:p>
    <w:p w14:paraId="58B2B778" w14:textId="77777777" w:rsidR="00A140CB" w:rsidRPr="003F07AC" w:rsidRDefault="00A140CB" w:rsidP="003F07AC">
      <w:pPr>
        <w:spacing w:before="240" w:after="240" w:line="360" w:lineRule="auto"/>
        <w:rPr>
          <w:rFonts w:ascii="Arial" w:hAnsi="Arial" w:cs="Arial"/>
        </w:rPr>
      </w:pPr>
    </w:p>
    <w:p w14:paraId="4BFD6B99" w14:textId="5B3552C1"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t>Ethical Consideration in Case Study Research</w:t>
      </w:r>
    </w:p>
    <w:p w14:paraId="5415B7F4" w14:textId="77777777" w:rsidR="00DD3516" w:rsidRPr="003F07AC" w:rsidRDefault="00000000" w:rsidP="003F07AC">
      <w:pPr>
        <w:spacing w:before="240" w:after="240" w:line="360" w:lineRule="auto"/>
        <w:rPr>
          <w:rFonts w:ascii="Arial" w:hAnsi="Arial" w:cs="Arial"/>
        </w:rPr>
      </w:pPr>
      <w:r w:rsidRPr="003F07AC">
        <w:rPr>
          <w:rFonts w:ascii="Arial" w:hAnsi="Arial" w:cs="Arial"/>
          <w:b/>
          <w:bCs/>
          <w:u w:val="single"/>
        </w:rPr>
        <w:t>Positionality: Teacher/Pupil Relationship</w:t>
      </w:r>
    </w:p>
    <w:p w14:paraId="69A2BE15" w14:textId="27B49FFD" w:rsidR="00DD3516" w:rsidRPr="003F07AC" w:rsidRDefault="00000000" w:rsidP="003F07AC">
      <w:pPr>
        <w:spacing w:before="240" w:after="240" w:line="360" w:lineRule="auto"/>
        <w:rPr>
          <w:rFonts w:ascii="Arial" w:hAnsi="Arial" w:cs="Arial"/>
        </w:rPr>
      </w:pPr>
      <w:r w:rsidRPr="003F07AC">
        <w:rPr>
          <w:rFonts w:ascii="Arial" w:hAnsi="Arial" w:cs="Arial"/>
        </w:rPr>
        <w:t xml:space="preserve">When conducting research with students, educators must be mindful of their social and personal backgrounds and their potential impact on the research process and outcomes (Stake, 1995). Positionality refers to recognising the researcher's social and personal background. Acknowledging and addressing the power dynamics inherent in this relationship is crucial, as they can affect the students' willingness to participate and their responses. Holmes (2020) stresses the importance of researchers understanding how their position may influence data collection and participant </w:t>
      </w:r>
      <w:proofErr w:type="spellStart"/>
      <w:r w:rsidRPr="003F07AC">
        <w:rPr>
          <w:rFonts w:ascii="Arial" w:hAnsi="Arial" w:cs="Arial"/>
        </w:rPr>
        <w:t>behaviour</w:t>
      </w:r>
      <w:proofErr w:type="spellEnd"/>
      <w:r w:rsidRPr="003F07AC">
        <w:rPr>
          <w:rFonts w:ascii="Arial" w:hAnsi="Arial" w:cs="Arial"/>
        </w:rPr>
        <w:t>. Transparency about the researcher's role and potential biases can help mitigate these effects.</w:t>
      </w:r>
    </w:p>
    <w:p w14:paraId="23632B29" w14:textId="77777777" w:rsidR="00DD3516" w:rsidRPr="003F07AC" w:rsidRDefault="00000000" w:rsidP="003F07AC">
      <w:pPr>
        <w:spacing w:before="240" w:after="240" w:line="360" w:lineRule="auto"/>
        <w:rPr>
          <w:rFonts w:ascii="Arial" w:hAnsi="Arial" w:cs="Arial"/>
        </w:rPr>
      </w:pPr>
      <w:r w:rsidRPr="003F07AC">
        <w:rPr>
          <w:rFonts w:ascii="Arial" w:hAnsi="Arial" w:cs="Arial"/>
          <w:b/>
          <w:bCs/>
          <w:u w:val="single"/>
        </w:rPr>
        <w:t>Anonymity and Confidentiality</w:t>
      </w:r>
    </w:p>
    <w:p w14:paraId="0C663846" w14:textId="139D09DE" w:rsidR="00DD3516" w:rsidRPr="003F07AC" w:rsidRDefault="00000000" w:rsidP="003F07AC">
      <w:pPr>
        <w:spacing w:before="240" w:after="240" w:line="360" w:lineRule="auto"/>
        <w:rPr>
          <w:rFonts w:ascii="Arial" w:hAnsi="Arial" w:cs="Arial"/>
        </w:rPr>
      </w:pPr>
      <w:r w:rsidRPr="003F07AC">
        <w:rPr>
          <w:rFonts w:ascii="Arial" w:hAnsi="Arial" w:cs="Arial"/>
        </w:rPr>
        <w:t xml:space="preserve">Anonymity ensures that participants' identities are not linked to the collected data. Confidentiality involves safeguarding the data from </w:t>
      </w:r>
      <w:proofErr w:type="spellStart"/>
      <w:r w:rsidRPr="003F07AC">
        <w:rPr>
          <w:rFonts w:ascii="Arial" w:hAnsi="Arial" w:cs="Arial"/>
        </w:rPr>
        <w:t>unauthorised</w:t>
      </w:r>
      <w:proofErr w:type="spellEnd"/>
      <w:r w:rsidRPr="003F07AC">
        <w:rPr>
          <w:rFonts w:ascii="Arial" w:hAnsi="Arial" w:cs="Arial"/>
        </w:rPr>
        <w:t xml:space="preserve"> access and ensuring that personal information is not disclosed (Creswell &amp; Poth, 2016).</w:t>
      </w:r>
      <w:r w:rsidR="00A140CB" w:rsidRPr="003F07AC">
        <w:rPr>
          <w:rFonts w:ascii="Arial" w:hAnsi="Arial" w:cs="Arial"/>
        </w:rPr>
        <w:t xml:space="preserve"> </w:t>
      </w:r>
      <w:r w:rsidRPr="003F07AC">
        <w:rPr>
          <w:rFonts w:ascii="Arial" w:hAnsi="Arial" w:cs="Arial"/>
        </w:rPr>
        <w:t>Per the BERA (2018) Ethical Guidelines for Educational Research, the researcher will use pseudonyms for student names in the research reports to protect their identities. Additionally, the data will be stored securely and will only be accessible to the researcher. The data will be destroyed after the research is completed to uphold confidentiality.</w:t>
      </w:r>
    </w:p>
    <w:p w14:paraId="48899B0A" w14:textId="77777777" w:rsidR="00DD3516" w:rsidRPr="003F07AC" w:rsidRDefault="00000000" w:rsidP="003F07AC">
      <w:pPr>
        <w:spacing w:before="240" w:after="240" w:line="360" w:lineRule="auto"/>
        <w:rPr>
          <w:rFonts w:ascii="Arial" w:hAnsi="Arial" w:cs="Arial"/>
        </w:rPr>
      </w:pPr>
      <w:r w:rsidRPr="003F07AC">
        <w:rPr>
          <w:rFonts w:ascii="Arial" w:hAnsi="Arial" w:cs="Arial"/>
          <w:b/>
          <w:bCs/>
          <w:u w:val="single"/>
        </w:rPr>
        <w:t>Parental Consent and Pupil Assent</w:t>
      </w:r>
    </w:p>
    <w:p w14:paraId="41B3F7BA" w14:textId="396383F6" w:rsidR="00DD3516" w:rsidRDefault="00000000" w:rsidP="003F07AC">
      <w:pPr>
        <w:spacing w:before="240" w:after="240" w:line="360" w:lineRule="auto"/>
        <w:rPr>
          <w:rFonts w:ascii="Arial" w:hAnsi="Arial" w:cs="Arial"/>
        </w:rPr>
      </w:pPr>
      <w:r w:rsidRPr="003F07AC">
        <w:rPr>
          <w:rFonts w:ascii="Arial" w:hAnsi="Arial" w:cs="Arial"/>
        </w:rPr>
        <w:t xml:space="preserve">Gaining informed consent from parents and assent from pupils is fundamental to ethical research, especially when minors are involved (BERA, 2018). A comprehensive consent form will be provided to parents, outlining the purpose of the study, its procedures, potential risks, and benefits. Parents will be notified that participation is voluntary and </w:t>
      </w:r>
      <w:r w:rsidRPr="003F07AC">
        <w:rPr>
          <w:rFonts w:ascii="Arial" w:hAnsi="Arial" w:cs="Arial"/>
        </w:rPr>
        <w:lastRenderedPageBreak/>
        <w:t>can withdraw their child without negative consequences. Pupils will receive age-appropriate details about the study and will be asked for their voluntary agreement to participate. This approach respects their autonomy and right to make well-informed decisions about their participation.</w:t>
      </w:r>
    </w:p>
    <w:p w14:paraId="22E4A4E2" w14:textId="77777777" w:rsidR="003F07AC" w:rsidRPr="003F07AC" w:rsidRDefault="003F07AC" w:rsidP="003F07AC">
      <w:pPr>
        <w:spacing w:before="240" w:after="240" w:line="360" w:lineRule="auto"/>
        <w:rPr>
          <w:rFonts w:ascii="Arial" w:hAnsi="Arial" w:cs="Arial"/>
        </w:rPr>
      </w:pPr>
    </w:p>
    <w:p w14:paraId="30338306" w14:textId="3896328A" w:rsidR="00DD3516" w:rsidRPr="003F07AC" w:rsidRDefault="00A140CB" w:rsidP="003F07AC">
      <w:pPr>
        <w:spacing w:before="240" w:after="240" w:line="360" w:lineRule="auto"/>
        <w:rPr>
          <w:rFonts w:ascii="Arial" w:hAnsi="Arial" w:cs="Arial"/>
        </w:rPr>
      </w:pPr>
      <w:r w:rsidRPr="003F07AC">
        <w:rPr>
          <w:rFonts w:ascii="Arial" w:hAnsi="Arial" w:cs="Arial"/>
        </w:rPr>
        <w:t>*</w:t>
      </w:r>
      <w:r w:rsidR="00000000" w:rsidRPr="003F07AC">
        <w:rPr>
          <w:rFonts w:ascii="Arial" w:hAnsi="Arial" w:cs="Arial"/>
        </w:rPr>
        <w:t>Please Refer to the Ethics Form included in the appendices. It outlines the detailed ethical procedures and protocols to ensure institutional and professional ethical standards compliance.</w:t>
      </w:r>
    </w:p>
    <w:p w14:paraId="43363899" w14:textId="6D20A957"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t>Research Methodology</w:t>
      </w:r>
    </w:p>
    <w:p w14:paraId="5450A460" w14:textId="02FE50A7" w:rsidR="00DD3516" w:rsidRPr="003F07AC" w:rsidRDefault="00000000" w:rsidP="003F07AC">
      <w:pPr>
        <w:spacing w:before="240" w:after="240" w:line="360" w:lineRule="auto"/>
        <w:rPr>
          <w:rFonts w:ascii="Arial" w:hAnsi="Arial" w:cs="Arial"/>
        </w:rPr>
      </w:pPr>
      <w:r w:rsidRPr="003F07AC">
        <w:rPr>
          <w:rFonts w:ascii="Arial" w:hAnsi="Arial" w:cs="Arial"/>
        </w:rPr>
        <w:t>Before starting the research, I planned to observe my selected classes in other lessons to gauge student engagement through participation rates, attentiveness, and interactions during lessons. Additionally, it would enable me to understand better how lesson intention was being presented within other subjects and by varying teachers within the school.</w:t>
      </w:r>
    </w:p>
    <w:p w14:paraId="16CA149F" w14:textId="7168C0ED" w:rsidR="00DD3516" w:rsidRPr="003F07AC" w:rsidRDefault="00000000" w:rsidP="003F07AC">
      <w:pPr>
        <w:spacing w:before="240" w:after="240" w:line="360" w:lineRule="auto"/>
        <w:rPr>
          <w:rFonts w:ascii="Arial" w:hAnsi="Arial" w:cs="Arial"/>
        </w:rPr>
      </w:pPr>
      <w:r w:rsidRPr="003F07AC">
        <w:rPr>
          <w:rFonts w:ascii="Arial" w:hAnsi="Arial" w:cs="Arial"/>
        </w:rPr>
        <w:t>Additionally, I planned to conduct a pre-assessment to gauge the students' existing knowledge and understanding within my subject discipline. When designing the lesson, I considered varying the timing of sharing lesson intentions across different groups. This involved sharing intentions at the beginning, in the middle, or at the end of the lesson, whereby I would ask them, as part of my formative assessment, what they felt was the intention of the lesson in the form of a creative plenary activity. Additionally, I explored different methods of not directly presenting the lesson intentions but posing questions to the class that build on prior knowledge and inform the start or introduction of the lesson. I also planned to use post-lesson surveys to gather students' feedback on their understanding and perceptions of lesson intentions.</w:t>
      </w:r>
    </w:p>
    <w:p w14:paraId="6185D906" w14:textId="77777777" w:rsidR="00DD3516" w:rsidRPr="003F07AC" w:rsidRDefault="00000000" w:rsidP="003F07AC">
      <w:pPr>
        <w:spacing w:before="240" w:after="240" w:line="360" w:lineRule="auto"/>
        <w:rPr>
          <w:rFonts w:ascii="Arial" w:hAnsi="Arial" w:cs="Arial"/>
        </w:rPr>
      </w:pPr>
      <w:r w:rsidRPr="003F07AC">
        <w:rPr>
          <w:rFonts w:ascii="Arial" w:hAnsi="Arial" w:cs="Arial"/>
          <w:b/>
          <w:bCs/>
          <w:u w:val="single"/>
        </w:rPr>
        <w:t>Teacher Reflections</w:t>
      </w:r>
    </w:p>
    <w:p w14:paraId="450C44A7" w14:textId="5ABE2F05" w:rsidR="00DD3516" w:rsidRPr="003F07AC" w:rsidRDefault="00000000" w:rsidP="003F07AC">
      <w:pPr>
        <w:spacing w:before="240" w:after="240" w:line="360" w:lineRule="auto"/>
        <w:rPr>
          <w:rFonts w:ascii="Arial" w:hAnsi="Arial" w:cs="Arial"/>
        </w:rPr>
      </w:pPr>
      <w:r w:rsidRPr="003F07AC">
        <w:rPr>
          <w:rFonts w:ascii="Arial" w:hAnsi="Arial" w:cs="Arial"/>
        </w:rPr>
        <w:t xml:space="preserve">My literature research found that reflective practice is closely linked to the importance of continuous professional development in differentiation, such as differentiating lesson </w:t>
      </w:r>
      <w:r w:rsidRPr="003F07AC">
        <w:rPr>
          <w:rFonts w:ascii="Arial" w:hAnsi="Arial" w:cs="Arial"/>
        </w:rPr>
        <w:lastRenderedPageBreak/>
        <w:t>intentions. Therefore, I planned to document experiences and observations throughout the study, noting insights, challenges, and successes encountered with different timing strategies. This would enable me to compare student engagement levels and understanding across different timing conditions, identify patterns and correlations, and determine the most effective strategies for promoting engagement and comprehension.</w:t>
      </w:r>
    </w:p>
    <w:p w14:paraId="02B2811B" w14:textId="77777777" w:rsidR="00DD3516" w:rsidRPr="003F07AC" w:rsidRDefault="00000000" w:rsidP="003F07AC">
      <w:pPr>
        <w:spacing w:before="240" w:after="240" w:line="360" w:lineRule="auto"/>
        <w:rPr>
          <w:rFonts w:ascii="Arial" w:hAnsi="Arial" w:cs="Arial"/>
        </w:rPr>
      </w:pPr>
      <w:r w:rsidRPr="003F07AC">
        <w:rPr>
          <w:rFonts w:ascii="Arial" w:hAnsi="Arial" w:cs="Arial"/>
        </w:rPr>
        <w:t xml:space="preserve">This case study offers valuable insights into how the timing of sharing lesson intentions affects student engagement and understanding in a real-world classroom setting. It underscores the importance of strategic planning and flexibility in instructional practices to </w:t>
      </w:r>
      <w:proofErr w:type="spellStart"/>
      <w:r w:rsidRPr="003F07AC">
        <w:rPr>
          <w:rFonts w:ascii="Arial" w:hAnsi="Arial" w:cs="Arial"/>
        </w:rPr>
        <w:t>optimise</w:t>
      </w:r>
      <w:proofErr w:type="spellEnd"/>
      <w:r w:rsidRPr="003F07AC">
        <w:rPr>
          <w:rFonts w:ascii="Arial" w:hAnsi="Arial" w:cs="Arial"/>
        </w:rPr>
        <w:t xml:space="preserve"> learning outcomes.</w:t>
      </w:r>
    </w:p>
    <w:p w14:paraId="2F4D091E" w14:textId="77777777" w:rsidR="003F07AC" w:rsidRDefault="003F07AC" w:rsidP="003F07AC">
      <w:pPr>
        <w:pStyle w:val="Heading1"/>
        <w:keepNext w:val="0"/>
        <w:keepLines w:val="0"/>
        <w:spacing w:before="322" w:after="322" w:line="360" w:lineRule="auto"/>
        <w:rPr>
          <w:rFonts w:ascii="Arial" w:hAnsi="Arial" w:cs="Arial"/>
          <w:color w:val="auto"/>
          <w:sz w:val="28"/>
          <w:szCs w:val="28"/>
          <w:u w:val="single"/>
        </w:rPr>
      </w:pPr>
    </w:p>
    <w:p w14:paraId="6205CA91" w14:textId="77777777" w:rsidR="003F07AC" w:rsidRPr="003F07AC" w:rsidRDefault="003F07AC" w:rsidP="003F07AC"/>
    <w:p w14:paraId="150F9266" w14:textId="15245E94"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t>Results</w:t>
      </w:r>
    </w:p>
    <w:p w14:paraId="116FFF45" w14:textId="529E23FA" w:rsidR="00DD3516" w:rsidRPr="003F07AC" w:rsidRDefault="00A140CB" w:rsidP="003F07AC">
      <w:pPr>
        <w:spacing w:before="240" w:after="240" w:line="360" w:lineRule="auto"/>
        <w:rPr>
          <w:rFonts w:ascii="Arial" w:hAnsi="Arial" w:cs="Arial"/>
        </w:rPr>
      </w:pPr>
      <w:r w:rsidRPr="003F07AC">
        <w:rPr>
          <w:rFonts w:ascii="Arial" w:hAnsi="Arial" w:cs="Arial"/>
        </w:rPr>
        <w:t>*</w:t>
      </w:r>
      <w:r w:rsidR="00000000" w:rsidRPr="003F07AC">
        <w:rPr>
          <w:rFonts w:ascii="Arial" w:hAnsi="Arial" w:cs="Arial"/>
        </w:rPr>
        <w:t>Raw data could not be collected due to the absence from the placement school where this research was due to be conducted.</w:t>
      </w:r>
    </w:p>
    <w:p w14:paraId="52027952" w14:textId="77777777" w:rsidR="003F07AC" w:rsidRDefault="003F07AC" w:rsidP="003F07AC">
      <w:pPr>
        <w:pStyle w:val="Heading1"/>
        <w:keepNext w:val="0"/>
        <w:keepLines w:val="0"/>
        <w:spacing w:before="322" w:after="322" w:line="360" w:lineRule="auto"/>
        <w:rPr>
          <w:rFonts w:ascii="Arial" w:hAnsi="Arial" w:cs="Arial"/>
          <w:color w:val="auto"/>
          <w:sz w:val="28"/>
          <w:szCs w:val="28"/>
          <w:u w:val="single"/>
        </w:rPr>
      </w:pPr>
    </w:p>
    <w:p w14:paraId="2EA4744E" w14:textId="77777777" w:rsidR="003F07AC" w:rsidRDefault="003F07AC" w:rsidP="003F07AC">
      <w:pPr>
        <w:pStyle w:val="Heading1"/>
        <w:keepNext w:val="0"/>
        <w:keepLines w:val="0"/>
        <w:spacing w:before="322" w:after="322" w:line="360" w:lineRule="auto"/>
        <w:rPr>
          <w:rFonts w:ascii="Arial" w:hAnsi="Arial" w:cs="Arial"/>
          <w:color w:val="auto"/>
          <w:sz w:val="28"/>
          <w:szCs w:val="28"/>
          <w:u w:val="single"/>
        </w:rPr>
      </w:pPr>
    </w:p>
    <w:p w14:paraId="2B487104" w14:textId="77777777" w:rsidR="003F07AC" w:rsidRDefault="003F07AC" w:rsidP="003F07AC">
      <w:pPr>
        <w:pStyle w:val="Heading1"/>
        <w:keepNext w:val="0"/>
        <w:keepLines w:val="0"/>
        <w:spacing w:before="322" w:after="322" w:line="360" w:lineRule="auto"/>
        <w:rPr>
          <w:rFonts w:ascii="Arial" w:hAnsi="Arial" w:cs="Arial"/>
          <w:color w:val="auto"/>
          <w:sz w:val="28"/>
          <w:szCs w:val="28"/>
          <w:u w:val="single"/>
        </w:rPr>
      </w:pPr>
    </w:p>
    <w:p w14:paraId="7DD86E8E" w14:textId="760EA7CE"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t xml:space="preserve">Conclusion </w:t>
      </w:r>
    </w:p>
    <w:p w14:paraId="4370CD58" w14:textId="27A8BD5E" w:rsidR="00DD3516" w:rsidRPr="003F07AC" w:rsidRDefault="00000000" w:rsidP="003F07AC">
      <w:pPr>
        <w:spacing w:before="240" w:after="240" w:line="360" w:lineRule="auto"/>
        <w:rPr>
          <w:rFonts w:ascii="Arial" w:hAnsi="Arial" w:cs="Arial"/>
        </w:rPr>
      </w:pPr>
      <w:r w:rsidRPr="003F07AC">
        <w:rPr>
          <w:rFonts w:ascii="Arial" w:hAnsi="Arial" w:cs="Arial"/>
        </w:rPr>
        <w:t xml:space="preserve">Due to unforeseen circumstances preventing data collection in this study, the following conclusion will primarily involve a critical examination of the research methods </w:t>
      </w:r>
      <w:proofErr w:type="spellStart"/>
      <w:r w:rsidRPr="003F07AC">
        <w:rPr>
          <w:rFonts w:ascii="Arial" w:hAnsi="Arial" w:cs="Arial"/>
        </w:rPr>
        <w:t>utilised</w:t>
      </w:r>
      <w:proofErr w:type="spellEnd"/>
      <w:r w:rsidRPr="003F07AC">
        <w:rPr>
          <w:rFonts w:ascii="Arial" w:hAnsi="Arial" w:cs="Arial"/>
        </w:rPr>
        <w:t xml:space="preserve"> in preparing for my study and reflection on the insights gained from the extended literature review</w:t>
      </w:r>
      <w:r w:rsidR="00A140CB" w:rsidRPr="003F07AC">
        <w:rPr>
          <w:rFonts w:ascii="Arial" w:hAnsi="Arial" w:cs="Arial"/>
        </w:rPr>
        <w:t>.</w:t>
      </w:r>
    </w:p>
    <w:p w14:paraId="7D5D0254" w14:textId="0F758AFB" w:rsidR="00DD3516" w:rsidRPr="003F07AC" w:rsidRDefault="00000000" w:rsidP="003F07AC">
      <w:pPr>
        <w:spacing w:before="240" w:after="240" w:line="360" w:lineRule="auto"/>
        <w:rPr>
          <w:rFonts w:ascii="Arial" w:hAnsi="Arial" w:cs="Arial"/>
        </w:rPr>
      </w:pPr>
      <w:r w:rsidRPr="003F07AC">
        <w:rPr>
          <w:rFonts w:ascii="Arial" w:hAnsi="Arial" w:cs="Arial"/>
        </w:rPr>
        <w:lastRenderedPageBreak/>
        <w:t>The methods for data collection included pre-assessments, varied timing of sharing lesson intentions, creative plenary activities, and post-lesson surveys. These methods are reliable as they allow for consistent student engagement and understanding measurements across different lessons. However, reliability could be compromised by external factors such as varying classroom dynamics, student mood, and external disruptions (Holmes 2020; Stake 1995). Additionally, the planned observations and pre-assessments intended to gauge student engagement and understanding might not consistently reflect students' actual levels of engagement due to potential observer effects or variations in classroom dynamics (Holmes 2020; Stake 1995).</w:t>
      </w:r>
    </w:p>
    <w:p w14:paraId="534A3645" w14:textId="2B616BC4" w:rsidR="00DD3516" w:rsidRPr="003F07AC" w:rsidRDefault="00000000" w:rsidP="003F07AC">
      <w:pPr>
        <w:spacing w:before="240" w:after="240" w:line="360" w:lineRule="auto"/>
        <w:rPr>
          <w:rFonts w:ascii="Arial" w:hAnsi="Arial" w:cs="Arial"/>
        </w:rPr>
      </w:pPr>
      <w:r w:rsidRPr="003F07AC">
        <w:rPr>
          <w:rFonts w:ascii="Arial" w:hAnsi="Arial" w:cs="Arial"/>
        </w:rPr>
        <w:t xml:space="preserve">Furthermore, the literature suggests that structured observations and pre-assessments provide valuable insights but must be meticulously designed and consistently applied to yield reliable data (Black &amp; </w:t>
      </w:r>
      <w:proofErr w:type="spellStart"/>
      <w:r w:rsidRPr="003F07AC">
        <w:rPr>
          <w:rFonts w:ascii="Arial" w:hAnsi="Arial" w:cs="Arial"/>
        </w:rPr>
        <w:t>Wiliam</w:t>
      </w:r>
      <w:proofErr w:type="spellEnd"/>
      <w:r w:rsidRPr="003F07AC">
        <w:rPr>
          <w:rFonts w:ascii="Arial" w:hAnsi="Arial" w:cs="Arial"/>
        </w:rPr>
        <w:t xml:space="preserve">, 1998; Hattie, 2009). Merriam &amp; </w:t>
      </w:r>
      <w:proofErr w:type="spellStart"/>
      <w:r w:rsidRPr="003F07AC">
        <w:rPr>
          <w:rFonts w:ascii="Arial" w:hAnsi="Arial" w:cs="Arial"/>
        </w:rPr>
        <w:t>Tisdell</w:t>
      </w:r>
      <w:proofErr w:type="spellEnd"/>
      <w:r w:rsidRPr="003F07AC">
        <w:rPr>
          <w:rFonts w:ascii="Arial" w:hAnsi="Arial" w:cs="Arial"/>
        </w:rPr>
        <w:t xml:space="preserve"> (2015) </w:t>
      </w:r>
      <w:proofErr w:type="spellStart"/>
      <w:r w:rsidRPr="003F07AC">
        <w:rPr>
          <w:rFonts w:ascii="Arial" w:hAnsi="Arial" w:cs="Arial"/>
        </w:rPr>
        <w:t>emphasise</w:t>
      </w:r>
      <w:proofErr w:type="spellEnd"/>
      <w:r w:rsidRPr="003F07AC">
        <w:rPr>
          <w:rFonts w:ascii="Arial" w:hAnsi="Arial" w:cs="Arial"/>
        </w:rPr>
        <w:t xml:space="preserve"> the importance of a meticulous approach in case studies to ensure thorough analysis and data comprehension; this could not be fulfilled due to absence.</w:t>
      </w:r>
    </w:p>
    <w:p w14:paraId="5D06AA24" w14:textId="0E86AE40" w:rsidR="00DD3516" w:rsidRPr="003F07AC" w:rsidRDefault="00000000" w:rsidP="003F07AC">
      <w:pPr>
        <w:spacing w:before="240" w:after="240" w:line="360" w:lineRule="auto"/>
        <w:rPr>
          <w:rFonts w:ascii="Arial" w:hAnsi="Arial" w:cs="Arial"/>
        </w:rPr>
      </w:pPr>
      <w:r w:rsidRPr="003F07AC">
        <w:rPr>
          <w:rFonts w:ascii="Arial" w:hAnsi="Arial" w:cs="Arial"/>
        </w:rPr>
        <w:t xml:space="preserve">Nevertheless, </w:t>
      </w:r>
      <w:r w:rsidR="00A140CB" w:rsidRPr="003F07AC">
        <w:rPr>
          <w:rFonts w:ascii="Arial" w:hAnsi="Arial" w:cs="Arial"/>
        </w:rPr>
        <w:t>t</w:t>
      </w:r>
      <w:r w:rsidRPr="003F07AC">
        <w:rPr>
          <w:rFonts w:ascii="Arial" w:hAnsi="Arial" w:cs="Arial"/>
        </w:rPr>
        <w:t xml:space="preserve">he validity of the methods is generally supported by the literature. Clear lesson intentions and varied timing strategies are grounded in educational theory, particularly the works of Hattie (2009), </w:t>
      </w:r>
      <w:proofErr w:type="spellStart"/>
      <w:r w:rsidRPr="003F07AC">
        <w:rPr>
          <w:rFonts w:ascii="Arial" w:hAnsi="Arial" w:cs="Arial"/>
        </w:rPr>
        <w:t>Wiliam</w:t>
      </w:r>
      <w:proofErr w:type="spellEnd"/>
      <w:r w:rsidRPr="003F07AC">
        <w:rPr>
          <w:rFonts w:ascii="Arial" w:hAnsi="Arial" w:cs="Arial"/>
        </w:rPr>
        <w:t xml:space="preserve"> (2011), and Marzano (2007). These researchers </w:t>
      </w:r>
      <w:proofErr w:type="spellStart"/>
      <w:r w:rsidRPr="003F07AC">
        <w:rPr>
          <w:rFonts w:ascii="Arial" w:hAnsi="Arial" w:cs="Arial"/>
        </w:rPr>
        <w:t>emphasise</w:t>
      </w:r>
      <w:proofErr w:type="spellEnd"/>
      <w:r w:rsidRPr="003F07AC">
        <w:rPr>
          <w:rFonts w:ascii="Arial" w:hAnsi="Arial" w:cs="Arial"/>
        </w:rPr>
        <w:t xml:space="preserve"> the importance of clarity in learning objectives for enhancing student understanding and engagement. However, the practical implementation must ensure that lesson intentions are meaningfully integrated into reflective learning practices rather than becoming mere procedural activities (Tomlinson, 2001; Hattie, 2012).</w:t>
      </w:r>
    </w:p>
    <w:p w14:paraId="63BA137F" w14:textId="77777777" w:rsidR="00DD3516" w:rsidRPr="003F07AC" w:rsidRDefault="00000000" w:rsidP="003F07AC">
      <w:pPr>
        <w:spacing w:before="240" w:after="240" w:line="360" w:lineRule="auto"/>
        <w:rPr>
          <w:rFonts w:ascii="Arial" w:hAnsi="Arial" w:cs="Arial"/>
        </w:rPr>
      </w:pPr>
      <w:r w:rsidRPr="003F07AC">
        <w:rPr>
          <w:rFonts w:ascii="Arial" w:hAnsi="Arial" w:cs="Arial"/>
        </w:rPr>
        <w:t>It is also worth noting that the study's specific school context could limit the findings. As previously mentioned, the study was conducted in a secondary school with a unique demographic profile, so the results might not be easily inferred in different educational settings or age groups where the student demographic poses a more diverse array of students. Nevertheless, the theoretical foundations provided by the literature on lesson intentions suggest that the principles could be broadly applicable if adapted to local contexts (Wiggins &amp; McTighe, 2005; Brookhart, 2017).</w:t>
      </w:r>
    </w:p>
    <w:p w14:paraId="10185946" w14:textId="0170E350" w:rsidR="00DD3516" w:rsidRPr="003F07AC" w:rsidRDefault="00000000" w:rsidP="003F07AC">
      <w:pPr>
        <w:pStyle w:val="Heading1"/>
        <w:keepNext w:val="0"/>
        <w:keepLines w:val="0"/>
        <w:spacing w:before="322" w:after="322" w:line="360" w:lineRule="auto"/>
        <w:rPr>
          <w:rFonts w:ascii="Arial" w:hAnsi="Arial" w:cs="Arial"/>
          <w:sz w:val="28"/>
          <w:szCs w:val="28"/>
        </w:rPr>
      </w:pPr>
      <w:r w:rsidRPr="003F07AC">
        <w:rPr>
          <w:rFonts w:ascii="Arial" w:hAnsi="Arial" w:cs="Arial"/>
          <w:color w:val="auto"/>
          <w:sz w:val="28"/>
          <w:szCs w:val="28"/>
          <w:u w:val="single"/>
        </w:rPr>
        <w:lastRenderedPageBreak/>
        <w:t>Recommendations</w:t>
      </w:r>
    </w:p>
    <w:p w14:paraId="68411EEF" w14:textId="34F59106" w:rsidR="00DD3516" w:rsidRDefault="00000000" w:rsidP="003F07AC">
      <w:pPr>
        <w:spacing w:before="240" w:after="240" w:line="360" w:lineRule="auto"/>
        <w:rPr>
          <w:rFonts w:ascii="Arial" w:hAnsi="Arial" w:cs="Arial"/>
        </w:rPr>
      </w:pPr>
      <w:r w:rsidRPr="003F07AC">
        <w:rPr>
          <w:rFonts w:ascii="Arial" w:hAnsi="Arial" w:cs="Arial"/>
        </w:rPr>
        <w:t xml:space="preserve">Based on the comprehensive literature review and the study's objectives, several key recommendations can be made to promote continued professional development for educators and enhance instructional practices effectively. Firstly, promoting continued and consistent professional development for educators to ensure that educators are well-equipped to understand and implement effective lesson intentions is imperative to support continuous professional development. As highlighted by Hattie (2009), clear learning intentions are essential for effective teaching. Professional development programs should focus on helping teachers understand how children learn, enabling them to create clear and purposeful lesson intentions. Workshops, seminars, and courses that </w:t>
      </w:r>
      <w:proofErr w:type="spellStart"/>
      <w:r w:rsidRPr="003F07AC">
        <w:rPr>
          <w:rFonts w:ascii="Arial" w:hAnsi="Arial" w:cs="Arial"/>
        </w:rPr>
        <w:t>emphasise</w:t>
      </w:r>
      <w:proofErr w:type="spellEnd"/>
      <w:r w:rsidRPr="003F07AC">
        <w:rPr>
          <w:rFonts w:ascii="Arial" w:hAnsi="Arial" w:cs="Arial"/>
        </w:rPr>
        <w:t xml:space="preserve"> the importance of understanding cognitive development and learning theories can significantly improve educators' abilit</w:t>
      </w:r>
      <w:r w:rsidR="00A140CB" w:rsidRPr="003F07AC">
        <w:rPr>
          <w:rFonts w:ascii="Arial" w:hAnsi="Arial" w:cs="Arial"/>
        </w:rPr>
        <w:t>y to effectively design and communicate lesson objectives</w:t>
      </w:r>
      <w:r w:rsidRPr="003F07AC">
        <w:rPr>
          <w:rFonts w:ascii="Arial" w:hAnsi="Arial" w:cs="Arial"/>
        </w:rPr>
        <w:t xml:space="preserve">. Secondly, encouraging backwards design in curriculum development can enhance the alignment between instructional activities and desired learning outcomes. Wiggins and McTighe (2005) stress that starting with clear objectives and working backwards ensures that all instructional activities are purposefully designed to achieve these goals. While this approach may initially be challenging for novice teachers still mastering basic pedagogical skills, it can be facilitated through mentorship and collaborative planning sessions within Professional Learning Communities (PLCs). These communities can provide a supportive environment where teachers can share experiences, reflect on their practices, and collectively refine their approaches to curriculum design. Reflective practice is crucial for teachers to improve their instructional strategies continuously. Through regular reflection, educators can identify what works well and needs adjustment in their teaching methods. Encouraging teachers to document their reflections and share insights within PLCs can foster a culture of collaboration and continuous improvement. Additionally, while lesson intentions are valuable for guiding student learning, their effectiveness diminishes if they become routine and disconnected from meaningful learning experiences. It is recommended that lesson intentions be used </w:t>
      </w:r>
      <w:r w:rsidR="00A140CB" w:rsidRPr="003F07AC">
        <w:rPr>
          <w:rFonts w:ascii="Arial" w:hAnsi="Arial" w:cs="Arial"/>
        </w:rPr>
        <w:t>constructively, serving as tools to stimulate critical thinking and</w:t>
      </w:r>
      <w:r w:rsidRPr="003F07AC">
        <w:rPr>
          <w:rFonts w:ascii="Arial" w:hAnsi="Arial" w:cs="Arial"/>
        </w:rPr>
        <w:t xml:space="preserve"> build on prior knowledge. This </w:t>
      </w:r>
      <w:r w:rsidRPr="003F07AC">
        <w:rPr>
          <w:rFonts w:ascii="Arial" w:hAnsi="Arial" w:cs="Arial"/>
        </w:rPr>
        <w:lastRenderedPageBreak/>
        <w:t xml:space="preserve">approach encourages students to </w:t>
      </w:r>
      <w:r w:rsidR="00A140CB" w:rsidRPr="003F07AC">
        <w:rPr>
          <w:rFonts w:ascii="Arial" w:hAnsi="Arial" w:cs="Arial"/>
        </w:rPr>
        <w:t>engage with the learning objectives actively</w:t>
      </w:r>
      <w:r w:rsidRPr="003F07AC">
        <w:rPr>
          <w:rFonts w:ascii="Arial" w:hAnsi="Arial" w:cs="Arial"/>
        </w:rPr>
        <w:t xml:space="preserve"> and to understand the purpose behind their activities. Educators should focus on making lesson intentions dynamic and interactive rather than treating them as mere procedural elements. Finally, to </w:t>
      </w:r>
      <w:proofErr w:type="spellStart"/>
      <w:r w:rsidRPr="003F07AC">
        <w:rPr>
          <w:rFonts w:ascii="Arial" w:hAnsi="Arial" w:cs="Arial"/>
        </w:rPr>
        <w:t>maximise</w:t>
      </w:r>
      <w:proofErr w:type="spellEnd"/>
      <w:r w:rsidRPr="003F07AC">
        <w:rPr>
          <w:rFonts w:ascii="Arial" w:hAnsi="Arial" w:cs="Arial"/>
        </w:rPr>
        <w:t xml:space="preserve"> the impact of lesson intentions, they must be tailored to meet students' diverse needs. Differentiating lesson intentions based on students' prior knowledge, learning styles, and individual needs can enhance their understanding and engagement. Educators should be trained to develop flexible lesson intentions that can be adjusted according to the student's responses and progress throughout the lesson. This adaptability ensures that all students can connect with the learning objectives meaningfully.</w:t>
      </w:r>
    </w:p>
    <w:p w14:paraId="0740E387" w14:textId="77777777" w:rsidR="003F07AC" w:rsidRPr="003F07AC" w:rsidRDefault="003F07AC" w:rsidP="003F07AC">
      <w:pPr>
        <w:spacing w:before="240" w:after="240" w:line="360" w:lineRule="auto"/>
        <w:rPr>
          <w:rFonts w:ascii="Arial" w:hAnsi="Arial" w:cs="Arial"/>
        </w:rPr>
      </w:pPr>
    </w:p>
    <w:p w14:paraId="254C9D41" w14:textId="77777777" w:rsidR="00DD3516" w:rsidRPr="003F07AC" w:rsidRDefault="00000000" w:rsidP="003F07AC">
      <w:pPr>
        <w:spacing w:before="240" w:after="240" w:line="360" w:lineRule="auto"/>
        <w:rPr>
          <w:rFonts w:ascii="Arial" w:hAnsi="Arial" w:cs="Arial"/>
        </w:rPr>
      </w:pPr>
      <w:r w:rsidRPr="003F07AC">
        <w:rPr>
          <w:rFonts w:ascii="Arial" w:hAnsi="Arial" w:cs="Arial"/>
        </w:rPr>
        <w:t>In conclusion, promoting continued professional development, adopting backwards design, engaging in reflective practice, using lesson intentions constructively, and tailoring them to student needs are critical strategies for improving instructional practices. These recommendations, grounded in the literature, aim to enhance teachers' abilities to create and communicate clear, purposeful lesson intentions, thereby fostering better student learning outcomes. By implementing these strategies, educators can develop a deeper understanding of how children learn and continually refine their teaching practices to support student success.</w:t>
      </w:r>
    </w:p>
    <w:p w14:paraId="0FA8A5D6" w14:textId="77777777" w:rsidR="003F07AC" w:rsidRDefault="003F07AC" w:rsidP="003F07AC">
      <w:pPr>
        <w:pStyle w:val="Heading1"/>
        <w:keepNext w:val="0"/>
        <w:keepLines w:val="0"/>
        <w:spacing w:before="322" w:after="322" w:line="360" w:lineRule="auto"/>
        <w:rPr>
          <w:rFonts w:ascii="Arial" w:hAnsi="Arial" w:cs="Arial"/>
          <w:color w:val="auto"/>
          <w:sz w:val="28"/>
          <w:szCs w:val="28"/>
          <w:u w:val="single"/>
        </w:rPr>
      </w:pPr>
    </w:p>
    <w:p w14:paraId="073985B5" w14:textId="1339135E" w:rsidR="00DD3516" w:rsidRPr="003F07AC" w:rsidRDefault="00000000" w:rsidP="003F07AC">
      <w:pPr>
        <w:pStyle w:val="Heading1"/>
        <w:keepNext w:val="0"/>
        <w:keepLines w:val="0"/>
        <w:spacing w:before="322" w:after="322" w:line="360" w:lineRule="auto"/>
        <w:rPr>
          <w:rFonts w:ascii="Arial" w:hAnsi="Arial" w:cs="Arial"/>
          <w:sz w:val="28"/>
          <w:szCs w:val="28"/>
          <w:u w:val="single"/>
        </w:rPr>
      </w:pPr>
      <w:r w:rsidRPr="003F07AC">
        <w:rPr>
          <w:rFonts w:ascii="Arial" w:hAnsi="Arial" w:cs="Arial"/>
          <w:color w:val="auto"/>
          <w:sz w:val="28"/>
          <w:szCs w:val="28"/>
          <w:u w:val="single"/>
        </w:rPr>
        <w:t xml:space="preserve">Reference List </w:t>
      </w:r>
    </w:p>
    <w:p w14:paraId="44CB21FB" w14:textId="2E20089D" w:rsidR="00DD3516" w:rsidRPr="003F07AC" w:rsidRDefault="00000000" w:rsidP="003F07AC">
      <w:pPr>
        <w:spacing w:before="240" w:after="240" w:line="360" w:lineRule="auto"/>
        <w:rPr>
          <w:rFonts w:ascii="Arial" w:hAnsi="Arial" w:cs="Arial"/>
        </w:rPr>
      </w:pPr>
      <w:r w:rsidRPr="003F07AC">
        <w:rPr>
          <w:rFonts w:ascii="Arial" w:hAnsi="Arial" w:cs="Arial"/>
        </w:rPr>
        <w:t xml:space="preserve">Barber, M., Moffit, A. and </w:t>
      </w:r>
      <w:proofErr w:type="spellStart"/>
      <w:r w:rsidRPr="003F07AC">
        <w:rPr>
          <w:rFonts w:ascii="Arial" w:hAnsi="Arial" w:cs="Arial"/>
        </w:rPr>
        <w:t>Kihn</w:t>
      </w:r>
      <w:proofErr w:type="spellEnd"/>
      <w:r w:rsidRPr="003F07AC">
        <w:rPr>
          <w:rFonts w:ascii="Arial" w:hAnsi="Arial" w:cs="Arial"/>
        </w:rPr>
        <w:t xml:space="preserve">, P., 2010. </w:t>
      </w:r>
      <w:proofErr w:type="spellStart"/>
      <w:r w:rsidRPr="003F07AC">
        <w:rPr>
          <w:rFonts w:ascii="Arial" w:hAnsi="Arial" w:cs="Arial"/>
        </w:rPr>
        <w:t>Deliverology</w:t>
      </w:r>
      <w:proofErr w:type="spellEnd"/>
      <w:r w:rsidRPr="003F07AC">
        <w:rPr>
          <w:rFonts w:ascii="Arial" w:hAnsi="Arial" w:cs="Arial"/>
        </w:rPr>
        <w:t xml:space="preserve"> 101: A field guide for educational leaders. Thousand Oaks, CA: Corwin Press.</w:t>
      </w:r>
    </w:p>
    <w:p w14:paraId="3FE380FC" w14:textId="1DF736E5" w:rsidR="00DD3516" w:rsidRPr="003F07AC" w:rsidRDefault="00000000" w:rsidP="003F07AC">
      <w:pPr>
        <w:spacing w:before="240" w:after="240" w:line="360" w:lineRule="auto"/>
        <w:rPr>
          <w:rFonts w:ascii="Arial" w:hAnsi="Arial" w:cs="Arial"/>
        </w:rPr>
      </w:pPr>
      <w:r w:rsidRPr="003F07AC">
        <w:rPr>
          <w:rFonts w:ascii="Arial" w:hAnsi="Arial" w:cs="Arial"/>
        </w:rPr>
        <w:t>Black, P. and Harrison, C., 2013. Assessment for learning and the development of autonomy in learners. In: M.C. Smith, ed., autonomy across the life span, 1st ed. London: Routledge, pp. 73-88.</w:t>
      </w:r>
    </w:p>
    <w:p w14:paraId="15D8257B" w14:textId="3001AA16" w:rsidR="00DD3516" w:rsidRPr="003F07AC" w:rsidRDefault="00000000" w:rsidP="003F07AC">
      <w:pPr>
        <w:spacing w:before="240" w:after="240" w:line="360" w:lineRule="auto"/>
        <w:rPr>
          <w:rFonts w:ascii="Arial" w:hAnsi="Arial" w:cs="Arial"/>
        </w:rPr>
      </w:pPr>
      <w:r w:rsidRPr="003F07AC">
        <w:rPr>
          <w:rFonts w:ascii="Arial" w:hAnsi="Arial" w:cs="Arial"/>
        </w:rPr>
        <w:lastRenderedPageBreak/>
        <w:t xml:space="preserve">Black, P. and </w:t>
      </w:r>
      <w:proofErr w:type="spellStart"/>
      <w:r w:rsidRPr="003F07AC">
        <w:rPr>
          <w:rFonts w:ascii="Arial" w:hAnsi="Arial" w:cs="Arial"/>
        </w:rPr>
        <w:t>Wiliam</w:t>
      </w:r>
      <w:proofErr w:type="spellEnd"/>
      <w:r w:rsidRPr="003F07AC">
        <w:rPr>
          <w:rFonts w:ascii="Arial" w:hAnsi="Arial" w:cs="Arial"/>
        </w:rPr>
        <w:t>, D., 1998. Assessment and classroom learning. Assessment in Education: Principles, Policy &amp; Practice, 5(1), pp. 7-74.</w:t>
      </w:r>
    </w:p>
    <w:p w14:paraId="2022A2AC" w14:textId="4AE6DEFD" w:rsidR="00DD3516" w:rsidRPr="003F07AC" w:rsidRDefault="00000000" w:rsidP="003F07AC">
      <w:pPr>
        <w:spacing w:before="240" w:after="240" w:line="360" w:lineRule="auto"/>
        <w:rPr>
          <w:rFonts w:ascii="Arial" w:hAnsi="Arial" w:cs="Arial"/>
        </w:rPr>
      </w:pPr>
      <w:r w:rsidRPr="003F07AC">
        <w:rPr>
          <w:rFonts w:ascii="Arial" w:hAnsi="Arial" w:cs="Arial"/>
        </w:rPr>
        <w:t xml:space="preserve">Black, P. and </w:t>
      </w:r>
      <w:proofErr w:type="spellStart"/>
      <w:r w:rsidRPr="003F07AC">
        <w:rPr>
          <w:rFonts w:ascii="Arial" w:hAnsi="Arial" w:cs="Arial"/>
        </w:rPr>
        <w:t>Wiliam</w:t>
      </w:r>
      <w:proofErr w:type="spellEnd"/>
      <w:r w:rsidRPr="003F07AC">
        <w:rPr>
          <w:rFonts w:ascii="Arial" w:hAnsi="Arial" w:cs="Arial"/>
        </w:rPr>
        <w:t xml:space="preserve">, D., 1998. Inside the Black Box: Raising standards through classroom assessment. Phi Delta </w:t>
      </w:r>
      <w:proofErr w:type="spellStart"/>
      <w:r w:rsidRPr="003F07AC">
        <w:rPr>
          <w:rFonts w:ascii="Arial" w:hAnsi="Arial" w:cs="Arial"/>
        </w:rPr>
        <w:t>Kappan</w:t>
      </w:r>
      <w:proofErr w:type="spellEnd"/>
      <w:r w:rsidRPr="003F07AC">
        <w:rPr>
          <w:rFonts w:ascii="Arial" w:hAnsi="Arial" w:cs="Arial"/>
        </w:rPr>
        <w:t>.</w:t>
      </w:r>
    </w:p>
    <w:p w14:paraId="6BC762CB" w14:textId="16057750" w:rsidR="00DD3516" w:rsidRPr="003F07AC" w:rsidRDefault="00000000" w:rsidP="003F07AC">
      <w:pPr>
        <w:spacing w:before="240" w:after="240" w:line="360" w:lineRule="auto"/>
        <w:rPr>
          <w:rFonts w:ascii="Arial" w:hAnsi="Arial" w:cs="Arial"/>
        </w:rPr>
      </w:pPr>
      <w:r w:rsidRPr="003F07AC">
        <w:rPr>
          <w:rFonts w:ascii="Arial" w:hAnsi="Arial" w:cs="Arial"/>
        </w:rPr>
        <w:t xml:space="preserve">Black, P. and </w:t>
      </w:r>
      <w:proofErr w:type="spellStart"/>
      <w:r w:rsidRPr="003F07AC">
        <w:rPr>
          <w:rFonts w:ascii="Arial" w:hAnsi="Arial" w:cs="Arial"/>
        </w:rPr>
        <w:t>Wiliam</w:t>
      </w:r>
      <w:proofErr w:type="spellEnd"/>
      <w:r w:rsidRPr="003F07AC">
        <w:rPr>
          <w:rFonts w:ascii="Arial" w:hAnsi="Arial" w:cs="Arial"/>
        </w:rPr>
        <w:t>, D., 2003. In praise of educational research: Formative assessment. British Educational Research Journal, 29(5), pp. 623-637.</w:t>
      </w:r>
    </w:p>
    <w:p w14:paraId="5B25FC6E" w14:textId="6ABF0503" w:rsidR="00DD3516" w:rsidRPr="003F07AC" w:rsidRDefault="00000000" w:rsidP="003F07AC">
      <w:pPr>
        <w:spacing w:before="240" w:after="240" w:line="360" w:lineRule="auto"/>
        <w:rPr>
          <w:rFonts w:ascii="Arial" w:hAnsi="Arial" w:cs="Arial"/>
        </w:rPr>
      </w:pPr>
      <w:r w:rsidRPr="003F07AC">
        <w:rPr>
          <w:rFonts w:ascii="Arial" w:hAnsi="Arial" w:cs="Arial"/>
        </w:rPr>
        <w:t xml:space="preserve">Black, P. and </w:t>
      </w:r>
      <w:proofErr w:type="spellStart"/>
      <w:r w:rsidRPr="003F07AC">
        <w:rPr>
          <w:rFonts w:ascii="Arial" w:hAnsi="Arial" w:cs="Arial"/>
        </w:rPr>
        <w:t>Wiliam</w:t>
      </w:r>
      <w:proofErr w:type="spellEnd"/>
      <w:r w:rsidRPr="003F07AC">
        <w:rPr>
          <w:rFonts w:ascii="Arial" w:hAnsi="Arial" w:cs="Arial"/>
        </w:rPr>
        <w:t>, D., 2009. Developing the theory of formative assessment. Educational Assessment, Evaluation and Accountability, 21(1), pp. 5-31.</w:t>
      </w:r>
    </w:p>
    <w:p w14:paraId="5B51FD5F" w14:textId="3D3032D6" w:rsidR="00DD3516" w:rsidRPr="003F07AC" w:rsidRDefault="00000000" w:rsidP="003F07AC">
      <w:pPr>
        <w:spacing w:before="240" w:after="240" w:line="360" w:lineRule="auto"/>
        <w:rPr>
          <w:rFonts w:ascii="Arial" w:hAnsi="Arial" w:cs="Arial"/>
        </w:rPr>
      </w:pPr>
      <w:r w:rsidRPr="003F07AC">
        <w:rPr>
          <w:rFonts w:ascii="Arial" w:hAnsi="Arial" w:cs="Arial"/>
        </w:rPr>
        <w:t xml:space="preserve">Black, P. and </w:t>
      </w:r>
      <w:proofErr w:type="spellStart"/>
      <w:r w:rsidRPr="003F07AC">
        <w:rPr>
          <w:rFonts w:ascii="Arial" w:hAnsi="Arial" w:cs="Arial"/>
        </w:rPr>
        <w:t>Wiliam</w:t>
      </w:r>
      <w:proofErr w:type="spellEnd"/>
      <w:r w:rsidRPr="003F07AC">
        <w:rPr>
          <w:rFonts w:ascii="Arial" w:hAnsi="Arial" w:cs="Arial"/>
        </w:rPr>
        <w:t>, D., 2018. Classroom assessment and pedagogy. Assessment in Education: Principles, Policy &amp; Practice, 25(6), pp. 551-575.</w:t>
      </w:r>
    </w:p>
    <w:p w14:paraId="7372178D" w14:textId="7D1B010C" w:rsidR="00DD3516" w:rsidRPr="003F07AC" w:rsidRDefault="00000000" w:rsidP="003F07AC">
      <w:pPr>
        <w:spacing w:before="240" w:after="240" w:line="360" w:lineRule="auto"/>
        <w:rPr>
          <w:rFonts w:ascii="Arial" w:hAnsi="Arial" w:cs="Arial"/>
        </w:rPr>
      </w:pPr>
      <w:r w:rsidRPr="003F07AC">
        <w:rPr>
          <w:rFonts w:ascii="Arial" w:hAnsi="Arial" w:cs="Arial"/>
        </w:rPr>
        <w:t xml:space="preserve">Black, P. and </w:t>
      </w:r>
      <w:proofErr w:type="spellStart"/>
      <w:r w:rsidRPr="003F07AC">
        <w:rPr>
          <w:rFonts w:ascii="Arial" w:hAnsi="Arial" w:cs="Arial"/>
        </w:rPr>
        <w:t>Wiliam</w:t>
      </w:r>
      <w:proofErr w:type="spellEnd"/>
      <w:r w:rsidRPr="003F07AC">
        <w:rPr>
          <w:rFonts w:ascii="Arial" w:hAnsi="Arial" w:cs="Arial"/>
        </w:rPr>
        <w:t>, D., 2021. Classroom assessment and pedagogy. In: International Encyclopedia of Education, 4th ed. Amsterdam: Elsevier, pp. 204-208.</w:t>
      </w:r>
    </w:p>
    <w:p w14:paraId="7AFE6797" w14:textId="10042A3D" w:rsidR="00DD3516" w:rsidRPr="003F07AC" w:rsidRDefault="00000000" w:rsidP="003F07AC">
      <w:pPr>
        <w:spacing w:before="240" w:after="240" w:line="360" w:lineRule="auto"/>
        <w:rPr>
          <w:rFonts w:ascii="Arial" w:hAnsi="Arial" w:cs="Arial"/>
        </w:rPr>
      </w:pPr>
      <w:r w:rsidRPr="003F07AC">
        <w:rPr>
          <w:rFonts w:ascii="Arial" w:hAnsi="Arial" w:cs="Arial"/>
        </w:rPr>
        <w:t>Brooks, J.G. and Brooks, M.G., 1999. In search of understanding: The case for constructivist classrooms. Alexandria, VA: ASCD.</w:t>
      </w:r>
    </w:p>
    <w:p w14:paraId="0CD9174D" w14:textId="0AD529D3" w:rsidR="00DD3516" w:rsidRPr="00A140CB" w:rsidRDefault="00000000">
      <w:pPr>
        <w:spacing w:before="240" w:after="240"/>
        <w:rPr>
          <w:rFonts w:asciiTheme="minorHAnsi" w:hAnsiTheme="minorHAnsi" w:cstheme="minorHAnsi"/>
        </w:rPr>
      </w:pPr>
      <w:r w:rsidRPr="00A140CB">
        <w:rPr>
          <w:rFonts w:asciiTheme="minorHAnsi" w:hAnsiTheme="minorHAnsi" w:cstheme="minorHAnsi"/>
        </w:rPr>
        <w:t>Brookfield, S.D., 2017. Becoming a critically reflective teacher. San Francisco, CA: John Wiley &amp; Sons.</w:t>
      </w:r>
    </w:p>
    <w:p w14:paraId="7F5F99CB" w14:textId="2EB237F4" w:rsidR="00DD3516" w:rsidRPr="00A140CB" w:rsidRDefault="00000000">
      <w:pPr>
        <w:spacing w:before="240" w:after="240"/>
        <w:rPr>
          <w:rFonts w:asciiTheme="minorHAnsi" w:hAnsiTheme="minorHAnsi" w:cstheme="minorHAnsi"/>
        </w:rPr>
      </w:pPr>
      <w:r w:rsidRPr="00A140CB">
        <w:rPr>
          <w:rFonts w:asciiTheme="minorHAnsi" w:hAnsiTheme="minorHAnsi" w:cstheme="minorHAnsi"/>
        </w:rPr>
        <w:t>Brookhart, S.M. and McMillan, J.H., eds., 2020. Classroom assessment and educational measurement. 1st ed. New York, NY: Routledge.</w:t>
      </w:r>
    </w:p>
    <w:p w14:paraId="119C0320" w14:textId="06195D3E" w:rsidR="00DD3516" w:rsidRPr="00A140CB" w:rsidRDefault="00000000">
      <w:pPr>
        <w:spacing w:before="240" w:after="240"/>
        <w:rPr>
          <w:rFonts w:asciiTheme="minorHAnsi" w:hAnsiTheme="minorHAnsi" w:cstheme="minorHAnsi"/>
        </w:rPr>
      </w:pPr>
      <w:r w:rsidRPr="00A140CB">
        <w:rPr>
          <w:rFonts w:asciiTheme="minorHAnsi" w:hAnsiTheme="minorHAnsi" w:cstheme="minorHAnsi"/>
        </w:rPr>
        <w:t>Chapman, C. and King, R., 2009. Differentiated instructional strategies for reading in the content areas. Thousand Oaks, CA: Corwin Press.</w:t>
      </w:r>
    </w:p>
    <w:p w14:paraId="29309833" w14:textId="161ABF96" w:rsidR="00DD3516" w:rsidRPr="00A140CB" w:rsidRDefault="00000000">
      <w:pPr>
        <w:spacing w:before="240" w:after="240"/>
        <w:rPr>
          <w:rFonts w:asciiTheme="minorHAnsi" w:hAnsiTheme="minorHAnsi" w:cstheme="minorHAnsi"/>
        </w:rPr>
      </w:pPr>
      <w:r w:rsidRPr="00A140CB">
        <w:rPr>
          <w:rFonts w:asciiTheme="minorHAnsi" w:hAnsiTheme="minorHAnsi" w:cstheme="minorHAnsi"/>
        </w:rPr>
        <w:t>Cooper, G., 1990. Cognitive load theory as an aid for instructional design. Australasian Journal of Educational Technology, 6(2). Available at: https://doi.org/10.14742/ajet.2322.</w:t>
      </w:r>
    </w:p>
    <w:p w14:paraId="484BB17F" w14:textId="498AD8B3" w:rsidR="00DD3516" w:rsidRPr="00A140CB" w:rsidRDefault="00000000">
      <w:pPr>
        <w:spacing w:before="240" w:after="240"/>
        <w:rPr>
          <w:rFonts w:asciiTheme="minorHAnsi" w:hAnsiTheme="minorHAnsi" w:cstheme="minorHAnsi"/>
        </w:rPr>
      </w:pPr>
      <w:r w:rsidRPr="00A140CB">
        <w:rPr>
          <w:rFonts w:asciiTheme="minorHAnsi" w:hAnsiTheme="minorHAnsi" w:cstheme="minorHAnsi"/>
        </w:rPr>
        <w:t>Creswell, J.W. and Poth, C.N., 2016. Qualitative inquiry and research design: Choosing among five approaches. 4th ed. Thousand Oaks, CA: Sage Publications.</w:t>
      </w:r>
    </w:p>
    <w:p w14:paraId="1AE52E3B" w14:textId="6EA81A86" w:rsidR="00DD3516" w:rsidRPr="00A140CB" w:rsidRDefault="00000000">
      <w:pPr>
        <w:spacing w:before="240" w:after="240"/>
        <w:rPr>
          <w:rFonts w:asciiTheme="minorHAnsi" w:hAnsiTheme="minorHAnsi" w:cstheme="minorHAnsi"/>
        </w:rPr>
      </w:pPr>
      <w:r w:rsidRPr="00A140CB">
        <w:rPr>
          <w:rFonts w:asciiTheme="minorHAnsi" w:hAnsiTheme="minorHAnsi" w:cstheme="minorHAnsi"/>
        </w:rPr>
        <w:t>Daniels, H. and Ahmed, S.K., 2015. Upstanders: How to engage middle school hearts and minds with inquiry. Portsmouth, NH: Heinemann.</w:t>
      </w:r>
    </w:p>
    <w:p w14:paraId="652B3FC9" w14:textId="420E7C2B" w:rsidR="00DD3516" w:rsidRPr="00A140CB" w:rsidRDefault="00000000">
      <w:pPr>
        <w:spacing w:before="240" w:after="240"/>
        <w:rPr>
          <w:rFonts w:asciiTheme="minorHAnsi" w:hAnsiTheme="minorHAnsi" w:cstheme="minorHAnsi"/>
        </w:rPr>
      </w:pPr>
      <w:r w:rsidRPr="00A140CB">
        <w:rPr>
          <w:rFonts w:asciiTheme="minorHAnsi" w:hAnsiTheme="minorHAnsi" w:cstheme="minorHAnsi"/>
        </w:rPr>
        <w:lastRenderedPageBreak/>
        <w:t>Dewey, J., 1937. The challenge of democracy to education. In: E.T. Weber, ed., America's public philosopher: Essays on social justice, economics, education, and the future of democracy, 1st ed. New York, NY: Columbia University Press, pp. 30-39. Available at: http://www.jstor.org/stable/10.7312/dewe19894.8 (Accessed: 10 June 2024).</w:t>
      </w:r>
    </w:p>
    <w:p w14:paraId="473ADE42" w14:textId="40BE5044" w:rsidR="00DD3516" w:rsidRPr="00A140CB" w:rsidRDefault="00000000">
      <w:pPr>
        <w:spacing w:before="240" w:after="240"/>
        <w:rPr>
          <w:rFonts w:asciiTheme="minorHAnsi" w:hAnsiTheme="minorHAnsi" w:cstheme="minorHAnsi"/>
        </w:rPr>
      </w:pPr>
      <w:r w:rsidRPr="00A140CB">
        <w:rPr>
          <w:rFonts w:asciiTheme="minorHAnsi" w:hAnsiTheme="minorHAnsi" w:cstheme="minorHAnsi"/>
        </w:rPr>
        <w:t>Dewey, J., 2021. America's public philosopher: Dewey's essays on social justice, economics, education, and the future of democracy. Edited by E.T. Weber. New York, NY: Columbia University Press. Available at: https://doi.org/10.7312/dewe19894.</w:t>
      </w:r>
    </w:p>
    <w:p w14:paraId="386D5475" w14:textId="601A27F4" w:rsidR="00DD3516" w:rsidRPr="00A140CB" w:rsidRDefault="00000000">
      <w:pPr>
        <w:spacing w:before="240" w:after="240"/>
        <w:rPr>
          <w:rFonts w:asciiTheme="minorHAnsi" w:hAnsiTheme="minorHAnsi" w:cstheme="minorHAnsi"/>
        </w:rPr>
      </w:pPr>
      <w:r w:rsidRPr="00A140CB">
        <w:rPr>
          <w:rFonts w:asciiTheme="minorHAnsi" w:hAnsiTheme="minorHAnsi" w:cstheme="minorHAnsi"/>
        </w:rPr>
        <w:t>Donaldson, G., 2015. Successful futures: Independent review of curriculum and assessment arrangements in Wales. Cardiff: Welsh Government.</w:t>
      </w:r>
    </w:p>
    <w:p w14:paraId="554DD51C" w14:textId="667BA104" w:rsidR="00DD3516" w:rsidRPr="00A140CB" w:rsidRDefault="00000000">
      <w:pPr>
        <w:spacing w:before="240" w:after="240"/>
        <w:rPr>
          <w:rFonts w:asciiTheme="minorHAnsi" w:hAnsiTheme="minorHAnsi" w:cstheme="minorHAnsi"/>
        </w:rPr>
      </w:pPr>
      <w:r w:rsidRPr="00A140CB">
        <w:rPr>
          <w:rFonts w:asciiTheme="minorHAnsi" w:hAnsiTheme="minorHAnsi" w:cstheme="minorHAnsi"/>
        </w:rPr>
        <w:t>Dweck, C.S., 2017. Mindset: The new psychology of success. Updated ed. London: Robinson.</w:t>
      </w:r>
    </w:p>
    <w:p w14:paraId="25F56D63" w14:textId="2FDD0D71" w:rsidR="00DD3516" w:rsidRPr="00A140CB" w:rsidRDefault="00000000">
      <w:pPr>
        <w:spacing w:before="240" w:after="240"/>
        <w:rPr>
          <w:rFonts w:asciiTheme="minorHAnsi" w:hAnsiTheme="minorHAnsi" w:cstheme="minorHAnsi"/>
        </w:rPr>
      </w:pPr>
      <w:r w:rsidRPr="00A140CB">
        <w:rPr>
          <w:rFonts w:asciiTheme="minorHAnsi" w:hAnsiTheme="minorHAnsi" w:cstheme="minorHAnsi"/>
        </w:rPr>
        <w:t>Education Endowment Foundation, 2024. Feedback. Available at: https://educationendowmentfoundation.org.uk/education-evidence/teaching-learning-toolkit/feedback#:~:text=Providing%20feedback%20is%20a%20well,information%20on%20how%20to%20improve (Accessed: 27 May 2024).</w:t>
      </w:r>
    </w:p>
    <w:p w14:paraId="53723D1D" w14:textId="4E596C9C" w:rsidR="00DD3516" w:rsidRPr="00A140CB" w:rsidRDefault="00000000">
      <w:pPr>
        <w:spacing w:before="240" w:after="240"/>
        <w:rPr>
          <w:rFonts w:asciiTheme="minorHAnsi" w:hAnsiTheme="minorHAnsi" w:cstheme="minorHAnsi"/>
        </w:rPr>
      </w:pPr>
      <w:r w:rsidRPr="00A140CB">
        <w:rPr>
          <w:rFonts w:asciiTheme="minorHAnsi" w:hAnsiTheme="minorHAnsi" w:cstheme="minorHAnsi"/>
        </w:rPr>
        <w:t>Enquiry based learning, 2008. England: Teachers TV/UK Department of Education.</w:t>
      </w:r>
    </w:p>
    <w:p w14:paraId="609F6CAE" w14:textId="57A87E3A" w:rsidR="00DD3516" w:rsidRPr="00A140CB" w:rsidRDefault="00000000">
      <w:pPr>
        <w:spacing w:before="240" w:after="240"/>
        <w:rPr>
          <w:rFonts w:asciiTheme="minorHAnsi" w:hAnsiTheme="minorHAnsi" w:cstheme="minorHAnsi"/>
        </w:rPr>
      </w:pPr>
      <w:r w:rsidRPr="00A140CB">
        <w:rPr>
          <w:rFonts w:asciiTheme="minorHAnsi" w:hAnsiTheme="minorHAnsi" w:cstheme="minorHAnsi"/>
        </w:rPr>
        <w:t>Hamilton, L., 2011. Case studies in educational research. British Educational Research Association. Available at: https://www.bera.ac.uk/publication/case-studies-in-educational-research (Accessed: 1 June 2024).</w:t>
      </w:r>
    </w:p>
    <w:p w14:paraId="5F1945AC" w14:textId="75FF63F0" w:rsidR="00DD3516" w:rsidRPr="00A140CB" w:rsidRDefault="00000000">
      <w:pPr>
        <w:spacing w:before="240" w:after="240"/>
        <w:rPr>
          <w:rFonts w:asciiTheme="minorHAnsi" w:hAnsiTheme="minorHAnsi" w:cstheme="minorHAnsi"/>
        </w:rPr>
      </w:pPr>
      <w:r w:rsidRPr="00A140CB">
        <w:rPr>
          <w:rFonts w:asciiTheme="minorHAnsi" w:hAnsiTheme="minorHAnsi" w:cstheme="minorHAnsi"/>
        </w:rPr>
        <w:t xml:space="preserve">Hattie, J., 2012. Visible learning for teachers: </w:t>
      </w:r>
      <w:proofErr w:type="spellStart"/>
      <w:r w:rsidRPr="00A140CB">
        <w:rPr>
          <w:rFonts w:asciiTheme="minorHAnsi" w:hAnsiTheme="minorHAnsi" w:cstheme="minorHAnsi"/>
        </w:rPr>
        <w:t>Maximising</w:t>
      </w:r>
      <w:proofErr w:type="spellEnd"/>
      <w:r w:rsidRPr="00A140CB">
        <w:rPr>
          <w:rFonts w:asciiTheme="minorHAnsi" w:hAnsiTheme="minorHAnsi" w:cstheme="minorHAnsi"/>
        </w:rPr>
        <w:t xml:space="preserve"> impact on learning. London: Routledge.</w:t>
      </w:r>
    </w:p>
    <w:p w14:paraId="6792B7FD" w14:textId="61A9EB77" w:rsidR="00DD3516" w:rsidRPr="00A140CB" w:rsidRDefault="00000000">
      <w:pPr>
        <w:spacing w:before="240" w:after="240"/>
        <w:rPr>
          <w:rFonts w:asciiTheme="minorHAnsi" w:hAnsiTheme="minorHAnsi" w:cstheme="minorHAnsi"/>
        </w:rPr>
      </w:pPr>
      <w:proofErr w:type="spellStart"/>
      <w:r w:rsidRPr="00A140CB">
        <w:rPr>
          <w:rFonts w:asciiTheme="minorHAnsi" w:hAnsiTheme="minorHAnsi" w:cstheme="minorHAnsi"/>
        </w:rPr>
        <w:t>Hetland</w:t>
      </w:r>
      <w:proofErr w:type="spellEnd"/>
      <w:r w:rsidRPr="00A140CB">
        <w:rPr>
          <w:rFonts w:asciiTheme="minorHAnsi" w:hAnsiTheme="minorHAnsi" w:cstheme="minorHAnsi"/>
        </w:rPr>
        <w:t>, L., 2013. Connecting creativity to understanding. Educational Leadership, 70(5), pp. 65-70.</w:t>
      </w:r>
    </w:p>
    <w:p w14:paraId="02A96351" w14:textId="4EBB290B" w:rsidR="00DD3516" w:rsidRPr="00A140CB" w:rsidRDefault="00000000">
      <w:pPr>
        <w:spacing w:before="240" w:after="240"/>
        <w:rPr>
          <w:rFonts w:asciiTheme="minorHAnsi" w:hAnsiTheme="minorHAnsi" w:cstheme="minorHAnsi"/>
        </w:rPr>
      </w:pPr>
      <w:r w:rsidRPr="00A140CB">
        <w:rPr>
          <w:rFonts w:asciiTheme="minorHAnsi" w:hAnsiTheme="minorHAnsi" w:cstheme="minorHAnsi"/>
        </w:rPr>
        <w:t>Kohn, A., 2000. Burnt at the high stakes. Journal of Teacher Education, 51(4), pp. 315-327. Available at: https://doi.org/10.1177/0022487100051004007.</w:t>
      </w:r>
    </w:p>
    <w:p w14:paraId="3753DE50" w14:textId="7D226BA6" w:rsidR="00DD3516" w:rsidRPr="00A140CB" w:rsidRDefault="00000000">
      <w:pPr>
        <w:spacing w:before="240" w:after="240"/>
        <w:rPr>
          <w:rFonts w:asciiTheme="minorHAnsi" w:hAnsiTheme="minorHAnsi" w:cstheme="minorHAnsi"/>
        </w:rPr>
      </w:pPr>
      <w:r w:rsidRPr="00A140CB">
        <w:rPr>
          <w:rFonts w:asciiTheme="minorHAnsi" w:hAnsiTheme="minorHAnsi" w:cstheme="minorHAnsi"/>
        </w:rPr>
        <w:t>Mezirow, J., 1991. Transformative dimensions of adult learning. San Francisco, CA: Jossey-Bass.</w:t>
      </w:r>
    </w:p>
    <w:p w14:paraId="27846C46" w14:textId="2C88CBA6" w:rsidR="00DD3516" w:rsidRPr="00A140CB" w:rsidRDefault="00000000">
      <w:pPr>
        <w:spacing w:before="240" w:after="240"/>
        <w:rPr>
          <w:rFonts w:asciiTheme="minorHAnsi" w:hAnsiTheme="minorHAnsi" w:cstheme="minorHAnsi"/>
        </w:rPr>
      </w:pPr>
      <w:r w:rsidRPr="00A140CB">
        <w:rPr>
          <w:rFonts w:asciiTheme="minorHAnsi" w:hAnsiTheme="minorHAnsi" w:cstheme="minorHAnsi"/>
        </w:rPr>
        <w:t xml:space="preserve">Merriam, S.B. and </w:t>
      </w:r>
      <w:proofErr w:type="spellStart"/>
      <w:r w:rsidRPr="00A140CB">
        <w:rPr>
          <w:rFonts w:asciiTheme="minorHAnsi" w:hAnsiTheme="minorHAnsi" w:cstheme="minorHAnsi"/>
        </w:rPr>
        <w:t>Tisdell</w:t>
      </w:r>
      <w:proofErr w:type="spellEnd"/>
      <w:r w:rsidRPr="00A140CB">
        <w:rPr>
          <w:rFonts w:asciiTheme="minorHAnsi" w:hAnsiTheme="minorHAnsi" w:cstheme="minorHAnsi"/>
        </w:rPr>
        <w:t>, E.J., 2015. Qualitative research: A guide to design and implementation. 4th ed. San Francisco, CA: John Wiley &amp; Sons.</w:t>
      </w:r>
    </w:p>
    <w:p w14:paraId="1E3A6F4E" w14:textId="16F95B06" w:rsidR="00DD3516" w:rsidRPr="00A140CB" w:rsidRDefault="00000000">
      <w:pPr>
        <w:spacing w:before="240" w:after="240"/>
        <w:rPr>
          <w:rFonts w:asciiTheme="minorHAnsi" w:hAnsiTheme="minorHAnsi" w:cstheme="minorHAnsi"/>
        </w:rPr>
      </w:pPr>
      <w:r w:rsidRPr="00A140CB">
        <w:rPr>
          <w:rFonts w:asciiTheme="minorHAnsi" w:hAnsiTheme="minorHAnsi" w:cstheme="minorHAnsi"/>
        </w:rPr>
        <w:t>Nicol, D.J. and Macfarlane-Dick, D., 2006. Formative assessment and self-regulated learning: A model and seven principles of good feedback practice. Studies in Higher Education, 31(2), pp. 199-218.</w:t>
      </w:r>
    </w:p>
    <w:p w14:paraId="42CCCDD1" w14:textId="7725C619" w:rsidR="00DD3516" w:rsidRPr="00A140CB" w:rsidRDefault="00000000">
      <w:pPr>
        <w:spacing w:before="240" w:after="240"/>
        <w:rPr>
          <w:rFonts w:asciiTheme="minorHAnsi" w:hAnsiTheme="minorHAnsi" w:cstheme="minorHAnsi"/>
        </w:rPr>
      </w:pPr>
      <w:proofErr w:type="spellStart"/>
      <w:r w:rsidRPr="00A140CB">
        <w:rPr>
          <w:rFonts w:asciiTheme="minorHAnsi" w:hAnsiTheme="minorHAnsi" w:cstheme="minorHAnsi"/>
        </w:rPr>
        <w:t>Paas</w:t>
      </w:r>
      <w:proofErr w:type="spellEnd"/>
      <w:r w:rsidRPr="00A140CB">
        <w:rPr>
          <w:rFonts w:asciiTheme="minorHAnsi" w:hAnsiTheme="minorHAnsi" w:cstheme="minorHAnsi"/>
        </w:rPr>
        <w:t xml:space="preserve">, F., </w:t>
      </w:r>
      <w:proofErr w:type="spellStart"/>
      <w:r w:rsidRPr="00A140CB">
        <w:rPr>
          <w:rFonts w:asciiTheme="minorHAnsi" w:hAnsiTheme="minorHAnsi" w:cstheme="minorHAnsi"/>
        </w:rPr>
        <w:t>Renkl</w:t>
      </w:r>
      <w:proofErr w:type="spellEnd"/>
      <w:r w:rsidRPr="00A140CB">
        <w:rPr>
          <w:rFonts w:asciiTheme="minorHAnsi" w:hAnsiTheme="minorHAnsi" w:cstheme="minorHAnsi"/>
        </w:rPr>
        <w:t xml:space="preserve">, A. and </w:t>
      </w:r>
      <w:proofErr w:type="spellStart"/>
      <w:r w:rsidRPr="00A140CB">
        <w:rPr>
          <w:rFonts w:asciiTheme="minorHAnsi" w:hAnsiTheme="minorHAnsi" w:cstheme="minorHAnsi"/>
        </w:rPr>
        <w:t>Sweller</w:t>
      </w:r>
      <w:proofErr w:type="spellEnd"/>
      <w:r w:rsidRPr="00A140CB">
        <w:rPr>
          <w:rFonts w:asciiTheme="minorHAnsi" w:hAnsiTheme="minorHAnsi" w:cstheme="minorHAnsi"/>
        </w:rPr>
        <w:t>, J., 2004. Cognitive load theory: Instructional implications of the interaction between information structures and cognitive architecture. Instructional Science, 32(1/2), pp. 1-8.</w:t>
      </w:r>
    </w:p>
    <w:p w14:paraId="46009388" w14:textId="7F2DB3E0" w:rsidR="00DD3516" w:rsidRPr="00A140CB" w:rsidRDefault="00000000">
      <w:pPr>
        <w:spacing w:before="240" w:after="240"/>
        <w:rPr>
          <w:rFonts w:asciiTheme="minorHAnsi" w:hAnsiTheme="minorHAnsi" w:cstheme="minorHAnsi"/>
        </w:rPr>
      </w:pPr>
      <w:r w:rsidRPr="00A140CB">
        <w:rPr>
          <w:rFonts w:asciiTheme="minorHAnsi" w:hAnsiTheme="minorHAnsi" w:cstheme="minorHAnsi"/>
        </w:rPr>
        <w:lastRenderedPageBreak/>
        <w:t>Phillips, R., 2001. Making history curious: Using initial stimulus material (ISM) to promote enquiry, thinking and literacy. Teaching History (London), (105), pp. 19-24.</w:t>
      </w:r>
    </w:p>
    <w:p w14:paraId="1F28A29F" w14:textId="175A8FE3" w:rsidR="00DD3516" w:rsidRPr="00A140CB" w:rsidRDefault="00000000">
      <w:pPr>
        <w:spacing w:before="240" w:after="240"/>
        <w:rPr>
          <w:rFonts w:asciiTheme="minorHAnsi" w:hAnsiTheme="minorHAnsi" w:cstheme="minorHAnsi"/>
        </w:rPr>
      </w:pPr>
      <w:r w:rsidRPr="00A140CB">
        <w:rPr>
          <w:rFonts w:asciiTheme="minorHAnsi" w:hAnsiTheme="minorHAnsi" w:cstheme="minorHAnsi"/>
        </w:rPr>
        <w:t>Priestley, M., 2003. Curriculum 2000: A broader view of A levels? Cambridge Journal of Education, 33(2), pp. 237-255. Available at: https://doi.org/10.1080/03057640302037.</w:t>
      </w:r>
    </w:p>
    <w:p w14:paraId="74F37BE9" w14:textId="084EC685" w:rsidR="00DD3516" w:rsidRPr="00A140CB" w:rsidRDefault="00000000">
      <w:pPr>
        <w:spacing w:before="240" w:after="240"/>
        <w:rPr>
          <w:rFonts w:asciiTheme="minorHAnsi" w:hAnsiTheme="minorHAnsi" w:cstheme="minorHAnsi"/>
        </w:rPr>
      </w:pPr>
      <w:r w:rsidRPr="00A140CB">
        <w:rPr>
          <w:rFonts w:asciiTheme="minorHAnsi" w:hAnsiTheme="minorHAnsi" w:cstheme="minorHAnsi"/>
        </w:rPr>
        <w:t>Stake, R.E., 1995. The art of case study research. Thousand Oaks, CA: Sage.</w:t>
      </w:r>
    </w:p>
    <w:p w14:paraId="3BE584CB" w14:textId="512281A1" w:rsidR="00DD3516" w:rsidRPr="00A140CB" w:rsidRDefault="00000000">
      <w:pPr>
        <w:spacing w:before="240" w:after="240"/>
        <w:rPr>
          <w:rFonts w:asciiTheme="minorHAnsi" w:hAnsiTheme="minorHAnsi" w:cstheme="minorHAnsi"/>
        </w:rPr>
      </w:pPr>
      <w:proofErr w:type="spellStart"/>
      <w:r w:rsidRPr="00A140CB">
        <w:rPr>
          <w:rFonts w:asciiTheme="minorHAnsi" w:hAnsiTheme="minorHAnsi" w:cstheme="minorHAnsi"/>
        </w:rPr>
        <w:t>Sweller</w:t>
      </w:r>
      <w:proofErr w:type="spellEnd"/>
      <w:r w:rsidRPr="00A140CB">
        <w:rPr>
          <w:rFonts w:asciiTheme="minorHAnsi" w:hAnsiTheme="minorHAnsi" w:cstheme="minorHAnsi"/>
        </w:rPr>
        <w:t>, J., 1988. Cognitive load during problem solving: Effects on learning. Cognitive Science, 12(2), pp. 257-285. Available at: https://doi.org/10.1207/s15516709cog1202_4.</w:t>
      </w:r>
    </w:p>
    <w:p w14:paraId="6F242FD8" w14:textId="639924EC" w:rsidR="00DD3516" w:rsidRPr="00A140CB" w:rsidRDefault="00000000">
      <w:pPr>
        <w:spacing w:before="240" w:after="240"/>
        <w:rPr>
          <w:rFonts w:asciiTheme="minorHAnsi" w:hAnsiTheme="minorHAnsi" w:cstheme="minorHAnsi"/>
        </w:rPr>
      </w:pPr>
      <w:proofErr w:type="spellStart"/>
      <w:r w:rsidRPr="00A140CB">
        <w:rPr>
          <w:rFonts w:asciiTheme="minorHAnsi" w:hAnsiTheme="minorHAnsi" w:cstheme="minorHAnsi"/>
        </w:rPr>
        <w:t>Sweller</w:t>
      </w:r>
      <w:proofErr w:type="spellEnd"/>
      <w:r w:rsidRPr="00A140CB">
        <w:rPr>
          <w:rFonts w:asciiTheme="minorHAnsi" w:hAnsiTheme="minorHAnsi" w:cstheme="minorHAnsi"/>
        </w:rPr>
        <w:t>, J. and Chandler, P., 1991. Evidence for cognitive load theory. Cognition and Instruction, 8(4), pp. 351-362. Available at: https://doi.org/10.1207/s1532690xci0804_5.</w:t>
      </w:r>
    </w:p>
    <w:p w14:paraId="5A4C51FA" w14:textId="052A6C3F" w:rsidR="00DD3516" w:rsidRPr="00A140CB" w:rsidRDefault="00000000">
      <w:pPr>
        <w:spacing w:before="240" w:after="240"/>
        <w:rPr>
          <w:rFonts w:asciiTheme="minorHAnsi" w:hAnsiTheme="minorHAnsi" w:cstheme="minorHAnsi"/>
        </w:rPr>
      </w:pPr>
      <w:r w:rsidRPr="00A140CB">
        <w:rPr>
          <w:rFonts w:asciiTheme="minorHAnsi" w:hAnsiTheme="minorHAnsi" w:cstheme="minorHAnsi"/>
        </w:rPr>
        <w:t>The Children's Society, 2024. The good childhood report. Available at: https://www.childrenssociety.org.uk/good-childhood?gad_source=1&amp;gclid=CjwKCAjw34qzBhBmEiwAOUQcF67_im0DA0rlLyjsyguBIcTi0tgl7kNmcEhc1ZTmtjcse1bmjg66XxoC_icQAvD_BwE (Accessed: 27 May 2024).</w:t>
      </w:r>
    </w:p>
    <w:p w14:paraId="3CF1BBDD" w14:textId="47875FB0" w:rsidR="00DD3516" w:rsidRPr="00A140CB" w:rsidRDefault="00000000">
      <w:pPr>
        <w:spacing w:before="240" w:after="240"/>
        <w:rPr>
          <w:rFonts w:asciiTheme="minorHAnsi" w:hAnsiTheme="minorHAnsi" w:cstheme="minorHAnsi"/>
        </w:rPr>
      </w:pPr>
      <w:r w:rsidRPr="00A140CB">
        <w:rPr>
          <w:rFonts w:asciiTheme="minorHAnsi" w:hAnsiTheme="minorHAnsi" w:cstheme="minorHAnsi"/>
        </w:rPr>
        <w:t>Tomlinson, C.A., 2001. How to differentiate instruction in mixed-ability classrooms. 2nd ed. Alexandria, VA: ASCD.</w:t>
      </w:r>
    </w:p>
    <w:p w14:paraId="20C0D12C" w14:textId="2F6EC29F" w:rsidR="00DD3516" w:rsidRPr="00A140CB" w:rsidRDefault="00000000">
      <w:pPr>
        <w:spacing w:before="240" w:after="240"/>
        <w:rPr>
          <w:rFonts w:asciiTheme="minorHAnsi" w:hAnsiTheme="minorHAnsi" w:cstheme="minorHAnsi"/>
        </w:rPr>
      </w:pPr>
      <w:r w:rsidRPr="00A140CB">
        <w:rPr>
          <w:rFonts w:asciiTheme="minorHAnsi" w:hAnsiTheme="minorHAnsi" w:cstheme="minorHAnsi"/>
        </w:rPr>
        <w:t>Welsh Government, 2022. Effective approaches to assessment to improve teaching and learning. Available at: https://www.gov.wales/effective-approaches-assessment-improve-teaching-and-learning-html (Accessed: 28 May 2024).</w:t>
      </w:r>
    </w:p>
    <w:p w14:paraId="20254E31" w14:textId="472D25E1" w:rsidR="00DD3516" w:rsidRPr="00A140CB" w:rsidRDefault="00000000">
      <w:pPr>
        <w:spacing w:before="240" w:after="240"/>
        <w:rPr>
          <w:rFonts w:asciiTheme="minorHAnsi" w:hAnsiTheme="minorHAnsi" w:cstheme="minorHAnsi"/>
        </w:rPr>
      </w:pPr>
      <w:r w:rsidRPr="00A140CB">
        <w:rPr>
          <w:rFonts w:asciiTheme="minorHAnsi" w:hAnsiTheme="minorHAnsi" w:cstheme="minorHAnsi"/>
        </w:rPr>
        <w:t>Wiggins, G.P. and McTighe, J., 1998. Understanding by design: Study guide. Alexandria, VA: ASCD.</w:t>
      </w:r>
    </w:p>
    <w:p w14:paraId="52357309" w14:textId="2A12F398" w:rsidR="00DD3516" w:rsidRPr="00A140CB" w:rsidRDefault="00000000">
      <w:pPr>
        <w:spacing w:before="240" w:after="240"/>
        <w:rPr>
          <w:rFonts w:asciiTheme="minorHAnsi" w:hAnsiTheme="minorHAnsi" w:cstheme="minorHAnsi"/>
        </w:rPr>
      </w:pPr>
      <w:r w:rsidRPr="00A140CB">
        <w:rPr>
          <w:rFonts w:asciiTheme="minorHAnsi" w:hAnsiTheme="minorHAnsi" w:cstheme="minorHAnsi"/>
        </w:rPr>
        <w:t>Wiggins, G.P. and McTighe, J., 2005. Understanding by design. Expanded 2nd ed. Alexandria, VA: Association for Supervision and Curriculum Development.</w:t>
      </w:r>
    </w:p>
    <w:p w14:paraId="678AF3D0" w14:textId="3417D34E" w:rsidR="00DD3516" w:rsidRPr="00A140CB" w:rsidRDefault="00000000">
      <w:pPr>
        <w:spacing w:before="240" w:after="240"/>
        <w:rPr>
          <w:rFonts w:asciiTheme="minorHAnsi" w:hAnsiTheme="minorHAnsi" w:cstheme="minorHAnsi"/>
        </w:rPr>
      </w:pPr>
      <w:r w:rsidRPr="00A140CB">
        <w:rPr>
          <w:rFonts w:asciiTheme="minorHAnsi" w:hAnsiTheme="minorHAnsi" w:cstheme="minorHAnsi"/>
        </w:rPr>
        <w:t>Wiggins, G.P. and McTighe, J., 2005. Understanding by design. Alexandria, VA: ASCD.</w:t>
      </w:r>
    </w:p>
    <w:p w14:paraId="58B860B5" w14:textId="11121CF3" w:rsidR="00DD3516" w:rsidRPr="00A140CB" w:rsidRDefault="00000000">
      <w:pPr>
        <w:spacing w:before="240" w:after="240"/>
        <w:rPr>
          <w:rFonts w:asciiTheme="minorHAnsi" w:hAnsiTheme="minorHAnsi" w:cstheme="minorHAnsi"/>
        </w:rPr>
      </w:pPr>
      <w:proofErr w:type="spellStart"/>
      <w:r w:rsidRPr="00A140CB">
        <w:rPr>
          <w:rFonts w:asciiTheme="minorHAnsi" w:hAnsiTheme="minorHAnsi" w:cstheme="minorHAnsi"/>
        </w:rPr>
        <w:t>Wiliam</w:t>
      </w:r>
      <w:proofErr w:type="spellEnd"/>
      <w:r w:rsidRPr="00A140CB">
        <w:rPr>
          <w:rFonts w:asciiTheme="minorHAnsi" w:hAnsiTheme="minorHAnsi" w:cstheme="minorHAnsi"/>
        </w:rPr>
        <w:t>, D., 2011. Embedded formative assessment. Bloomington, IN: Solution Tree Press.</w:t>
      </w:r>
    </w:p>
    <w:p w14:paraId="3462DA0B" w14:textId="7EED3FEF" w:rsidR="00DD3516" w:rsidRPr="00A140CB" w:rsidRDefault="00000000">
      <w:pPr>
        <w:spacing w:before="240" w:after="240"/>
        <w:rPr>
          <w:rFonts w:asciiTheme="minorHAnsi" w:hAnsiTheme="minorHAnsi" w:cstheme="minorHAnsi"/>
        </w:rPr>
      </w:pPr>
      <w:r w:rsidRPr="00A140CB">
        <w:rPr>
          <w:rFonts w:asciiTheme="minorHAnsi" w:hAnsiTheme="minorHAnsi" w:cstheme="minorHAnsi"/>
        </w:rPr>
        <w:t>Wyse, D. and Torrance, H., 2009. The development and consequences of national curriculum assessment for primary education in England. Educational Research (Windsor), 51(2), pp. 213-228. Available at: https://doi.org/10.1080/00131880902891479.</w:t>
      </w:r>
    </w:p>
    <w:p w14:paraId="2460982A" w14:textId="0B8DC2D0" w:rsidR="00DD3516" w:rsidRPr="003F07AC" w:rsidRDefault="00000000">
      <w:pPr>
        <w:spacing w:before="240" w:after="240"/>
        <w:rPr>
          <w:rFonts w:asciiTheme="minorHAnsi" w:hAnsiTheme="minorHAnsi" w:cstheme="minorHAnsi"/>
        </w:rPr>
      </w:pPr>
      <w:r w:rsidRPr="00A140CB">
        <w:rPr>
          <w:rFonts w:asciiTheme="minorHAnsi" w:hAnsiTheme="minorHAnsi" w:cstheme="minorHAnsi"/>
        </w:rPr>
        <w:t>Yin, R.K., 2018. Case study research and applications. 6th ed</w:t>
      </w:r>
    </w:p>
    <w:p w14:paraId="28BA4905" w14:textId="77777777" w:rsidR="00DD3516" w:rsidRDefault="00DD3516">
      <w:pPr>
        <w:spacing w:before="240" w:after="240"/>
      </w:pPr>
    </w:p>
    <w:sectPr w:rsidR="00DD3516">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noPunctuationKerning/>
  <w:characterSpacingControl w:val="doNotCompress"/>
  <w:compat>
    <w:compatSetting w:name="compatibilityMode" w:uri="http://schemas.microsoft.com/office/word" w:val="12"/>
    <w:compatSetting w:name="useWord2013TrackBottomHyphenation" w:uri="http://schemas.microsoft.com/office/word" w:val="1"/>
  </w:compat>
  <w:rsids>
    <w:rsidRoot w:val="00DD3516"/>
    <w:rsid w:val="003F07AC"/>
    <w:rsid w:val="005421B6"/>
    <w:rsid w:val="006A415D"/>
    <w:rsid w:val="00A140CB"/>
    <w:rsid w:val="00AD3D54"/>
    <w:rsid w:val="00DD3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439EC0"/>
  <w15:docId w15:val="{9A118BBC-23F5-1443-A0CE-C03F891D7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21</Pages>
  <Words>6402</Words>
  <Characters>36497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Danielle Maskery (1451073)</cp:lastModifiedBy>
  <cp:revision>1</cp:revision>
  <dcterms:created xsi:type="dcterms:W3CDTF">2024-06-15T11:07:00Z</dcterms:created>
  <dcterms:modified xsi:type="dcterms:W3CDTF">2024-06-17T13:24:00Z</dcterms:modified>
</cp:coreProperties>
</file>