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622127" w14:textId="77777777" w:rsidR="00A104CE" w:rsidRDefault="00A104CE">
      <w:pPr>
        <w:spacing w:line="360" w:lineRule="auto"/>
        <w:jc w:val="center"/>
        <w:rPr>
          <w:b/>
          <w:bCs/>
          <w:sz w:val="32"/>
          <w:szCs w:val="32"/>
        </w:rPr>
      </w:pPr>
    </w:p>
    <w:p w14:paraId="129E8E0B" w14:textId="77777777" w:rsidR="00A104CE" w:rsidRDefault="00A104CE">
      <w:pPr>
        <w:spacing w:line="360" w:lineRule="auto"/>
        <w:rPr>
          <w:b/>
          <w:bCs/>
          <w:sz w:val="32"/>
          <w:szCs w:val="32"/>
        </w:rPr>
      </w:pPr>
    </w:p>
    <w:p w14:paraId="67BBEA4D" w14:textId="77777777" w:rsidR="00A104CE" w:rsidRDefault="00A104CE">
      <w:pPr>
        <w:spacing w:line="360" w:lineRule="auto"/>
        <w:jc w:val="center"/>
        <w:rPr>
          <w:b/>
          <w:bCs/>
          <w:sz w:val="32"/>
          <w:szCs w:val="32"/>
        </w:rPr>
      </w:pPr>
    </w:p>
    <w:p w14:paraId="2F186F8E" w14:textId="77777777" w:rsidR="00A104CE" w:rsidRDefault="00D94566">
      <w:pPr>
        <w:spacing w:line="360" w:lineRule="auto"/>
        <w:jc w:val="center"/>
        <w:rPr>
          <w:b/>
          <w:bCs/>
          <w:sz w:val="32"/>
          <w:szCs w:val="32"/>
        </w:rPr>
      </w:pPr>
      <w:proofErr w:type="spellStart"/>
      <w:r>
        <w:rPr>
          <w:b/>
          <w:bCs/>
          <w:sz w:val="32"/>
          <w:szCs w:val="32"/>
        </w:rPr>
        <w:t>Programme</w:t>
      </w:r>
      <w:proofErr w:type="spellEnd"/>
      <w:r>
        <w:rPr>
          <w:b/>
          <w:bCs/>
          <w:sz w:val="32"/>
          <w:szCs w:val="32"/>
        </w:rPr>
        <w:t>: BSc Health and Social Care</w:t>
      </w:r>
    </w:p>
    <w:p w14:paraId="577C5D6C" w14:textId="77777777" w:rsidR="00A104CE" w:rsidRDefault="00D94566">
      <w:pPr>
        <w:spacing w:line="360" w:lineRule="auto"/>
        <w:jc w:val="center"/>
        <w:rPr>
          <w:b/>
          <w:bCs/>
          <w:sz w:val="32"/>
          <w:szCs w:val="32"/>
        </w:rPr>
      </w:pPr>
      <w:r>
        <w:rPr>
          <w:b/>
          <w:bCs/>
          <w:sz w:val="32"/>
          <w:szCs w:val="32"/>
        </w:rPr>
        <w:t>Module: Introduction to Physiology</w:t>
      </w:r>
    </w:p>
    <w:p w14:paraId="5918D2F9" w14:textId="77777777" w:rsidR="00A104CE" w:rsidRDefault="00D94566">
      <w:pPr>
        <w:spacing w:line="360" w:lineRule="auto"/>
        <w:jc w:val="center"/>
        <w:rPr>
          <w:b/>
          <w:bCs/>
          <w:sz w:val="32"/>
          <w:szCs w:val="32"/>
        </w:rPr>
      </w:pPr>
      <w:r>
        <w:rPr>
          <w:b/>
          <w:bCs/>
          <w:sz w:val="32"/>
          <w:szCs w:val="32"/>
        </w:rPr>
        <w:t>Module code: BMHP5023</w:t>
      </w:r>
    </w:p>
    <w:p w14:paraId="28627306" w14:textId="77777777" w:rsidR="00A104CE" w:rsidRDefault="00D94566">
      <w:pPr>
        <w:spacing w:line="360" w:lineRule="auto"/>
        <w:jc w:val="center"/>
        <w:rPr>
          <w:b/>
          <w:bCs/>
          <w:sz w:val="32"/>
          <w:szCs w:val="32"/>
        </w:rPr>
      </w:pPr>
      <w:r>
        <w:rPr>
          <w:b/>
          <w:bCs/>
          <w:sz w:val="32"/>
          <w:szCs w:val="32"/>
        </w:rPr>
        <w:t>Name: Catarina Barroso Ngunza</w:t>
      </w:r>
    </w:p>
    <w:p w14:paraId="63E37B7A" w14:textId="60106D9C" w:rsidR="00A104CE" w:rsidRDefault="00D94566">
      <w:pPr>
        <w:spacing w:line="360" w:lineRule="auto"/>
        <w:jc w:val="center"/>
        <w:rPr>
          <w:b/>
          <w:bCs/>
          <w:sz w:val="32"/>
          <w:szCs w:val="32"/>
        </w:rPr>
      </w:pPr>
      <w:r>
        <w:rPr>
          <w:b/>
          <w:bCs/>
          <w:sz w:val="32"/>
          <w:szCs w:val="32"/>
        </w:rPr>
        <w:t>Student ID: 2509011</w:t>
      </w:r>
    </w:p>
    <w:p w14:paraId="3883576B" w14:textId="7FEB55A5" w:rsidR="00D45E9C" w:rsidRPr="00D45E9C" w:rsidRDefault="00D45E9C" w:rsidP="00D45E9C">
      <w:pPr>
        <w:spacing w:line="360" w:lineRule="auto"/>
        <w:jc w:val="center"/>
        <w:rPr>
          <w:b/>
          <w:bCs/>
          <w:sz w:val="32"/>
          <w:szCs w:val="32"/>
        </w:rPr>
      </w:pPr>
      <w:r w:rsidRPr="00D45E9C">
        <w:rPr>
          <w:b/>
          <w:bCs/>
          <w:sz w:val="32"/>
          <w:szCs w:val="32"/>
        </w:rPr>
        <w:t xml:space="preserve">Lecturer: </w:t>
      </w:r>
      <w:r>
        <w:rPr>
          <w:b/>
          <w:bCs/>
          <w:sz w:val="32"/>
          <w:szCs w:val="32"/>
        </w:rPr>
        <w:t>Farah Islam</w:t>
      </w:r>
    </w:p>
    <w:p w14:paraId="21BD6F53" w14:textId="444AC975" w:rsidR="00D45E9C" w:rsidRPr="00D45E9C" w:rsidRDefault="00D45E9C" w:rsidP="00D45E9C">
      <w:pPr>
        <w:spacing w:line="360" w:lineRule="auto"/>
        <w:jc w:val="center"/>
        <w:rPr>
          <w:b/>
          <w:bCs/>
          <w:sz w:val="32"/>
          <w:szCs w:val="32"/>
        </w:rPr>
      </w:pPr>
      <w:r w:rsidRPr="00D45E9C">
        <w:rPr>
          <w:b/>
          <w:bCs/>
          <w:sz w:val="32"/>
          <w:szCs w:val="32"/>
        </w:rPr>
        <w:t>Submitted on: 2</w:t>
      </w:r>
      <w:r>
        <w:rPr>
          <w:b/>
          <w:bCs/>
          <w:sz w:val="32"/>
          <w:szCs w:val="32"/>
        </w:rPr>
        <w:t>6</w:t>
      </w:r>
      <w:r w:rsidRPr="00D45E9C">
        <w:rPr>
          <w:b/>
          <w:bCs/>
          <w:sz w:val="32"/>
          <w:szCs w:val="32"/>
        </w:rPr>
        <w:t xml:space="preserve"> </w:t>
      </w:r>
      <w:r>
        <w:rPr>
          <w:b/>
          <w:bCs/>
          <w:sz w:val="32"/>
          <w:szCs w:val="32"/>
        </w:rPr>
        <w:t>October</w:t>
      </w:r>
      <w:r w:rsidRPr="00D45E9C">
        <w:rPr>
          <w:b/>
          <w:bCs/>
          <w:sz w:val="32"/>
          <w:szCs w:val="32"/>
        </w:rPr>
        <w:t xml:space="preserve"> 2026</w:t>
      </w:r>
    </w:p>
    <w:p w14:paraId="7149D528" w14:textId="77777777" w:rsidR="00D45E9C" w:rsidRDefault="00D45E9C">
      <w:pPr>
        <w:spacing w:line="360" w:lineRule="auto"/>
        <w:jc w:val="center"/>
        <w:rPr>
          <w:b/>
          <w:bCs/>
          <w:sz w:val="32"/>
          <w:szCs w:val="32"/>
        </w:rPr>
      </w:pPr>
    </w:p>
    <w:p w14:paraId="2904F068" w14:textId="77777777" w:rsidR="00A104CE" w:rsidRDefault="00D94566">
      <w:pPr>
        <w:spacing w:line="360" w:lineRule="auto"/>
        <w:jc w:val="center"/>
        <w:rPr>
          <w:b/>
          <w:bCs/>
          <w:sz w:val="32"/>
          <w:szCs w:val="32"/>
        </w:rPr>
      </w:pPr>
      <w:r>
        <w:rPr>
          <w:b/>
          <w:bCs/>
          <w:sz w:val="32"/>
          <w:szCs w:val="32"/>
        </w:rPr>
        <w:t>Selected Case Study: 1</w:t>
      </w:r>
    </w:p>
    <w:p w14:paraId="3D878DA3" w14:textId="77777777" w:rsidR="00A104CE" w:rsidRDefault="00D94566">
      <w:pPr>
        <w:spacing w:line="360" w:lineRule="auto"/>
        <w:jc w:val="center"/>
        <w:rPr>
          <w:b/>
          <w:bCs/>
          <w:sz w:val="32"/>
          <w:szCs w:val="32"/>
        </w:rPr>
      </w:pPr>
      <w:r>
        <w:rPr>
          <w:b/>
          <w:bCs/>
          <w:sz w:val="32"/>
          <w:szCs w:val="32"/>
        </w:rPr>
        <w:t>UNDERSTANDING TYPE 2 DIABETES: BLOOD GLUCOSE REGULATION, CELLULAR METABOLISM, MONITORING AND EVIDENCE-BASED LIFESTYLE MANAGEMENT</w:t>
      </w:r>
    </w:p>
    <w:p w14:paraId="1451877A" w14:textId="77777777" w:rsidR="00A104CE" w:rsidRDefault="00D94566">
      <w:pPr>
        <w:spacing w:line="360" w:lineRule="auto"/>
        <w:jc w:val="center"/>
        <w:rPr>
          <w:b/>
          <w:bCs/>
          <w:sz w:val="32"/>
          <w:szCs w:val="32"/>
        </w:rPr>
      </w:pPr>
      <w:r>
        <w:br w:type="page"/>
      </w:r>
    </w:p>
    <w:p w14:paraId="16C6FDF5" w14:textId="77777777" w:rsidR="00A104CE" w:rsidRDefault="00D94566">
      <w:pPr>
        <w:spacing w:line="360" w:lineRule="auto"/>
        <w:jc w:val="center"/>
        <w:rPr>
          <w:b/>
          <w:bCs/>
          <w:sz w:val="28"/>
          <w:szCs w:val="28"/>
        </w:rPr>
      </w:pPr>
      <w:r>
        <w:rPr>
          <w:b/>
          <w:bCs/>
          <w:sz w:val="28"/>
          <w:szCs w:val="28"/>
        </w:rPr>
        <w:lastRenderedPageBreak/>
        <w:t>Table of Contents</w:t>
      </w:r>
    </w:p>
    <w:p w14:paraId="6B09610A" w14:textId="77777777" w:rsidR="00A104CE" w:rsidRDefault="00A104CE">
      <w:pPr>
        <w:keepNext/>
        <w:keepLines/>
        <w:pBdr>
          <w:top w:val="nil"/>
          <w:left w:val="nil"/>
          <w:bottom w:val="nil"/>
          <w:right w:val="nil"/>
          <w:between w:val="nil"/>
        </w:pBdr>
        <w:spacing w:before="240" w:line="259" w:lineRule="auto"/>
        <w:rPr>
          <w:rFonts w:ascii="Calibri" w:eastAsia="Calibri" w:hAnsi="Calibri" w:cs="Calibri"/>
          <w:color w:val="000000"/>
          <w:sz w:val="32"/>
          <w:szCs w:val="32"/>
        </w:rPr>
      </w:pPr>
    </w:p>
    <w:sdt>
      <w:sdtPr>
        <w:id w:val="1563836857"/>
        <w:docPartObj>
          <w:docPartGallery w:val="Table of Contents"/>
          <w:docPartUnique/>
        </w:docPartObj>
      </w:sdtPr>
      <w:sdtEndPr/>
      <w:sdtContent>
        <w:p w14:paraId="572321B8" w14:textId="57A1893D" w:rsidR="00467B8E" w:rsidRDefault="00D94566" w:rsidP="00467B8E">
          <w:pPr>
            <w:pStyle w:val="TOC1"/>
            <w:tabs>
              <w:tab w:val="right" w:leader="dot" w:pos="9350"/>
            </w:tabs>
            <w:spacing w:line="360" w:lineRule="auto"/>
            <w:rPr>
              <w:rFonts w:asciiTheme="minorHAnsi" w:eastAsiaTheme="minorEastAsia" w:hAnsiTheme="minorHAnsi" w:cstheme="minorBidi"/>
              <w:noProof/>
              <w:kern w:val="2"/>
              <w:sz w:val="24"/>
              <w:szCs w:val="24"/>
              <w:lang w:val="en-US"/>
              <w14:ligatures w14:val="standardContextual"/>
            </w:rPr>
          </w:pPr>
          <w:r>
            <w:fldChar w:fldCharType="begin"/>
          </w:r>
          <w:r>
            <w:instrText xml:space="preserve"> TOC \h \u \z \t "Heading 1,1,Heading 2,2,Heading 3,3,"</w:instrText>
          </w:r>
          <w:r>
            <w:fldChar w:fldCharType="separate"/>
          </w:r>
          <w:hyperlink w:anchor="_Toc240735821" w:history="1">
            <w:r w:rsidR="00467B8E" w:rsidRPr="00266375">
              <w:rPr>
                <w:rStyle w:val="Hyperlink"/>
                <w:noProof/>
              </w:rPr>
              <w:t>1. Introduction: Diabetes and Risk Factors</w:t>
            </w:r>
            <w:r w:rsidR="00467B8E">
              <w:rPr>
                <w:noProof/>
                <w:webHidden/>
              </w:rPr>
              <w:tab/>
            </w:r>
            <w:r w:rsidR="00467B8E">
              <w:rPr>
                <w:noProof/>
                <w:webHidden/>
              </w:rPr>
              <w:fldChar w:fldCharType="begin"/>
            </w:r>
            <w:r w:rsidR="00467B8E">
              <w:rPr>
                <w:noProof/>
                <w:webHidden/>
              </w:rPr>
              <w:instrText xml:space="preserve"> PAGEREF _Toc240735821 \h </w:instrText>
            </w:r>
            <w:r w:rsidR="00467B8E">
              <w:rPr>
                <w:noProof/>
                <w:webHidden/>
              </w:rPr>
            </w:r>
            <w:r w:rsidR="00467B8E">
              <w:rPr>
                <w:noProof/>
                <w:webHidden/>
              </w:rPr>
              <w:fldChar w:fldCharType="separate"/>
            </w:r>
            <w:r w:rsidR="00467B8E">
              <w:rPr>
                <w:noProof/>
                <w:webHidden/>
              </w:rPr>
              <w:t>3</w:t>
            </w:r>
            <w:r w:rsidR="00467B8E">
              <w:rPr>
                <w:noProof/>
                <w:webHidden/>
              </w:rPr>
              <w:fldChar w:fldCharType="end"/>
            </w:r>
          </w:hyperlink>
        </w:p>
        <w:p w14:paraId="79D18075" w14:textId="7C83EAFF" w:rsidR="00467B8E" w:rsidRDefault="00C83BC4" w:rsidP="00467B8E">
          <w:pPr>
            <w:pStyle w:val="TOC1"/>
            <w:tabs>
              <w:tab w:val="right" w:leader="dot" w:pos="9350"/>
            </w:tabs>
            <w:spacing w:line="360" w:lineRule="auto"/>
            <w:rPr>
              <w:rFonts w:asciiTheme="minorHAnsi" w:eastAsiaTheme="minorEastAsia" w:hAnsiTheme="minorHAnsi" w:cstheme="minorBidi"/>
              <w:noProof/>
              <w:kern w:val="2"/>
              <w:sz w:val="24"/>
              <w:szCs w:val="24"/>
              <w:lang w:val="en-US"/>
              <w14:ligatures w14:val="standardContextual"/>
            </w:rPr>
          </w:pPr>
          <w:hyperlink w:anchor="_Toc240735822" w:history="1">
            <w:r w:rsidR="00467B8E" w:rsidRPr="00266375">
              <w:rPr>
                <w:rStyle w:val="Hyperlink"/>
                <w:noProof/>
              </w:rPr>
              <w:t>2. Physiological Regulation of Blood Sugar Levels</w:t>
            </w:r>
            <w:r w:rsidR="00467B8E">
              <w:rPr>
                <w:noProof/>
                <w:webHidden/>
              </w:rPr>
              <w:tab/>
            </w:r>
            <w:r w:rsidR="00467B8E">
              <w:rPr>
                <w:noProof/>
                <w:webHidden/>
              </w:rPr>
              <w:fldChar w:fldCharType="begin"/>
            </w:r>
            <w:r w:rsidR="00467B8E">
              <w:rPr>
                <w:noProof/>
                <w:webHidden/>
              </w:rPr>
              <w:instrText xml:space="preserve"> PAGEREF _Toc240735822 \h </w:instrText>
            </w:r>
            <w:r w:rsidR="00467B8E">
              <w:rPr>
                <w:noProof/>
                <w:webHidden/>
              </w:rPr>
            </w:r>
            <w:r w:rsidR="00467B8E">
              <w:rPr>
                <w:noProof/>
                <w:webHidden/>
              </w:rPr>
              <w:fldChar w:fldCharType="separate"/>
            </w:r>
            <w:r w:rsidR="00467B8E">
              <w:rPr>
                <w:noProof/>
                <w:webHidden/>
              </w:rPr>
              <w:t>3</w:t>
            </w:r>
            <w:r w:rsidR="00467B8E">
              <w:rPr>
                <w:noProof/>
                <w:webHidden/>
              </w:rPr>
              <w:fldChar w:fldCharType="end"/>
            </w:r>
          </w:hyperlink>
        </w:p>
        <w:p w14:paraId="753A08EE" w14:textId="53AD6706" w:rsidR="00467B8E" w:rsidRDefault="00C83BC4" w:rsidP="00467B8E">
          <w:pPr>
            <w:pStyle w:val="TOC1"/>
            <w:tabs>
              <w:tab w:val="right" w:leader="dot" w:pos="9350"/>
            </w:tabs>
            <w:spacing w:line="360" w:lineRule="auto"/>
            <w:rPr>
              <w:rFonts w:asciiTheme="minorHAnsi" w:eastAsiaTheme="minorEastAsia" w:hAnsiTheme="minorHAnsi" w:cstheme="minorBidi"/>
              <w:noProof/>
              <w:kern w:val="2"/>
              <w:sz w:val="24"/>
              <w:szCs w:val="24"/>
              <w:lang w:val="en-US"/>
              <w14:ligatures w14:val="standardContextual"/>
            </w:rPr>
          </w:pPr>
          <w:hyperlink w:anchor="_Toc240735823" w:history="1">
            <w:r w:rsidR="00467B8E" w:rsidRPr="00266375">
              <w:rPr>
                <w:rStyle w:val="Hyperlink"/>
                <w:noProof/>
              </w:rPr>
              <w:t>3. Cellular Metabolism: Glucose, Oxygen and Energy Production</w:t>
            </w:r>
            <w:r w:rsidR="00467B8E">
              <w:rPr>
                <w:noProof/>
                <w:webHidden/>
              </w:rPr>
              <w:tab/>
            </w:r>
            <w:r w:rsidR="00467B8E">
              <w:rPr>
                <w:noProof/>
                <w:webHidden/>
              </w:rPr>
              <w:fldChar w:fldCharType="begin"/>
            </w:r>
            <w:r w:rsidR="00467B8E">
              <w:rPr>
                <w:noProof/>
                <w:webHidden/>
              </w:rPr>
              <w:instrText xml:space="preserve"> PAGEREF _Toc240735823 \h </w:instrText>
            </w:r>
            <w:r w:rsidR="00467B8E">
              <w:rPr>
                <w:noProof/>
                <w:webHidden/>
              </w:rPr>
            </w:r>
            <w:r w:rsidR="00467B8E">
              <w:rPr>
                <w:noProof/>
                <w:webHidden/>
              </w:rPr>
              <w:fldChar w:fldCharType="separate"/>
            </w:r>
            <w:r w:rsidR="00467B8E">
              <w:rPr>
                <w:noProof/>
                <w:webHidden/>
              </w:rPr>
              <w:t>4</w:t>
            </w:r>
            <w:r w:rsidR="00467B8E">
              <w:rPr>
                <w:noProof/>
                <w:webHidden/>
              </w:rPr>
              <w:fldChar w:fldCharType="end"/>
            </w:r>
          </w:hyperlink>
        </w:p>
        <w:p w14:paraId="4E757930" w14:textId="0D6F1174" w:rsidR="00467B8E" w:rsidRDefault="00C83BC4" w:rsidP="00467B8E">
          <w:pPr>
            <w:pStyle w:val="TOC1"/>
            <w:tabs>
              <w:tab w:val="right" w:leader="dot" w:pos="9350"/>
            </w:tabs>
            <w:spacing w:line="360" w:lineRule="auto"/>
            <w:rPr>
              <w:rFonts w:asciiTheme="minorHAnsi" w:eastAsiaTheme="minorEastAsia" w:hAnsiTheme="minorHAnsi" w:cstheme="minorBidi"/>
              <w:noProof/>
              <w:kern w:val="2"/>
              <w:sz w:val="24"/>
              <w:szCs w:val="24"/>
              <w:lang w:val="en-US"/>
              <w14:ligatures w14:val="standardContextual"/>
            </w:rPr>
          </w:pPr>
          <w:hyperlink w:anchor="_Toc240735824" w:history="1">
            <w:r w:rsidR="00467B8E" w:rsidRPr="00266375">
              <w:rPr>
                <w:rStyle w:val="Hyperlink"/>
                <w:noProof/>
              </w:rPr>
              <w:t>4. Recording and Tracking Blood Sugar Levels in Type 2 Diabetes</w:t>
            </w:r>
            <w:r w:rsidR="00467B8E">
              <w:rPr>
                <w:noProof/>
                <w:webHidden/>
              </w:rPr>
              <w:tab/>
            </w:r>
            <w:r w:rsidR="00467B8E">
              <w:rPr>
                <w:noProof/>
                <w:webHidden/>
              </w:rPr>
              <w:fldChar w:fldCharType="begin"/>
            </w:r>
            <w:r w:rsidR="00467B8E">
              <w:rPr>
                <w:noProof/>
                <w:webHidden/>
              </w:rPr>
              <w:instrText xml:space="preserve"> PAGEREF _Toc240735824 \h </w:instrText>
            </w:r>
            <w:r w:rsidR="00467B8E">
              <w:rPr>
                <w:noProof/>
                <w:webHidden/>
              </w:rPr>
            </w:r>
            <w:r w:rsidR="00467B8E">
              <w:rPr>
                <w:noProof/>
                <w:webHidden/>
              </w:rPr>
              <w:fldChar w:fldCharType="separate"/>
            </w:r>
            <w:r w:rsidR="00467B8E">
              <w:rPr>
                <w:noProof/>
                <w:webHidden/>
              </w:rPr>
              <w:t>5</w:t>
            </w:r>
            <w:r w:rsidR="00467B8E">
              <w:rPr>
                <w:noProof/>
                <w:webHidden/>
              </w:rPr>
              <w:fldChar w:fldCharType="end"/>
            </w:r>
          </w:hyperlink>
        </w:p>
        <w:p w14:paraId="0BB7017B" w14:textId="28222B5D" w:rsidR="00467B8E" w:rsidRDefault="00C83BC4" w:rsidP="00467B8E">
          <w:pPr>
            <w:pStyle w:val="TOC1"/>
            <w:tabs>
              <w:tab w:val="right" w:leader="dot" w:pos="9350"/>
            </w:tabs>
            <w:spacing w:line="360" w:lineRule="auto"/>
            <w:rPr>
              <w:rFonts w:asciiTheme="minorHAnsi" w:eastAsiaTheme="minorEastAsia" w:hAnsiTheme="minorHAnsi" w:cstheme="minorBidi"/>
              <w:noProof/>
              <w:kern w:val="2"/>
              <w:sz w:val="24"/>
              <w:szCs w:val="24"/>
              <w:lang w:val="en-US"/>
              <w14:ligatures w14:val="standardContextual"/>
            </w:rPr>
          </w:pPr>
          <w:hyperlink w:anchor="_Toc240735825" w:history="1">
            <w:r w:rsidR="00467B8E" w:rsidRPr="00266375">
              <w:rPr>
                <w:rStyle w:val="Hyperlink"/>
                <w:noProof/>
              </w:rPr>
              <w:t>5. Evidence-Based Lifestyle Recommendations</w:t>
            </w:r>
            <w:r w:rsidR="00467B8E">
              <w:rPr>
                <w:noProof/>
                <w:webHidden/>
              </w:rPr>
              <w:tab/>
            </w:r>
            <w:r w:rsidR="00467B8E">
              <w:rPr>
                <w:noProof/>
                <w:webHidden/>
              </w:rPr>
              <w:fldChar w:fldCharType="begin"/>
            </w:r>
            <w:r w:rsidR="00467B8E">
              <w:rPr>
                <w:noProof/>
                <w:webHidden/>
              </w:rPr>
              <w:instrText xml:space="preserve"> PAGEREF _Toc240735825 \h </w:instrText>
            </w:r>
            <w:r w:rsidR="00467B8E">
              <w:rPr>
                <w:noProof/>
                <w:webHidden/>
              </w:rPr>
            </w:r>
            <w:r w:rsidR="00467B8E">
              <w:rPr>
                <w:noProof/>
                <w:webHidden/>
              </w:rPr>
              <w:fldChar w:fldCharType="separate"/>
            </w:r>
            <w:r w:rsidR="00467B8E">
              <w:rPr>
                <w:noProof/>
                <w:webHidden/>
              </w:rPr>
              <w:t>6</w:t>
            </w:r>
            <w:r w:rsidR="00467B8E">
              <w:rPr>
                <w:noProof/>
                <w:webHidden/>
              </w:rPr>
              <w:fldChar w:fldCharType="end"/>
            </w:r>
          </w:hyperlink>
        </w:p>
        <w:p w14:paraId="06C07366" w14:textId="3CFE2E2E" w:rsidR="00467B8E" w:rsidRDefault="00C83BC4" w:rsidP="00467B8E">
          <w:pPr>
            <w:pStyle w:val="TOC1"/>
            <w:tabs>
              <w:tab w:val="right" w:leader="dot" w:pos="9350"/>
            </w:tabs>
            <w:spacing w:line="360" w:lineRule="auto"/>
            <w:rPr>
              <w:rFonts w:asciiTheme="minorHAnsi" w:eastAsiaTheme="minorEastAsia" w:hAnsiTheme="minorHAnsi" w:cstheme="minorBidi"/>
              <w:noProof/>
              <w:kern w:val="2"/>
              <w:sz w:val="24"/>
              <w:szCs w:val="24"/>
              <w:lang w:val="en-US"/>
              <w14:ligatures w14:val="standardContextual"/>
            </w:rPr>
          </w:pPr>
          <w:hyperlink w:anchor="_Toc240735826" w:history="1">
            <w:r w:rsidR="00467B8E" w:rsidRPr="00266375">
              <w:rPr>
                <w:rStyle w:val="Hyperlink"/>
                <w:noProof/>
              </w:rPr>
              <w:t>6. Conclusion</w:t>
            </w:r>
            <w:r w:rsidR="00467B8E">
              <w:rPr>
                <w:noProof/>
                <w:webHidden/>
              </w:rPr>
              <w:tab/>
            </w:r>
            <w:r w:rsidR="00467B8E">
              <w:rPr>
                <w:noProof/>
                <w:webHidden/>
              </w:rPr>
              <w:fldChar w:fldCharType="begin"/>
            </w:r>
            <w:r w:rsidR="00467B8E">
              <w:rPr>
                <w:noProof/>
                <w:webHidden/>
              </w:rPr>
              <w:instrText xml:space="preserve"> PAGEREF _Toc240735826 \h </w:instrText>
            </w:r>
            <w:r w:rsidR="00467B8E">
              <w:rPr>
                <w:noProof/>
                <w:webHidden/>
              </w:rPr>
            </w:r>
            <w:r w:rsidR="00467B8E">
              <w:rPr>
                <w:noProof/>
                <w:webHidden/>
              </w:rPr>
              <w:fldChar w:fldCharType="separate"/>
            </w:r>
            <w:r w:rsidR="00467B8E">
              <w:rPr>
                <w:noProof/>
                <w:webHidden/>
              </w:rPr>
              <w:t>7</w:t>
            </w:r>
            <w:r w:rsidR="00467B8E">
              <w:rPr>
                <w:noProof/>
                <w:webHidden/>
              </w:rPr>
              <w:fldChar w:fldCharType="end"/>
            </w:r>
          </w:hyperlink>
        </w:p>
        <w:p w14:paraId="2017CDDF" w14:textId="3C7A5D5D" w:rsidR="00467B8E" w:rsidRDefault="00C83BC4" w:rsidP="00467B8E">
          <w:pPr>
            <w:pStyle w:val="TOC1"/>
            <w:tabs>
              <w:tab w:val="right" w:leader="dot" w:pos="9350"/>
            </w:tabs>
            <w:spacing w:line="360" w:lineRule="auto"/>
            <w:rPr>
              <w:rFonts w:asciiTheme="minorHAnsi" w:eastAsiaTheme="minorEastAsia" w:hAnsiTheme="minorHAnsi" w:cstheme="minorBidi"/>
              <w:noProof/>
              <w:kern w:val="2"/>
              <w:sz w:val="24"/>
              <w:szCs w:val="24"/>
              <w:lang w:val="en-US"/>
              <w14:ligatures w14:val="standardContextual"/>
            </w:rPr>
          </w:pPr>
          <w:hyperlink w:anchor="_Toc240735827" w:history="1">
            <w:r w:rsidR="00467B8E" w:rsidRPr="00266375">
              <w:rPr>
                <w:rStyle w:val="Hyperlink"/>
                <w:noProof/>
              </w:rPr>
              <w:t>References</w:t>
            </w:r>
            <w:r w:rsidR="00467B8E">
              <w:rPr>
                <w:noProof/>
                <w:webHidden/>
              </w:rPr>
              <w:tab/>
            </w:r>
            <w:r w:rsidR="00467B8E">
              <w:rPr>
                <w:noProof/>
                <w:webHidden/>
              </w:rPr>
              <w:fldChar w:fldCharType="begin"/>
            </w:r>
            <w:r w:rsidR="00467B8E">
              <w:rPr>
                <w:noProof/>
                <w:webHidden/>
              </w:rPr>
              <w:instrText xml:space="preserve"> PAGEREF _Toc240735827 \h </w:instrText>
            </w:r>
            <w:r w:rsidR="00467B8E">
              <w:rPr>
                <w:noProof/>
                <w:webHidden/>
              </w:rPr>
            </w:r>
            <w:r w:rsidR="00467B8E">
              <w:rPr>
                <w:noProof/>
                <w:webHidden/>
              </w:rPr>
              <w:fldChar w:fldCharType="separate"/>
            </w:r>
            <w:r w:rsidR="00467B8E">
              <w:rPr>
                <w:noProof/>
                <w:webHidden/>
              </w:rPr>
              <w:t>8</w:t>
            </w:r>
            <w:r w:rsidR="00467B8E">
              <w:rPr>
                <w:noProof/>
                <w:webHidden/>
              </w:rPr>
              <w:fldChar w:fldCharType="end"/>
            </w:r>
          </w:hyperlink>
        </w:p>
        <w:p w14:paraId="3CE12636" w14:textId="4C41B83B" w:rsidR="00A104CE" w:rsidRDefault="00D94566" w:rsidP="00467B8E">
          <w:pPr>
            <w:spacing w:line="360" w:lineRule="auto"/>
          </w:pPr>
          <w:r>
            <w:fldChar w:fldCharType="end"/>
          </w:r>
        </w:p>
      </w:sdtContent>
    </w:sdt>
    <w:p w14:paraId="2483C899" w14:textId="77777777" w:rsidR="00A104CE" w:rsidRDefault="00A104CE" w:rsidP="00467B8E">
      <w:pPr>
        <w:spacing w:line="360" w:lineRule="auto"/>
        <w:jc w:val="center"/>
        <w:rPr>
          <w:b/>
          <w:bCs/>
          <w:sz w:val="28"/>
          <w:szCs w:val="28"/>
        </w:rPr>
      </w:pPr>
    </w:p>
    <w:p w14:paraId="6EB36D65" w14:textId="77777777" w:rsidR="00A104CE" w:rsidRDefault="00D94566">
      <w:pPr>
        <w:spacing w:line="360" w:lineRule="auto"/>
        <w:jc w:val="center"/>
        <w:rPr>
          <w:b/>
          <w:bCs/>
          <w:sz w:val="28"/>
          <w:szCs w:val="28"/>
        </w:rPr>
      </w:pPr>
      <w:r>
        <w:br w:type="page"/>
      </w:r>
    </w:p>
    <w:p w14:paraId="7478B765" w14:textId="77777777" w:rsidR="00A104CE" w:rsidRDefault="00D94566">
      <w:pPr>
        <w:pStyle w:val="Heading1"/>
      </w:pPr>
      <w:bookmarkStart w:id="0" w:name="_Toc240735821"/>
      <w:r>
        <w:lastRenderedPageBreak/>
        <w:t>1. Introduction: Diabetes and Risk Factors</w:t>
      </w:r>
      <w:bookmarkEnd w:id="0"/>
    </w:p>
    <w:p w14:paraId="562099B2" w14:textId="77777777" w:rsidR="00A104CE" w:rsidRDefault="00D94566">
      <w:pPr>
        <w:spacing w:line="360" w:lineRule="auto"/>
        <w:jc w:val="both"/>
      </w:pPr>
      <w:r>
        <w:t xml:space="preserve">Diabetes mellitus is a metabolic disease, which is typified by a constant </w:t>
      </w:r>
      <w:proofErr w:type="spellStart"/>
      <w:r>
        <w:t>hyperglycaemia</w:t>
      </w:r>
      <w:proofErr w:type="spellEnd"/>
      <w:r>
        <w:t xml:space="preserve"> that arises due to either insulin secretion, insulin action or both. Type 1 diabetes is an indication of autoimmune destruction of pancreatic β-cells, whereas Type 2 diabetes is caused by gradual 2-cell dysfunction that occurs due to insulin resistance; gestational diabetes is initially identified during pregnancy (American Diabetes Association Professional Practice Committee, 2024). Type 2 diabetes is particularly applicable in a local GP surgery since patients are often presented with interactive modifiable and non-modifiable risks that need to be prevented, monitored and helped to sustain </w:t>
      </w:r>
      <w:proofErr w:type="spellStart"/>
      <w:r>
        <w:t>behaviour</w:t>
      </w:r>
      <w:proofErr w:type="spellEnd"/>
      <w:r>
        <w:t>.</w:t>
      </w:r>
    </w:p>
    <w:p w14:paraId="3BB5332E" w14:textId="77777777" w:rsidR="00A104CE" w:rsidRDefault="00D94566">
      <w:pPr>
        <w:spacing w:line="360" w:lineRule="auto"/>
        <w:jc w:val="both"/>
      </w:pPr>
      <w:r>
        <w:t xml:space="preserve">Nothing could be done about age, family history and genetic predisposition, but excess adiposity, physical inactivity, low-quality diet and smoking can exacerbate the metabolic dysfunction. The problem of central adiposity augments the circulation of fatty acids and swelling </w:t>
      </w:r>
      <w:proofErr w:type="spellStart"/>
      <w:r>
        <w:t>signalling</w:t>
      </w:r>
      <w:proofErr w:type="spellEnd"/>
      <w:r>
        <w:t xml:space="preserve">, diminishing insulin responsiveness in skeletal muscle and liver; inactivity inhibits muscular glucose clearance, whereas energy-rich diets or recurrent postprandial glucose increases weight, together with enhancing muscle glucose clearance. Smoking brings about vascular and inflammatory stress to an already high cardiometabolic risk profile. They do not work independently but have an interaction with genetic, epigenetic, inflammatory, and microbiome mechanisms (Singh et al., 2024). Thus, GP-based management should </w:t>
      </w:r>
      <w:proofErr w:type="spellStart"/>
      <w:r>
        <w:t>recognise</w:t>
      </w:r>
      <w:proofErr w:type="spellEnd"/>
      <w:r>
        <w:t xml:space="preserve"> lifestyle risks at an early stage and convert them into </w:t>
      </w:r>
      <w:proofErr w:type="spellStart"/>
      <w:r>
        <w:t>individualised</w:t>
      </w:r>
      <w:proofErr w:type="spellEnd"/>
      <w:r>
        <w:t xml:space="preserve"> and realistic interventions that can decrease the occurrence of insulin resistance and complications in the long-term in primary care.</w:t>
      </w:r>
    </w:p>
    <w:p w14:paraId="31794CAB" w14:textId="77777777" w:rsidR="00A104CE" w:rsidRDefault="00D94566">
      <w:pPr>
        <w:pStyle w:val="Heading1"/>
      </w:pPr>
      <w:bookmarkStart w:id="1" w:name="_Toc240735822"/>
      <w:r>
        <w:t>2. Physiological Regulation of Blood Sugar Levels</w:t>
      </w:r>
      <w:bookmarkEnd w:id="1"/>
    </w:p>
    <w:p w14:paraId="157F179D" w14:textId="77777777" w:rsidR="00A104CE" w:rsidRDefault="00D94566">
      <w:pPr>
        <w:spacing w:line="360" w:lineRule="auto"/>
        <w:jc w:val="both"/>
      </w:pPr>
      <w:r>
        <w:t xml:space="preserve">The maintenance of blood glucose is achieved through the coordinated actions of sensing, secretion of hormones and body reactions. The rise in the level of circulating glucose occurs after digestion of carbohydrates and intestinal absorption and elevates the glucose uptake and the metabolism of β-cells in the pancreas. The resulting upsurge in the intracellular ATP/ADP ratio stimulates the electrical and calcium-sensitive actions leading to insulin release, and glucagon liberation in α-cells is inhibited (Reed, Bain and </w:t>
      </w:r>
      <w:proofErr w:type="spellStart"/>
      <w:r>
        <w:t>Kanamarlapudi</w:t>
      </w:r>
      <w:proofErr w:type="spellEnd"/>
      <w:r>
        <w:t>, 2024). Insulin will then be circulated in the body and will bind to receptors of the target tissues, and the glucose will be stored and used efficiently instead of in the pancreas itself. Gut-derived incretins also enhance meal-stimulated insulin secretion, further linking gastrointestinal and pancreatic physiology to each other.</w:t>
      </w:r>
    </w:p>
    <w:p w14:paraId="47B98D32" w14:textId="77777777" w:rsidR="00A104CE" w:rsidRDefault="00D94566">
      <w:pPr>
        <w:spacing w:line="360" w:lineRule="auto"/>
        <w:jc w:val="both"/>
      </w:pPr>
      <w:r>
        <w:lastRenderedPageBreak/>
        <w:t xml:space="preserve">Translocation of GLUT4 transporters to the cell membrane and enhanced glucose uptake in skeletal muscle and adipose tissue can be facilitated by insulin </w:t>
      </w:r>
      <w:proofErr w:type="spellStart"/>
      <w:r>
        <w:t>signalling</w:t>
      </w:r>
      <w:proofErr w:type="spellEnd"/>
      <w:r>
        <w:t xml:space="preserve">. Glucose may be </w:t>
      </w:r>
      <w:proofErr w:type="spellStart"/>
      <w:r>
        <w:t>oxidised</w:t>
      </w:r>
      <w:proofErr w:type="spellEnd"/>
      <w:r>
        <w:t xml:space="preserve"> to ATP in muscle, or stored as glycogen; or may be stored as energy in insulin-</w:t>
      </w:r>
      <w:proofErr w:type="spellStart"/>
      <w:r>
        <w:t>favoured</w:t>
      </w:r>
      <w:proofErr w:type="spellEnd"/>
      <w:r>
        <w:t xml:space="preserve"> energy stores in adipose tissue. At the same time, insulin decreases the glucose production of the liver, stimulating the glycogen synthesis process and inhibiting the processes of glycogenolysis and gluconeogenesis. During fasting, as the level of blood glucose decreases, the level of insulin secretion decreases, and the action of glucagon becomes comparatively stronger. The action of glucagon on the liver is mainly to trigger the degradation of glycogen and the synthesis of new glucose to restore the glucose levels in the blood (Lee, Park and Choi, 2022). The processes are reciprocal, which completes a negative-feedback system which connects the pancreas, the liver, the muscle and adipose tissue to maintain a </w:t>
      </w:r>
      <w:proofErr w:type="spellStart"/>
      <w:r>
        <w:t>euglycaemic</w:t>
      </w:r>
      <w:proofErr w:type="spellEnd"/>
      <w:r>
        <w:t xml:space="preserve"> state between meals and post-feeding.</w:t>
      </w:r>
    </w:p>
    <w:p w14:paraId="346A829E" w14:textId="77777777" w:rsidR="00A104CE" w:rsidRDefault="00D94566">
      <w:pPr>
        <w:spacing w:line="360" w:lineRule="auto"/>
        <w:jc w:val="both"/>
      </w:pPr>
      <w:r>
        <w:t xml:space="preserve">Failure of this network gradually results in type 2 diabetes. Insulin-resistant muscle uptakes less glucose, the liver may not be sufficiently suppressed and will still </w:t>
      </w:r>
      <w:proofErr w:type="spellStart"/>
      <w:r>
        <w:t>synthesise</w:t>
      </w:r>
      <w:proofErr w:type="spellEnd"/>
      <w:r>
        <w:t xml:space="preserve"> glucose, fatty-acid delivery and inflammatory </w:t>
      </w:r>
      <w:proofErr w:type="spellStart"/>
      <w:r>
        <w:t>signalling</w:t>
      </w:r>
      <w:proofErr w:type="spellEnd"/>
      <w:r>
        <w:t xml:space="preserve"> may be increased (which in turn may be worsened by chronic metabolic demand, oxidative stress and inflammation), eventually leading to insufficiency of compensation by compensatory secretion (Dludla et al., 2023). Continuous </w:t>
      </w:r>
      <w:proofErr w:type="spellStart"/>
      <w:r>
        <w:t>hyperglycaemia</w:t>
      </w:r>
      <w:proofErr w:type="spellEnd"/>
      <w:r>
        <w:t xml:space="preserve"> is thus a manifestation of integrative endocrine and multi-organ dysfunction, and that explains why a combination of enhancing insulin sensitivity and lowering excessive hepatic glucose production and stress on β-cells should be effectively employed in treatment.</w:t>
      </w:r>
    </w:p>
    <w:p w14:paraId="7521BDDD" w14:textId="77777777" w:rsidR="00A104CE" w:rsidRDefault="00D94566">
      <w:pPr>
        <w:pStyle w:val="Heading1"/>
      </w:pPr>
      <w:bookmarkStart w:id="2" w:name="_Toc240735823"/>
      <w:r>
        <w:t>3. Cellular Metabolism: Glucose, Oxygen and Energy Production</w:t>
      </w:r>
      <w:bookmarkEnd w:id="2"/>
    </w:p>
    <w:p w14:paraId="2A7DB8A7" w14:textId="77777777" w:rsidR="00A104CE" w:rsidRDefault="00D94566">
      <w:pPr>
        <w:spacing w:line="360" w:lineRule="auto"/>
        <w:jc w:val="both"/>
      </w:pPr>
      <w:r>
        <w:t xml:space="preserve">The digestive, respiratory and cardiovascular systems are required to function well together to bring about cellular energy production. The carbohydrate present in the diet is broken down further to glucose, which enters the bloodstream. Oxygen is gained via the exchange of gases carried out by the lungs and delivered by the blood to the tissues. Once the glucose is placed in the responding cells, assisted by insulin, the six-carbon glucose molecule is changed into two molecules of pyruvate by the cytosolic glycolysis process, leading to the production of a small amount of ATP and reduction of electron carriers. It is then carried into mitochondria via the mitochondrial pyruvate carrier and </w:t>
      </w:r>
      <w:proofErr w:type="spellStart"/>
      <w:r>
        <w:t>metabolised</w:t>
      </w:r>
      <w:proofErr w:type="spellEnd"/>
      <w:r>
        <w:t xml:space="preserve"> into acetyl-CoA, linking cytosolic glycolysis with mitochondrial oxidation (</w:t>
      </w:r>
      <w:proofErr w:type="spellStart"/>
      <w:r>
        <w:t>Yiew</w:t>
      </w:r>
      <w:proofErr w:type="spellEnd"/>
      <w:r>
        <w:t xml:space="preserve"> and </w:t>
      </w:r>
      <w:proofErr w:type="spellStart"/>
      <w:r>
        <w:t>Finck</w:t>
      </w:r>
      <w:proofErr w:type="spellEnd"/>
      <w:r>
        <w:t xml:space="preserve">, 2022). The acetyl-CoA goes into the tricarboxylic acid (or Krebs) cycle within the matrix of the mitochondrion. Its carbon is </w:t>
      </w:r>
      <w:proofErr w:type="spellStart"/>
      <w:r>
        <w:t>oxidised</w:t>
      </w:r>
      <w:proofErr w:type="spellEnd"/>
      <w:r>
        <w:t xml:space="preserve"> in a series of enzyme-controlled reactions, and carbon dioxide is released, and energy is stored in NADH and FADH2 instead of being stored directly as ATP (Arnold and Finley, 2023). These reduced electron </w:t>
      </w:r>
      <w:r>
        <w:lastRenderedPageBreak/>
        <w:t xml:space="preserve">carriers donate high-energy electrons to the respiratory chain. Proton pumping across the membrane by electron flow across the respiratory complexes underpins the generation of an electrochemical gradient across the membrane (Kohler et al., 2023). The protons proceed back through ATP synthase and cause ADP phosphorylation to ATP. Oxygen is also needed since it accepts electrons towards the end of the chain and is used with Hydrogen to create water, so that sustained oxidative phosphorylation cannot be maintained efficiently in the absence of sufficiently available oxygen. </w:t>
      </w:r>
    </w:p>
    <w:p w14:paraId="3421B1C4" w14:textId="77777777" w:rsidR="00A104CE" w:rsidRDefault="00D94566">
      <w:pPr>
        <w:spacing w:line="360" w:lineRule="auto"/>
        <w:jc w:val="both"/>
      </w:pPr>
      <w:r>
        <w:t>Mitochondria thus transform chemical energy generated by glucose into ATP, which facilitates membrane transport, biosynthesis, muscle contraction and other physiological activities of the cell (Harrington et al., 2023). The lungs provide oxygen, the circulatory system distributes oxygen and glucose, pancreatic hormones control the availability of glucose, and mitochondria complete the production of ATP, functionally. Energy homeostasis therefore depends on the coordinated functioning of multiple body systems rather than on an isolated metabolic pathway.</w:t>
      </w:r>
    </w:p>
    <w:p w14:paraId="0BAD708B" w14:textId="77777777" w:rsidR="00A104CE" w:rsidRDefault="00D94566">
      <w:pPr>
        <w:pStyle w:val="Heading1"/>
      </w:pPr>
      <w:bookmarkStart w:id="3" w:name="_Toc240735824"/>
      <w:r>
        <w:t>4. Recording and Tracking Blood Sugar Levels in Type 2 Diabetes</w:t>
      </w:r>
      <w:bookmarkEnd w:id="3"/>
    </w:p>
    <w:p w14:paraId="17C32ACA" w14:textId="77777777" w:rsidR="00A104CE" w:rsidRDefault="00D94566">
      <w:pPr>
        <w:spacing w:line="360" w:lineRule="auto"/>
        <w:jc w:val="both"/>
      </w:pPr>
      <w:r>
        <w:t xml:space="preserve">The measurement of blood sugar levels transforms isolated biochemical measurements into longitudinal measurements, which are clinically significant. HbA1c indicates mean </w:t>
      </w:r>
      <w:proofErr w:type="spellStart"/>
      <w:r>
        <w:t>glycaemic</w:t>
      </w:r>
      <w:proofErr w:type="spellEnd"/>
      <w:r>
        <w:t xml:space="preserve"> exposure in the past few months, but capillary self-monitoring and continuous glucose monitoring (CGM) give more up-to-date measures of changes. Currently, NICE prescribes </w:t>
      </w:r>
      <w:proofErr w:type="spellStart"/>
      <w:r>
        <w:t>individualised</w:t>
      </w:r>
      <w:proofErr w:type="spellEnd"/>
      <w:r>
        <w:t xml:space="preserve"> HbA1c levels and regular testing for each adult with Type 2 diabetes, but routine capillary testing should be considered only in the case of insulin administration or the risk of </w:t>
      </w:r>
      <w:proofErr w:type="spellStart"/>
      <w:r>
        <w:t>hypoglycaemia</w:t>
      </w:r>
      <w:proofErr w:type="spellEnd"/>
      <w:r>
        <w:t xml:space="preserve"> (National Institute for Health and Care Excellence [NICE], 2026). This difference helps to ensure that monitoring does not turn into a process of data collection in the absence of a definite clinical indication and stimulates testing to be aligned with therapeutic necessity.</w:t>
      </w:r>
    </w:p>
    <w:p w14:paraId="354D33E4" w14:textId="77777777" w:rsidR="00A104CE" w:rsidRDefault="00D94566">
      <w:pPr>
        <w:spacing w:line="360" w:lineRule="auto"/>
        <w:jc w:val="both"/>
      </w:pPr>
      <w:r>
        <w:t xml:space="preserve">Sequential Glucose profiles may demonstrate repetitive </w:t>
      </w:r>
      <w:proofErr w:type="spellStart"/>
      <w:r>
        <w:t>hyperglycaemia</w:t>
      </w:r>
      <w:proofErr w:type="spellEnd"/>
      <w:r>
        <w:t xml:space="preserve">, </w:t>
      </w:r>
      <w:proofErr w:type="spellStart"/>
      <w:r>
        <w:t>hypoglycaemia</w:t>
      </w:r>
      <w:proofErr w:type="spellEnd"/>
      <w:r>
        <w:t xml:space="preserve">, post-prandial variations and medication, physical activity, sickness or diet alterations. A systematic review identified an association between CGM and higher HbA1c decrease as well as more time in range and less time out of range than self-monitoring or standard care, but patient-reported outcome improvements were less definite (Tan et al., 2024). Another meta-analysis also found significant enhancement in </w:t>
      </w:r>
      <w:proofErr w:type="spellStart"/>
      <w:r>
        <w:t>glycaemic</w:t>
      </w:r>
      <w:proofErr w:type="spellEnd"/>
      <w:r>
        <w:t xml:space="preserve"> control using CGM in Type 2 diabetes (Kong and Cho, 2024). These results suggest the use of monitoring as a decision-making tool and not the goal by itself.</w:t>
      </w:r>
    </w:p>
    <w:p w14:paraId="6DCC879E" w14:textId="77777777" w:rsidR="00A104CE" w:rsidRDefault="00D94566">
      <w:pPr>
        <w:spacing w:line="360" w:lineRule="auto"/>
        <w:jc w:val="both"/>
      </w:pPr>
      <w:r>
        <w:t xml:space="preserve">In interpretation is the value of the patient to the practice nurse and the patient. Trends have the potential of leading medication review, support effective change of lifestyle, </w:t>
      </w:r>
      <w:proofErr w:type="spellStart"/>
      <w:r>
        <w:t>recognise</w:t>
      </w:r>
      <w:proofErr w:type="spellEnd"/>
      <w:r>
        <w:t xml:space="preserve"> unsafe </w:t>
      </w:r>
      <w:r>
        <w:lastRenderedPageBreak/>
        <w:t>patterns of glucose and enhance shared care planning. Nevertheless, technology does not simply boost the results; patients should be educated to read and take action. Appropriate monitoring thus involves a combination of valid physiological and clinical judgement and capability by a patient, which is directly connected to the safety of self-management in the long term through routine health information.</w:t>
      </w:r>
    </w:p>
    <w:p w14:paraId="5A7BB7C6" w14:textId="77777777" w:rsidR="00A104CE" w:rsidRDefault="00D94566">
      <w:pPr>
        <w:pStyle w:val="Heading1"/>
      </w:pPr>
      <w:bookmarkStart w:id="4" w:name="_Toc240735825"/>
      <w:r>
        <w:t>5. Evidence-Based Lifestyle Recommendations</w:t>
      </w:r>
      <w:bookmarkEnd w:id="4"/>
    </w:p>
    <w:p w14:paraId="57461F0A" w14:textId="77777777" w:rsidR="00A104CE" w:rsidRDefault="00D94566">
      <w:pPr>
        <w:spacing w:line="360" w:lineRule="auto"/>
        <w:jc w:val="both"/>
      </w:pPr>
      <w:r>
        <w:t xml:space="preserve">The lifestyle changes play a role in the management of Type 2 diabetes since dietary </w:t>
      </w:r>
      <w:proofErr w:type="spellStart"/>
      <w:r>
        <w:t>behaviour</w:t>
      </w:r>
      <w:proofErr w:type="spellEnd"/>
      <w:r>
        <w:t xml:space="preserve">, amount of physical activity, combined with smoking, may determine the level of </w:t>
      </w:r>
      <w:proofErr w:type="spellStart"/>
      <w:r>
        <w:t>glycaemic</w:t>
      </w:r>
      <w:proofErr w:type="spellEnd"/>
      <w:r>
        <w:t xml:space="preserve"> control and the predisposition towards complications of diabetes. The advice should hence be on the sustainable changes to be integrated into day-to-day life. These changes must be discussed with the patient by a nurse, and reasonable actions should be agreed that can be followed by the patient within their daily routine.</w:t>
      </w:r>
    </w:p>
    <w:p w14:paraId="3821A2FE" w14:textId="77777777" w:rsidR="00A104CE" w:rsidRDefault="00D94566">
      <w:pPr>
        <w:spacing w:line="360" w:lineRule="auto"/>
        <w:jc w:val="both"/>
      </w:pPr>
      <w:r>
        <w:t xml:space="preserve">Dietary change shall be geared towards eating patterns and adequate food choices that are nutritionally balanced. A meta-analysis of </w:t>
      </w:r>
      <w:proofErr w:type="spellStart"/>
      <w:r>
        <w:t>randomised</w:t>
      </w:r>
      <w:proofErr w:type="spellEnd"/>
      <w:r>
        <w:t xml:space="preserve"> controlled studies and systematic review of evidence suggests that vegetarian eating habits have the potential to lower HbA1c and body mass index in adults with Type 2 diabetes, which could help them be considered in nutrition care strategies (Guest et al., 2024). An example of things that the nurse would recommend to the patient includes eating vegetables or a salad with her meals, eating whole-grain carbs like brown rice or whole-grain bread, and eating plant-based sources of protein like beans, lentils or tofu. The patient was also able to pre-plan the food she eats, and she was able to slowly, over time, substitute the less nutritious foods with those that are healthier. Eating habits should be in line with the respective nutritional needs and be of a consistent nature, rather than being a temporary restriction.</w:t>
      </w:r>
    </w:p>
    <w:p w14:paraId="7D76B460" w14:textId="77777777" w:rsidR="00A104CE" w:rsidRDefault="00D94566">
      <w:pPr>
        <w:spacing w:line="360" w:lineRule="auto"/>
        <w:jc w:val="both"/>
      </w:pPr>
      <w:r>
        <w:t>Exercise must be part of diabetes management. Other suitable kinds of exercise, like walking, can help to control glycaemia. A meta-analysis and systematic review revealed that walking reduced fasting blood glucose and HbA1c relative to control groups (Dhali et al., 2023). It may be suggested that a nurse will prescribe normal walking at a pace the patient can manage, starting with less time per session (where 5-10 minutes may be the limit), then adding more gradually as the patient can handle. The exercises that can be introduced in everyday life include walking, so that exercise does not seem a temporary measure.</w:t>
      </w:r>
    </w:p>
    <w:p w14:paraId="4DF2B95D" w14:textId="77777777" w:rsidR="00A104CE" w:rsidRDefault="00D94566">
      <w:pPr>
        <w:spacing w:line="360" w:lineRule="auto"/>
        <w:jc w:val="both"/>
      </w:pPr>
      <w:r>
        <w:t>Another critical lifestyle factor that should be promoted is smoking cessation since smoking may pose some risks to the health of diabetic patients. It has been shown that this can be enhanced by using structured smoking cessation support that may enhance quit rates. Three- or four-</w:t>
      </w:r>
      <w:r>
        <w:lastRenderedPageBreak/>
        <w:t xml:space="preserve">session interventions/programs longer than 20 minutes were more likely to be linked with smoking cessation success (Grech, Norman and Sammut, 2023). The nurse is to talk about the patient's smoking habit, help the patient </w:t>
      </w:r>
      <w:proofErr w:type="spellStart"/>
      <w:r>
        <w:t>recognise</w:t>
      </w:r>
      <w:proofErr w:type="spellEnd"/>
      <w:r>
        <w:t xml:space="preserve"> triggers that prompt them to start smoking, make a realistic quit program and insist that the patient undergo regular </w:t>
      </w:r>
      <w:proofErr w:type="spellStart"/>
      <w:r>
        <w:t>behavioural</w:t>
      </w:r>
      <w:proofErr w:type="spellEnd"/>
      <w:r>
        <w:t xml:space="preserve"> support group sessions.</w:t>
      </w:r>
    </w:p>
    <w:p w14:paraId="73BE139A" w14:textId="77777777" w:rsidR="00A104CE" w:rsidRDefault="00D94566">
      <w:pPr>
        <w:spacing w:line="360" w:lineRule="auto"/>
        <w:jc w:val="both"/>
      </w:pPr>
      <w:r>
        <w:t>In general, lifestyle management would encompass improved nutrition, physical exercise and quitting smoking. The nurse ought to assist the patient to transform these recommendations into his or her daily concrete steps that are feasible, lasting and embedded as a part of continuous diabetes care.</w:t>
      </w:r>
    </w:p>
    <w:p w14:paraId="5E02ED96" w14:textId="77777777" w:rsidR="00A104CE" w:rsidRDefault="00D94566">
      <w:pPr>
        <w:pStyle w:val="Heading1"/>
      </w:pPr>
      <w:bookmarkStart w:id="5" w:name="_Toc240735826"/>
      <w:r>
        <w:t>6. Conclusion</w:t>
      </w:r>
      <w:bookmarkEnd w:id="5"/>
    </w:p>
    <w:p w14:paraId="31616A09" w14:textId="77777777" w:rsidR="00A104CE" w:rsidRDefault="00D94566">
      <w:pPr>
        <w:spacing w:line="360" w:lineRule="auto"/>
        <w:jc w:val="both"/>
      </w:pPr>
      <w:r>
        <w:t xml:space="preserve">Type 2 diabetes starts to form when homeostasis is disrupted by insulin resistance and β-cell dysfunction, and the body is unable to maintain sugar levels as they should. Insulin and glucagon work in unison to regulate the storage and uptake of glucose and production in the hepatic region, as well as the cellular respiration processes glucose and oxygen to produce ATP for the body. The tracking of HbA1c and proper everyday glucose trends help patients and clinicians to identify </w:t>
      </w:r>
      <w:proofErr w:type="spellStart"/>
      <w:r>
        <w:t>dysglycaemia</w:t>
      </w:r>
      <w:proofErr w:type="spellEnd"/>
      <w:r>
        <w:t xml:space="preserve">, assess treatment effects and modify care in a safe way. With the </w:t>
      </w:r>
      <w:proofErr w:type="spellStart"/>
      <w:r>
        <w:t>individualisation</w:t>
      </w:r>
      <w:proofErr w:type="spellEnd"/>
      <w:r>
        <w:t xml:space="preserve"> of situation, diet, physical activity, stopping smoking and broadening the lifestyle </w:t>
      </w:r>
      <w:proofErr w:type="spellStart"/>
      <w:r>
        <w:t>behaviour</w:t>
      </w:r>
      <w:proofErr w:type="spellEnd"/>
      <w:r>
        <w:t xml:space="preserve"> can enhance the management of </w:t>
      </w:r>
      <w:proofErr w:type="spellStart"/>
      <w:r>
        <w:t>glycaemic</w:t>
      </w:r>
      <w:proofErr w:type="spellEnd"/>
      <w:r>
        <w:t xml:space="preserve"> control and mitigate the risks. Empowering physiological knowledge, meaningful routine data and sustainable patient-</w:t>
      </w:r>
      <w:proofErr w:type="spellStart"/>
      <w:r>
        <w:t>centred</w:t>
      </w:r>
      <w:proofErr w:type="spellEnd"/>
      <w:r>
        <w:t xml:space="preserve"> </w:t>
      </w:r>
      <w:proofErr w:type="spellStart"/>
      <w:r>
        <w:t>behaviour</w:t>
      </w:r>
      <w:proofErr w:type="spellEnd"/>
      <w:r>
        <w:t xml:space="preserve"> change is therefore the key to improving management.</w:t>
      </w:r>
    </w:p>
    <w:p w14:paraId="012DAD3F" w14:textId="77777777" w:rsidR="00A104CE" w:rsidRDefault="00D94566">
      <w:pPr>
        <w:spacing w:line="360" w:lineRule="auto"/>
        <w:jc w:val="both"/>
        <w:rPr>
          <w:sz w:val="24"/>
          <w:szCs w:val="24"/>
        </w:rPr>
      </w:pPr>
      <w:r>
        <w:br w:type="page"/>
      </w:r>
    </w:p>
    <w:p w14:paraId="505BF26C" w14:textId="77777777" w:rsidR="00A104CE" w:rsidRDefault="00D94566">
      <w:pPr>
        <w:pStyle w:val="Heading1"/>
        <w:spacing w:before="480"/>
      </w:pPr>
      <w:bookmarkStart w:id="6" w:name="_Toc240735827"/>
      <w:r>
        <w:lastRenderedPageBreak/>
        <w:t>References</w:t>
      </w:r>
      <w:bookmarkEnd w:id="6"/>
    </w:p>
    <w:p w14:paraId="726FFD56" w14:textId="77777777" w:rsidR="00A104CE" w:rsidRDefault="00D94566">
      <w:pPr>
        <w:spacing w:before="240" w:after="240" w:line="360" w:lineRule="auto"/>
        <w:jc w:val="both"/>
        <w:rPr>
          <w:u w:val="single"/>
        </w:rPr>
      </w:pPr>
      <w:r>
        <w:t xml:space="preserve">American Diabetes Association Professional Practice Committee (2024) ‘2. Diagnosis and classification of diabetes: Standards of Care in Diabetes—2024’, </w:t>
      </w:r>
      <w:r>
        <w:rPr>
          <w:i/>
          <w:iCs/>
        </w:rPr>
        <w:t>Diabetes Care</w:t>
      </w:r>
      <w:r>
        <w:t>, 47(Suppl. 1), pp. S20–S42. Available at:</w:t>
      </w:r>
      <w:hyperlink r:id="rId7">
        <w:r>
          <w:t xml:space="preserve"> </w:t>
        </w:r>
      </w:hyperlink>
      <w:hyperlink r:id="rId8">
        <w:r>
          <w:rPr>
            <w:u w:val="single"/>
          </w:rPr>
          <w:t>https://doi.org/10.2337/dc24-S002</w:t>
        </w:r>
      </w:hyperlink>
    </w:p>
    <w:p w14:paraId="4D56CB52" w14:textId="77777777" w:rsidR="00A104CE" w:rsidRDefault="00D94566">
      <w:pPr>
        <w:spacing w:before="240" w:after="240" w:line="360" w:lineRule="auto"/>
        <w:jc w:val="both"/>
        <w:rPr>
          <w:u w:val="single"/>
        </w:rPr>
      </w:pPr>
      <w:r>
        <w:t xml:space="preserve">Arnold, P.K. and Finley, L.W.S. (2023) ‘Regulation and function of the mammalian tricarboxylic acid cycle’, </w:t>
      </w:r>
      <w:r>
        <w:rPr>
          <w:i/>
          <w:iCs/>
        </w:rPr>
        <w:t>Journal of Biological Chemistry</w:t>
      </w:r>
      <w:r>
        <w:t>, 299(2), article 102838. Available at:</w:t>
      </w:r>
      <w:hyperlink r:id="rId9">
        <w:r>
          <w:t xml:space="preserve"> </w:t>
        </w:r>
      </w:hyperlink>
      <w:hyperlink r:id="rId10">
        <w:r>
          <w:rPr>
            <w:u w:val="single"/>
          </w:rPr>
          <w:t>https://doi.org/10.1016/j.jbc.2022.102838</w:t>
        </w:r>
      </w:hyperlink>
    </w:p>
    <w:p w14:paraId="15C2E507" w14:textId="77777777" w:rsidR="00A104CE" w:rsidRDefault="00D94566">
      <w:pPr>
        <w:spacing w:before="240" w:after="240" w:line="360" w:lineRule="auto"/>
        <w:jc w:val="both"/>
      </w:pPr>
      <w:r>
        <w:t xml:space="preserve">Dludla, P.V., Mabhida, S.E., Ziqubu, K., Nkambule, B.B., Mazibuko-Mbeje, S.E., Hanser, S., Basson, A.K., Pheiffer, C. and Kengne, A.P. (2023) ‘Pancreatic β-cell dysfunction in type 2 diabetes: implications of inflammation and oxidative stress’, </w:t>
      </w:r>
      <w:r>
        <w:rPr>
          <w:i/>
          <w:iCs/>
        </w:rPr>
        <w:t>World Journal of Diabetes</w:t>
      </w:r>
      <w:r>
        <w:t xml:space="preserve">, 14(3), pp. 130–146. Available at: </w:t>
      </w:r>
      <w:hyperlink r:id="rId11">
        <w:r>
          <w:rPr>
            <w:u w:val="single"/>
          </w:rPr>
          <w:t>https://doi.org/10.4239/wjd.v14.i3.130</w:t>
        </w:r>
      </w:hyperlink>
      <w:r>
        <w:t xml:space="preserve"> </w:t>
      </w:r>
    </w:p>
    <w:p w14:paraId="70D90805" w14:textId="77777777" w:rsidR="00A104CE" w:rsidRDefault="00D94566">
      <w:pPr>
        <w:spacing w:before="240" w:after="240" w:line="360" w:lineRule="auto"/>
        <w:jc w:val="both"/>
      </w:pPr>
      <w:r>
        <w:t xml:space="preserve">Harrington, J.S., </w:t>
      </w:r>
      <w:proofErr w:type="spellStart"/>
      <w:r>
        <w:t>Ryter</w:t>
      </w:r>
      <w:proofErr w:type="spellEnd"/>
      <w:r>
        <w:t xml:space="preserve">, S.W., </w:t>
      </w:r>
      <w:proofErr w:type="spellStart"/>
      <w:r>
        <w:t>Plataki</w:t>
      </w:r>
      <w:proofErr w:type="spellEnd"/>
      <w:r>
        <w:t xml:space="preserve">, M., Price, D.R. and Choi, A.M.K. (2023) ‘Mitochondria in health, disease, and aging’, </w:t>
      </w:r>
      <w:r>
        <w:rPr>
          <w:i/>
          <w:iCs/>
        </w:rPr>
        <w:t>Physiological Reviews</w:t>
      </w:r>
      <w:r>
        <w:t xml:space="preserve">, 103(4), pp. 2349–2422. Available at: </w:t>
      </w:r>
      <w:hyperlink r:id="rId12">
        <w:r>
          <w:rPr>
            <w:u w:val="single"/>
          </w:rPr>
          <w:t>https://doi.org/10.1152/physrev.00058.2021</w:t>
        </w:r>
      </w:hyperlink>
      <w:r>
        <w:t xml:space="preserve"> </w:t>
      </w:r>
    </w:p>
    <w:p w14:paraId="511596C9" w14:textId="77777777" w:rsidR="00A104CE" w:rsidRDefault="00D94566">
      <w:pPr>
        <w:spacing w:before="240" w:after="240" w:line="360" w:lineRule="auto"/>
        <w:jc w:val="both"/>
        <w:rPr>
          <w:u w:val="single"/>
        </w:rPr>
      </w:pPr>
      <w:r>
        <w:t xml:space="preserve">Kohler, A., Barrientos, A., </w:t>
      </w:r>
      <w:proofErr w:type="spellStart"/>
      <w:r>
        <w:t>Fontanesi</w:t>
      </w:r>
      <w:proofErr w:type="spellEnd"/>
      <w:r>
        <w:t xml:space="preserve">, F. and Ott, M. (2023) ‘The functional significance of mitochondrial respiratory chain </w:t>
      </w:r>
      <w:proofErr w:type="spellStart"/>
      <w:r>
        <w:t>supercomplexes</w:t>
      </w:r>
      <w:proofErr w:type="spellEnd"/>
      <w:r>
        <w:t xml:space="preserve">’, </w:t>
      </w:r>
      <w:r>
        <w:rPr>
          <w:i/>
          <w:iCs/>
        </w:rPr>
        <w:t>EMBO Reports</w:t>
      </w:r>
      <w:r>
        <w:t>, 24(11), article e57092. Available at:</w:t>
      </w:r>
      <w:hyperlink r:id="rId13">
        <w:r>
          <w:t xml:space="preserve"> </w:t>
        </w:r>
      </w:hyperlink>
      <w:hyperlink r:id="rId14">
        <w:r>
          <w:rPr>
            <w:u w:val="single"/>
          </w:rPr>
          <w:t>https://doi.org/10.15252/embr.202357092</w:t>
        </w:r>
      </w:hyperlink>
    </w:p>
    <w:p w14:paraId="4446774F" w14:textId="77777777" w:rsidR="00A104CE" w:rsidRDefault="00D94566">
      <w:pPr>
        <w:spacing w:before="240" w:after="240" w:line="360" w:lineRule="auto"/>
        <w:jc w:val="both"/>
      </w:pPr>
      <w:r>
        <w:t xml:space="preserve">Kong, S-Y. and Cho, M-K. (2024) ‘Effects of continuous glucose monitoring on glycemic control in type 2 diabetes: a systematic review and meta-analysis’, </w:t>
      </w:r>
      <w:r>
        <w:rPr>
          <w:i/>
          <w:iCs/>
        </w:rPr>
        <w:t>Healthcare</w:t>
      </w:r>
      <w:r>
        <w:t xml:space="preserve">, 12(5), article 571. Available at: </w:t>
      </w:r>
      <w:hyperlink r:id="rId15">
        <w:r>
          <w:rPr>
            <w:u w:val="single"/>
          </w:rPr>
          <w:t>https://doi.org/10.3390/healthcare12050571</w:t>
        </w:r>
      </w:hyperlink>
      <w:r>
        <w:t xml:space="preserve"> </w:t>
      </w:r>
    </w:p>
    <w:p w14:paraId="5E5BE6D1" w14:textId="77777777" w:rsidR="00A104CE" w:rsidRDefault="00D94566">
      <w:pPr>
        <w:spacing w:before="240" w:after="240" w:line="360" w:lineRule="auto"/>
        <w:jc w:val="both"/>
      </w:pPr>
      <w:r>
        <w:t xml:space="preserve">Lee, S-H., Park, S-Y. and Choi, C.S. (2022) ‘Insulin resistance: from mechanisms to therapeutic strategies’, </w:t>
      </w:r>
      <w:r>
        <w:rPr>
          <w:i/>
          <w:iCs/>
        </w:rPr>
        <w:t>Diabetes &amp; Metabolism Journal</w:t>
      </w:r>
      <w:r>
        <w:t xml:space="preserve">, 46(1), pp. 15–37. Available at: </w:t>
      </w:r>
      <w:hyperlink r:id="rId16">
        <w:r>
          <w:rPr>
            <w:u w:val="single"/>
          </w:rPr>
          <w:t>https://doi.org/10.4093/dmj.2021.0280</w:t>
        </w:r>
      </w:hyperlink>
      <w:r>
        <w:t xml:space="preserve"> </w:t>
      </w:r>
    </w:p>
    <w:p w14:paraId="06B2C6F5" w14:textId="77777777" w:rsidR="00A104CE" w:rsidRDefault="00D94566">
      <w:pPr>
        <w:spacing w:before="240" w:after="240" w:line="360" w:lineRule="auto"/>
        <w:jc w:val="both"/>
      </w:pPr>
      <w:r>
        <w:t xml:space="preserve">National Institute for Health and Care Excellence [NICE] (2026) </w:t>
      </w:r>
      <w:r>
        <w:rPr>
          <w:i/>
          <w:iCs/>
        </w:rPr>
        <w:t>Type 2 diabetes in adults: management</w:t>
      </w:r>
      <w:r>
        <w:t>. NG28. Available at:</w:t>
      </w:r>
      <w:hyperlink r:id="rId17">
        <w:r>
          <w:t xml:space="preserve"> </w:t>
        </w:r>
      </w:hyperlink>
      <w:hyperlink r:id="rId18">
        <w:r>
          <w:rPr>
            <w:u w:val="single"/>
          </w:rPr>
          <w:t>https://www.nice.org.uk/guidance/ng28/chapter/Blood-glucose-management</w:t>
        </w:r>
      </w:hyperlink>
      <w:r>
        <w:t xml:space="preserve">  (Accessed: 19 September 2026).</w:t>
      </w:r>
    </w:p>
    <w:p w14:paraId="13874F1E" w14:textId="77777777" w:rsidR="00A104CE" w:rsidRDefault="00D94566">
      <w:pPr>
        <w:spacing w:before="240" w:after="240" w:line="360" w:lineRule="auto"/>
        <w:jc w:val="both"/>
      </w:pPr>
      <w:r>
        <w:lastRenderedPageBreak/>
        <w:t xml:space="preserve">Reed, J., Bain, S.C. and </w:t>
      </w:r>
      <w:proofErr w:type="spellStart"/>
      <w:r>
        <w:t>Kanamarlapudi</w:t>
      </w:r>
      <w:proofErr w:type="spellEnd"/>
      <w:r>
        <w:t xml:space="preserve">, V. (2024) ‘The regulation of metabolic homeostasis by incretins and the metabolic hormones produced by pancreatic islets’, </w:t>
      </w:r>
      <w:r>
        <w:rPr>
          <w:i/>
          <w:iCs/>
        </w:rPr>
        <w:t>Diabetes, Metabolic Syndrome and Obesity</w:t>
      </w:r>
      <w:r>
        <w:t xml:space="preserve">, 17, pp. 2419–2456. Available at: </w:t>
      </w:r>
      <w:hyperlink r:id="rId19">
        <w:r>
          <w:rPr>
            <w:u w:val="single"/>
          </w:rPr>
          <w:t>https://doi.org/10.2147/DMSO.S415934</w:t>
        </w:r>
      </w:hyperlink>
      <w:r>
        <w:t xml:space="preserve"> </w:t>
      </w:r>
    </w:p>
    <w:p w14:paraId="48F2E885" w14:textId="77777777" w:rsidR="00A104CE" w:rsidRDefault="00D94566">
      <w:pPr>
        <w:spacing w:before="240" w:after="240" w:line="360" w:lineRule="auto"/>
        <w:jc w:val="both"/>
      </w:pPr>
      <w:r>
        <w:t xml:space="preserve">Singh, S., Kriti, M., Anamika, K.S., Sarma, D.K., Verma, V., Nagpal, R., </w:t>
      </w:r>
      <w:proofErr w:type="spellStart"/>
      <w:r>
        <w:t>Mohania</w:t>
      </w:r>
      <w:proofErr w:type="spellEnd"/>
      <w:r>
        <w:t xml:space="preserve">, D., Tiwari, R. and Kumar, M. (2024) ‘Deciphering the complex interplay of risk factors in type 2 diabetes mellitus: a comprehensive review’, </w:t>
      </w:r>
      <w:r>
        <w:rPr>
          <w:i/>
          <w:iCs/>
        </w:rPr>
        <w:t>Metabolism Open</w:t>
      </w:r>
      <w:r>
        <w:t xml:space="preserve">, 22, article 100287. Available at: </w:t>
      </w:r>
      <w:hyperlink r:id="rId20">
        <w:r>
          <w:rPr>
            <w:u w:val="single"/>
          </w:rPr>
          <w:t>https://doi.org/10.1016/j.metop.2024.100287</w:t>
        </w:r>
      </w:hyperlink>
      <w:r>
        <w:t xml:space="preserve"> </w:t>
      </w:r>
    </w:p>
    <w:p w14:paraId="29CF201E" w14:textId="77777777" w:rsidR="00A104CE" w:rsidRDefault="00D94566">
      <w:pPr>
        <w:spacing w:before="240" w:after="240" w:line="360" w:lineRule="auto"/>
        <w:jc w:val="both"/>
        <w:rPr>
          <w:u w:val="single"/>
        </w:rPr>
      </w:pPr>
      <w:r>
        <w:t xml:space="preserve">Tan, Y.Y., Suan, E., Koh, G.C.H., </w:t>
      </w:r>
      <w:proofErr w:type="spellStart"/>
      <w:r>
        <w:t>Suhairi</w:t>
      </w:r>
      <w:proofErr w:type="spellEnd"/>
      <w:r>
        <w:t xml:space="preserve">, S.B. and Tyagi, S. (2024) ‘Effectiveness of continuous glucose monitoring in patient management of type 2 diabetes mellitus: an umbrella review of systematic reviews from 2011 to 2024’, </w:t>
      </w:r>
      <w:r>
        <w:rPr>
          <w:i/>
          <w:iCs/>
        </w:rPr>
        <w:t>Archives of Public Health</w:t>
      </w:r>
      <w:r>
        <w:t>, 82, article 231. Available at:</w:t>
      </w:r>
      <w:hyperlink r:id="rId21">
        <w:r>
          <w:t xml:space="preserve"> </w:t>
        </w:r>
      </w:hyperlink>
      <w:hyperlink r:id="rId22">
        <w:r>
          <w:rPr>
            <w:u w:val="single"/>
          </w:rPr>
          <w:t>https://doi.org/10.1186/s13690-024-01459-2</w:t>
        </w:r>
      </w:hyperlink>
    </w:p>
    <w:p w14:paraId="0A0FE4A9" w14:textId="77777777" w:rsidR="00A104CE" w:rsidRDefault="00D94566">
      <w:pPr>
        <w:spacing w:before="240" w:after="240" w:line="360" w:lineRule="auto"/>
        <w:jc w:val="both"/>
      </w:pPr>
      <w:proofErr w:type="spellStart"/>
      <w:r>
        <w:t>Yiew</w:t>
      </w:r>
      <w:proofErr w:type="spellEnd"/>
      <w:r>
        <w:t xml:space="preserve">, N.K.H. and </w:t>
      </w:r>
      <w:proofErr w:type="spellStart"/>
      <w:r>
        <w:t>Finck</w:t>
      </w:r>
      <w:proofErr w:type="spellEnd"/>
      <w:r>
        <w:t xml:space="preserve">, B.N. (2022) ‘The mitochondrial pyruvate carrier at the crossroads of intermediary metabolism’, </w:t>
      </w:r>
      <w:r>
        <w:rPr>
          <w:i/>
          <w:iCs/>
        </w:rPr>
        <w:t>American Journal of Physiology-Endocrinology and Metabolism</w:t>
      </w:r>
      <w:r>
        <w:t xml:space="preserve">, 323(1), pp. E33–E52. Available at: </w:t>
      </w:r>
      <w:hyperlink r:id="rId23">
        <w:r>
          <w:rPr>
            <w:u w:val="single"/>
          </w:rPr>
          <w:t>https://doi.org/10.1152/ajpendo.00074.2022</w:t>
        </w:r>
      </w:hyperlink>
      <w:r>
        <w:t xml:space="preserve"> </w:t>
      </w:r>
    </w:p>
    <w:p w14:paraId="1EC3DEFE" w14:textId="77777777" w:rsidR="00A104CE" w:rsidRDefault="00D94566">
      <w:pPr>
        <w:spacing w:before="240" w:after="240" w:line="360" w:lineRule="auto"/>
        <w:jc w:val="both"/>
      </w:pPr>
      <w:r>
        <w:t xml:space="preserve">Dhali, B., Chatterjee, S., Das, S.S. and D Cruz, M. (2023) ‘Effect of Yoga and Walking on Glycemic Control for the Management of Type 2 Diabetes: A Systematic Review and Meta-analysis’, </w:t>
      </w:r>
      <w:r>
        <w:rPr>
          <w:i/>
          <w:iCs/>
        </w:rPr>
        <w:t>Journal of the ASEAN Federation of Endocrine Societies</w:t>
      </w:r>
      <w:r>
        <w:t xml:space="preserve">, 38(2), pp. 113-122. Available at: </w:t>
      </w:r>
      <w:hyperlink r:id="rId24">
        <w:r>
          <w:rPr>
            <w:u w:val="single"/>
          </w:rPr>
          <w:t>https://doi.org/10.15605/jafes.038.02.20</w:t>
        </w:r>
      </w:hyperlink>
      <w:r>
        <w:t xml:space="preserve">  </w:t>
      </w:r>
    </w:p>
    <w:p w14:paraId="5B4E8792" w14:textId="77777777" w:rsidR="00A104CE" w:rsidRDefault="00D94566">
      <w:pPr>
        <w:spacing w:before="240" w:after="240" w:line="360" w:lineRule="auto"/>
        <w:jc w:val="both"/>
      </w:pPr>
      <w:r>
        <w:t xml:space="preserve">Grech, J., Norman, I.J. and Sammut, R. (2023) ‘Effectiveness of intensive stand-alone smoking cessation interventions for individuals with diabetes: A systematic review and intervention component analysis’, </w:t>
      </w:r>
      <w:r>
        <w:rPr>
          <w:i/>
          <w:iCs/>
        </w:rPr>
        <w:t>Tobacco Induced Diseases</w:t>
      </w:r>
      <w:r>
        <w:t>, 21, article 57. Available at:</w:t>
      </w:r>
      <w:hyperlink r:id="rId25">
        <w:r>
          <w:t xml:space="preserve"> </w:t>
        </w:r>
      </w:hyperlink>
      <w:hyperlink r:id="rId26">
        <w:r>
          <w:rPr>
            <w:u w:val="single"/>
          </w:rPr>
          <w:t>https://doi.org/10.18332/tid/162329</w:t>
        </w:r>
      </w:hyperlink>
      <w:r>
        <w:t xml:space="preserve"> </w:t>
      </w:r>
    </w:p>
    <w:p w14:paraId="6EB3C8F3" w14:textId="77777777" w:rsidR="00A104CE" w:rsidRDefault="00D94566">
      <w:pPr>
        <w:spacing w:before="240" w:after="240" w:line="360" w:lineRule="auto"/>
        <w:jc w:val="both"/>
      </w:pPr>
      <w:r>
        <w:t xml:space="preserve">Guest, N.S., Raj, S., Landry, M.J., Mangels, A.R., Pawlak, R., Senkus, K.E., Handu, D. and Rozga, M. (2024) ‘Vegetarian and Vegan Dietary Patterns to Treat Adult Type 2 Diabetes: A Systematic Review and Meta-Analysis of Randomized Controlled Trials’, </w:t>
      </w:r>
      <w:r>
        <w:rPr>
          <w:i/>
          <w:iCs/>
        </w:rPr>
        <w:t>Advances in Nutrition</w:t>
      </w:r>
      <w:r>
        <w:t>, 15(10), article 100294. Available at:</w:t>
      </w:r>
      <w:hyperlink r:id="rId27">
        <w:r>
          <w:t xml:space="preserve"> </w:t>
        </w:r>
      </w:hyperlink>
      <w:hyperlink r:id="rId28">
        <w:r>
          <w:rPr>
            <w:u w:val="single"/>
          </w:rPr>
          <w:t>https://doi.org/10.1016/j.advnut.2024.100294</w:t>
        </w:r>
      </w:hyperlink>
    </w:p>
    <w:p w14:paraId="0230F51D" w14:textId="77777777" w:rsidR="00A104CE" w:rsidRDefault="00A104CE">
      <w:pPr>
        <w:spacing w:before="240" w:after="240" w:line="360" w:lineRule="auto"/>
        <w:jc w:val="both"/>
      </w:pPr>
    </w:p>
    <w:p w14:paraId="2B37FD21" w14:textId="77777777" w:rsidR="00A104CE" w:rsidRDefault="00A104CE">
      <w:pPr>
        <w:spacing w:line="360" w:lineRule="auto"/>
        <w:rPr>
          <w:b/>
          <w:bCs/>
          <w:sz w:val="28"/>
          <w:szCs w:val="28"/>
        </w:rPr>
      </w:pPr>
    </w:p>
    <w:sectPr w:rsidR="00A104CE" w:rsidSect="00467B8E">
      <w:headerReference w:type="default" r:id="rId29"/>
      <w:footerReference w:type="default" r:id="rId3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B8B4D5" w14:textId="77777777" w:rsidR="00C83BC4" w:rsidRDefault="00C83BC4">
      <w:pPr>
        <w:spacing w:line="240" w:lineRule="auto"/>
      </w:pPr>
      <w:r>
        <w:separator/>
      </w:r>
    </w:p>
  </w:endnote>
  <w:endnote w:type="continuationSeparator" w:id="0">
    <w:p w14:paraId="4ED34BC1" w14:textId="77777777" w:rsidR="00C83BC4" w:rsidRDefault="00C83B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CE4A455-8A69-47BF-998C-249E3B897358}"/>
  </w:font>
  <w:font w:name="Cambria">
    <w:panose1 w:val="02040503050406030204"/>
    <w:charset w:val="00"/>
    <w:family w:val="roman"/>
    <w:pitch w:val="variable"/>
    <w:sig w:usb0="E00006FF" w:usb1="420024FF" w:usb2="02000000" w:usb3="00000000" w:csb0="0000019F" w:csb1="00000000"/>
    <w:embedRegular r:id="rId2" w:fontKey="{EA7736FD-C212-4FF6-BFA6-ED6F4684E40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DEB8CF" w14:textId="77777777" w:rsidR="00A104CE" w:rsidRDefault="00D94566">
    <w:pPr>
      <w:pBdr>
        <w:top w:val="nil"/>
        <w:left w:val="nil"/>
        <w:bottom w:val="nil"/>
        <w:right w:val="nil"/>
        <w:between w:val="nil"/>
      </w:pBdr>
      <w:tabs>
        <w:tab w:val="center" w:pos="4513"/>
        <w:tab w:val="right" w:pos="9026"/>
      </w:tabs>
      <w:spacing w:line="240" w:lineRule="auto"/>
      <w:jc w:val="right"/>
      <w:rPr>
        <w:color w:val="000000"/>
      </w:rPr>
    </w:pPr>
    <w:r>
      <w:rPr>
        <w:color w:val="000000"/>
        <w:sz w:val="20"/>
        <w:szCs w:val="20"/>
      </w:rPr>
      <w:t xml:space="preserve">Page </w:t>
    </w:r>
    <w:r>
      <w:rPr>
        <w:color w:val="000000"/>
        <w:sz w:val="20"/>
        <w:szCs w:val="20"/>
      </w:rPr>
      <w:fldChar w:fldCharType="begin"/>
    </w:r>
    <w:r>
      <w:rPr>
        <w:color w:val="000000"/>
        <w:sz w:val="20"/>
        <w:szCs w:val="20"/>
      </w:rPr>
      <w:instrText>PAGE</w:instrText>
    </w:r>
    <w:r>
      <w:rPr>
        <w:color w:val="000000"/>
        <w:sz w:val="20"/>
        <w:szCs w:val="20"/>
      </w:rPr>
      <w:fldChar w:fldCharType="separate"/>
    </w:r>
    <w:r w:rsidR="00467B8E">
      <w:rPr>
        <w:noProof/>
        <w:color w:val="000000"/>
        <w:sz w:val="20"/>
        <w:szCs w:val="20"/>
      </w:rPr>
      <w:t>1</w:t>
    </w:r>
    <w:r>
      <w:rPr>
        <w:color w:val="000000"/>
        <w:sz w:val="20"/>
        <w:szCs w:val="20"/>
      </w:rPr>
      <w:fldChar w:fldCharType="end"/>
    </w:r>
    <w:r>
      <w:rPr>
        <w:color w:val="000000"/>
        <w:sz w:val="20"/>
        <w:szCs w:val="20"/>
      </w:rPr>
      <w:t xml:space="preserve"> of </w:t>
    </w:r>
    <w:r>
      <w:rPr>
        <w:color w:val="000000"/>
        <w:sz w:val="20"/>
        <w:szCs w:val="20"/>
      </w:rPr>
      <w:fldChar w:fldCharType="begin"/>
    </w:r>
    <w:r>
      <w:rPr>
        <w:color w:val="000000"/>
        <w:sz w:val="20"/>
        <w:szCs w:val="20"/>
      </w:rPr>
      <w:instrText>NUMPAGES</w:instrText>
    </w:r>
    <w:r>
      <w:rPr>
        <w:color w:val="000000"/>
        <w:sz w:val="20"/>
        <w:szCs w:val="20"/>
      </w:rPr>
      <w:fldChar w:fldCharType="separate"/>
    </w:r>
    <w:r w:rsidR="00467B8E">
      <w:rPr>
        <w:noProof/>
        <w:color w:val="000000"/>
        <w:sz w:val="20"/>
        <w:szCs w:val="20"/>
      </w:rPr>
      <w:t>2</w:t>
    </w:r>
    <w:r>
      <w:rPr>
        <w:color w:val="000000"/>
        <w:sz w:val="20"/>
        <w:szCs w:val="20"/>
      </w:rPr>
      <w:fldChar w:fldCharType="end"/>
    </w:r>
  </w:p>
  <w:p w14:paraId="0564916E" w14:textId="77777777" w:rsidR="00A104CE" w:rsidRDefault="00A104C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74366" w14:textId="77777777" w:rsidR="00C83BC4" w:rsidRDefault="00C83BC4">
      <w:pPr>
        <w:spacing w:line="240" w:lineRule="auto"/>
      </w:pPr>
      <w:r>
        <w:separator/>
      </w:r>
    </w:p>
  </w:footnote>
  <w:footnote w:type="continuationSeparator" w:id="0">
    <w:p w14:paraId="3A550C6D" w14:textId="77777777" w:rsidR="00C83BC4" w:rsidRDefault="00C83BC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458B2" w14:textId="77777777" w:rsidR="00A104CE" w:rsidRDefault="00D94566">
    <w:r>
      <w:rPr>
        <w:noProof/>
      </w:rPr>
      <w:drawing>
        <wp:anchor distT="114300" distB="114300" distL="114300" distR="114300" simplePos="0" relativeHeight="251658240" behindDoc="0" locked="0" layoutInCell="1" hidden="0" allowOverlap="1" wp14:anchorId="7DBD5914" wp14:editId="463D7805">
          <wp:simplePos x="0" y="0"/>
          <wp:positionH relativeFrom="column">
            <wp:posOffset>-485775</wp:posOffset>
          </wp:positionH>
          <wp:positionV relativeFrom="paragraph">
            <wp:posOffset>-28575</wp:posOffset>
          </wp:positionV>
          <wp:extent cx="1476375" cy="447675"/>
          <wp:effectExtent l="0" t="0" r="9525" b="9525"/>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476375" cy="447675"/>
                  </a:xfrm>
                  <a:prstGeom prst="rect">
                    <a:avLst/>
                  </a:prstGeom>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04CE"/>
    <w:rsid w:val="0018255A"/>
    <w:rsid w:val="003163CD"/>
    <w:rsid w:val="00467B8E"/>
    <w:rsid w:val="00A104CE"/>
    <w:rsid w:val="00A4236C"/>
    <w:rsid w:val="00C720B3"/>
    <w:rsid w:val="00C83BC4"/>
    <w:rsid w:val="00D45E9C"/>
    <w:rsid w:val="00D945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51DAF"/>
  <w15:docId w15:val="{607A10EF-F0BB-4AEC-8344-9D7857369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6621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B66214"/>
    <w:pPr>
      <w:spacing w:after="100"/>
    </w:pPr>
  </w:style>
  <w:style w:type="character" w:styleId="Hyperlink">
    <w:name w:val="Hyperlink"/>
    <w:basedOn w:val="DefaultParagraphFont"/>
    <w:uiPriority w:val="99"/>
    <w:unhideWhenUsed/>
    <w:rsid w:val="00B66214"/>
    <w:rPr>
      <w:color w:val="0000FF" w:themeColor="hyperlink"/>
      <w:u w:val="single"/>
    </w:rPr>
  </w:style>
  <w:style w:type="paragraph" w:styleId="Header">
    <w:name w:val="header"/>
    <w:basedOn w:val="Normal"/>
    <w:link w:val="HeaderChar"/>
    <w:uiPriority w:val="99"/>
    <w:unhideWhenUsed/>
    <w:rsid w:val="00B66214"/>
    <w:pPr>
      <w:tabs>
        <w:tab w:val="center" w:pos="4513"/>
        <w:tab w:val="right" w:pos="9026"/>
      </w:tabs>
      <w:spacing w:line="240" w:lineRule="auto"/>
    </w:pPr>
  </w:style>
  <w:style w:type="character" w:customStyle="1" w:styleId="HeaderChar">
    <w:name w:val="Header Char"/>
    <w:basedOn w:val="DefaultParagraphFont"/>
    <w:link w:val="Header"/>
    <w:uiPriority w:val="99"/>
    <w:rsid w:val="00B66214"/>
  </w:style>
  <w:style w:type="paragraph" w:styleId="Footer">
    <w:name w:val="footer"/>
    <w:basedOn w:val="Normal"/>
    <w:link w:val="FooterChar"/>
    <w:uiPriority w:val="99"/>
    <w:unhideWhenUsed/>
    <w:rsid w:val="00B66214"/>
    <w:pPr>
      <w:tabs>
        <w:tab w:val="center" w:pos="4513"/>
        <w:tab w:val="right" w:pos="9026"/>
      </w:tabs>
      <w:spacing w:line="240" w:lineRule="auto"/>
    </w:pPr>
  </w:style>
  <w:style w:type="character" w:customStyle="1" w:styleId="FooterChar">
    <w:name w:val="Footer Char"/>
    <w:basedOn w:val="DefaultParagraphFont"/>
    <w:link w:val="Footer"/>
    <w:uiPriority w:val="99"/>
    <w:rsid w:val="00B66214"/>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37/dc24-S002" TargetMode="External"/><Relationship Id="rId13" Type="http://schemas.openxmlformats.org/officeDocument/2006/relationships/hyperlink" Target="https://doi.org/10.15252/embr.202357092?utm_source=chatgpt.com" TargetMode="External"/><Relationship Id="rId18" Type="http://schemas.openxmlformats.org/officeDocument/2006/relationships/hyperlink" Target="https://www.nice.org.uk/guidance/ng28/chapter/Blood-glucose-management" TargetMode="External"/><Relationship Id="rId26" Type="http://schemas.openxmlformats.org/officeDocument/2006/relationships/hyperlink" Target="https://doi.org/10.18332/tid/162329" TargetMode="External"/><Relationship Id="rId3" Type="http://schemas.openxmlformats.org/officeDocument/2006/relationships/settings" Target="settings.xml"/><Relationship Id="rId21" Type="http://schemas.openxmlformats.org/officeDocument/2006/relationships/hyperlink" Target="https://doi.org/10.1186/s13690-024-01459-2" TargetMode="External"/><Relationship Id="rId7" Type="http://schemas.openxmlformats.org/officeDocument/2006/relationships/hyperlink" Target="https://doi.org/10.2337/dc24-S002" TargetMode="External"/><Relationship Id="rId12" Type="http://schemas.openxmlformats.org/officeDocument/2006/relationships/hyperlink" Target="https://doi.org/10.1152/physrev.00058.2021" TargetMode="External"/><Relationship Id="rId17" Type="http://schemas.openxmlformats.org/officeDocument/2006/relationships/hyperlink" Target="https://www.nice.org.uk/guidance/ng28/chapter/Blood-glucose-management" TargetMode="External"/><Relationship Id="rId25" Type="http://schemas.openxmlformats.org/officeDocument/2006/relationships/hyperlink" Target="https://doi.org/10.18332/tid/162329" TargetMode="External"/><Relationship Id="rId2" Type="http://schemas.openxmlformats.org/officeDocument/2006/relationships/styles" Target="styles.xml"/><Relationship Id="rId16" Type="http://schemas.openxmlformats.org/officeDocument/2006/relationships/hyperlink" Target="https://doi.org/10.4093/dmj.2021.0280" TargetMode="External"/><Relationship Id="rId20" Type="http://schemas.openxmlformats.org/officeDocument/2006/relationships/hyperlink" Target="https://doi.org/10.1016/j.metop.2024.100287"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4239/wjd.v14.i3.130" TargetMode="External"/><Relationship Id="rId24" Type="http://schemas.openxmlformats.org/officeDocument/2006/relationships/hyperlink" Target="https://doi.org/10.15605/jafes.038.02.20"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3390/healthcare12050571" TargetMode="External"/><Relationship Id="rId23" Type="http://schemas.openxmlformats.org/officeDocument/2006/relationships/hyperlink" Target="https://doi.org/10.1152/ajpendo.00074.2022" TargetMode="External"/><Relationship Id="rId28" Type="http://schemas.openxmlformats.org/officeDocument/2006/relationships/hyperlink" Target="https://doi.org/10.1016/j.advnut.2024.100294" TargetMode="External"/><Relationship Id="rId10" Type="http://schemas.openxmlformats.org/officeDocument/2006/relationships/hyperlink" Target="https://doi.org/10.1016/j.jbc.2022.102838" TargetMode="External"/><Relationship Id="rId19" Type="http://schemas.openxmlformats.org/officeDocument/2006/relationships/hyperlink" Target="https://doi.org/10.2147/DMSO.S415934"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jbc.2022.102838" TargetMode="External"/><Relationship Id="rId14" Type="http://schemas.openxmlformats.org/officeDocument/2006/relationships/hyperlink" Target="https://doi.org/10.15252/embr.202357092?utm_source=chatgpt.com" TargetMode="External"/><Relationship Id="rId22" Type="http://schemas.openxmlformats.org/officeDocument/2006/relationships/hyperlink" Target="https://doi.org/10.1186/s13690-024-01459-2" TargetMode="External"/><Relationship Id="rId27" Type="http://schemas.openxmlformats.org/officeDocument/2006/relationships/hyperlink" Target="https://doi.org/10.1016/j.advnut.2024.100294"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5L0JVXyf/9aNUG7QA+Ij/mwd4w==">CgMxLjAyDmguZ3J2cXhtYWp5anN0Mg5oLjllOHRuazNqZXY2YzIOaC50bThtcW5idG5jZnYyDmgubGhqdnFiZTNrZHloMg5oLjZpamVia2R6bjFvMTIOaC4xbHIyOWs0aXY1eGQyDmguY3JmMHNuM3dnM3ZuOAByITF0VFJNUVRhYVJuamxteVJoNWtadVBwMWRkMUt4SjB6cA==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3085</Words>
  <Characters>16662</Characters>
  <Application>Microsoft Office Word</Application>
  <DocSecurity>0</DocSecurity>
  <Lines>138</Lines>
  <Paragraphs>39</Paragraphs>
  <ScaleCrop>false</ScaleCrop>
  <Company/>
  <LinksUpToDate>false</LinksUpToDate>
  <CharactersWithSpaces>19708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Catarina Ngunza</dc:creator>
  <cp:lastModifiedBy>Catarina Ngunza José</cp:lastModifiedBy>
  <cp:revision>4</cp:revision>
  <dcterms:created xsi:type="dcterms:W3CDTF">2026-10-25T11:39:00Z</dcterms:created>
  <dcterms:modified xsi:type="dcterms:W3CDTF">2026-10-25T11:49:00Z</dcterms:modified>
</cp:coreProperties>
</file>