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F143B" w:rsidP="286ADA62" w:rsidRDefault="00CF143B" w14:paraId="615E4005" w14:textId="3556F138">
      <w:pPr>
        <w:spacing w:line="360" w:lineRule="auto"/>
        <w:rPr>
          <w:rFonts w:ascii="Arial Nova" w:hAnsi="Arial Nova" w:eastAsia="Arial Nova" w:cs="Arial Nova"/>
          <w:sz w:val="22"/>
          <w:szCs w:val="22"/>
          <w:u w:val="single"/>
        </w:rPr>
      </w:pPr>
      <w:r w:rsidRPr="286ADA62" w:rsidR="00F03313">
        <w:rPr>
          <w:rFonts w:ascii="Arial Nova" w:hAnsi="Arial Nova" w:eastAsia="Arial Nova" w:cs="Arial Nova"/>
          <w:b w:val="1"/>
          <w:bCs w:val="1"/>
          <w:sz w:val="22"/>
          <w:szCs w:val="22"/>
          <w:u w:val="single"/>
        </w:rPr>
        <w:t>Component</w:t>
      </w:r>
      <w:r w:rsidRPr="286ADA62" w:rsidR="00F03313">
        <w:rPr>
          <w:rFonts w:ascii="Arial Nova" w:hAnsi="Arial Nova" w:eastAsia="Arial Nova" w:cs="Arial Nova"/>
          <w:b w:val="1"/>
          <w:bCs w:val="1"/>
          <w:sz w:val="22"/>
          <w:szCs w:val="22"/>
          <w:u w:val="single"/>
        </w:rPr>
        <w:t xml:space="preserve"> 2</w:t>
      </w:r>
      <w:r w:rsidRPr="286ADA62" w:rsidR="00F03313">
        <w:rPr>
          <w:rFonts w:ascii="Arial Nova" w:hAnsi="Arial Nova" w:eastAsia="Arial Nova" w:cs="Arial Nova"/>
          <w:b w:val="1"/>
          <w:bCs w:val="1"/>
          <w:sz w:val="22"/>
          <w:szCs w:val="22"/>
          <w:u w:val="single"/>
        </w:rPr>
        <w:t xml:space="preserve"> Written assignment </w:t>
      </w:r>
    </w:p>
    <w:p w:rsidR="00CF143B" w:rsidP="286ADA62" w:rsidRDefault="00CF143B" w14:paraId="56A40958" w14:textId="60E89247">
      <w:pPr>
        <w:spacing w:line="360" w:lineRule="auto"/>
        <w:rPr>
          <w:rFonts w:ascii="Arial Nova" w:hAnsi="Arial Nova" w:eastAsia="Arial Nova" w:cs="Arial Nova"/>
          <w:b w:val="1"/>
          <w:bCs w:val="1"/>
          <w:sz w:val="22"/>
          <w:szCs w:val="22"/>
          <w:u w:val="single"/>
        </w:rPr>
      </w:pPr>
      <w:r w:rsidRPr="286ADA62" w:rsidR="00F03313">
        <w:rPr>
          <w:rFonts w:ascii="Arial Nova" w:hAnsi="Arial Nova" w:eastAsia="Arial Nova" w:cs="Arial Nova"/>
          <w:b w:val="1"/>
          <w:bCs w:val="1"/>
          <w:sz w:val="22"/>
          <w:szCs w:val="22"/>
          <w:u w:val="single"/>
        </w:rPr>
        <w:t xml:space="preserve">Aysha Islam </w:t>
      </w:r>
      <w:r w:rsidRPr="286ADA62" w:rsidR="3652FC64">
        <w:rPr>
          <w:rFonts w:ascii="Arial Nova" w:hAnsi="Arial Nova" w:eastAsia="Arial Nova" w:cs="Arial Nova"/>
          <w:b w:val="1"/>
          <w:bCs w:val="1"/>
          <w:sz w:val="22"/>
          <w:szCs w:val="22"/>
          <w:u w:val="single"/>
        </w:rPr>
        <w:t>2413041</w:t>
      </w:r>
    </w:p>
    <w:p w:rsidR="00A950CC" w:rsidP="141F5598" w:rsidRDefault="00A950CC" w14:paraId="166084CE" w14:textId="61D18A32">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Person-centred care (PCC) and partnership working (PW) are essential components of modern Health and Social Care practice. This assignment will explore how PCC focuses on respecting and responding to the individual needs, preferences, and values of service users, ensuring they are at the heart of their care. At the same time, PW highlights the importance of collaboration between professionals, service users, and their families to provide coordinated and effective care. Understanding how these two elements work together is crucial for delivering high-quality care that promotes wellbeing and autonomy.</w:t>
      </w:r>
      <w:r w:rsidRPr="728B95BE" w:rsidR="00EC02EA">
        <w:rPr>
          <w:rFonts w:ascii="Arial Nova" w:hAnsi="Arial Nova" w:eastAsia="Arial Nova" w:cs="Arial Nova"/>
          <w:sz w:val="22"/>
          <w:szCs w:val="22"/>
        </w:rPr>
        <w:t xml:space="preserve"> </w:t>
      </w:r>
      <w:r w:rsidRPr="728B95BE">
        <w:rPr>
          <w:rFonts w:ascii="Arial Nova" w:hAnsi="Arial Nova" w:eastAsia="Arial Nova" w:cs="Arial Nova"/>
          <w:sz w:val="22"/>
          <w:szCs w:val="22"/>
        </w:rPr>
        <w:t>The evaluation of PCC involves examining how care is tailored to the individual, promoting dignity and empowerment. In contrast, PW is about fostering strong relationships and cooperation among all parties involved in care delivery. Together, PCC and PW create a framework where personalised care is supported by effective teamwork, leading to better health outcomes and more positive experiences for service users.</w:t>
      </w:r>
      <w:r w:rsidRPr="728B95BE" w:rsidR="00EC02EA">
        <w:rPr>
          <w:rFonts w:ascii="Arial Nova" w:hAnsi="Arial Nova" w:eastAsia="Arial Nova" w:cs="Arial Nova"/>
          <w:sz w:val="22"/>
          <w:szCs w:val="22"/>
        </w:rPr>
        <w:t xml:space="preserve"> </w:t>
      </w:r>
      <w:r w:rsidRPr="728B95BE">
        <w:rPr>
          <w:rFonts w:ascii="Arial Nova" w:hAnsi="Arial Nova" w:eastAsia="Arial Nova" w:cs="Arial Nova"/>
          <w:sz w:val="22"/>
          <w:szCs w:val="22"/>
        </w:rPr>
        <w:t>This assignment will also consider how PCC and PW are embedded within professional Health and Social Care policies and practice. Legislation such as the Care Act 2014 and strategic plans like the NHS Long Term Plan emphasize the need for personalised, integrated care delivered through partnership. These policies reflect a shift towards inclusive, collaborative models of care that recognise the value of involving service users and professionals in decision-making processes.By analysing the interaction between PCC and PW within policy and practice, this assignment aims to demonstrate how these approaches complement each other to improve care quality. It will also highlight the skills and attitudes required by professionals to implement these principles effectively, ensuring that care is both person-centred and collaboratively delivered.</w:t>
      </w:r>
    </w:p>
    <w:p w:rsidR="00A165DE" w:rsidP="141F5598" w:rsidRDefault="00A165DE" w14:paraId="37186F94" w14:textId="52F1172E">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Person-centred care (PCC) is an approach in health and social care that places the individual at the core of their own care, respecting their unique needs, preferences, values, and experiences (McCormack and McCance, 2017). It involves treating people as partners in their care, promoting autonomy, dignity, and empowerment, rather than focusing solely on their medical conditions or disabilities (Kitwood, 1997). The goal of PCC is to provide personalised care that enhances wellbeing and quality of life by acknowledging the whole person, including their social and emotional needs, not just their physical health (Santana et al., 2018).One of the main benefits of person-centred care is that it improves patient satisfaction and engagement. When individuals feel heard and respected, they are more likely to participate actively in their care, which can lead to better health outcomes (Morgan and Yoder, 2012). Furthermore, PCC can reduce feelings of isolation and anxiety by fostering supportive relationships between care providers and service users, which is particularly important in long-term care settings (Edvardsson et al., 2008). This approach also encourages holistic care, which considers mental, emotional, and social factors alongside physical health, leading to more comprehensive and effective support (McCormack and McCance, 2017).</w:t>
      </w:r>
      <w:r w:rsidRPr="728B95BE" w:rsidR="00394DD9">
        <w:rPr>
          <w:rFonts w:ascii="Arial Nova" w:hAnsi="Arial Nova" w:eastAsia="Arial Nova" w:cs="Arial Nova"/>
          <w:sz w:val="22"/>
          <w:szCs w:val="22"/>
        </w:rPr>
        <w:t xml:space="preserve"> </w:t>
      </w:r>
      <w:r w:rsidRPr="728B95BE">
        <w:rPr>
          <w:rFonts w:ascii="Arial Nova" w:hAnsi="Arial Nova" w:eastAsia="Arial Nova" w:cs="Arial Nova"/>
          <w:sz w:val="22"/>
          <w:szCs w:val="22"/>
        </w:rPr>
        <w:t>However, there are limitations to the implementation of person-centred care. One challenge is the variability in how PCC is understood and applied across different care settings and professionals, which can result in inconsistent experiences for service users (Santana et al., 2018). Additionally, resource constraints such as staffing shortages, time pressures, and limited training can hinder the ability of care providers to fully engage in person-centred practices (Morgan and Yoder, 2012). There is also the risk of placing too much responsibility on individuals who may not always be capable or willing to make decisions about their care, which requires a careful balance between autonomy and support (Edvardsson et al., 2008).In conclusion, person-centred care is a vital approach that enhances the quality of health and social care by focusing on the individual’s needs and preferences. While it offers significant benefits in terms of patient satisfaction and holistic care, challenges related to consistency and resource limitations must be addressed to maximise its effectiveness.</w:t>
      </w:r>
    </w:p>
    <w:p w:rsidR="00062E4A" w:rsidP="141F5598" w:rsidRDefault="00062E4A" w14:paraId="3CAD819C" w14:textId="7B2DF76B">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One of the most influential models underpinning person-centred care (PCC) is McCormack and McCance’s Person-Centred Nursing Framework (2017). This model emphasises the importance of understanding the individual as a whole person, not just focusing on their illness or condition, and it provides a structured approach to delivering care that respects patients’ values, preferences, and needs. The framework is built around four key constructs: prerequisites, the care environment, person-centred processes, and expected outcomes. Prerequisites relate to the attributes of the nurse or care provider, such as professional competence, interpersonal skills, and commitment to the person’s wellbeing. The care environment encompasses the context in which care is delivered, including organisational culture, teamwork, and support systems. Person-centred processes involve engaging with the individual through respectful relationships, shared decision-making, and holistic care. Finally, expected outcomes focus on achieving satisfaction, involvement, and wellbeing for both patients and staff (McCormack and McCance, 2017).</w:t>
      </w:r>
      <w:r w:rsidRPr="728B95BE" w:rsidR="00C244F3">
        <w:rPr>
          <w:rFonts w:ascii="Arial Nova" w:hAnsi="Arial Nova" w:eastAsia="Arial Nova" w:cs="Arial Nova"/>
          <w:sz w:val="22"/>
          <w:szCs w:val="22"/>
        </w:rPr>
        <w:t xml:space="preserve"> </w:t>
      </w:r>
      <w:r w:rsidRPr="728B95BE">
        <w:rPr>
          <w:rFonts w:ascii="Arial Nova" w:hAnsi="Arial Nova" w:eastAsia="Arial Nova" w:cs="Arial Nova"/>
          <w:sz w:val="22"/>
          <w:szCs w:val="22"/>
        </w:rPr>
        <w:t>Critically, this framework highlights the dynamic and relational nature of PCC, moving beyond a checklist approach to care towards a deeper engagement with the person’s lived experience. It recognises that care is not simply about performing tasks but about building meaningful connections that empower the individual. This aligns with Kitwood’s (1997) concept of personhood in dementia care, which stresses the importance of recognising the person behind the disease and promoting their dignity and identity. The model’s emphasis on the prerequisites of the nurse also addresses a common limitation in PCC implementation—variability in staff skills and attitudes. By identifying these attributes as foundational, the framework encourages ongoing professional development and reflective practice, which are vital for sustaining PCC (Morgan and Yoder, 2012).However, the framework is not without limitations. Its comprehensive nature can make practical application challenging in resource-constrained settings, where time pressures and staffing shortages may limit the ability to fully engage in person-centred processes (Santana et al., 2018). Additionally, while the model focuses on nursing, PCC is relevant across all health and social care professions, and the framework may need adaptation for wider interdisciplinary use. Despite these challenges, McCormack and McCance’s model remains a valuable tool for guiding PCC, providing both theoretical depth and practical guidance that can improve patient outcomes and staff satisfaction when effectively implemented.</w:t>
      </w:r>
    </w:p>
    <w:p w:rsidRPr="008C4FEA" w:rsidR="008C4FEA" w:rsidP="008C4FEA" w:rsidRDefault="008C4FEA" w14:paraId="46A95576" w14:textId="4648D4AE">
      <w:pPr>
        <w:spacing w:line="360" w:lineRule="auto"/>
        <w:rPr>
          <w:rFonts w:ascii="Arial Nova" w:hAnsi="Arial Nova" w:eastAsia="Arial Nova" w:cs="Arial Nova"/>
          <w:sz w:val="22"/>
          <w:szCs w:val="22"/>
        </w:rPr>
      </w:pPr>
      <w:r w:rsidRPr="008C4FEA">
        <w:rPr>
          <w:rFonts w:ascii="Arial Nova" w:hAnsi="Arial Nova" w:eastAsia="Arial Nova" w:cs="Arial Nova"/>
          <w:sz w:val="22"/>
          <w:szCs w:val="22"/>
        </w:rPr>
        <w:t>The ethical fundamentals of health and social care are grounded in principles that ensure respect, dignity, and fairness for all individuals receiving care. Key ethical principles include autonomy, beneficence, non-maleficence, and justice. Autonomy respects the individual’s right to make informed decisions about their own care, promoting independence and self-determination (Beauchamp and Childress, 2019). Beneficence requires care providers to act in the best interests of the patient, aiming to do good and improve health outcomes, while non-maleficence emphasizes the obligation to avoid harm. Justice relates to fairness in the distribution of resources and equal access to care, ensuring that no group is disadvantaged (Dhai and McQuoid-Mason, 2011). These principles form the ethical foundation that guides professionals in delivering care that is respectful, compassionate, and equitable.</w:t>
      </w:r>
      <w:r w:rsidRPr="021F60E9" w:rsidR="5F5A9137">
        <w:rPr>
          <w:rFonts w:ascii="Arial Nova" w:hAnsi="Arial Nova" w:eastAsia="Arial Nova" w:cs="Arial Nova"/>
          <w:sz w:val="22"/>
          <w:szCs w:val="22"/>
        </w:rPr>
        <w:t xml:space="preserve"> </w:t>
      </w:r>
      <w:r w:rsidRPr="008C4FEA">
        <w:rPr>
          <w:rFonts w:ascii="Arial Nova" w:hAnsi="Arial Nova" w:eastAsia="Arial Nova" w:cs="Arial Nova"/>
          <w:sz w:val="22"/>
          <w:szCs w:val="22"/>
        </w:rPr>
        <w:t>Partnership working in health and social care is essential for delivering holistic and effective services. It involves collaboration between different professionals, organisations, and service users to ensure coordinated care that meets complex needs. Effective partnership working enhances communication, reduces duplication of services, and improves patient outcomes (Glasby and Dickinson, 2014). For example, integrated care models bring together health and social care providers to offer seamless support, particularly for vulnerable populations such as the elderly or those with chronic conditions. However, challenges such as differing organisational cultures, conflicting priorities, and communication barriers can hinder partnership effectiveness (Smith et al., 2018). Overcoming these requires clear roles, mutual respect, and shared goals.</w:t>
      </w:r>
      <w:r w:rsidRPr="2C03E887" w:rsidR="2A2ED938">
        <w:rPr>
          <w:rFonts w:ascii="Arial Nova" w:hAnsi="Arial Nova" w:eastAsia="Arial Nova" w:cs="Arial Nova"/>
          <w:sz w:val="22"/>
          <w:szCs w:val="22"/>
        </w:rPr>
        <w:t xml:space="preserve"> </w:t>
      </w:r>
      <w:r w:rsidRPr="55BAE1EC" w:rsidR="2A2ED938">
        <w:rPr>
          <w:rFonts w:ascii="Arial Nova" w:hAnsi="Arial Nova" w:eastAsia="Arial Nova" w:cs="Arial Nova"/>
          <w:sz w:val="22"/>
          <w:szCs w:val="22"/>
        </w:rPr>
        <w:t>Moreover</w:t>
      </w:r>
      <w:r w:rsidRPr="008C4FEA">
        <w:rPr>
          <w:rFonts w:ascii="Arial Nova" w:hAnsi="Arial Nova" w:eastAsia="Arial Nova" w:cs="Arial Nova"/>
          <w:sz w:val="22"/>
          <w:szCs w:val="22"/>
        </w:rPr>
        <w:t>, ethical fundamentals provide the moral framework for health and social care, ensuring respect and fairness, while partnership working fosters collaboration that enhances service delivery. Both are crucial for achieving high-quality, person-centred care.</w:t>
      </w:r>
    </w:p>
    <w:p w:rsidRPr="00686BB7" w:rsidR="00686BB7" w:rsidP="00686BB7" w:rsidRDefault="00686BB7" w14:paraId="3CF187C3" w14:textId="15AF8B0A">
      <w:pPr>
        <w:spacing w:line="360" w:lineRule="auto"/>
        <w:rPr>
          <w:rFonts w:ascii="Arial Nova" w:hAnsi="Arial Nova" w:eastAsia="Arial Nova" w:cs="Arial Nova"/>
          <w:sz w:val="22"/>
          <w:szCs w:val="22"/>
        </w:rPr>
      </w:pPr>
      <w:r w:rsidRPr="00686BB7">
        <w:rPr>
          <w:rFonts w:ascii="Arial Nova" w:hAnsi="Arial Nova" w:eastAsia="Arial Nova" w:cs="Arial Nova"/>
          <w:sz w:val="22"/>
          <w:szCs w:val="22"/>
        </w:rPr>
        <w:t>In a practical health and social care setting such as a community mental health team (CMHT), partnership working plays a pivotal role in delivering comprehensive and person-centred care (PCC). CMHTs typically involve multidisciplinary collaboration among psychiatrists, social workers, nurses, psychologists, and support workers, all working together to address the complex needs of individuals with mental health conditions. This partnership approach ensures that care is holistic, addressing not only medical needs but also social, emotional, and environmental factors that impact wellbeing (NHS England, 2019). For example, a social worker may focus on housing and social support, while a nurse manages medication and physical health, and a psychologist provides therapy. Through regular team meetings and shared care plans, professionals coordinate their efforts, reducing fragmentation and improving outcomes for service users.</w:t>
      </w:r>
      <w:r w:rsidRPr="687D6857" w:rsidR="54635CEA">
        <w:rPr>
          <w:rFonts w:ascii="Arial Nova" w:hAnsi="Arial Nova" w:eastAsia="Arial Nova" w:cs="Arial Nova"/>
          <w:sz w:val="22"/>
          <w:szCs w:val="22"/>
        </w:rPr>
        <w:t xml:space="preserve"> </w:t>
      </w:r>
      <w:r w:rsidRPr="00686BB7">
        <w:rPr>
          <w:rFonts w:ascii="Arial Nova" w:hAnsi="Arial Nova" w:eastAsia="Arial Nova" w:cs="Arial Nova"/>
          <w:sz w:val="22"/>
          <w:szCs w:val="22"/>
        </w:rPr>
        <w:t>Partnership working in CMHTs also extends to involving service users and their families in decision-making, enhancing empowerment and adherence to care plans. This collaborative ethos aligns with the principles of PCC, which prioritise respect for individual preferences, needs, and values (Coulter and Oldham, 2016). However, challenges such as communication barriers, resource limitations, and differing professional perspectives can hinder effective partnership. To overcome these, clear protocols, joint training, and leadership support are essential.</w:t>
      </w:r>
      <w:r w:rsidRPr="7E82B6CF" w:rsidR="1D2A9069">
        <w:rPr>
          <w:rFonts w:ascii="Arial Nova" w:hAnsi="Arial Nova" w:eastAsia="Arial Nova" w:cs="Arial Nova"/>
          <w:sz w:val="22"/>
          <w:szCs w:val="22"/>
        </w:rPr>
        <w:t xml:space="preserve"> </w:t>
      </w:r>
      <w:r w:rsidRPr="00686BB7">
        <w:rPr>
          <w:rFonts w:ascii="Arial Nova" w:hAnsi="Arial Nova" w:eastAsia="Arial Nova" w:cs="Arial Nova"/>
          <w:sz w:val="22"/>
          <w:szCs w:val="22"/>
        </w:rPr>
        <w:t>For future development of PCC and partnership working in the UK, it is recommended to increase investment in integrated care systems that facilitate seamless collaboration across health, social care, and voluntary sectors. Enhancing digital infrastructure can improve information sharing while safeguarding confidentiality. Additionally, fostering a culture of shared responsibility and continuous learning among professionals will strengthen trust and innovation. Empowering service users through co-production and personalised care planning should remain central to all developments, ensuring services are responsive and inclusive.</w:t>
      </w:r>
    </w:p>
    <w:p w:rsidRPr="00425040" w:rsidR="00425040" w:rsidP="00425040" w:rsidRDefault="00425040" w14:paraId="48E687B4" w14:textId="397BE4B3">
      <w:pPr>
        <w:spacing w:line="360" w:lineRule="auto"/>
        <w:rPr>
          <w:rFonts w:ascii="Arial Nova" w:hAnsi="Arial Nova" w:eastAsia="Arial Nova" w:cs="Arial Nova"/>
          <w:sz w:val="22"/>
          <w:szCs w:val="22"/>
        </w:rPr>
      </w:pPr>
      <w:r w:rsidRPr="00425040">
        <w:rPr>
          <w:rFonts w:ascii="Arial Nova" w:hAnsi="Arial Nova" w:eastAsia="Arial Nova" w:cs="Arial Nova"/>
          <w:sz w:val="22"/>
          <w:szCs w:val="22"/>
        </w:rPr>
        <w:t>Person-centred care (PCC) and partnership working (PW) are essential in delivering effective health and social care services. The Care Act 2014 is a significant piece of legislation that supports these principles by requiring local authorities to provide personalised care and involve individuals in decisions about their care (Glasby, 2015). This Act highlights the importance of wellbeing and ensures that care plans are tailored to meet individual needs, which is the core of PCC.Another relevant policy is the NHS Constitution (Department of Health, 2015), which sets out the rights of patients and the public, including the right to be involved in decisions about their care and treatment. It promotes partnership working by encouraging collaboration between patients, their families, and healthcare professionals to achieve better health outcomes.</w:t>
      </w:r>
      <w:r w:rsidRPr="66628EEC" w:rsidR="79483AFB">
        <w:rPr>
          <w:rFonts w:ascii="Arial Nova" w:hAnsi="Arial Nova" w:eastAsia="Arial Nova" w:cs="Arial Nova"/>
          <w:sz w:val="22"/>
          <w:szCs w:val="22"/>
        </w:rPr>
        <w:t xml:space="preserve"> </w:t>
      </w:r>
      <w:r w:rsidRPr="00425040">
        <w:rPr>
          <w:rFonts w:ascii="Arial Nova" w:hAnsi="Arial Nova" w:eastAsia="Arial Nova" w:cs="Arial Nova"/>
          <w:sz w:val="22"/>
          <w:szCs w:val="22"/>
        </w:rPr>
        <w:t>Together, these frameworks create a foundation for PCC and PW by emphasising personalisation, respect, and collaboration in care delivery.</w:t>
      </w:r>
    </w:p>
    <w:p w:rsidR="6ADAE374" w:rsidP="6ADAE374" w:rsidRDefault="0084305A" w14:paraId="1A6746C4" w14:textId="79CCCFD5">
      <w:pPr>
        <w:spacing w:line="360" w:lineRule="auto"/>
        <w:rPr>
          <w:rFonts w:ascii="Arial Nova" w:hAnsi="Arial Nova" w:eastAsia="Arial Nova" w:cs="Arial Nova"/>
          <w:sz w:val="22"/>
          <w:szCs w:val="22"/>
        </w:rPr>
      </w:pPr>
      <w:r w:rsidRPr="286ADA62" w:rsidR="7F9D3640">
        <w:rPr>
          <w:rFonts w:ascii="Arial Nova" w:hAnsi="Arial Nova" w:eastAsia="Arial Nova" w:cs="Arial Nova"/>
          <w:sz w:val="22"/>
          <w:szCs w:val="22"/>
        </w:rPr>
        <w:t xml:space="preserve">In conclusion, person-centred care and partnership working are vital components of modern health and social care, ensuring that services are tailored to meet the unique needs and preferences of individuals. The Care Act 2014 provides a strong legislative foundation by mandating personalised assessments and care planning, which places the individual’s wellbeing at the heart of service delivery. This approach not only respects the autonomy and dignity of service users but also fosters greater involvement of individuals and their families in care decisions, enhancing the quality and effectiveness of care. Additionally, the NHS Constitution reinforces these principles by promoting patients’ rights to be active partners in their care, encouraging collaboration between healthcare professionals, patients, and carers. Together, these frameworks create an environment where integrated, respectful, and responsive care can flourish, </w:t>
      </w:r>
      <w:r w:rsidRPr="286ADA62" w:rsidR="7F9D3640">
        <w:rPr>
          <w:rFonts w:ascii="Arial Nova" w:hAnsi="Arial Nova" w:eastAsia="Arial Nova" w:cs="Arial Nova"/>
          <w:sz w:val="22"/>
          <w:szCs w:val="22"/>
        </w:rPr>
        <w:t>ultimately leading</w:t>
      </w:r>
      <w:r w:rsidRPr="286ADA62" w:rsidR="7F9D3640">
        <w:rPr>
          <w:rFonts w:ascii="Arial Nova" w:hAnsi="Arial Nova" w:eastAsia="Arial Nova" w:cs="Arial Nova"/>
          <w:sz w:val="22"/>
          <w:szCs w:val="22"/>
        </w:rPr>
        <w:t xml:space="preserve"> to better health outcomes and improved satisfaction for those receiving services. Embracing person-centred care and partnership working challenges traditional, one-size-fits-all models and moves towards a more inclusive, compassionate, and effective system. </w:t>
      </w:r>
      <w:r w:rsidRPr="286ADA62" w:rsidR="17DAA154">
        <w:rPr>
          <w:rFonts w:ascii="Arial Nova" w:hAnsi="Arial Nova" w:eastAsia="Arial Nova" w:cs="Arial Nova"/>
          <w:sz w:val="22"/>
          <w:szCs w:val="22"/>
        </w:rPr>
        <w:t>Ongoing</w:t>
      </w:r>
      <w:r w:rsidRPr="286ADA62" w:rsidR="7F9D3640">
        <w:rPr>
          <w:rFonts w:ascii="Arial Nova" w:hAnsi="Arial Nova" w:eastAsia="Arial Nova" w:cs="Arial Nova"/>
          <w:sz w:val="22"/>
          <w:szCs w:val="22"/>
        </w:rPr>
        <w:t xml:space="preserve"> commitment to these principles, supported by relevant policies and legislation, is essential for the continued improvement and sustainability of health and social care services in the UK</w:t>
      </w:r>
      <w:r w:rsidRPr="286ADA62" w:rsidR="7F9D3640">
        <w:rPr>
          <w:rFonts w:ascii="Arial Nova" w:hAnsi="Arial Nova" w:eastAsia="Arial Nova" w:cs="Arial Nova"/>
          <w:sz w:val="22"/>
          <w:szCs w:val="22"/>
        </w:rPr>
        <w:t>.</w:t>
      </w:r>
      <w:r w:rsidRPr="286ADA62" w:rsidR="3E5D5280">
        <w:rPr>
          <w:rFonts w:ascii="Arial Nova" w:hAnsi="Arial Nova" w:eastAsia="Arial Nova" w:cs="Arial Nova"/>
          <w:sz w:val="22"/>
          <w:szCs w:val="22"/>
        </w:rPr>
        <w:t xml:space="preserve">  </w:t>
      </w:r>
    </w:p>
    <w:p w:rsidRPr="00425040" w:rsidR="00425040" w:rsidP="00425040" w:rsidRDefault="00425040" w14:paraId="62111724" w14:textId="2334064B">
      <w:pPr>
        <w:spacing w:line="360" w:lineRule="auto"/>
        <w:rPr>
          <w:rFonts w:ascii="Arial Nova" w:hAnsi="Arial Nova" w:eastAsia="Arial Nova" w:cs="Arial Nova"/>
          <w:b/>
          <w:bCs/>
          <w:sz w:val="22"/>
          <w:szCs w:val="22"/>
        </w:rPr>
      </w:pPr>
      <w:r w:rsidRPr="69894165">
        <w:rPr>
          <w:rFonts w:ascii="Arial Nova" w:hAnsi="Arial Nova" w:eastAsia="Arial Nova" w:cs="Arial Nova"/>
          <w:b/>
          <w:bCs/>
          <w:sz w:val="22"/>
          <w:szCs w:val="22"/>
          <w:u w:val="single"/>
        </w:rPr>
        <w:t>References:</w:t>
      </w:r>
    </w:p>
    <w:p w:rsidRPr="00425040" w:rsidR="00425040" w:rsidP="00425040" w:rsidRDefault="00425040" w14:paraId="48D0A6C1" w14:textId="71262B2B">
      <w:pPr>
        <w:spacing w:line="360" w:lineRule="auto"/>
        <w:rPr>
          <w:rFonts w:ascii="Arial Nova" w:hAnsi="Arial Nova" w:eastAsia="Arial Nova" w:cs="Arial Nova"/>
          <w:sz w:val="22"/>
          <w:szCs w:val="22"/>
        </w:rPr>
      </w:pPr>
      <w:r w:rsidRPr="00425040">
        <w:rPr>
          <w:rFonts w:ascii="Arial Nova" w:hAnsi="Arial Nova" w:eastAsia="Arial Nova" w:cs="Arial Nova"/>
          <w:sz w:val="22"/>
          <w:szCs w:val="22"/>
        </w:rPr>
        <w:t>Department of Health (2015) NHS Constitution for England. London: Department of Health.</w:t>
      </w:r>
    </w:p>
    <w:p w:rsidRPr="00686BB7" w:rsidR="00686BB7" w:rsidP="00686BB7" w:rsidRDefault="00425040" w14:paraId="1867108B" w14:textId="6DBAA733">
      <w:pPr>
        <w:spacing w:line="360" w:lineRule="auto"/>
        <w:rPr>
          <w:rFonts w:ascii="Arial Nova" w:hAnsi="Arial Nova" w:eastAsia="Arial Nova" w:cs="Arial Nova"/>
          <w:sz w:val="22"/>
          <w:szCs w:val="22"/>
        </w:rPr>
      </w:pPr>
      <w:r w:rsidRPr="00425040">
        <w:rPr>
          <w:rFonts w:ascii="Arial Nova" w:hAnsi="Arial Nova" w:eastAsia="Arial Nova" w:cs="Arial Nova"/>
          <w:sz w:val="22"/>
          <w:szCs w:val="22"/>
        </w:rPr>
        <w:t>Glasby, J. (2015) ‘The Care Act 2014: implications for integrated care’, Journal of Integrated Care, 23(1), pp. 4-11.</w:t>
      </w:r>
    </w:p>
    <w:p w:rsidRPr="00686BB7" w:rsidR="00686BB7" w:rsidP="00686BB7" w:rsidRDefault="00686BB7" w14:paraId="249DC9A9" w14:textId="01C43AF1">
      <w:pPr>
        <w:spacing w:line="360" w:lineRule="auto"/>
        <w:rPr>
          <w:rFonts w:ascii="Arial Nova" w:hAnsi="Arial Nova" w:eastAsia="Arial Nova" w:cs="Arial Nova"/>
          <w:sz w:val="22"/>
          <w:szCs w:val="22"/>
        </w:rPr>
      </w:pPr>
      <w:r w:rsidRPr="00686BB7">
        <w:rPr>
          <w:rFonts w:ascii="Arial Nova" w:hAnsi="Arial Nova" w:eastAsia="Arial Nova" w:cs="Arial Nova"/>
          <w:sz w:val="22"/>
          <w:szCs w:val="22"/>
        </w:rPr>
        <w:t>Coulter, A. and Oldham, J. (2016) ‘Person-centred care: what is it and how do we get there?’, Future Hospital Journal, 3(2), pp. 114–116.</w:t>
      </w:r>
    </w:p>
    <w:p w:rsidRPr="008C4FEA" w:rsidR="008C4FEA" w:rsidP="008C4FEA" w:rsidRDefault="00686BB7" w14:paraId="68F2E19A" w14:textId="63E8DACA">
      <w:pPr>
        <w:spacing w:line="360" w:lineRule="auto"/>
        <w:rPr>
          <w:rFonts w:ascii="Arial Nova" w:hAnsi="Arial Nova" w:eastAsia="Arial Nova" w:cs="Arial Nova"/>
          <w:sz w:val="22"/>
          <w:szCs w:val="22"/>
        </w:rPr>
      </w:pPr>
      <w:r w:rsidRPr="00686BB7">
        <w:rPr>
          <w:rFonts w:ascii="Arial Nova" w:hAnsi="Arial Nova" w:eastAsia="Arial Nova" w:cs="Arial Nova"/>
          <w:sz w:val="22"/>
          <w:szCs w:val="22"/>
        </w:rPr>
        <w:t>NHS England (2019) The NHS Long Term Plan. https://www.longtermplan.nhs.uk</w:t>
      </w:r>
    </w:p>
    <w:p w:rsidRPr="008C4FEA" w:rsidR="008C4FEA" w:rsidP="008C4FEA" w:rsidRDefault="008C4FEA" w14:paraId="663224C7" w14:textId="3C68A543">
      <w:pPr>
        <w:spacing w:line="360" w:lineRule="auto"/>
        <w:rPr>
          <w:rFonts w:ascii="Arial Nova" w:hAnsi="Arial Nova" w:eastAsia="Arial Nova" w:cs="Arial Nova"/>
          <w:sz w:val="22"/>
          <w:szCs w:val="22"/>
        </w:rPr>
      </w:pPr>
      <w:r w:rsidRPr="008C4FEA">
        <w:rPr>
          <w:rFonts w:ascii="Arial Nova" w:hAnsi="Arial Nova" w:eastAsia="Arial Nova" w:cs="Arial Nova"/>
          <w:sz w:val="22"/>
          <w:szCs w:val="22"/>
        </w:rPr>
        <w:t>Beauchamp, T.L. and Childress, J.F. (2019) Principles of Biomedical Ethics. 8th edn. Oxford: Oxford University Press.</w:t>
      </w:r>
    </w:p>
    <w:p w:rsidRPr="008C4FEA" w:rsidR="008C4FEA" w:rsidP="008C4FEA" w:rsidRDefault="008C4FEA" w14:paraId="71F4D181" w14:textId="58E49A70">
      <w:pPr>
        <w:spacing w:line="360" w:lineRule="auto"/>
        <w:rPr>
          <w:rFonts w:ascii="Arial Nova" w:hAnsi="Arial Nova" w:eastAsia="Arial Nova" w:cs="Arial Nova"/>
          <w:sz w:val="22"/>
          <w:szCs w:val="22"/>
        </w:rPr>
      </w:pPr>
      <w:r w:rsidRPr="008C4FEA">
        <w:rPr>
          <w:rFonts w:ascii="Arial Nova" w:hAnsi="Arial Nova" w:eastAsia="Arial Nova" w:cs="Arial Nova"/>
          <w:sz w:val="22"/>
          <w:szCs w:val="22"/>
        </w:rPr>
        <w:t>Dhai, A. and McQuoid-Mason, D. (2011) Bioethics, Human Rights and Health Law: Principles and Practice. Cape Town: Juta.</w:t>
      </w:r>
    </w:p>
    <w:p w:rsidR="00062E4A" w:rsidP="141F5598" w:rsidRDefault="008C4FEA" w14:paraId="562B24D8" w14:textId="6A832467">
      <w:pPr>
        <w:spacing w:line="360" w:lineRule="auto"/>
        <w:rPr>
          <w:rFonts w:ascii="Arial Nova" w:hAnsi="Arial Nova" w:eastAsia="Arial Nova" w:cs="Arial Nova"/>
          <w:sz w:val="22"/>
          <w:szCs w:val="22"/>
        </w:rPr>
      </w:pPr>
      <w:r w:rsidRPr="008C4FEA">
        <w:rPr>
          <w:rFonts w:ascii="Arial Nova" w:hAnsi="Arial Nova" w:eastAsia="Arial Nova" w:cs="Arial Nova"/>
          <w:sz w:val="22"/>
          <w:szCs w:val="22"/>
        </w:rPr>
        <w:t>Smith, J., et al. (2018) ‘Barriers to effective partnership working in health and social care: a systematic review’, Health &amp; Social Care in the Community, 26(3), pp. 292–302.</w:t>
      </w:r>
    </w:p>
    <w:p w:rsidR="00062E4A" w:rsidP="141F5598" w:rsidRDefault="00062E4A" w14:paraId="2E3E0339" w14:textId="11C2377D">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Morgan, S. and Yoder, L. H. (2012) ‘A concept analysis of person-centered care’, Journal of Holistic Nursing, 30(1), pp. 6–15.</w:t>
      </w:r>
    </w:p>
    <w:p w:rsidR="0078635B" w:rsidP="141F5598" w:rsidRDefault="00062E4A" w14:paraId="21733DF0" w14:textId="27579A78">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Santana, M. J. et al. (2018) ‘Measuring patient-centred care: a systematic review of tools for family medicine’, The Annals of Family Medicine, 16(2), pp. 123–132.</w:t>
      </w:r>
    </w:p>
    <w:p w:rsidR="00A165DE" w:rsidP="141F5598" w:rsidRDefault="00A165DE" w14:paraId="136FCB99" w14:textId="69FC5CD7">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Edvardsson, D., Winblad, B. and Sandman, P. O. (2008) ‘Person-centred care of people with severe Alzheimer’s disease: current status and ways forward’, The Lancet Neurology, 7(4), pp. 362–367.</w:t>
      </w:r>
    </w:p>
    <w:p w:rsidR="00A165DE" w:rsidP="141F5598" w:rsidRDefault="00A165DE" w14:paraId="030FFFAB" w14:textId="0B643D93">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Kitwood, T. (1997) Dementia Reconsidered: The Person Comes First. Buckingham: Open University Press.</w:t>
      </w:r>
    </w:p>
    <w:p w:rsidR="00A165DE" w:rsidP="141F5598" w:rsidRDefault="00A165DE" w14:paraId="1D401F45" w14:textId="3B4A3A62">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McCormack, B. and McCance, T. (2017) Person-Centred Nursing: Theory and Practice. 2nd edn. Oxford: Wiley-Blackwell.</w:t>
      </w:r>
    </w:p>
    <w:p w:rsidR="00A950CC" w:rsidP="141F5598" w:rsidRDefault="00A950CC" w14:paraId="2FED8070" w14:textId="2A6A1FB4">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Department of Health and Social Care (2014) Care Act 2014. London: The Stationery Office.</w:t>
      </w:r>
    </w:p>
    <w:p w:rsidR="00CF143B" w:rsidP="60D6F38D" w:rsidRDefault="00A950CC" w14:paraId="576B687B" w14:textId="1959439A">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National Health Service (2019) The NHS Long Term Plan</w:t>
      </w:r>
      <w:r w:rsidRPr="0F7C102B" w:rsidR="76E43355">
        <w:rPr>
          <w:rFonts w:ascii="Arial Nova" w:hAnsi="Arial Nova" w:eastAsia="Arial Nova" w:cs="Arial Nova"/>
          <w:sz w:val="22"/>
          <w:szCs w:val="22"/>
        </w:rPr>
        <w:t>.</w:t>
      </w:r>
      <w:r w:rsidRPr="728B95BE">
        <w:rPr>
          <w:rFonts w:ascii="Arial Nova" w:hAnsi="Arial Nova" w:eastAsia="Arial Nova" w:cs="Arial Nova"/>
          <w:sz w:val="22"/>
          <w:szCs w:val="22"/>
        </w:rPr>
        <w:t xml:space="preserve"> https://www.longtermplan.nhs.uk </w:t>
      </w:r>
    </w:p>
    <w:p w:rsidR="00CF143B" w:rsidP="141F5598" w:rsidRDefault="00A950CC" w14:paraId="2E828559" w14:textId="3B99258E">
      <w:pPr>
        <w:spacing w:line="360" w:lineRule="auto"/>
        <w:rPr>
          <w:rFonts w:ascii="Arial Nova" w:hAnsi="Arial Nova" w:eastAsia="Arial Nova" w:cs="Arial Nova"/>
          <w:sz w:val="22"/>
          <w:szCs w:val="22"/>
        </w:rPr>
      </w:pPr>
      <w:r w:rsidRPr="728B95BE">
        <w:rPr>
          <w:rFonts w:ascii="Arial Nova" w:hAnsi="Arial Nova" w:eastAsia="Arial Nova" w:cs="Arial Nova"/>
          <w:sz w:val="22"/>
          <w:szCs w:val="22"/>
        </w:rPr>
        <w:t>Glasby, J. and Dickinson, H. (2014) Partnership Working in Health and Social Care: What Is Integrated Care and How Can We Deliver It? Bristol: Policy Press.</w:t>
      </w:r>
    </w:p>
    <w:sectPr w:rsidR="00CF143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43B"/>
    <w:rsid w:val="00004B1E"/>
    <w:rsid w:val="0001009E"/>
    <w:rsid w:val="00052A33"/>
    <w:rsid w:val="00062E4A"/>
    <w:rsid w:val="00076B54"/>
    <w:rsid w:val="000C2CFF"/>
    <w:rsid w:val="000D01AE"/>
    <w:rsid w:val="000E7D20"/>
    <w:rsid w:val="00100110"/>
    <w:rsid w:val="00120D88"/>
    <w:rsid w:val="001224C6"/>
    <w:rsid w:val="0014660D"/>
    <w:rsid w:val="00150643"/>
    <w:rsid w:val="00161A20"/>
    <w:rsid w:val="00196502"/>
    <w:rsid w:val="001F0B95"/>
    <w:rsid w:val="001F4A33"/>
    <w:rsid w:val="001F7D59"/>
    <w:rsid w:val="0022670A"/>
    <w:rsid w:val="00245F60"/>
    <w:rsid w:val="00256F77"/>
    <w:rsid w:val="00266439"/>
    <w:rsid w:val="002723F4"/>
    <w:rsid w:val="002B7000"/>
    <w:rsid w:val="002E2236"/>
    <w:rsid w:val="00303F3A"/>
    <w:rsid w:val="00332F40"/>
    <w:rsid w:val="00356158"/>
    <w:rsid w:val="00361D03"/>
    <w:rsid w:val="00380C14"/>
    <w:rsid w:val="00386892"/>
    <w:rsid w:val="00394DD9"/>
    <w:rsid w:val="003A3D17"/>
    <w:rsid w:val="003C7623"/>
    <w:rsid w:val="003D054C"/>
    <w:rsid w:val="003D0FAA"/>
    <w:rsid w:val="003D7E87"/>
    <w:rsid w:val="004004F9"/>
    <w:rsid w:val="00424004"/>
    <w:rsid w:val="00425040"/>
    <w:rsid w:val="004736CF"/>
    <w:rsid w:val="004B5B70"/>
    <w:rsid w:val="00503AAE"/>
    <w:rsid w:val="00542C8D"/>
    <w:rsid w:val="00576886"/>
    <w:rsid w:val="005805E6"/>
    <w:rsid w:val="005A1EF0"/>
    <w:rsid w:val="005C5619"/>
    <w:rsid w:val="005D0376"/>
    <w:rsid w:val="005E3336"/>
    <w:rsid w:val="00615D5D"/>
    <w:rsid w:val="006226C2"/>
    <w:rsid w:val="00671AB1"/>
    <w:rsid w:val="00676B32"/>
    <w:rsid w:val="00680DB0"/>
    <w:rsid w:val="00686BB7"/>
    <w:rsid w:val="006E7F6C"/>
    <w:rsid w:val="007422CE"/>
    <w:rsid w:val="0078635B"/>
    <w:rsid w:val="007904F3"/>
    <w:rsid w:val="007C706F"/>
    <w:rsid w:val="007E64DD"/>
    <w:rsid w:val="008047E0"/>
    <w:rsid w:val="008225E9"/>
    <w:rsid w:val="0084305A"/>
    <w:rsid w:val="00845BE4"/>
    <w:rsid w:val="0084729B"/>
    <w:rsid w:val="00852706"/>
    <w:rsid w:val="008675E8"/>
    <w:rsid w:val="008B7AC4"/>
    <w:rsid w:val="008C4FEA"/>
    <w:rsid w:val="008D33E7"/>
    <w:rsid w:val="00931083"/>
    <w:rsid w:val="00966D8C"/>
    <w:rsid w:val="009A0D19"/>
    <w:rsid w:val="009A402D"/>
    <w:rsid w:val="009B1E8C"/>
    <w:rsid w:val="00A006D6"/>
    <w:rsid w:val="00A165DE"/>
    <w:rsid w:val="00A2294A"/>
    <w:rsid w:val="00A5190F"/>
    <w:rsid w:val="00A67EDA"/>
    <w:rsid w:val="00A703AD"/>
    <w:rsid w:val="00A950CC"/>
    <w:rsid w:val="00AA0360"/>
    <w:rsid w:val="00AC6858"/>
    <w:rsid w:val="00B36014"/>
    <w:rsid w:val="00B60B76"/>
    <w:rsid w:val="00C17D51"/>
    <w:rsid w:val="00C210CD"/>
    <w:rsid w:val="00C244F3"/>
    <w:rsid w:val="00C647AD"/>
    <w:rsid w:val="00CB4CBD"/>
    <w:rsid w:val="00CD32E4"/>
    <w:rsid w:val="00CF143B"/>
    <w:rsid w:val="00D23F97"/>
    <w:rsid w:val="00D42F33"/>
    <w:rsid w:val="00D533B8"/>
    <w:rsid w:val="00D94408"/>
    <w:rsid w:val="00DC4419"/>
    <w:rsid w:val="00DE53A9"/>
    <w:rsid w:val="00DF060C"/>
    <w:rsid w:val="00E02926"/>
    <w:rsid w:val="00E07602"/>
    <w:rsid w:val="00E3246A"/>
    <w:rsid w:val="00E346D6"/>
    <w:rsid w:val="00E406C2"/>
    <w:rsid w:val="00E467FF"/>
    <w:rsid w:val="00EC02EA"/>
    <w:rsid w:val="00F01DF2"/>
    <w:rsid w:val="00F03313"/>
    <w:rsid w:val="00F10AE9"/>
    <w:rsid w:val="00F7176D"/>
    <w:rsid w:val="00F7425D"/>
    <w:rsid w:val="00F962B3"/>
    <w:rsid w:val="00FA5257"/>
    <w:rsid w:val="00FF05DB"/>
    <w:rsid w:val="00FF49A8"/>
    <w:rsid w:val="01D0FDF2"/>
    <w:rsid w:val="021F60E9"/>
    <w:rsid w:val="0313DE4A"/>
    <w:rsid w:val="05DE9607"/>
    <w:rsid w:val="069DBDC7"/>
    <w:rsid w:val="06ACA9D0"/>
    <w:rsid w:val="080EA9A4"/>
    <w:rsid w:val="088955FC"/>
    <w:rsid w:val="08ADCE77"/>
    <w:rsid w:val="0A5B0EAB"/>
    <w:rsid w:val="0F7C102B"/>
    <w:rsid w:val="135FE127"/>
    <w:rsid w:val="141F5598"/>
    <w:rsid w:val="15BA81D8"/>
    <w:rsid w:val="15C2E26B"/>
    <w:rsid w:val="17989A7E"/>
    <w:rsid w:val="17A7E6BB"/>
    <w:rsid w:val="17DAA154"/>
    <w:rsid w:val="18D869E6"/>
    <w:rsid w:val="1B3284AE"/>
    <w:rsid w:val="1D25B6B6"/>
    <w:rsid w:val="1D2A9069"/>
    <w:rsid w:val="1D91007D"/>
    <w:rsid w:val="1DCCA2A0"/>
    <w:rsid w:val="1E59BB2D"/>
    <w:rsid w:val="1EE63ACA"/>
    <w:rsid w:val="20D5629A"/>
    <w:rsid w:val="219A13B4"/>
    <w:rsid w:val="23CAA859"/>
    <w:rsid w:val="2775C5BD"/>
    <w:rsid w:val="286ADA62"/>
    <w:rsid w:val="29766458"/>
    <w:rsid w:val="2A2ED938"/>
    <w:rsid w:val="2A37760C"/>
    <w:rsid w:val="2B7975FF"/>
    <w:rsid w:val="2C03E887"/>
    <w:rsid w:val="2D10F83F"/>
    <w:rsid w:val="2F09C4FB"/>
    <w:rsid w:val="30F73379"/>
    <w:rsid w:val="311F46A7"/>
    <w:rsid w:val="314ABFFC"/>
    <w:rsid w:val="31A3F71A"/>
    <w:rsid w:val="323A27F0"/>
    <w:rsid w:val="324E4ACA"/>
    <w:rsid w:val="3250E40A"/>
    <w:rsid w:val="325653BF"/>
    <w:rsid w:val="3276166D"/>
    <w:rsid w:val="32BB118E"/>
    <w:rsid w:val="3376CF64"/>
    <w:rsid w:val="34F7C100"/>
    <w:rsid w:val="35278E5B"/>
    <w:rsid w:val="364BADEA"/>
    <w:rsid w:val="3652FC64"/>
    <w:rsid w:val="37F1AF60"/>
    <w:rsid w:val="3AA84538"/>
    <w:rsid w:val="3E5D5280"/>
    <w:rsid w:val="43369D5B"/>
    <w:rsid w:val="4376A143"/>
    <w:rsid w:val="4422B41C"/>
    <w:rsid w:val="442FA184"/>
    <w:rsid w:val="44F8F2B8"/>
    <w:rsid w:val="48957F96"/>
    <w:rsid w:val="49CCFF9C"/>
    <w:rsid w:val="4DF05437"/>
    <w:rsid w:val="4F151C31"/>
    <w:rsid w:val="4F274928"/>
    <w:rsid w:val="4F29ABF5"/>
    <w:rsid w:val="4FA89A9D"/>
    <w:rsid w:val="4FBA3839"/>
    <w:rsid w:val="505F0B9B"/>
    <w:rsid w:val="50781BE7"/>
    <w:rsid w:val="519C8743"/>
    <w:rsid w:val="52E22F48"/>
    <w:rsid w:val="54635CEA"/>
    <w:rsid w:val="547D63F8"/>
    <w:rsid w:val="55BAE1EC"/>
    <w:rsid w:val="562D4146"/>
    <w:rsid w:val="5658ACA1"/>
    <w:rsid w:val="56BED391"/>
    <w:rsid w:val="577C3220"/>
    <w:rsid w:val="5ACE1523"/>
    <w:rsid w:val="5B891843"/>
    <w:rsid w:val="5BAE92A8"/>
    <w:rsid w:val="5D4DC313"/>
    <w:rsid w:val="5F5A9137"/>
    <w:rsid w:val="5FEA9A0A"/>
    <w:rsid w:val="60D6F38D"/>
    <w:rsid w:val="63852DFE"/>
    <w:rsid w:val="6391E39B"/>
    <w:rsid w:val="656B59B3"/>
    <w:rsid w:val="65FAD3BC"/>
    <w:rsid w:val="6653A656"/>
    <w:rsid w:val="66628EEC"/>
    <w:rsid w:val="687D6857"/>
    <w:rsid w:val="69894165"/>
    <w:rsid w:val="6A314B57"/>
    <w:rsid w:val="6ADAE374"/>
    <w:rsid w:val="6BC18922"/>
    <w:rsid w:val="6BDAA394"/>
    <w:rsid w:val="6D17C5E0"/>
    <w:rsid w:val="6D1871BF"/>
    <w:rsid w:val="6DF1C7C0"/>
    <w:rsid w:val="70F6E0B2"/>
    <w:rsid w:val="71636AA8"/>
    <w:rsid w:val="722AC09A"/>
    <w:rsid w:val="7262FA32"/>
    <w:rsid w:val="728B95BE"/>
    <w:rsid w:val="72AE7B8E"/>
    <w:rsid w:val="72BDDA9B"/>
    <w:rsid w:val="73BF93C2"/>
    <w:rsid w:val="74E7E700"/>
    <w:rsid w:val="75CB0D9B"/>
    <w:rsid w:val="76E43355"/>
    <w:rsid w:val="79483AFB"/>
    <w:rsid w:val="7E26FB0D"/>
    <w:rsid w:val="7E82B6CF"/>
    <w:rsid w:val="7F9D364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2A436E8"/>
  <w15:chartTrackingRefBased/>
  <w15:docId w15:val="{E733F058-5894-4E70-9545-0E9645A93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F143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43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4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4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4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4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4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4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43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F143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F143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F143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F143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F143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F143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F143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F143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F143B"/>
    <w:rPr>
      <w:rFonts w:eastAsiaTheme="majorEastAsia" w:cstheme="majorBidi"/>
      <w:color w:val="272727" w:themeColor="text1" w:themeTint="D8"/>
    </w:rPr>
  </w:style>
  <w:style w:type="paragraph" w:styleId="Title">
    <w:name w:val="Title"/>
    <w:basedOn w:val="Normal"/>
    <w:next w:val="Normal"/>
    <w:link w:val="TitleChar"/>
    <w:uiPriority w:val="10"/>
    <w:qFormat/>
    <w:rsid w:val="00CF143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F143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F143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F1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43B"/>
    <w:pPr>
      <w:spacing w:before="160"/>
      <w:jc w:val="center"/>
    </w:pPr>
    <w:rPr>
      <w:i/>
      <w:iCs/>
      <w:color w:val="404040" w:themeColor="text1" w:themeTint="BF"/>
    </w:rPr>
  </w:style>
  <w:style w:type="character" w:styleId="QuoteChar" w:customStyle="1">
    <w:name w:val="Quote Char"/>
    <w:basedOn w:val="DefaultParagraphFont"/>
    <w:link w:val="Quote"/>
    <w:uiPriority w:val="29"/>
    <w:rsid w:val="00CF143B"/>
    <w:rPr>
      <w:i/>
      <w:iCs/>
      <w:color w:val="404040" w:themeColor="text1" w:themeTint="BF"/>
    </w:rPr>
  </w:style>
  <w:style w:type="paragraph" w:styleId="ListParagraph">
    <w:name w:val="List Paragraph"/>
    <w:basedOn w:val="Normal"/>
    <w:uiPriority w:val="34"/>
    <w:qFormat/>
    <w:rsid w:val="00CF143B"/>
    <w:pPr>
      <w:ind w:left="720"/>
      <w:contextualSpacing/>
    </w:pPr>
  </w:style>
  <w:style w:type="character" w:styleId="IntenseEmphasis">
    <w:name w:val="Intense Emphasis"/>
    <w:basedOn w:val="DefaultParagraphFont"/>
    <w:uiPriority w:val="21"/>
    <w:qFormat/>
    <w:rsid w:val="00CF143B"/>
    <w:rPr>
      <w:i/>
      <w:iCs/>
      <w:color w:val="0F4761" w:themeColor="accent1" w:themeShade="BF"/>
    </w:rPr>
  </w:style>
  <w:style w:type="paragraph" w:styleId="IntenseQuote">
    <w:name w:val="Intense Quote"/>
    <w:basedOn w:val="Normal"/>
    <w:next w:val="Normal"/>
    <w:link w:val="IntenseQuoteChar"/>
    <w:uiPriority w:val="30"/>
    <w:qFormat/>
    <w:rsid w:val="00CF143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F143B"/>
    <w:rPr>
      <w:i/>
      <w:iCs/>
      <w:color w:val="0F4761" w:themeColor="accent1" w:themeShade="BF"/>
    </w:rPr>
  </w:style>
  <w:style w:type="character" w:styleId="IntenseReference">
    <w:name w:val="Intense Reference"/>
    <w:basedOn w:val="DefaultParagraphFont"/>
    <w:uiPriority w:val="32"/>
    <w:qFormat/>
    <w:rsid w:val="00CF14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Aysha Islam (2413041)</dc:creator>
  <keywords/>
  <dc:description/>
  <lastModifiedBy>Aysha Islam (2413041)</lastModifiedBy>
  <revision>3</revision>
  <dcterms:created xsi:type="dcterms:W3CDTF">2026-03-13T15:43:00.0000000Z</dcterms:created>
  <dcterms:modified xsi:type="dcterms:W3CDTF">2026-03-26T17:12:58.1938175Z</dcterms:modified>
</coreProperties>
</file>