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E199D4" w14:textId="77777777" w:rsidR="00FA1401" w:rsidRDefault="00FA1401" w:rsidP="009F5283">
      <w:pPr>
        <w:pStyle w:val="Heading1"/>
        <w:jc w:val="center"/>
        <w:rPr>
          <w:rStyle w:val="Emphasis"/>
          <w:rFonts w:ascii="Arial" w:hAnsi="Arial"/>
          <w:iCs w:val="0"/>
          <w:sz w:val="32"/>
        </w:rPr>
      </w:pPr>
    </w:p>
    <w:p w14:paraId="3E2090E2" w14:textId="77777777" w:rsidR="00FA1401" w:rsidRDefault="00FA1401" w:rsidP="009F5283">
      <w:pPr>
        <w:pStyle w:val="Heading1"/>
        <w:jc w:val="center"/>
        <w:rPr>
          <w:rStyle w:val="Emphasis"/>
          <w:rFonts w:ascii="Arial" w:hAnsi="Arial"/>
          <w:iCs w:val="0"/>
          <w:sz w:val="32"/>
        </w:rPr>
      </w:pPr>
    </w:p>
    <w:p w14:paraId="206C8669" w14:textId="12ACB522" w:rsidR="009F5283" w:rsidRPr="009F5283" w:rsidRDefault="00D21861" w:rsidP="009F5283">
      <w:pPr>
        <w:pStyle w:val="Heading1"/>
        <w:jc w:val="center"/>
        <w:rPr>
          <w:rStyle w:val="Emphasis"/>
          <w:rFonts w:ascii="Arial" w:hAnsi="Arial"/>
          <w:iCs w:val="0"/>
          <w:sz w:val="32"/>
        </w:rPr>
      </w:pPr>
      <w:r>
        <w:rPr>
          <w:rStyle w:val="Emphasis"/>
          <w:rFonts w:ascii="Arial" w:hAnsi="Arial"/>
          <w:iCs w:val="0"/>
          <w:sz w:val="32"/>
        </w:rPr>
        <w:t>M</w:t>
      </w:r>
      <w:r w:rsidRPr="00D21861">
        <w:rPr>
          <w:rStyle w:val="Emphasis"/>
          <w:rFonts w:ascii="Arial" w:hAnsi="Arial"/>
          <w:iCs w:val="0"/>
          <w:sz w:val="32"/>
        </w:rPr>
        <w:t>anaging Enterprise in the 21st Century</w:t>
      </w:r>
    </w:p>
    <w:p w14:paraId="3CC199B7" w14:textId="7E6D2569" w:rsidR="009F5283" w:rsidRPr="009F5283" w:rsidRDefault="009F5283" w:rsidP="009F5283">
      <w:pPr>
        <w:pStyle w:val="Heading1"/>
        <w:jc w:val="center"/>
        <w:rPr>
          <w:rStyle w:val="Emphasis"/>
          <w:rFonts w:ascii="Arial" w:hAnsi="Arial"/>
          <w:iCs w:val="0"/>
          <w:sz w:val="32"/>
        </w:rPr>
      </w:pPr>
      <w:r w:rsidRPr="009F5283">
        <w:rPr>
          <w:rStyle w:val="Emphasis"/>
          <w:rFonts w:ascii="Arial" w:hAnsi="Arial"/>
          <w:iCs w:val="0"/>
          <w:sz w:val="32"/>
        </w:rPr>
        <w:t>Assessment 1</w:t>
      </w:r>
    </w:p>
    <w:p w14:paraId="43411E83" w14:textId="43FBC22F" w:rsidR="003C3D92" w:rsidRPr="00FA1401" w:rsidRDefault="003C3D92" w:rsidP="003C3D92">
      <w:pPr>
        <w:pStyle w:val="Heading1"/>
        <w:rPr>
          <w:rStyle w:val="Strong"/>
          <w:b/>
          <w:bCs w:val="0"/>
          <w:sz w:val="20"/>
          <w:szCs w:val="20"/>
        </w:rPr>
      </w:pPr>
      <w:r w:rsidRPr="009F5283">
        <w:rPr>
          <w:rStyle w:val="Emphasis"/>
          <w:b w:val="0"/>
          <w:bCs/>
        </w:rPr>
        <w:t>Assignment task</w:t>
      </w:r>
      <w:r w:rsidRPr="00FA1401">
        <w:rPr>
          <w:rStyle w:val="Emphasis"/>
          <w:b w:val="0"/>
          <w:bCs/>
          <w:sz w:val="20"/>
          <w:szCs w:val="20"/>
        </w:rPr>
        <w:t>:</w:t>
      </w:r>
      <w:r w:rsidR="00FA1401" w:rsidRPr="00FA1401">
        <w:rPr>
          <w:rStyle w:val="Emphasis"/>
          <w:b w:val="0"/>
          <w:bCs/>
          <w:sz w:val="20"/>
          <w:szCs w:val="20"/>
        </w:rPr>
        <w:t xml:space="preserve"> </w:t>
      </w:r>
      <w:r w:rsidR="00D21861">
        <w:rPr>
          <w:rStyle w:val="Strong"/>
          <w:b/>
          <w:bCs w:val="0"/>
          <w:sz w:val="20"/>
          <w:szCs w:val="20"/>
        </w:rPr>
        <w:t>Rolla – Business Plan</w:t>
      </w:r>
    </w:p>
    <w:p w14:paraId="6EC57183" w14:textId="3CE01641" w:rsidR="00C94EC7" w:rsidRDefault="00C94EC7" w:rsidP="00DE6B90">
      <w:pPr>
        <w:rPr>
          <w:rFonts w:asciiTheme="majorHAnsi" w:hAnsiTheme="majorHAnsi" w:cstheme="majorHAnsi"/>
        </w:rPr>
      </w:pPr>
      <w:r w:rsidRPr="00C94EC7">
        <w:rPr>
          <w:rFonts w:asciiTheme="majorHAnsi" w:hAnsiTheme="majorHAnsi" w:cstheme="majorHAnsi"/>
        </w:rPr>
        <w:t xml:space="preserve">Student </w:t>
      </w:r>
      <w:r>
        <w:rPr>
          <w:rFonts w:asciiTheme="majorHAnsi" w:hAnsiTheme="majorHAnsi" w:cstheme="majorHAnsi"/>
        </w:rPr>
        <w:t xml:space="preserve">Name: </w:t>
      </w:r>
      <w:r w:rsidRPr="00C94EC7">
        <w:rPr>
          <w:rStyle w:val="Strong"/>
        </w:rPr>
        <w:t>Valentin Scriosteanu</w:t>
      </w:r>
    </w:p>
    <w:p w14:paraId="1CEE5CCC" w14:textId="690E905F" w:rsidR="00DE6B90" w:rsidRPr="00C94EC7" w:rsidRDefault="00DE6B90" w:rsidP="00DE6B90">
      <w:pPr>
        <w:rPr>
          <w:rStyle w:val="Strong"/>
        </w:rPr>
      </w:pPr>
      <w:r w:rsidRPr="00451B32">
        <w:rPr>
          <w:rFonts w:asciiTheme="majorHAnsi" w:hAnsiTheme="majorHAnsi" w:cstheme="majorHAnsi"/>
        </w:rPr>
        <w:t xml:space="preserve">Student ID: </w:t>
      </w:r>
      <w:r w:rsidR="00C94EC7" w:rsidRPr="00C94EC7">
        <w:rPr>
          <w:rStyle w:val="Strong"/>
        </w:rPr>
        <w:t>2122219</w:t>
      </w:r>
    </w:p>
    <w:p w14:paraId="7F6ACE21" w14:textId="6CA4EFD3" w:rsidR="00DE6B90" w:rsidRPr="00451B32" w:rsidRDefault="00DE6B90" w:rsidP="00DE6B90">
      <w:pPr>
        <w:rPr>
          <w:rFonts w:asciiTheme="majorHAnsi" w:hAnsiTheme="majorHAnsi" w:cstheme="majorHAnsi"/>
        </w:rPr>
      </w:pPr>
      <w:r w:rsidRPr="00451B32">
        <w:rPr>
          <w:rFonts w:asciiTheme="majorHAnsi" w:hAnsiTheme="majorHAnsi" w:cstheme="majorHAnsi"/>
        </w:rPr>
        <w:t xml:space="preserve">WORD COUNT: </w:t>
      </w:r>
      <w:r w:rsidR="00D21861">
        <w:rPr>
          <w:rFonts w:cs="Arial"/>
          <w:b/>
          <w:bCs/>
        </w:rPr>
        <w:t>1800</w:t>
      </w:r>
    </w:p>
    <w:p w14:paraId="3F72C7E4" w14:textId="698E58B9" w:rsidR="00DE6B90" w:rsidRPr="00451B32" w:rsidRDefault="00DE6B90" w:rsidP="00DE6B90">
      <w:pPr>
        <w:rPr>
          <w:rFonts w:asciiTheme="majorHAnsi" w:hAnsiTheme="majorHAnsi" w:cstheme="majorHAnsi"/>
        </w:rPr>
      </w:pPr>
      <w:r w:rsidRPr="00451B32">
        <w:rPr>
          <w:rFonts w:asciiTheme="majorHAnsi" w:hAnsiTheme="majorHAnsi" w:cstheme="majorHAnsi"/>
        </w:rPr>
        <w:t xml:space="preserve">MODULE LEADER: </w:t>
      </w:r>
      <w:r w:rsidR="00980E4E" w:rsidRPr="00980E4E">
        <w:rPr>
          <w:rFonts w:cs="Arial"/>
          <w:b/>
          <w:bCs/>
        </w:rPr>
        <w:t>Afzal Munna</w:t>
      </w:r>
    </w:p>
    <w:p w14:paraId="316B5211" w14:textId="128A06F6" w:rsidR="00DE6B90" w:rsidRDefault="00DE6B90" w:rsidP="00DE6B90">
      <w:pPr>
        <w:rPr>
          <w:rFonts w:cs="Arial"/>
          <w:b/>
          <w:bCs/>
        </w:rPr>
      </w:pPr>
      <w:r w:rsidRPr="00451B32">
        <w:rPr>
          <w:rFonts w:asciiTheme="majorHAnsi" w:hAnsiTheme="majorHAnsi" w:cstheme="majorHAnsi"/>
        </w:rPr>
        <w:t xml:space="preserve">MODULE CODE: </w:t>
      </w:r>
      <w:r w:rsidR="00D21861" w:rsidRPr="00D21861">
        <w:rPr>
          <w:rFonts w:cs="Arial"/>
          <w:b/>
          <w:bCs/>
        </w:rPr>
        <w:t>BMSW4006</w:t>
      </w:r>
    </w:p>
    <w:p w14:paraId="238D5297" w14:textId="00D80D27" w:rsidR="00DE6B90" w:rsidRPr="00451B32" w:rsidRDefault="00DE6B90" w:rsidP="00DE6B90">
      <w:pPr>
        <w:rPr>
          <w:rFonts w:asciiTheme="majorHAnsi" w:hAnsiTheme="majorHAnsi" w:cstheme="majorHAnsi"/>
        </w:rPr>
      </w:pPr>
      <w:r w:rsidRPr="00DE6B90">
        <w:rPr>
          <w:rFonts w:asciiTheme="majorHAnsi" w:hAnsiTheme="majorHAnsi" w:cstheme="majorHAnsi"/>
        </w:rPr>
        <w:t xml:space="preserve">Module Name: </w:t>
      </w:r>
      <w:r w:rsidR="00D21861">
        <w:rPr>
          <w:rFonts w:cs="Arial"/>
          <w:b/>
          <w:bCs/>
        </w:rPr>
        <w:t>M</w:t>
      </w:r>
      <w:r w:rsidR="00D21861" w:rsidRPr="00D21861">
        <w:rPr>
          <w:rFonts w:cs="Arial"/>
          <w:b/>
          <w:bCs/>
        </w:rPr>
        <w:t>anaging Enterprise in the 21st Century</w:t>
      </w:r>
    </w:p>
    <w:p w14:paraId="7D3820A7" w14:textId="32AB0512" w:rsidR="00DE6B90" w:rsidRDefault="00DE6B90" w:rsidP="00DE6B90">
      <w:r w:rsidRPr="00451B32">
        <w:rPr>
          <w:rFonts w:asciiTheme="majorHAnsi" w:hAnsiTheme="majorHAnsi" w:cstheme="majorHAnsi"/>
        </w:rPr>
        <w:t>ASSIGNMENT DEADLINE:</w:t>
      </w:r>
      <w:r w:rsidR="00FA1401">
        <w:rPr>
          <w:rFonts w:asciiTheme="majorHAnsi" w:hAnsiTheme="majorHAnsi" w:cstheme="majorHAnsi"/>
        </w:rPr>
        <w:t xml:space="preserve"> </w:t>
      </w:r>
      <w:r w:rsidR="00D21861">
        <w:rPr>
          <w:rStyle w:val="Strong"/>
        </w:rPr>
        <w:t>Tuesday</w:t>
      </w:r>
      <w:r w:rsidRPr="00C94EC7">
        <w:rPr>
          <w:rStyle w:val="Strong"/>
        </w:rPr>
        <w:t xml:space="preserve"> </w:t>
      </w:r>
      <w:r w:rsidR="00C94EC7" w:rsidRPr="00C94EC7">
        <w:rPr>
          <w:rStyle w:val="Strong"/>
        </w:rPr>
        <w:t>0</w:t>
      </w:r>
      <w:r w:rsidR="00D21861">
        <w:rPr>
          <w:rStyle w:val="Strong"/>
        </w:rPr>
        <w:t>6</w:t>
      </w:r>
      <w:r w:rsidR="00C94EC7" w:rsidRPr="00C94EC7">
        <w:rPr>
          <w:rStyle w:val="Strong"/>
        </w:rPr>
        <w:t>/09/</w:t>
      </w:r>
      <w:r w:rsidRPr="00C94EC7">
        <w:rPr>
          <w:rStyle w:val="Strong"/>
        </w:rPr>
        <w:t>2022</w:t>
      </w:r>
      <w:r>
        <w:tab/>
      </w:r>
    </w:p>
    <w:p w14:paraId="3AFE6881" w14:textId="6DB76B16" w:rsidR="00DE6B90" w:rsidRPr="006304ED" w:rsidRDefault="00DE6B90" w:rsidP="00DE6B90">
      <w:pPr>
        <w:rPr>
          <w:rFonts w:asciiTheme="majorHAnsi" w:hAnsiTheme="majorHAnsi" w:cstheme="majorHAnsi"/>
        </w:rPr>
      </w:pPr>
      <w:r w:rsidRPr="006304ED">
        <w:rPr>
          <w:rFonts w:asciiTheme="majorHAnsi" w:hAnsiTheme="majorHAnsi" w:cstheme="majorHAnsi"/>
        </w:rPr>
        <w:t xml:space="preserve">SEMESTER/TRIMESTER: </w:t>
      </w:r>
      <w:r w:rsidR="00C94EC7" w:rsidRPr="00C94EC7">
        <w:rPr>
          <w:rStyle w:val="Strong"/>
        </w:rPr>
        <w:t>2</w:t>
      </w:r>
    </w:p>
    <w:p w14:paraId="4CFBF20E" w14:textId="59C2F603" w:rsidR="00DE6B90" w:rsidRPr="006304ED" w:rsidRDefault="00DE6B90" w:rsidP="00DE6B90">
      <w:pPr>
        <w:rPr>
          <w:rFonts w:asciiTheme="majorHAnsi" w:hAnsiTheme="majorHAnsi" w:cstheme="majorHAnsi"/>
        </w:rPr>
      </w:pPr>
      <w:r w:rsidRPr="006304ED">
        <w:rPr>
          <w:rFonts w:asciiTheme="majorHAnsi" w:hAnsiTheme="majorHAnsi" w:cstheme="majorHAnsi"/>
        </w:rPr>
        <w:t xml:space="preserve">ACADEMIC YEAR: </w:t>
      </w:r>
      <w:r w:rsidRPr="00C94EC7">
        <w:rPr>
          <w:rStyle w:val="Strong"/>
        </w:rPr>
        <w:t>202</w:t>
      </w:r>
      <w:r w:rsidR="00C94EC7" w:rsidRPr="00C94EC7">
        <w:rPr>
          <w:rStyle w:val="Strong"/>
        </w:rPr>
        <w:t>2</w:t>
      </w:r>
      <w:r w:rsidRPr="00C94EC7">
        <w:rPr>
          <w:rStyle w:val="Strong"/>
        </w:rPr>
        <w:t>/202</w:t>
      </w:r>
      <w:r w:rsidR="00C94EC7" w:rsidRPr="00C94EC7">
        <w:rPr>
          <w:rStyle w:val="Strong"/>
        </w:rPr>
        <w:t>3</w:t>
      </w:r>
    </w:p>
    <w:p w14:paraId="0D868B08" w14:textId="3E779AE7" w:rsidR="00DE6B90" w:rsidRPr="00DE6B90" w:rsidRDefault="00DE6B90" w:rsidP="00DE6B90"/>
    <w:p w14:paraId="065BF285" w14:textId="107387C0" w:rsidR="003C3D92" w:rsidRDefault="003C3D92" w:rsidP="003C3D92"/>
    <w:p w14:paraId="3B2B8367" w14:textId="0F5CD82B" w:rsidR="003C3D92" w:rsidRDefault="003C3D92" w:rsidP="003C3D92"/>
    <w:p w14:paraId="77DDA39D" w14:textId="0CDAAE82" w:rsidR="003C3D92" w:rsidRDefault="003C3D92" w:rsidP="003C3D92"/>
    <w:p w14:paraId="3C655711" w14:textId="16C9F69A" w:rsidR="003C3D92" w:rsidRDefault="003C3D92" w:rsidP="003C3D92"/>
    <w:p w14:paraId="5D063A1A" w14:textId="52EFCE36" w:rsidR="003C3D92" w:rsidRDefault="003C3D92" w:rsidP="003C3D92"/>
    <w:p w14:paraId="187E3848" w14:textId="19D552F4" w:rsidR="00664A3E" w:rsidRDefault="00895AB8" w:rsidP="00980E4E">
      <w:pPr>
        <w:pStyle w:val="Heading1"/>
      </w:pPr>
      <w:r>
        <w:lastRenderedPageBreak/>
        <w:t>Product description</w:t>
      </w:r>
    </w:p>
    <w:p w14:paraId="27DC1024" w14:textId="77777777" w:rsidR="00400568" w:rsidRPr="00400568" w:rsidRDefault="00400568" w:rsidP="00400568"/>
    <w:p w14:paraId="0A609E28" w14:textId="77777777" w:rsidR="00400568" w:rsidRDefault="00400568" w:rsidP="00400568">
      <w:pPr>
        <w:rPr>
          <w:rFonts w:ascii="Times New Roman" w:hAnsi="Times New Roman" w:cs="Times New Roman"/>
          <w:sz w:val="24"/>
          <w:szCs w:val="24"/>
          <w:lang w:val="en-US"/>
        </w:rPr>
      </w:pPr>
      <w:r w:rsidRPr="00895AB8">
        <w:rPr>
          <w:rFonts w:ascii="Times New Roman" w:hAnsi="Times New Roman" w:cs="Times New Roman"/>
          <w:sz w:val="24"/>
          <w:szCs w:val="24"/>
          <w:lang w:val="en-US"/>
        </w:rPr>
        <w:t>As the population increases, the demand for vehicles increases. People will need room for both driving and parking as the number of vehicles increases. As we all know, there is a finite available space, and the growth in the number of automobiles on the highways is producing traffic congestion, necessitating the need for parking spaces. Additionally, pollution is a contemporary concern. Each day, the pollution reaches new thresholds. Thus, the notion of a folding and transportable vehicle emerges.</w:t>
      </w:r>
    </w:p>
    <w:p w14:paraId="1494CD17" w14:textId="77777777" w:rsidR="00400568" w:rsidRDefault="00400568" w:rsidP="00400568">
      <w:pPr>
        <w:rPr>
          <w:rFonts w:ascii="Times New Roman" w:hAnsi="Times New Roman" w:cs="Times New Roman"/>
          <w:sz w:val="24"/>
          <w:szCs w:val="24"/>
          <w:lang w:val="en-US"/>
        </w:rPr>
      </w:pPr>
    </w:p>
    <w:p w14:paraId="3DA7E254" w14:textId="7631235F" w:rsidR="00400568" w:rsidRDefault="00400568" w:rsidP="00400568">
      <w:pPr>
        <w:pStyle w:val="Heading2"/>
        <w:rPr>
          <w:lang w:val="en-US"/>
        </w:rPr>
      </w:pPr>
      <w:r>
        <w:rPr>
          <w:lang w:val="en-US"/>
        </w:rPr>
        <w:t>Measurements</w:t>
      </w:r>
    </w:p>
    <w:p w14:paraId="6CA283E9" w14:textId="77777777" w:rsidR="00400568" w:rsidRDefault="00400568" w:rsidP="00400568">
      <w:pPr>
        <w:rPr>
          <w:rFonts w:ascii="Times New Roman" w:hAnsi="Times New Roman" w:cs="Times New Roman"/>
          <w:sz w:val="24"/>
          <w:szCs w:val="24"/>
          <w:lang w:val="en-US"/>
        </w:rPr>
      </w:pPr>
      <w:r w:rsidRPr="00895AB8">
        <w:rPr>
          <w:rFonts w:ascii="Times New Roman" w:hAnsi="Times New Roman" w:cs="Times New Roman"/>
          <w:sz w:val="24"/>
          <w:szCs w:val="24"/>
          <w:lang w:val="en-US"/>
        </w:rPr>
        <w:t xml:space="preserve">The Foldable e-bike is effortlessly collapsible; thus, it does not need a parking space. The folding </w:t>
      </w:r>
      <w:r>
        <w:rPr>
          <w:rFonts w:ascii="Times New Roman" w:hAnsi="Times New Roman" w:cs="Times New Roman"/>
          <w:sz w:val="24"/>
          <w:szCs w:val="24"/>
          <w:lang w:val="en-US"/>
        </w:rPr>
        <w:t xml:space="preserve">FDZ1 model </w:t>
      </w:r>
      <w:r w:rsidRPr="00895AB8">
        <w:rPr>
          <w:rFonts w:ascii="Times New Roman" w:hAnsi="Times New Roman" w:cs="Times New Roman"/>
          <w:sz w:val="24"/>
          <w:szCs w:val="24"/>
          <w:lang w:val="en-US"/>
        </w:rPr>
        <w:t xml:space="preserve">e-bike measures </w:t>
      </w:r>
      <w:r w:rsidRPr="00400568">
        <w:rPr>
          <w:rFonts w:ascii="Times New Roman" w:hAnsi="Times New Roman" w:cs="Times New Roman"/>
          <w:sz w:val="24"/>
          <w:szCs w:val="24"/>
          <w:lang w:val="en-US"/>
        </w:rPr>
        <w:t>93x73x55cm</w:t>
      </w:r>
      <w:r w:rsidRPr="00482FC4">
        <w:rPr>
          <w:rFonts w:ascii="Times New Roman" w:hAnsi="Times New Roman" w:cs="Times New Roman"/>
          <w:sz w:val="24"/>
          <w:szCs w:val="24"/>
          <w:lang w:val="en-US"/>
        </w:rPr>
        <w:t xml:space="preserve"> </w:t>
      </w:r>
      <w:r w:rsidRPr="00895AB8">
        <w:rPr>
          <w:rFonts w:ascii="Times New Roman" w:hAnsi="Times New Roman" w:cs="Times New Roman"/>
          <w:sz w:val="24"/>
          <w:szCs w:val="24"/>
          <w:lang w:val="en-US"/>
        </w:rPr>
        <w:t>making it five times narrower than a standard automobile. It may be used in different retail malls, enterprises, college campuses, etc. due to its compactness. In many circumstances, a foldable e-bike may be utilized to travel short distances. On the roads, it can be utilized for travel. Instead than queuing up for a cab or shuttle, our customer decides to drive himself. It may be constructed in about one to two minutes and includes operational brake lights and turn signals.</w:t>
      </w:r>
    </w:p>
    <w:p w14:paraId="31AB61DB" w14:textId="77777777" w:rsidR="00400568" w:rsidRDefault="00400568" w:rsidP="00400568">
      <w:pPr>
        <w:pStyle w:val="Heading2"/>
        <w:rPr>
          <w:lang w:val="en-US"/>
        </w:rPr>
      </w:pPr>
      <w:r>
        <w:rPr>
          <w:lang w:val="en-US"/>
        </w:rPr>
        <w:t>Motor</w:t>
      </w:r>
    </w:p>
    <w:p w14:paraId="16D5CABB" w14:textId="77777777" w:rsidR="00400568" w:rsidRDefault="00400568" w:rsidP="00400568">
      <w:pPr>
        <w:rPr>
          <w:lang w:val="en-US"/>
        </w:rPr>
      </w:pPr>
      <w:r w:rsidRPr="006272D9">
        <w:rPr>
          <w:lang w:val="en-US"/>
        </w:rPr>
        <w:t>To alleviate the aforementioned shortcomings of the current concept, we are replacing the engine with a rear-mounted 250w brushless motor and battery positioned in the back. Foldable e-bikes may be constructed and disassembled on demand and can be transported anywhere. If necessary, we can construct and operate the vehicle in less than two minutes. In this foldable e-bike, there are two wheels, the power is sent to the rear wheels through a shaft, and the front wheel is utilized for steering.</w:t>
      </w:r>
    </w:p>
    <w:p w14:paraId="22CF15F1" w14:textId="77777777" w:rsidR="00400568" w:rsidRPr="006272D9" w:rsidRDefault="00400568" w:rsidP="00400568">
      <w:pPr>
        <w:pStyle w:val="Heading2"/>
        <w:rPr>
          <w:lang w:val="en-US"/>
        </w:rPr>
      </w:pPr>
      <w:r>
        <w:rPr>
          <w:lang w:val="en-US"/>
        </w:rPr>
        <w:t>Tyers</w:t>
      </w:r>
    </w:p>
    <w:p w14:paraId="1FF0654D" w14:textId="2FC80093" w:rsidR="00400568" w:rsidRDefault="00400568" w:rsidP="00400568">
      <w:r>
        <w:t>Wheels must be sturdy enough to sustain the vehicle's weight and resist the forces generated by typical operation. In addition, they must be as light as possible in order to minimise unstrung mass. Our e-bike versions include 16x1.75-inch and 26x1.25-inch tyres, with 16- and 26-inch wheels.</w:t>
      </w:r>
    </w:p>
    <w:p w14:paraId="646AEDD9" w14:textId="2AAB36BC" w:rsidR="00400568" w:rsidRDefault="00400568" w:rsidP="00400568">
      <w:r>
        <w:lastRenderedPageBreak/>
        <w:t>Research proved that a 25mm wide tyre rolls quicker than the 23mm most usually sought, there has been an increase in the demand for larger tyres. According to Wheel Energy Oy(</w:t>
      </w:r>
      <w:r w:rsidR="00980E4E">
        <w:t xml:space="preserve"> cited in </w:t>
      </w:r>
      <w:r w:rsidR="00980E4E" w:rsidRPr="00980E4E">
        <w:t>Fricker, 2017</w:t>
      </w:r>
      <w:r>
        <w:t>) specialized produces a 26mm wide tyre that, when evaluated for speed, Finland, outperformed all others from a variety of widths included in the research. The analysis also revealed that tubeless tyres are the best option for riders seeking a dependable tyre with a low rolling resistance. Not surprisingly, tubular tyres – sometimes known as "tubs" – seem to be more popular than ever, not just on race bikes as well as for training.</w:t>
      </w:r>
    </w:p>
    <w:p w14:paraId="7533847B" w14:textId="77777777" w:rsidR="00400568" w:rsidRDefault="00400568" w:rsidP="00400568">
      <w:pPr>
        <w:pStyle w:val="Heading2"/>
      </w:pPr>
      <w:r>
        <w:t>Battery</w:t>
      </w:r>
    </w:p>
    <w:p w14:paraId="546E5D0A" w14:textId="77777777" w:rsidR="00400568" w:rsidRDefault="00400568" w:rsidP="00400568">
      <w:r w:rsidRPr="00BF06C4">
        <w:t xml:space="preserve">Rolla makes use of a novel lithium secondary battery system. </w:t>
      </w:r>
      <w:r>
        <w:t>Our e-bikes feature</w:t>
      </w:r>
      <w:r w:rsidRPr="00BF06C4">
        <w:t xml:space="preserve"> 36V 8.7Ah lithium batteries with a range of 60 kilometres that can be charged in 3 to 4 hours.</w:t>
      </w:r>
      <w:r>
        <w:t xml:space="preserve"> </w:t>
      </w:r>
      <w:r w:rsidRPr="00BF06C4">
        <w:t>This innovative battery has both high-energy and high-safety properties, and the utilisation of a lithium/Sn–C composite anode is successful in eliminating inherent safety difficulties associated with metallic lithium anodes in Li/S batteries</w:t>
      </w:r>
      <w:r>
        <w:t xml:space="preserve"> </w:t>
      </w:r>
      <w:r w:rsidRPr="00BF06C4">
        <w:t>(Sun et al., 2007). Moreover, since the ingredients for this battery are generally accessible and inexpensive, as well as its easy assembly processes, this technology has enormous industrial application potential.</w:t>
      </w:r>
    </w:p>
    <w:p w14:paraId="28F43A4D" w14:textId="77777777" w:rsidR="00400568" w:rsidRDefault="00400568" w:rsidP="00400568">
      <w:pPr>
        <w:pStyle w:val="Heading2"/>
      </w:pPr>
      <w:r>
        <w:t>Half – folding method</w:t>
      </w:r>
    </w:p>
    <w:p w14:paraId="3C6D6481" w14:textId="77777777" w:rsidR="00400568" w:rsidRDefault="00400568" w:rsidP="00400568">
      <w:r w:rsidRPr="00BF7BD3">
        <w:t>Numerous folding frames resemble the safety bicycle's diamond-shaped frame, but contain a hinge point (single or multiple hinges) that enables the bicycle to fold nearly in half. Seat columns and steering may be raised or lowered using quick-release clamps. Combining a comparable swing hinge with a foldable steering column is possible. Folding designs may have bigger wheels, or wheels of the same size as non-folding versions, for consumers who choose riding above foldability</w:t>
      </w:r>
      <w:r>
        <w:t xml:space="preserve">, like our </w:t>
      </w:r>
      <w:r w:rsidRPr="00D5763A">
        <w:t>FDM1</w:t>
      </w:r>
      <w:r>
        <w:t xml:space="preserve"> model</w:t>
      </w:r>
      <w:r w:rsidRPr="00BF7BD3">
        <w:t xml:space="preserve">. </w:t>
      </w:r>
      <w:r w:rsidRPr="00111176">
        <w:t>Gocycle</w:t>
      </w:r>
      <w:r w:rsidRPr="00BF7BD3">
        <w:t xml:space="preserve">, </w:t>
      </w:r>
      <w:r w:rsidRPr="00111176">
        <w:t>M</w:t>
      </w:r>
      <w:r>
        <w:t>irider</w:t>
      </w:r>
      <w:r w:rsidRPr="00BF7BD3">
        <w:t xml:space="preserve">, and </w:t>
      </w:r>
      <w:r w:rsidRPr="00111176">
        <w:t>Brompton</w:t>
      </w:r>
      <w:r w:rsidRPr="00BF7BD3">
        <w:t xml:space="preserve"> are manufacturers of bicycles using this kind of fold.</w:t>
      </w:r>
    </w:p>
    <w:p w14:paraId="4BB57C1C" w14:textId="77777777" w:rsidR="00400568" w:rsidRDefault="00400568" w:rsidP="00400568">
      <w:pPr>
        <w:pStyle w:val="Heading2"/>
      </w:pPr>
      <w:r w:rsidRPr="008E08ED">
        <w:t>Chassis</w:t>
      </w:r>
      <w:r>
        <w:t xml:space="preserve"> - </w:t>
      </w:r>
      <w:r w:rsidRPr="008E08ED">
        <w:t>magnesium alloy</w:t>
      </w:r>
    </w:p>
    <w:p w14:paraId="0C671072" w14:textId="77777777" w:rsidR="00400568" w:rsidRDefault="00400568" w:rsidP="00400568">
      <w:r w:rsidRPr="003A2AF9">
        <w:t>Rolla e-bikes will use a magnesium alloys chassis because according to recent studies magnesium alloy is lighter than most metal, such as aluminium and steel.</w:t>
      </w:r>
      <w:r>
        <w:t xml:space="preserve"> </w:t>
      </w:r>
      <w:r w:rsidRPr="003A2AF9">
        <w:t>According to Aghion, Bronfin, and Eliezer (2001), magnesium alloys are the lightest structural material and are thus well suited for use in the transportation sector. Components of magnesium alloys are often manufactured using a variety of casting techniques.</w:t>
      </w:r>
    </w:p>
    <w:p w14:paraId="68EEA9D2" w14:textId="77777777" w:rsidR="00400568" w:rsidRDefault="00400568" w:rsidP="00400568">
      <w:pPr>
        <w:pStyle w:val="Heading2"/>
      </w:pPr>
      <w:r>
        <w:lastRenderedPageBreak/>
        <w:t>Brakes</w:t>
      </w:r>
    </w:p>
    <w:p w14:paraId="26F5D746" w14:textId="77777777" w:rsidR="00400568" w:rsidRDefault="00400568" w:rsidP="00400568">
      <w:r>
        <w:t>A disc brake is a form of brake in which callipers push plates onto a disc or "wheel" to generate friction. This operation inhibits the spinning of a wheel, such as the axle of a vehicle, either to lower its rotational speed or to stop it. The motion energy is turned into waste heat that must be dissipated.</w:t>
      </w:r>
    </w:p>
    <w:p w14:paraId="4050672E" w14:textId="77777777" w:rsidR="00400568" w:rsidRDefault="00400568" w:rsidP="00400568">
      <w:r>
        <w:t>Mountain bike disc brakes may vary from basic, mechanical (cable) systems to costly, effective, multi-piston hydraulic disc systems, which are typically seen on mountain competition bicycles. As a result of technological advancements, vented discs, similar to those used on automobiles, have been developed for use on mountain bikes to prevent heat fade during rapid alpine descents. </w:t>
      </w:r>
    </w:p>
    <w:p w14:paraId="679325E0" w14:textId="77777777" w:rsidR="00400568" w:rsidRDefault="00400568" w:rsidP="00400568">
      <w:pPr>
        <w:pStyle w:val="Heading2"/>
      </w:pPr>
    </w:p>
    <w:p w14:paraId="1320FE3C" w14:textId="77777777" w:rsidR="00400568" w:rsidRDefault="00400568" w:rsidP="00400568">
      <w:pPr>
        <w:pStyle w:val="Heading2"/>
      </w:pPr>
      <w:r w:rsidRPr="00EC4736">
        <w:t>Throttle</w:t>
      </w:r>
    </w:p>
    <w:p w14:paraId="73C600EF" w14:textId="77777777" w:rsidR="00400568" w:rsidRDefault="00400568" w:rsidP="00400568">
      <w:r>
        <w:t xml:space="preserve">Rolla employs full-twist-throttle. </w:t>
      </w:r>
      <w:r w:rsidRPr="00694EDF">
        <w:t>The throttle on an electric bicycle is the physical link you have with your e-bike.</w:t>
      </w:r>
    </w:p>
    <w:p w14:paraId="0E1ED96C" w14:textId="77777777" w:rsidR="00400568" w:rsidRDefault="00400568" w:rsidP="00400568">
      <w:r>
        <w:t>Full twist throttles are the opposite of thumb throttles in that they are the biggest form of E-bike throttle and demand the use of the entire hand to control. The full twist throttle occupies the whole end of the handlebar, totally replacing any grip that was previously on the end of the handlebar.</w:t>
      </w:r>
    </w:p>
    <w:p w14:paraId="43A14FF2" w14:textId="655A3320" w:rsidR="00400568" w:rsidRDefault="00400568" w:rsidP="00980E4E">
      <w:r>
        <w:t>The rider merely takes a grip of throttle and turns it back towards himself to operate it. The full twist throttle will be recognisable to anybody who has driven a motorbike or scooter. It works similarly to the throttle on most bikes. Many people favour full twist throttles since they require the use of the whole hand - all five fingers grasp that sucker. This helps you to grip on firmly, handle properly, and twist using your wrist rather than your thumb.</w:t>
      </w:r>
    </w:p>
    <w:p w14:paraId="1E84D061" w14:textId="77777777" w:rsidR="00400568" w:rsidRDefault="00400568" w:rsidP="00400568">
      <w:pPr>
        <w:pStyle w:val="Title"/>
      </w:pPr>
    </w:p>
    <w:p w14:paraId="683AEE6E" w14:textId="77777777" w:rsidR="00400568" w:rsidRDefault="00400568" w:rsidP="00980E4E">
      <w:pPr>
        <w:pStyle w:val="Heading1"/>
      </w:pPr>
      <w:r>
        <w:t>Operations</w:t>
      </w:r>
    </w:p>
    <w:p w14:paraId="37D9DFF5" w14:textId="77777777" w:rsidR="00400568" w:rsidRPr="005A7FAB" w:rsidRDefault="00400568" w:rsidP="00400568"/>
    <w:p w14:paraId="3C71865B" w14:textId="77777777" w:rsidR="00400568" w:rsidRDefault="00400568" w:rsidP="00400568">
      <w:pPr>
        <w:pStyle w:val="Heading2"/>
      </w:pPr>
      <w:r>
        <w:t>Working principles</w:t>
      </w:r>
    </w:p>
    <w:p w14:paraId="6A3C2E6B" w14:textId="77777777" w:rsidR="00400568" w:rsidRDefault="00400568" w:rsidP="00400568">
      <w:r>
        <w:t xml:space="preserve">The operation of a folding electric bike may be divided into two parts: </w:t>
      </w:r>
    </w:p>
    <w:p w14:paraId="21CDA526" w14:textId="77777777" w:rsidR="00400568" w:rsidRDefault="00400568" w:rsidP="00400568">
      <w:pPr>
        <w:pStyle w:val="Heading2"/>
      </w:pPr>
      <w:r>
        <w:lastRenderedPageBreak/>
        <w:t>1. Electric operation</w:t>
      </w:r>
    </w:p>
    <w:p w14:paraId="69457A52" w14:textId="77777777" w:rsidR="00400568" w:rsidRDefault="00400568" w:rsidP="00400568">
      <w:r>
        <w:t>The electric system consists mostly of batteries, a brushless DC motor, and a controller. The controller connects the batteries to the brushless DC motor. The controller is linked to the throttle as well as the e-brakes. The brushless DC motor will be powered by the batteries, which will be charged by a 220V, 2amp power source. The brushless DC motor's speed is controlled via the throttle. The vehicle speed is raised or lowered when the throttle is accelerated by adjusting the current supply via the controller. When the e-brakes are applied to the bike, the circuit is broken and the power to the motor is switched off.</w:t>
      </w:r>
    </w:p>
    <w:p w14:paraId="29727BA0" w14:textId="77777777" w:rsidR="00400568" w:rsidRDefault="00400568" w:rsidP="00400568">
      <w:pPr>
        <w:pStyle w:val="Heading2"/>
      </w:pPr>
      <w:r>
        <w:t>2. Mechanical operation</w:t>
      </w:r>
    </w:p>
    <w:p w14:paraId="27FD68D1" w14:textId="77777777" w:rsidR="00400568" w:rsidRDefault="00400568" w:rsidP="00400568">
      <w:r>
        <w:t>Foldable joints in the mechanical functioning allow us to fold the bike after usage and store it or bring it wherever. This bike also includes a fast release mechanism that keeps the frame together while the bicycle is open and ready to drive while also allowing the frame to shut into a compact shape when required. The bike may be started by inserting a key into the key slot and accelerated by using the throttle. The back wheel will begin to rotate, driving the front wheel and propelling the bike ahead. When we finish riding the bike, we may fold it into a small shape that can be kept anywhere and charged and utilised.</w:t>
      </w:r>
    </w:p>
    <w:p w14:paraId="3FAADC8A" w14:textId="77777777" w:rsidR="00400568" w:rsidRDefault="00400568" w:rsidP="00400568">
      <w:pPr>
        <w:pStyle w:val="Heading2"/>
      </w:pPr>
    </w:p>
    <w:p w14:paraId="18DB5FF8" w14:textId="77777777" w:rsidR="00400568" w:rsidRDefault="00400568" w:rsidP="00400568">
      <w:pPr>
        <w:pStyle w:val="Heading2"/>
      </w:pPr>
    </w:p>
    <w:p w14:paraId="32FD6BA9" w14:textId="77777777" w:rsidR="00400568" w:rsidRDefault="00400568" w:rsidP="00400568">
      <w:pPr>
        <w:pStyle w:val="Heading2"/>
      </w:pPr>
      <w:r>
        <w:t>Ordering</w:t>
      </w:r>
    </w:p>
    <w:p w14:paraId="3F17FF92" w14:textId="77777777" w:rsidR="00400568" w:rsidRDefault="00400568" w:rsidP="00400568">
      <w:r w:rsidRPr="00103468">
        <w:t>To order an e</w:t>
      </w:r>
      <w:r>
        <w:t>-</w:t>
      </w:r>
      <w:r w:rsidRPr="00103468">
        <w:t>bike, our customers go to our website or Amazon Marketplace shop. From there, they choose the model they want, and add it to the cart. After adding a shipping method and payment information, they're taken to a page where they can review their order information before finalizing it.</w:t>
      </w:r>
      <w:r>
        <w:t xml:space="preserve"> Furthermore, w</w:t>
      </w:r>
      <w:r w:rsidRPr="00103468">
        <w:t>hen an order is placed on our website, our team creates an order entry ticket and inventory is updated to reflect the new order. When an order is placed on Amazon Marketplace, inventory is updated to reflect the new order.</w:t>
      </w:r>
      <w:r>
        <w:t xml:space="preserve"> This means that when the customers places an order via our official website or Amazon Marketplace our order list gets to be updated and forwarded to our supplier in China so that our partner can fabricate and deliver the bikes in fashionable manner.</w:t>
      </w:r>
    </w:p>
    <w:p w14:paraId="16B46154" w14:textId="77777777" w:rsidR="00400568" w:rsidRDefault="00400568" w:rsidP="00400568"/>
    <w:p w14:paraId="21068C77" w14:textId="77777777" w:rsidR="00400568" w:rsidRDefault="00400568" w:rsidP="00400568">
      <w:pPr>
        <w:pStyle w:val="Heading2"/>
      </w:pPr>
      <w:r>
        <w:lastRenderedPageBreak/>
        <w:t>Inspection and assembly</w:t>
      </w:r>
    </w:p>
    <w:p w14:paraId="13476682" w14:textId="77777777" w:rsidR="00400568" w:rsidRDefault="00400568" w:rsidP="00400568">
      <w:r>
        <w:t>We have agreed with our supplier to deliver our bikes from China in batches. For example, a box will contain throttles, next box will contain disk brakes and so on. We will use this partitioning method in order to save storage space and delivery cost.</w:t>
      </w:r>
    </w:p>
    <w:p w14:paraId="35344253" w14:textId="77777777" w:rsidR="00400568" w:rsidRDefault="00400568" w:rsidP="00400568">
      <w:r>
        <w:t xml:space="preserve">Up on arrival our inspectors will inspect the bicycle parts, assembly the bicycle and pack it accordingly to be delivered to our U.K based customers. </w:t>
      </w:r>
    </w:p>
    <w:p w14:paraId="30E12D5D" w14:textId="77777777" w:rsidR="00400568" w:rsidRDefault="00400568" w:rsidP="00400568">
      <w:pPr>
        <w:pStyle w:val="Heading2"/>
      </w:pPr>
      <w:r>
        <w:t>N</w:t>
      </w:r>
      <w:r w:rsidRPr="00247EDA">
        <w:t>ext day delivery</w:t>
      </w:r>
      <w:r>
        <w:t xml:space="preserve"> </w:t>
      </w:r>
    </w:p>
    <w:p w14:paraId="49962000" w14:textId="77777777" w:rsidR="00400568" w:rsidRDefault="00400568" w:rsidP="00400568">
      <w:r>
        <w:t>Once packed package will be delivered via next day delivery, fast shipment method.</w:t>
      </w:r>
    </w:p>
    <w:p w14:paraId="1F568A53" w14:textId="77777777" w:rsidR="00400568" w:rsidRDefault="00400568" w:rsidP="00400568">
      <w:r>
        <w:t>We estimate that the t</w:t>
      </w:r>
      <w:r w:rsidRPr="005A7FAB">
        <w:t xml:space="preserve">otal delivery time </w:t>
      </w:r>
      <w:r>
        <w:t xml:space="preserve">will </w:t>
      </w:r>
      <w:r w:rsidRPr="005A7FAB">
        <w:t>be 5 – 7 working days</w:t>
      </w:r>
      <w:r>
        <w:t>.</w:t>
      </w:r>
    </w:p>
    <w:p w14:paraId="56056253" w14:textId="77777777" w:rsidR="00400568" w:rsidRDefault="00400568" w:rsidP="00400568"/>
    <w:p w14:paraId="2799F1A1" w14:textId="77777777" w:rsidR="00400568" w:rsidRDefault="00400568" w:rsidP="00400568">
      <w:pPr>
        <w:pStyle w:val="Title"/>
      </w:pPr>
    </w:p>
    <w:p w14:paraId="57D78168" w14:textId="77777777" w:rsidR="00400568" w:rsidRDefault="00400568" w:rsidP="00400568">
      <w:pPr>
        <w:pStyle w:val="Title"/>
      </w:pPr>
    </w:p>
    <w:p w14:paraId="018C5D69" w14:textId="77777777" w:rsidR="00400568" w:rsidRDefault="00400568" w:rsidP="00400568">
      <w:pPr>
        <w:pStyle w:val="Title"/>
      </w:pPr>
    </w:p>
    <w:p w14:paraId="00E82478" w14:textId="77777777" w:rsidR="00400568" w:rsidRPr="005A7FAB" w:rsidRDefault="00400568" w:rsidP="00400568">
      <w:pPr>
        <w:pStyle w:val="Title"/>
      </w:pPr>
      <w:r>
        <w:t>Warranty</w:t>
      </w:r>
    </w:p>
    <w:p w14:paraId="64CBC039" w14:textId="77777777" w:rsidR="00400568" w:rsidRDefault="00400568" w:rsidP="00400568"/>
    <w:p w14:paraId="779A2B9F" w14:textId="77777777" w:rsidR="00400568" w:rsidRDefault="00400568" w:rsidP="00400568">
      <w:r w:rsidRPr="005A7FAB">
        <w:t>ROLLA E-BIKE COME</w:t>
      </w:r>
      <w:r>
        <w:t>S</w:t>
      </w:r>
      <w:r w:rsidRPr="005A7FAB">
        <w:t xml:space="preserve"> WITH A 2-YEAR WARRANTY ON:</w:t>
      </w:r>
    </w:p>
    <w:p w14:paraId="70886D57" w14:textId="77777777" w:rsidR="00400568" w:rsidRDefault="00400568" w:rsidP="00400568">
      <w:pPr>
        <w:pStyle w:val="ListParagraph"/>
        <w:numPr>
          <w:ilvl w:val="0"/>
          <w:numId w:val="8"/>
        </w:numPr>
      </w:pPr>
      <w:r w:rsidRPr="005A7FAB">
        <w:t>30 days MONEY BACK GUARANTEE</w:t>
      </w:r>
    </w:p>
    <w:p w14:paraId="3CD7A91A" w14:textId="77777777" w:rsidR="00400568" w:rsidRDefault="00400568" w:rsidP="00400568">
      <w:pPr>
        <w:pStyle w:val="ListParagraph"/>
      </w:pPr>
      <w:r w:rsidRPr="008F0B1A">
        <w:t>We have confidence in the quality of our folding hybrid bicycle. In fact, we are so confident that if our clients tries it and do not like it, their money will be refunded. If our client is not completely pleased for any reason with our bike they can return it to us and Rolla will provide a full refund, no questions asked. We, at Rolla, want those who are sceptical about purchasing an e-bike to personally experience its greatness. </w:t>
      </w:r>
    </w:p>
    <w:p w14:paraId="387F2615" w14:textId="77777777" w:rsidR="00400568" w:rsidRDefault="00400568" w:rsidP="00400568">
      <w:pPr>
        <w:pStyle w:val="ListParagraph"/>
      </w:pPr>
    </w:p>
    <w:p w14:paraId="00E4D317" w14:textId="77777777" w:rsidR="00400568" w:rsidRDefault="00400568" w:rsidP="00400568">
      <w:pPr>
        <w:pStyle w:val="ListParagraph"/>
        <w:numPr>
          <w:ilvl w:val="0"/>
          <w:numId w:val="8"/>
        </w:numPr>
      </w:pPr>
      <w:r w:rsidRPr="005A7FAB">
        <w:t>Defects or damage to the frame and the motor.</w:t>
      </w:r>
    </w:p>
    <w:p w14:paraId="6582DC90" w14:textId="77777777" w:rsidR="00400568" w:rsidRDefault="00400568" w:rsidP="00400568">
      <w:pPr>
        <w:pStyle w:val="ListParagraph"/>
      </w:pPr>
      <w:r w:rsidRPr="006A625E">
        <w:t>The warranty protects the user from defects or damage to the frame and the motor. The warranty is valid for two years after the date of purchase.</w:t>
      </w:r>
      <w:r>
        <w:t xml:space="preserve"> </w:t>
      </w:r>
      <w:r w:rsidRPr="00810D1E">
        <w:t xml:space="preserve">The company will </w:t>
      </w:r>
      <w:r w:rsidRPr="00810D1E">
        <w:lastRenderedPageBreak/>
        <w:t xml:space="preserve">replace or repair the product free of charge. Proof of purchase is required. The warranty is valid for </w:t>
      </w:r>
      <w:r>
        <w:t>two</w:t>
      </w:r>
      <w:r w:rsidRPr="00810D1E">
        <w:t xml:space="preserve"> year</w:t>
      </w:r>
      <w:r>
        <w:t>s</w:t>
      </w:r>
      <w:r w:rsidRPr="00810D1E">
        <w:t>.</w:t>
      </w:r>
    </w:p>
    <w:p w14:paraId="68547DE4" w14:textId="77777777" w:rsidR="00400568" w:rsidRDefault="00400568" w:rsidP="00400568">
      <w:pPr>
        <w:pStyle w:val="ListParagraph"/>
        <w:numPr>
          <w:ilvl w:val="0"/>
          <w:numId w:val="8"/>
        </w:numPr>
      </w:pPr>
      <w:r w:rsidRPr="005A7FAB">
        <w:t>Bicycle component malfunctions and/or breakages (handlebars, brake levers ,wheels, pedals etc.)</w:t>
      </w:r>
    </w:p>
    <w:p w14:paraId="0C6E899E" w14:textId="77777777" w:rsidR="00400568" w:rsidRDefault="00400568" w:rsidP="00400568">
      <w:pPr>
        <w:pStyle w:val="ListParagraph"/>
      </w:pPr>
      <w:r w:rsidRPr="006A625E">
        <w:t>Bike riding is an activity that comes with a certain amount of risk. Risks inherent in the sport are the responsibility of the rider. However, manufacturer's defects and product malfunctions are not the fault of the rider and require a solution to be provided by the manufacturer</w:t>
      </w:r>
      <w:r>
        <w:t>.</w:t>
      </w:r>
    </w:p>
    <w:p w14:paraId="07A23A8F" w14:textId="77777777" w:rsidR="00400568" w:rsidRDefault="00400568" w:rsidP="00400568">
      <w:pPr>
        <w:pStyle w:val="ListParagraph"/>
      </w:pPr>
    </w:p>
    <w:p w14:paraId="75AD305A" w14:textId="77777777" w:rsidR="00400568" w:rsidRDefault="00400568" w:rsidP="00400568">
      <w:pPr>
        <w:pStyle w:val="ListParagraph"/>
      </w:pPr>
      <w:r w:rsidRPr="00810D1E">
        <w:t>The bicycle components malfunctions and/or breakages (handlebars, brake levers ,wheels, pedals etc.). These are the damages that are covered by the warranty. The duration of this warranty is correlated to the life expectancy of a product and is clearly detailed on the respective product page. Warranty coverage starts from the date of delivery of the goods by us to you.</w:t>
      </w:r>
    </w:p>
    <w:p w14:paraId="1024D393" w14:textId="77777777" w:rsidR="00400568" w:rsidRDefault="00400568" w:rsidP="00400568">
      <w:pPr>
        <w:pStyle w:val="ListParagraph"/>
      </w:pPr>
    </w:p>
    <w:p w14:paraId="6FD57103" w14:textId="77777777" w:rsidR="00400568" w:rsidRDefault="00400568" w:rsidP="00400568">
      <w:pPr>
        <w:pStyle w:val="ListParagraph"/>
      </w:pPr>
      <w:r>
        <w:t>The warranty does not cover:</w:t>
      </w:r>
    </w:p>
    <w:p w14:paraId="6A5D6C49" w14:textId="77777777" w:rsidR="00400568" w:rsidRDefault="00400568" w:rsidP="00400568">
      <w:pPr>
        <w:pStyle w:val="ListParagraph"/>
      </w:pPr>
    </w:p>
    <w:p w14:paraId="1D101173" w14:textId="77777777" w:rsidR="00400568" w:rsidRDefault="00400568" w:rsidP="00400568">
      <w:pPr>
        <w:pStyle w:val="ListParagraph"/>
      </w:pPr>
      <w:r>
        <w:t>- Normal wear and tear items such as tires and inner tubes. These are consumable parts and are expected to show wear during their useful life;</w:t>
      </w:r>
    </w:p>
    <w:p w14:paraId="0C7A35F5" w14:textId="77777777" w:rsidR="00400568" w:rsidRDefault="00400568" w:rsidP="00400568">
      <w:pPr>
        <w:pStyle w:val="ListParagraph"/>
      </w:pPr>
    </w:p>
    <w:p w14:paraId="4774AEED" w14:textId="77777777" w:rsidR="00400568" w:rsidRDefault="00400568" w:rsidP="00400568">
      <w:pPr>
        <w:pStyle w:val="ListParagraph"/>
      </w:pPr>
      <w:r>
        <w:t>- In case of damage caused by an accident, neglect or abuse;</w:t>
      </w:r>
    </w:p>
    <w:p w14:paraId="62679968" w14:textId="77777777" w:rsidR="00400568" w:rsidRDefault="00400568" w:rsidP="00400568">
      <w:pPr>
        <w:pStyle w:val="ListParagraph"/>
      </w:pPr>
    </w:p>
    <w:p w14:paraId="3B75066B" w14:textId="77777777" w:rsidR="00400568" w:rsidRDefault="00400568" w:rsidP="00400568">
      <w:pPr>
        <w:pStyle w:val="ListParagraph"/>
      </w:pPr>
      <w:r>
        <w:t>- Improper assembly or use of non-genuine parts;</w:t>
      </w:r>
    </w:p>
    <w:p w14:paraId="13841655" w14:textId="77777777" w:rsidR="00400568" w:rsidRDefault="00400568" w:rsidP="00400568">
      <w:pPr>
        <w:pStyle w:val="ListParagraph"/>
      </w:pPr>
    </w:p>
    <w:p w14:paraId="4D597E17" w14:textId="77777777" w:rsidR="00400568" w:rsidRDefault="00400568" w:rsidP="00400568">
      <w:pPr>
        <w:pStyle w:val="ListParagraph"/>
      </w:pPr>
      <w:r>
        <w:t>- Damage caused by use outside of normal operating conditions;</w:t>
      </w:r>
    </w:p>
    <w:p w14:paraId="7D470F92" w14:textId="77777777" w:rsidR="00400568" w:rsidRDefault="00400568" w:rsidP="00400568">
      <w:pPr>
        <w:pStyle w:val="ListParagraph"/>
      </w:pPr>
    </w:p>
    <w:p w14:paraId="2A2D3E5D" w14:textId="77777777" w:rsidR="00400568" w:rsidRPr="005A7FAB" w:rsidRDefault="00400568" w:rsidP="00400568">
      <w:pPr>
        <w:pStyle w:val="ListParagraph"/>
      </w:pPr>
      <w:r>
        <w:t>- Damage caused by improper assembly, maintenance or repair.</w:t>
      </w:r>
    </w:p>
    <w:p w14:paraId="2A44C8EC" w14:textId="06E7866C" w:rsidR="009E0B33" w:rsidRDefault="009E0B33" w:rsidP="00400568">
      <w:pPr>
        <w:rPr>
          <w:rFonts w:ascii="Times New Roman" w:hAnsi="Times New Roman" w:cs="Times New Roman"/>
          <w:sz w:val="24"/>
          <w:szCs w:val="24"/>
          <w:lang w:val="en-US"/>
        </w:rPr>
      </w:pPr>
    </w:p>
    <w:p w14:paraId="7D5D2506" w14:textId="77777777" w:rsidR="00E558C1" w:rsidRDefault="00E558C1" w:rsidP="00E558C1">
      <w:pPr>
        <w:pStyle w:val="Heading1"/>
        <w:rPr>
          <w:lang w:val="en-US"/>
        </w:rPr>
      </w:pPr>
    </w:p>
    <w:p w14:paraId="4BD366F4" w14:textId="77777777" w:rsidR="00E558C1" w:rsidRDefault="00E558C1" w:rsidP="00E558C1">
      <w:pPr>
        <w:pStyle w:val="Heading1"/>
        <w:rPr>
          <w:lang w:val="en-US"/>
        </w:rPr>
      </w:pPr>
    </w:p>
    <w:p w14:paraId="155A8BFA" w14:textId="77777777" w:rsidR="00E558C1" w:rsidRDefault="00E558C1" w:rsidP="00E558C1">
      <w:pPr>
        <w:pStyle w:val="Heading1"/>
        <w:rPr>
          <w:lang w:val="en-US"/>
        </w:rPr>
      </w:pPr>
    </w:p>
    <w:p w14:paraId="7B1C950D" w14:textId="6A13D18A" w:rsidR="00E558C1" w:rsidRDefault="00E558C1" w:rsidP="00E558C1">
      <w:pPr>
        <w:pStyle w:val="Heading1"/>
        <w:rPr>
          <w:lang w:val="en-US"/>
        </w:rPr>
      </w:pPr>
      <w:r>
        <w:rPr>
          <w:lang w:val="en-US"/>
        </w:rPr>
        <w:t>Reference List</w:t>
      </w:r>
    </w:p>
    <w:p w14:paraId="5BC9B6CB" w14:textId="77777777" w:rsidR="00E558C1" w:rsidRDefault="00E558C1" w:rsidP="00E558C1">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 xml:space="preserve">Aghion, E., Bronfin, B. and Eliezer, D. (2001). The role of the magnesium industry in protecting the environment. </w:t>
      </w:r>
      <w:r>
        <w:rPr>
          <w:rFonts w:ascii="Times New Roman" w:hAnsi="Times New Roman" w:cs="Times New Roman"/>
          <w:i/>
          <w:iCs/>
          <w:sz w:val="24"/>
          <w:szCs w:val="24"/>
          <w:lang w:val="en-US"/>
        </w:rPr>
        <w:t>Journal of Materials Processing Technology</w:t>
      </w:r>
      <w:r>
        <w:rPr>
          <w:rFonts w:ascii="Times New Roman" w:hAnsi="Times New Roman" w:cs="Times New Roman"/>
          <w:sz w:val="24"/>
          <w:szCs w:val="24"/>
          <w:lang w:val="en-US"/>
        </w:rPr>
        <w:t>, 117(3), pp.381–385. doi:</w:t>
      </w:r>
      <w:hyperlink r:id="rId7" w:history="1">
        <w:r>
          <w:rPr>
            <w:rFonts w:ascii="Times New Roman" w:hAnsi="Times New Roman" w:cs="Times New Roman"/>
            <w:sz w:val="24"/>
            <w:szCs w:val="24"/>
            <w:lang w:val="en-US"/>
          </w:rPr>
          <w:t>10.1016/s0924-0136(01)00779-8</w:t>
        </w:r>
      </w:hyperlink>
      <w:r>
        <w:rPr>
          <w:rFonts w:ascii="Times New Roman" w:hAnsi="Times New Roman" w:cs="Times New Roman"/>
          <w:sz w:val="24"/>
          <w:szCs w:val="24"/>
          <w:lang w:val="en-US"/>
        </w:rPr>
        <w:t>.</w:t>
      </w:r>
    </w:p>
    <w:p w14:paraId="64768381" w14:textId="77777777" w:rsidR="00E558C1" w:rsidRDefault="00E558C1" w:rsidP="00E558C1">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 xml:space="preserve">Fricker, H. (2017). </w:t>
      </w:r>
      <w:r>
        <w:rPr>
          <w:rFonts w:ascii="Times New Roman" w:hAnsi="Times New Roman" w:cs="Times New Roman"/>
          <w:i/>
          <w:iCs/>
          <w:sz w:val="24"/>
          <w:szCs w:val="24"/>
          <w:lang w:val="en-US"/>
        </w:rPr>
        <w:t>Mintel Portal | Log in</w:t>
      </w:r>
      <w:r>
        <w:rPr>
          <w:rFonts w:ascii="Times New Roman" w:hAnsi="Times New Roman" w:cs="Times New Roman"/>
          <w:sz w:val="24"/>
          <w:szCs w:val="24"/>
          <w:lang w:val="en-US"/>
        </w:rPr>
        <w:t xml:space="preserve">. [online] portal.mintel.com. Available at: </w:t>
      </w:r>
      <w:hyperlink r:id="rId8" w:history="1">
        <w:r>
          <w:rPr>
            <w:rFonts w:ascii="Times New Roman" w:hAnsi="Times New Roman" w:cs="Times New Roman"/>
            <w:sz w:val="24"/>
            <w:szCs w:val="24"/>
            <w:lang w:val="en-US"/>
          </w:rPr>
          <w:t>https://reports.mintel.com/display/822005/?fromSearch=%3Ffreetext%3Dfoldable%2520bikes&amp;resultPosition=1</w:t>
        </w:r>
      </w:hyperlink>
      <w:r>
        <w:rPr>
          <w:rFonts w:ascii="Times New Roman" w:hAnsi="Times New Roman" w:cs="Times New Roman"/>
          <w:sz w:val="24"/>
          <w:szCs w:val="24"/>
          <w:lang w:val="en-US"/>
        </w:rPr>
        <w:t xml:space="preserve"> [Accessed 15 Aug. 2022].</w:t>
      </w:r>
    </w:p>
    <w:p w14:paraId="319FCC13" w14:textId="77777777" w:rsidR="00E558C1" w:rsidRDefault="00E558C1" w:rsidP="00E558C1">
      <w:pPr>
        <w:widowControl w:val="0"/>
        <w:autoSpaceDE w:val="0"/>
        <w:autoSpaceDN w:val="0"/>
        <w:adjustRightInd w:val="0"/>
        <w:spacing w:after="240"/>
        <w:rPr>
          <w:rFonts w:ascii="Times New Roman" w:hAnsi="Times New Roman" w:cs="Times New Roman"/>
          <w:sz w:val="24"/>
          <w:szCs w:val="24"/>
          <w:lang w:val="en-US"/>
        </w:rPr>
      </w:pPr>
      <w:r>
        <w:rPr>
          <w:rFonts w:ascii="Times New Roman" w:hAnsi="Times New Roman" w:cs="Times New Roman"/>
          <w:sz w:val="24"/>
          <w:szCs w:val="24"/>
          <w:lang w:val="en-US"/>
        </w:rPr>
        <w:t xml:space="preserve">Sun, H., He, X., Ren, J., Li, J., Jiang, C. and Wan, C. (2007). Hard carbon/lithium composite anode materials for Li-ion batteries. </w:t>
      </w:r>
      <w:r>
        <w:rPr>
          <w:rFonts w:ascii="Times New Roman" w:hAnsi="Times New Roman" w:cs="Times New Roman"/>
          <w:i/>
          <w:iCs/>
          <w:sz w:val="24"/>
          <w:szCs w:val="24"/>
          <w:lang w:val="en-US"/>
        </w:rPr>
        <w:t>Electrochimica Acta</w:t>
      </w:r>
      <w:r>
        <w:rPr>
          <w:rFonts w:ascii="Times New Roman" w:hAnsi="Times New Roman" w:cs="Times New Roman"/>
          <w:sz w:val="24"/>
          <w:szCs w:val="24"/>
          <w:lang w:val="en-US"/>
        </w:rPr>
        <w:t>, [online] 52(13), pp.4312–4316. doi:</w:t>
      </w:r>
      <w:hyperlink r:id="rId9" w:history="1">
        <w:r>
          <w:rPr>
            <w:rFonts w:ascii="Times New Roman" w:hAnsi="Times New Roman" w:cs="Times New Roman"/>
            <w:sz w:val="24"/>
            <w:szCs w:val="24"/>
            <w:lang w:val="en-US"/>
          </w:rPr>
          <w:t>10.1016/j.electacta.2006.12.012</w:t>
        </w:r>
      </w:hyperlink>
      <w:r>
        <w:rPr>
          <w:rFonts w:ascii="Times New Roman" w:hAnsi="Times New Roman" w:cs="Times New Roman"/>
          <w:sz w:val="24"/>
          <w:szCs w:val="24"/>
          <w:lang w:val="en-US"/>
        </w:rPr>
        <w:t>.</w:t>
      </w:r>
    </w:p>
    <w:p w14:paraId="240F36BD" w14:textId="77777777" w:rsidR="00E558C1" w:rsidRPr="00E558C1" w:rsidRDefault="00E558C1" w:rsidP="00E558C1">
      <w:pPr>
        <w:rPr>
          <w:lang w:val="en-US"/>
        </w:rPr>
      </w:pPr>
    </w:p>
    <w:sectPr w:rsidR="00E558C1" w:rsidRPr="00E558C1">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A650C" w14:textId="77777777" w:rsidR="00CD43E8" w:rsidRDefault="00CD43E8" w:rsidP="00061AC1">
      <w:pPr>
        <w:spacing w:before="0" w:after="0" w:line="240" w:lineRule="auto"/>
      </w:pPr>
      <w:r>
        <w:separator/>
      </w:r>
    </w:p>
  </w:endnote>
  <w:endnote w:type="continuationSeparator" w:id="0">
    <w:p w14:paraId="19CD6619" w14:textId="77777777" w:rsidR="00CD43E8" w:rsidRDefault="00CD43E8" w:rsidP="00061AC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0966380"/>
      <w:docPartObj>
        <w:docPartGallery w:val="Page Numbers (Bottom of Page)"/>
        <w:docPartUnique/>
      </w:docPartObj>
    </w:sdtPr>
    <w:sdtEndPr>
      <w:rPr>
        <w:noProof/>
      </w:rPr>
    </w:sdtEndPr>
    <w:sdtContent>
      <w:p w14:paraId="6BA179FA" w14:textId="78E4F707" w:rsidR="00061AC1" w:rsidRDefault="00061A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25C6E" w14:textId="77777777" w:rsidR="00061AC1" w:rsidRDefault="00061A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44E2A" w14:textId="77777777" w:rsidR="00CD43E8" w:rsidRDefault="00CD43E8" w:rsidP="00061AC1">
      <w:pPr>
        <w:spacing w:before="0" w:after="0" w:line="240" w:lineRule="auto"/>
      </w:pPr>
      <w:r>
        <w:separator/>
      </w:r>
    </w:p>
  </w:footnote>
  <w:footnote w:type="continuationSeparator" w:id="0">
    <w:p w14:paraId="79E3708C" w14:textId="77777777" w:rsidR="00CD43E8" w:rsidRDefault="00CD43E8" w:rsidP="00061AC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CC4CB" w14:textId="075CA84B" w:rsidR="00061AC1" w:rsidRDefault="00061AC1">
    <w:pPr>
      <w:pStyle w:val="Header"/>
    </w:pPr>
    <w:r>
      <w:tab/>
    </w:r>
    <w:r w:rsidR="00FA1401" w:rsidRPr="00FA1401">
      <w:t xml:space="preserve">2122219 </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70E2B"/>
    <w:multiLevelType w:val="hybridMultilevel"/>
    <w:tmpl w:val="71101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D624AF"/>
    <w:multiLevelType w:val="hybridMultilevel"/>
    <w:tmpl w:val="2D16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8F1275"/>
    <w:multiLevelType w:val="hybridMultilevel"/>
    <w:tmpl w:val="BFFEFFDA"/>
    <w:lvl w:ilvl="0" w:tplc="89AA9E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5741E7"/>
    <w:multiLevelType w:val="multilevel"/>
    <w:tmpl w:val="D7D22B54"/>
    <w:lvl w:ilvl="0">
      <w:start w:val="1"/>
      <w:numFmt w:val="decimal"/>
      <w:lvlText w:val="%1.0"/>
      <w:lvlJc w:val="left"/>
      <w:pPr>
        <w:ind w:left="530" w:hanging="530"/>
      </w:pPr>
      <w:rPr>
        <w:rFonts w:hint="default"/>
      </w:rPr>
    </w:lvl>
    <w:lvl w:ilvl="1">
      <w:start w:val="1"/>
      <w:numFmt w:val="decimal"/>
      <w:lvlText w:val="%1.%2"/>
      <w:lvlJc w:val="left"/>
      <w:pPr>
        <w:ind w:left="1250" w:hanging="5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365214EC"/>
    <w:multiLevelType w:val="hybridMultilevel"/>
    <w:tmpl w:val="BC4C3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977266"/>
    <w:multiLevelType w:val="multilevel"/>
    <w:tmpl w:val="0B52C0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1923B04"/>
    <w:multiLevelType w:val="hybridMultilevel"/>
    <w:tmpl w:val="7006FFB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7D602C04"/>
    <w:multiLevelType w:val="multilevel"/>
    <w:tmpl w:val="7FE29FE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16cid:durableId="1935821235">
    <w:abstractNumId w:val="1"/>
  </w:num>
  <w:num w:numId="2" w16cid:durableId="1983921085">
    <w:abstractNumId w:val="0"/>
  </w:num>
  <w:num w:numId="3" w16cid:durableId="1622806167">
    <w:abstractNumId w:val="3"/>
  </w:num>
  <w:num w:numId="4" w16cid:durableId="1024940862">
    <w:abstractNumId w:val="7"/>
  </w:num>
  <w:num w:numId="5" w16cid:durableId="1248493103">
    <w:abstractNumId w:val="4"/>
  </w:num>
  <w:num w:numId="6" w16cid:durableId="469907284">
    <w:abstractNumId w:val="6"/>
  </w:num>
  <w:num w:numId="7" w16cid:durableId="15423773">
    <w:abstractNumId w:val="5"/>
  </w:num>
  <w:num w:numId="8" w16cid:durableId="1115833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1AC1"/>
    <w:rsid w:val="00027FA5"/>
    <w:rsid w:val="00061AC1"/>
    <w:rsid w:val="00071269"/>
    <w:rsid w:val="00080896"/>
    <w:rsid w:val="000938C9"/>
    <w:rsid w:val="000964F1"/>
    <w:rsid w:val="000B7E92"/>
    <w:rsid w:val="00186316"/>
    <w:rsid w:val="001B0BE9"/>
    <w:rsid w:val="001C4DDC"/>
    <w:rsid w:val="001D6B03"/>
    <w:rsid w:val="002A3E3C"/>
    <w:rsid w:val="003020E3"/>
    <w:rsid w:val="00333ACC"/>
    <w:rsid w:val="00336A6C"/>
    <w:rsid w:val="003B1311"/>
    <w:rsid w:val="003C3D92"/>
    <w:rsid w:val="003C7240"/>
    <w:rsid w:val="003E0AA8"/>
    <w:rsid w:val="00400568"/>
    <w:rsid w:val="00416839"/>
    <w:rsid w:val="004222BB"/>
    <w:rsid w:val="00482FC4"/>
    <w:rsid w:val="004A177D"/>
    <w:rsid w:val="00523C6B"/>
    <w:rsid w:val="005B4B1F"/>
    <w:rsid w:val="005E1D78"/>
    <w:rsid w:val="005F76F1"/>
    <w:rsid w:val="00611A63"/>
    <w:rsid w:val="00664A3E"/>
    <w:rsid w:val="006A301B"/>
    <w:rsid w:val="006B6A28"/>
    <w:rsid w:val="006D2822"/>
    <w:rsid w:val="00725761"/>
    <w:rsid w:val="007B19CD"/>
    <w:rsid w:val="007C08E9"/>
    <w:rsid w:val="007D2E98"/>
    <w:rsid w:val="007D59A4"/>
    <w:rsid w:val="00821316"/>
    <w:rsid w:val="00895AB8"/>
    <w:rsid w:val="008C7BEF"/>
    <w:rsid w:val="00921975"/>
    <w:rsid w:val="00955D6E"/>
    <w:rsid w:val="009706A5"/>
    <w:rsid w:val="00980E4E"/>
    <w:rsid w:val="009A1F57"/>
    <w:rsid w:val="009E0B33"/>
    <w:rsid w:val="009F5283"/>
    <w:rsid w:val="00AD4584"/>
    <w:rsid w:val="00B2009A"/>
    <w:rsid w:val="00B51B91"/>
    <w:rsid w:val="00B71A4C"/>
    <w:rsid w:val="00B7512C"/>
    <w:rsid w:val="00B97630"/>
    <w:rsid w:val="00C94BA8"/>
    <w:rsid w:val="00C94EC7"/>
    <w:rsid w:val="00CB5ADD"/>
    <w:rsid w:val="00CC61A3"/>
    <w:rsid w:val="00CD43E8"/>
    <w:rsid w:val="00D11EDC"/>
    <w:rsid w:val="00D21861"/>
    <w:rsid w:val="00D46B9B"/>
    <w:rsid w:val="00D80527"/>
    <w:rsid w:val="00D81DB7"/>
    <w:rsid w:val="00DD430F"/>
    <w:rsid w:val="00DE6B90"/>
    <w:rsid w:val="00E558C1"/>
    <w:rsid w:val="00E8050D"/>
    <w:rsid w:val="00EC2835"/>
    <w:rsid w:val="00F015A3"/>
    <w:rsid w:val="00F12334"/>
    <w:rsid w:val="00F160CB"/>
    <w:rsid w:val="00F17EFC"/>
    <w:rsid w:val="00F30934"/>
    <w:rsid w:val="00FA1401"/>
    <w:rsid w:val="00FA31EA"/>
    <w:rsid w:val="00FE7B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82BE3"/>
  <w15:chartTrackingRefBased/>
  <w15:docId w15:val="{BBDF51AF-5E64-47C5-9EDB-55784594A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120" w:after="28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vody"/>
    <w:qFormat/>
    <w:rsid w:val="00071269"/>
    <w:rPr>
      <w:rFonts w:ascii="Arial" w:hAnsi="Arial"/>
      <w:color w:val="262626" w:themeColor="text1" w:themeTint="D9"/>
    </w:rPr>
  </w:style>
  <w:style w:type="paragraph" w:styleId="Heading1">
    <w:name w:val="heading 1"/>
    <w:basedOn w:val="Normal"/>
    <w:next w:val="Normal"/>
    <w:link w:val="Heading1Char"/>
    <w:uiPriority w:val="9"/>
    <w:qFormat/>
    <w:rsid w:val="00D11ED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FE7B0B"/>
    <w:pPr>
      <w:keepNext/>
      <w:keepLines/>
      <w:spacing w:before="40" w:after="0"/>
      <w:outlineLvl w:val="1"/>
    </w:pPr>
    <w:rPr>
      <w:rFonts w:asciiTheme="majorHAnsi" w:eastAsiaTheme="majorEastAsia" w:hAnsiTheme="majorHAnsi" w:cstheme="majorBidi"/>
      <w:color w:val="404040" w:themeColor="text1" w:themeTint="BF"/>
      <w:sz w:val="28"/>
      <w:szCs w:val="26"/>
    </w:rPr>
  </w:style>
  <w:style w:type="paragraph" w:styleId="Heading3">
    <w:name w:val="heading 3"/>
    <w:basedOn w:val="Normal"/>
    <w:next w:val="Normal"/>
    <w:link w:val="Heading3Char"/>
    <w:autoRedefine/>
    <w:uiPriority w:val="9"/>
    <w:unhideWhenUsed/>
    <w:qFormat/>
    <w:rsid w:val="00D11EDC"/>
    <w:pPr>
      <w:keepNext/>
      <w:keepLines/>
      <w:spacing w:before="40" w:after="0"/>
      <w:outlineLvl w:val="2"/>
    </w:pPr>
    <w:rPr>
      <w:rFonts w:asciiTheme="majorHAnsi" w:eastAsiaTheme="majorEastAsia" w:hAnsiTheme="majorHAnsi" w:cstheme="majorBidi"/>
      <w:color w:val="595959" w:themeColor="text1" w:themeTint="A6"/>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7B0B"/>
    <w:rPr>
      <w:rFonts w:asciiTheme="majorHAnsi" w:eastAsiaTheme="majorEastAsia" w:hAnsiTheme="majorHAnsi" w:cstheme="majorBidi"/>
      <w:color w:val="404040" w:themeColor="text1" w:themeTint="BF"/>
      <w:sz w:val="28"/>
      <w:szCs w:val="26"/>
    </w:rPr>
  </w:style>
  <w:style w:type="character" w:customStyle="1" w:styleId="Heading3Char">
    <w:name w:val="Heading 3 Char"/>
    <w:basedOn w:val="DefaultParagraphFont"/>
    <w:link w:val="Heading3"/>
    <w:uiPriority w:val="9"/>
    <w:rsid w:val="00D11EDC"/>
    <w:rPr>
      <w:rFonts w:asciiTheme="majorHAnsi" w:eastAsiaTheme="majorEastAsia" w:hAnsiTheme="majorHAnsi" w:cstheme="majorBidi"/>
      <w:color w:val="595959" w:themeColor="text1" w:themeTint="A6"/>
      <w:sz w:val="24"/>
      <w:szCs w:val="24"/>
    </w:rPr>
  </w:style>
  <w:style w:type="paragraph" w:styleId="Header">
    <w:name w:val="header"/>
    <w:basedOn w:val="Normal"/>
    <w:link w:val="HeaderChar"/>
    <w:uiPriority w:val="99"/>
    <w:unhideWhenUsed/>
    <w:rsid w:val="00061AC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61AC1"/>
  </w:style>
  <w:style w:type="paragraph" w:styleId="Footer">
    <w:name w:val="footer"/>
    <w:basedOn w:val="Normal"/>
    <w:link w:val="FooterChar"/>
    <w:uiPriority w:val="99"/>
    <w:unhideWhenUsed/>
    <w:rsid w:val="00061AC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61AC1"/>
  </w:style>
  <w:style w:type="paragraph" w:styleId="ListParagraph">
    <w:name w:val="List Paragraph"/>
    <w:basedOn w:val="Normal"/>
    <w:uiPriority w:val="34"/>
    <w:qFormat/>
    <w:rsid w:val="00523C6B"/>
    <w:pPr>
      <w:ind w:left="720"/>
      <w:contextualSpacing/>
    </w:pPr>
  </w:style>
  <w:style w:type="character" w:customStyle="1" w:styleId="Heading1Char">
    <w:name w:val="Heading 1 Char"/>
    <w:basedOn w:val="DefaultParagraphFont"/>
    <w:link w:val="Heading1"/>
    <w:uiPriority w:val="9"/>
    <w:rsid w:val="00D11EDC"/>
    <w:rPr>
      <w:rFonts w:ascii="Arial" w:eastAsiaTheme="majorEastAsia" w:hAnsi="Arial" w:cstheme="majorBidi"/>
      <w:b/>
      <w:color w:val="262626" w:themeColor="text1" w:themeTint="D9"/>
      <w:sz w:val="32"/>
      <w:szCs w:val="32"/>
    </w:rPr>
  </w:style>
  <w:style w:type="character" w:styleId="Strong">
    <w:name w:val="Strong"/>
    <w:aliases w:val="title-page-info"/>
    <w:basedOn w:val="DefaultParagraphFont"/>
    <w:uiPriority w:val="22"/>
    <w:qFormat/>
    <w:rsid w:val="00C94EC7"/>
    <w:rPr>
      <w:rFonts w:ascii="Arial" w:hAnsi="Arial"/>
      <w:b/>
      <w:bCs/>
      <w:sz w:val="22"/>
    </w:rPr>
  </w:style>
  <w:style w:type="character" w:styleId="Emphasis">
    <w:name w:val="Emphasis"/>
    <w:aliases w:val="title page"/>
    <w:basedOn w:val="DefaultParagraphFont"/>
    <w:uiPriority w:val="20"/>
    <w:qFormat/>
    <w:rsid w:val="009F5283"/>
    <w:rPr>
      <w:rFonts w:asciiTheme="majorHAnsi" w:hAnsiTheme="majorHAnsi"/>
      <w:b w:val="0"/>
      <w:i w:val="0"/>
      <w:iCs/>
      <w:sz w:val="22"/>
    </w:rPr>
  </w:style>
  <w:style w:type="paragraph" w:styleId="Title">
    <w:name w:val="Title"/>
    <w:basedOn w:val="Normal"/>
    <w:next w:val="Normal"/>
    <w:link w:val="TitleChar"/>
    <w:uiPriority w:val="10"/>
    <w:qFormat/>
    <w:rsid w:val="00400568"/>
    <w:pPr>
      <w:spacing w:before="0"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0056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2583">
      <w:bodyDiv w:val="1"/>
      <w:marLeft w:val="0"/>
      <w:marRight w:val="0"/>
      <w:marTop w:val="0"/>
      <w:marBottom w:val="0"/>
      <w:divBdr>
        <w:top w:val="none" w:sz="0" w:space="0" w:color="auto"/>
        <w:left w:val="none" w:sz="0" w:space="0" w:color="auto"/>
        <w:bottom w:val="none" w:sz="0" w:space="0" w:color="auto"/>
        <w:right w:val="none" w:sz="0" w:space="0" w:color="auto"/>
      </w:divBdr>
    </w:div>
    <w:div w:id="1449667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rts.mintel.com/display/822005/?fromSearch=%3Ffreetext%3Dfoldable%2520bikes&amp;resultPosition=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10.1016/s0924-0136(01)00779-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10.1016/j.electacta.2006.12.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1780</Words>
  <Characters>10149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 Gina (Student)</dc:creator>
  <cp:keywords/>
  <dc:description/>
  <cp:lastModifiedBy>Popa, Gina (Student)</cp:lastModifiedBy>
  <cp:revision>4</cp:revision>
  <dcterms:created xsi:type="dcterms:W3CDTF">2022-09-05T13:55:00Z</dcterms:created>
  <dcterms:modified xsi:type="dcterms:W3CDTF">2022-09-05T17:58:00Z</dcterms:modified>
</cp:coreProperties>
</file>