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3AF5E" w14:textId="51F2E973" w:rsidR="00E0408F" w:rsidRDefault="00E0408F" w:rsidP="00E0408F">
      <w:pPr>
        <w:spacing w:line="360" w:lineRule="auto"/>
        <w:rPr>
          <w:rFonts w:ascii="Arial" w:hAnsi="Arial" w:cs="Arial"/>
          <w:b/>
          <w:bCs/>
          <w:sz w:val="22"/>
          <w:szCs w:val="22"/>
          <w:lang w:val="bg-BG"/>
        </w:rPr>
      </w:pPr>
      <w:r w:rsidRPr="001C5299">
        <w:rPr>
          <w:rFonts w:ascii="Arial" w:hAnsi="Arial" w:cs="Arial"/>
          <w:noProof/>
          <w:sz w:val="22"/>
          <w:szCs w:val="22"/>
        </w:rPr>
        <w:drawing>
          <wp:inline distT="0" distB="0" distL="0" distR="0" wp14:anchorId="6EF2CCE5" wp14:editId="4A666659">
            <wp:extent cx="3009900" cy="1504950"/>
            <wp:effectExtent l="0" t="0" r="0" b="0"/>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9900" cy="1504950"/>
                    </a:xfrm>
                    <a:prstGeom prst="rect">
                      <a:avLst/>
                    </a:prstGeom>
                  </pic:spPr>
                </pic:pic>
              </a:graphicData>
            </a:graphic>
          </wp:inline>
        </w:drawing>
      </w:r>
    </w:p>
    <w:p w14:paraId="3B5C08D9" w14:textId="77777777" w:rsidR="002447D4" w:rsidRPr="002447D4" w:rsidRDefault="002447D4" w:rsidP="00E0408F">
      <w:pPr>
        <w:spacing w:line="360" w:lineRule="auto"/>
        <w:rPr>
          <w:rFonts w:ascii="Arial" w:hAnsi="Arial" w:cs="Arial"/>
          <w:b/>
          <w:bCs/>
          <w:sz w:val="22"/>
          <w:szCs w:val="22"/>
          <w:lang w:val="bg-BG"/>
        </w:rPr>
      </w:pPr>
    </w:p>
    <w:p w14:paraId="10FC1A8E" w14:textId="221FFCCF" w:rsidR="00E0408F" w:rsidRPr="001C5299" w:rsidRDefault="00AE720E" w:rsidP="00E0408F">
      <w:pPr>
        <w:spacing w:line="360" w:lineRule="auto"/>
        <w:jc w:val="center"/>
        <w:rPr>
          <w:rFonts w:ascii="Arial" w:hAnsi="Arial" w:cs="Arial"/>
          <w:b/>
          <w:bCs/>
          <w:sz w:val="52"/>
          <w:szCs w:val="52"/>
          <w:lang w:val="en-GB"/>
        </w:rPr>
      </w:pPr>
      <w:r w:rsidRPr="001C5299">
        <w:rPr>
          <w:rFonts w:ascii="Arial" w:hAnsi="Arial" w:cs="Arial"/>
          <w:b/>
          <w:bCs/>
          <w:sz w:val="52"/>
          <w:szCs w:val="52"/>
          <w:lang w:val="en-GB"/>
        </w:rPr>
        <w:t>DISSERTATION</w:t>
      </w:r>
      <w:r w:rsidR="00E0408F" w:rsidRPr="001C5299">
        <w:rPr>
          <w:rFonts w:ascii="Arial" w:hAnsi="Arial" w:cs="Arial"/>
          <w:b/>
          <w:bCs/>
          <w:sz w:val="52"/>
          <w:szCs w:val="52"/>
          <w:lang w:val="en-GB"/>
        </w:rPr>
        <w:t xml:space="preserve"> </w:t>
      </w:r>
      <w:r w:rsidR="004251B9" w:rsidRPr="001C5299">
        <w:rPr>
          <w:rFonts w:ascii="Arial" w:hAnsi="Arial" w:cs="Arial"/>
          <w:b/>
          <w:bCs/>
          <w:sz w:val="52"/>
          <w:szCs w:val="52"/>
          <w:lang w:val="en-GB"/>
        </w:rPr>
        <w:t>(</w:t>
      </w:r>
      <w:r w:rsidR="00E0408F" w:rsidRPr="001C5299">
        <w:rPr>
          <w:rFonts w:ascii="Arial" w:hAnsi="Arial" w:cs="Arial"/>
          <w:b/>
          <w:bCs/>
          <w:sz w:val="52"/>
          <w:szCs w:val="52"/>
          <w:lang w:val="en-GB"/>
        </w:rPr>
        <w:t>LCBB6000</w:t>
      </w:r>
      <w:r w:rsidR="004251B9" w:rsidRPr="001C5299">
        <w:rPr>
          <w:rFonts w:ascii="Arial" w:hAnsi="Arial" w:cs="Arial"/>
          <w:b/>
          <w:bCs/>
          <w:sz w:val="52"/>
          <w:szCs w:val="52"/>
          <w:lang w:val="en-GB"/>
        </w:rPr>
        <w:t>)</w:t>
      </w:r>
    </w:p>
    <w:p w14:paraId="0DB3DA5B" w14:textId="77777777" w:rsidR="00B028F6" w:rsidRDefault="00E0408F" w:rsidP="004251B9">
      <w:pPr>
        <w:spacing w:line="360" w:lineRule="auto"/>
        <w:jc w:val="center"/>
        <w:rPr>
          <w:rFonts w:ascii="Arial" w:hAnsi="Arial" w:cs="Arial"/>
          <w:b/>
          <w:bCs/>
          <w:sz w:val="32"/>
          <w:szCs w:val="32"/>
          <w:lang w:val="bg-BG"/>
        </w:rPr>
      </w:pPr>
      <w:r w:rsidRPr="001C5299">
        <w:rPr>
          <w:rFonts w:ascii="Arial" w:hAnsi="Arial" w:cs="Arial"/>
          <w:b/>
          <w:bCs/>
          <w:sz w:val="32"/>
          <w:szCs w:val="32"/>
          <w:lang w:val="en-GB"/>
        </w:rPr>
        <w:t>University of Wales Trinity Saint David</w:t>
      </w:r>
    </w:p>
    <w:p w14:paraId="1E427416" w14:textId="22F0DF51" w:rsidR="00E0408F" w:rsidRPr="001C5299" w:rsidRDefault="00E0408F" w:rsidP="004251B9">
      <w:pPr>
        <w:spacing w:line="360" w:lineRule="auto"/>
        <w:jc w:val="center"/>
        <w:rPr>
          <w:rFonts w:ascii="Arial" w:hAnsi="Arial" w:cs="Arial"/>
          <w:b/>
          <w:bCs/>
          <w:sz w:val="32"/>
          <w:szCs w:val="32"/>
          <w:lang w:val="en-GB"/>
        </w:rPr>
      </w:pPr>
      <w:r w:rsidRPr="001C5299">
        <w:rPr>
          <w:rFonts w:ascii="Arial" w:hAnsi="Arial" w:cs="Arial"/>
          <w:b/>
          <w:bCs/>
          <w:sz w:val="32"/>
          <w:szCs w:val="32"/>
          <w:lang w:val="en-GB"/>
        </w:rPr>
        <w:t xml:space="preserve"> (London Campus)</w:t>
      </w:r>
    </w:p>
    <w:p w14:paraId="70495524" w14:textId="77777777" w:rsidR="004251B9" w:rsidRPr="001C5299" w:rsidRDefault="004251B9" w:rsidP="006B5B45">
      <w:pPr>
        <w:spacing w:line="360" w:lineRule="auto"/>
        <w:rPr>
          <w:rFonts w:ascii="Arial" w:hAnsi="Arial" w:cs="Arial"/>
          <w:b/>
          <w:bCs/>
          <w:sz w:val="32"/>
          <w:szCs w:val="32"/>
          <w:lang w:val="en-GB"/>
        </w:rPr>
      </w:pPr>
    </w:p>
    <w:p w14:paraId="60789399" w14:textId="77777777" w:rsidR="004251B9" w:rsidRPr="001C5299" w:rsidRDefault="004251B9" w:rsidP="006B5B45">
      <w:pPr>
        <w:spacing w:line="360" w:lineRule="auto"/>
        <w:rPr>
          <w:rFonts w:ascii="Arial" w:hAnsi="Arial" w:cs="Arial"/>
          <w:b/>
          <w:bCs/>
          <w:sz w:val="32"/>
          <w:szCs w:val="32"/>
          <w:lang w:val="en-GB"/>
        </w:rPr>
      </w:pPr>
    </w:p>
    <w:p w14:paraId="3AC9A983" w14:textId="77777777" w:rsidR="004251B9" w:rsidRPr="001C5299" w:rsidRDefault="004251B9" w:rsidP="006B5B45">
      <w:pPr>
        <w:spacing w:line="360" w:lineRule="auto"/>
        <w:rPr>
          <w:rFonts w:ascii="Arial" w:hAnsi="Arial" w:cs="Arial"/>
          <w:b/>
          <w:bCs/>
          <w:sz w:val="32"/>
          <w:szCs w:val="32"/>
          <w:lang w:val="en-GB"/>
        </w:rPr>
      </w:pPr>
    </w:p>
    <w:p w14:paraId="766C41D0" w14:textId="471E3A59" w:rsidR="00E0408F" w:rsidRPr="002447D4" w:rsidRDefault="00E0408F" w:rsidP="006B5B45">
      <w:pPr>
        <w:spacing w:line="360" w:lineRule="auto"/>
        <w:rPr>
          <w:rFonts w:ascii="Arial" w:hAnsi="Arial" w:cs="Arial"/>
          <w:b/>
          <w:bCs/>
          <w:sz w:val="28"/>
          <w:szCs w:val="28"/>
          <w:lang w:val="en-GB"/>
        </w:rPr>
      </w:pPr>
      <w:r w:rsidRPr="002447D4">
        <w:rPr>
          <w:rFonts w:ascii="Arial" w:hAnsi="Arial" w:cs="Arial"/>
          <w:b/>
          <w:bCs/>
          <w:sz w:val="28"/>
          <w:szCs w:val="28"/>
          <w:lang w:val="en-GB"/>
        </w:rPr>
        <w:t xml:space="preserve">Student Name: </w:t>
      </w:r>
      <w:r w:rsidRPr="002447D4">
        <w:rPr>
          <w:rFonts w:ascii="Arial" w:hAnsi="Arial" w:cs="Arial"/>
          <w:sz w:val="28"/>
          <w:szCs w:val="28"/>
          <w:lang w:val="en-GB"/>
        </w:rPr>
        <w:t>ANDRIYANA</w:t>
      </w:r>
      <w:r w:rsidR="000D5AA8" w:rsidRPr="002447D4">
        <w:rPr>
          <w:rFonts w:ascii="Arial" w:hAnsi="Arial" w:cs="Arial"/>
          <w:sz w:val="28"/>
          <w:szCs w:val="28"/>
          <w:lang w:val="bg-BG"/>
        </w:rPr>
        <w:t xml:space="preserve"> </w:t>
      </w:r>
      <w:r w:rsidRPr="002447D4">
        <w:rPr>
          <w:rFonts w:ascii="Arial" w:hAnsi="Arial" w:cs="Arial"/>
          <w:sz w:val="28"/>
          <w:szCs w:val="28"/>
          <w:lang w:val="en-GB"/>
        </w:rPr>
        <w:t>EFTIMOVA</w:t>
      </w:r>
    </w:p>
    <w:p w14:paraId="3225AFE4" w14:textId="46D792AF" w:rsidR="00E0408F" w:rsidRPr="002447D4" w:rsidRDefault="00E0408F" w:rsidP="006B5B45">
      <w:pPr>
        <w:spacing w:line="360" w:lineRule="auto"/>
        <w:rPr>
          <w:rFonts w:ascii="Arial" w:hAnsi="Arial" w:cs="Arial"/>
          <w:sz w:val="28"/>
          <w:szCs w:val="28"/>
        </w:rPr>
      </w:pPr>
      <w:r w:rsidRPr="002447D4">
        <w:rPr>
          <w:rFonts w:ascii="Arial" w:hAnsi="Arial" w:cs="Arial"/>
          <w:b/>
          <w:bCs/>
          <w:sz w:val="28"/>
          <w:szCs w:val="28"/>
          <w:lang w:val="en-GB"/>
        </w:rPr>
        <w:t xml:space="preserve">Student ID: </w:t>
      </w:r>
      <w:r w:rsidRPr="002447D4">
        <w:rPr>
          <w:rFonts w:ascii="Arial" w:hAnsi="Arial" w:cs="Arial"/>
          <w:sz w:val="28"/>
          <w:szCs w:val="28"/>
        </w:rPr>
        <w:t>2236843</w:t>
      </w:r>
    </w:p>
    <w:p w14:paraId="1007A397" w14:textId="62432F61" w:rsidR="00FF0972" w:rsidRPr="00FF0972" w:rsidRDefault="004251B9" w:rsidP="00FF0972">
      <w:pPr>
        <w:spacing w:line="360" w:lineRule="auto"/>
        <w:rPr>
          <w:rFonts w:ascii="Arial" w:hAnsi="Arial" w:cs="Arial"/>
          <w:b/>
          <w:bCs/>
          <w:sz w:val="28"/>
          <w:szCs w:val="28"/>
        </w:rPr>
      </w:pPr>
      <w:r w:rsidRPr="002447D4">
        <w:rPr>
          <w:rFonts w:ascii="Arial" w:hAnsi="Arial" w:cs="Arial"/>
          <w:b/>
          <w:bCs/>
          <w:sz w:val="28"/>
          <w:szCs w:val="28"/>
        </w:rPr>
        <w:t>Supervisor:</w:t>
      </w:r>
      <w:r w:rsidR="00FF0972" w:rsidRPr="00FF0972">
        <w:rPr>
          <w:rFonts w:ascii="Aptos" w:eastAsia="Times New Roman" w:hAnsi="Aptos" w:cs="Times New Roman"/>
          <w:color w:val="000000"/>
          <w:kern w:val="0"/>
          <w14:ligatures w14:val="none"/>
        </w:rPr>
        <w:t xml:space="preserve"> </w:t>
      </w:r>
      <w:r w:rsidR="00FF0972" w:rsidRPr="00FF0972">
        <w:rPr>
          <w:rFonts w:ascii="Arial" w:hAnsi="Arial" w:cs="Arial"/>
          <w:sz w:val="28"/>
          <w:szCs w:val="28"/>
        </w:rPr>
        <w:t>Dr Rexon Nting</w:t>
      </w:r>
    </w:p>
    <w:p w14:paraId="6AE77AE1" w14:textId="708A113F" w:rsidR="004251B9" w:rsidRPr="00FF0972" w:rsidRDefault="00FF0972" w:rsidP="006B5B45">
      <w:pPr>
        <w:spacing w:line="360" w:lineRule="auto"/>
        <w:rPr>
          <w:rFonts w:ascii="Arial" w:hAnsi="Arial" w:cs="Arial"/>
          <w:b/>
          <w:bCs/>
          <w:sz w:val="28"/>
          <w:szCs w:val="28"/>
        </w:rPr>
      </w:pPr>
      <w:r>
        <w:rPr>
          <w:rFonts w:ascii="Arial" w:hAnsi="Arial" w:cs="Arial"/>
          <w:b/>
          <w:bCs/>
          <w:sz w:val="28"/>
          <w:szCs w:val="28"/>
        </w:rPr>
        <w:t xml:space="preserve">Program Manager: </w:t>
      </w:r>
      <w:r w:rsidR="000D5AA8" w:rsidRPr="002447D4">
        <w:rPr>
          <w:rFonts w:ascii="Arial" w:hAnsi="Arial" w:cs="Arial"/>
          <w:sz w:val="28"/>
          <w:szCs w:val="28"/>
          <w:lang w:val="en-GB"/>
        </w:rPr>
        <w:t>Dr. Anupam Mazumdar</w:t>
      </w:r>
    </w:p>
    <w:p w14:paraId="07893541" w14:textId="5442C8B7" w:rsidR="00224E7C" w:rsidRPr="002447D4" w:rsidRDefault="00E0408F" w:rsidP="006B5B45">
      <w:pPr>
        <w:spacing w:line="360" w:lineRule="auto"/>
        <w:rPr>
          <w:rFonts w:ascii="Arial" w:hAnsi="Arial" w:cs="Arial"/>
          <w:b/>
          <w:bCs/>
          <w:sz w:val="28"/>
          <w:szCs w:val="28"/>
          <w:lang w:val="en-GB"/>
        </w:rPr>
      </w:pPr>
      <w:r w:rsidRPr="002447D4">
        <w:rPr>
          <w:rFonts w:ascii="Arial" w:hAnsi="Arial" w:cs="Arial"/>
          <w:b/>
          <w:bCs/>
          <w:sz w:val="28"/>
          <w:szCs w:val="28"/>
          <w:lang w:val="en-GB"/>
        </w:rPr>
        <w:t xml:space="preserve">Research Title: </w:t>
      </w:r>
      <w:r w:rsidR="00224E7C" w:rsidRPr="002447D4">
        <w:rPr>
          <w:rFonts w:ascii="Arial" w:hAnsi="Arial" w:cs="Arial"/>
          <w:sz w:val="28"/>
          <w:szCs w:val="28"/>
          <w:lang w:val="en-GB"/>
        </w:rPr>
        <w:t>THE IMPACT OF AI-DRIVEN TRADING ON VOLATILITY AND LIQUIDITY IN THE FOREX MARKET</w:t>
      </w:r>
      <w:r w:rsidR="00E9247E" w:rsidRPr="002447D4">
        <w:rPr>
          <w:rFonts w:ascii="Arial" w:hAnsi="Arial" w:cs="Arial"/>
          <w:sz w:val="28"/>
          <w:szCs w:val="28"/>
        </w:rPr>
        <w:t>.</w:t>
      </w:r>
    </w:p>
    <w:p w14:paraId="1C00BF00" w14:textId="77777777" w:rsidR="008B3C58" w:rsidRPr="001C5299" w:rsidRDefault="008B3C58" w:rsidP="003936EA">
      <w:pPr>
        <w:spacing w:line="360" w:lineRule="auto"/>
        <w:jc w:val="both"/>
        <w:rPr>
          <w:rFonts w:ascii="Arial" w:hAnsi="Arial" w:cs="Arial"/>
          <w:b/>
          <w:bCs/>
          <w:sz w:val="32"/>
          <w:szCs w:val="32"/>
        </w:rPr>
      </w:pPr>
    </w:p>
    <w:p w14:paraId="6D8E2118" w14:textId="77777777" w:rsidR="008B3C58" w:rsidRPr="00FF0972" w:rsidRDefault="008B3C58" w:rsidP="003936EA">
      <w:pPr>
        <w:spacing w:line="360" w:lineRule="auto"/>
        <w:jc w:val="both"/>
        <w:rPr>
          <w:rFonts w:ascii="Arial" w:hAnsi="Arial" w:cs="Arial"/>
          <w:b/>
          <w:bCs/>
          <w:sz w:val="32"/>
          <w:szCs w:val="32"/>
          <w:lang w:val="en-GB"/>
        </w:rPr>
      </w:pPr>
    </w:p>
    <w:sdt>
      <w:sdtPr>
        <w:rPr>
          <w:rFonts w:ascii="Arial" w:eastAsiaTheme="minorHAnsi" w:hAnsi="Arial" w:cs="Arial"/>
          <w:color w:val="auto"/>
          <w:kern w:val="2"/>
          <w:sz w:val="22"/>
          <w:szCs w:val="22"/>
          <w14:ligatures w14:val="standardContextual"/>
        </w:rPr>
        <w:id w:val="33936694"/>
        <w:docPartObj>
          <w:docPartGallery w:val="Table of Contents"/>
          <w:docPartUnique/>
        </w:docPartObj>
      </w:sdtPr>
      <w:sdtEndPr>
        <w:rPr>
          <w:b/>
          <w:bCs/>
          <w:noProof/>
        </w:rPr>
      </w:sdtEndPr>
      <w:sdtContent>
        <w:p w14:paraId="0A7531E7" w14:textId="1794DB98" w:rsidR="00AE7D8A" w:rsidRPr="001C5299" w:rsidRDefault="00AE7D8A">
          <w:pPr>
            <w:pStyle w:val="TOCHeading"/>
            <w:rPr>
              <w:rFonts w:ascii="Arial" w:hAnsi="Arial" w:cs="Arial"/>
              <w:sz w:val="22"/>
              <w:szCs w:val="22"/>
              <w:lang w:val="bg-BG"/>
            </w:rPr>
          </w:pPr>
          <w:r w:rsidRPr="001C5299">
            <w:rPr>
              <w:rFonts w:ascii="Arial" w:hAnsi="Arial" w:cs="Arial"/>
              <w:sz w:val="22"/>
              <w:szCs w:val="22"/>
            </w:rPr>
            <w:t>Table of Contents</w:t>
          </w:r>
          <w:r w:rsidR="002C6B9C" w:rsidRPr="001C5299">
            <w:rPr>
              <w:rFonts w:ascii="Arial" w:hAnsi="Arial" w:cs="Arial"/>
              <w:sz w:val="22"/>
              <w:szCs w:val="22"/>
            </w:rPr>
            <w:t xml:space="preserve"> </w:t>
          </w:r>
        </w:p>
        <w:p w14:paraId="71FFDC27" w14:textId="716E7389" w:rsidR="001C5299" w:rsidRPr="001C5299" w:rsidRDefault="00AE7D8A">
          <w:pPr>
            <w:pStyle w:val="TOC1"/>
            <w:tabs>
              <w:tab w:val="right" w:leader="dot" w:pos="9350"/>
            </w:tabs>
            <w:rPr>
              <w:rFonts w:ascii="Arial" w:eastAsiaTheme="minorEastAsia" w:hAnsi="Arial" w:cs="Arial"/>
              <w:noProof/>
              <w:sz w:val="22"/>
              <w:szCs w:val="22"/>
            </w:rPr>
          </w:pPr>
          <w:r w:rsidRPr="001C5299">
            <w:rPr>
              <w:rFonts w:ascii="Arial" w:hAnsi="Arial" w:cs="Arial"/>
              <w:sz w:val="22"/>
              <w:szCs w:val="22"/>
            </w:rPr>
            <w:fldChar w:fldCharType="begin"/>
          </w:r>
          <w:r w:rsidRPr="001C5299">
            <w:rPr>
              <w:rFonts w:ascii="Arial" w:hAnsi="Arial" w:cs="Arial"/>
              <w:sz w:val="22"/>
              <w:szCs w:val="22"/>
            </w:rPr>
            <w:instrText xml:space="preserve"> TOC \o "1-3" \h \z \u </w:instrText>
          </w:r>
          <w:r w:rsidRPr="001C5299">
            <w:rPr>
              <w:rFonts w:ascii="Arial" w:hAnsi="Arial" w:cs="Arial"/>
              <w:sz w:val="22"/>
              <w:szCs w:val="22"/>
            </w:rPr>
            <w:fldChar w:fldCharType="separate"/>
          </w:r>
          <w:hyperlink w:anchor="_Toc227496316" w:history="1">
            <w:r w:rsidR="001C5299" w:rsidRPr="001C5299">
              <w:rPr>
                <w:rStyle w:val="Hyperlink"/>
                <w:rFonts w:ascii="Arial" w:hAnsi="Arial" w:cs="Arial"/>
                <w:noProof/>
                <w:sz w:val="22"/>
                <w:szCs w:val="22"/>
              </w:rPr>
              <w:t xml:space="preserve">Chapter </w:t>
            </w:r>
            <w:r w:rsidR="001C5299" w:rsidRPr="001C5299">
              <w:rPr>
                <w:rStyle w:val="Hyperlink"/>
                <w:rFonts w:ascii="Arial" w:hAnsi="Arial" w:cs="Arial"/>
                <w:noProof/>
                <w:sz w:val="22"/>
                <w:szCs w:val="22"/>
                <w:lang w:val="bg-BG"/>
              </w:rPr>
              <w:t>1</w:t>
            </w:r>
            <w:r w:rsidR="001C5299" w:rsidRPr="001C5299">
              <w:rPr>
                <w:rStyle w:val="Hyperlink"/>
                <w:rFonts w:ascii="Arial" w:hAnsi="Arial" w:cs="Arial"/>
                <w:noProof/>
                <w:sz w:val="22"/>
                <w:szCs w:val="22"/>
              </w:rPr>
              <w:t>: Introduction</w:t>
            </w:r>
            <w:r w:rsidR="001C5299" w:rsidRPr="001C5299">
              <w:rPr>
                <w:rFonts w:ascii="Arial" w:hAnsi="Arial" w:cs="Arial"/>
                <w:noProof/>
                <w:webHidden/>
                <w:sz w:val="22"/>
                <w:szCs w:val="22"/>
              </w:rPr>
              <w:tab/>
            </w:r>
            <w:r w:rsidR="001C5299" w:rsidRPr="001C5299">
              <w:rPr>
                <w:rFonts w:ascii="Arial" w:hAnsi="Arial" w:cs="Arial"/>
                <w:noProof/>
                <w:webHidden/>
                <w:sz w:val="22"/>
                <w:szCs w:val="22"/>
              </w:rPr>
              <w:fldChar w:fldCharType="begin"/>
            </w:r>
            <w:r w:rsidR="001C5299" w:rsidRPr="001C5299">
              <w:rPr>
                <w:rFonts w:ascii="Arial" w:hAnsi="Arial" w:cs="Arial"/>
                <w:noProof/>
                <w:webHidden/>
                <w:sz w:val="22"/>
                <w:szCs w:val="22"/>
              </w:rPr>
              <w:instrText xml:space="preserve"> PAGEREF _Toc227496316 \h </w:instrText>
            </w:r>
            <w:r w:rsidR="001C5299" w:rsidRPr="001C5299">
              <w:rPr>
                <w:rFonts w:ascii="Arial" w:hAnsi="Arial" w:cs="Arial"/>
                <w:noProof/>
                <w:webHidden/>
                <w:sz w:val="22"/>
                <w:szCs w:val="22"/>
              </w:rPr>
            </w:r>
            <w:r w:rsidR="001C5299" w:rsidRPr="001C5299">
              <w:rPr>
                <w:rFonts w:ascii="Arial" w:hAnsi="Arial" w:cs="Arial"/>
                <w:noProof/>
                <w:webHidden/>
                <w:sz w:val="22"/>
                <w:szCs w:val="22"/>
              </w:rPr>
              <w:fldChar w:fldCharType="separate"/>
            </w:r>
            <w:r w:rsidR="001C5299" w:rsidRPr="001C5299">
              <w:rPr>
                <w:rFonts w:ascii="Arial" w:hAnsi="Arial" w:cs="Arial"/>
                <w:noProof/>
                <w:webHidden/>
                <w:sz w:val="22"/>
                <w:szCs w:val="22"/>
              </w:rPr>
              <w:t>5</w:t>
            </w:r>
            <w:r w:rsidR="001C5299" w:rsidRPr="001C5299">
              <w:rPr>
                <w:rFonts w:ascii="Arial" w:hAnsi="Arial" w:cs="Arial"/>
                <w:noProof/>
                <w:webHidden/>
                <w:sz w:val="22"/>
                <w:szCs w:val="22"/>
              </w:rPr>
              <w:fldChar w:fldCharType="end"/>
            </w:r>
          </w:hyperlink>
        </w:p>
        <w:p w14:paraId="7FADA9D8" w14:textId="3C298F4D" w:rsidR="001C5299" w:rsidRPr="001C5299" w:rsidRDefault="001C5299">
          <w:pPr>
            <w:pStyle w:val="TOC1"/>
            <w:tabs>
              <w:tab w:val="right" w:leader="dot" w:pos="9350"/>
            </w:tabs>
            <w:rPr>
              <w:rFonts w:ascii="Arial" w:eastAsiaTheme="minorEastAsia" w:hAnsi="Arial" w:cs="Arial"/>
              <w:noProof/>
              <w:sz w:val="22"/>
              <w:szCs w:val="22"/>
            </w:rPr>
          </w:pPr>
          <w:hyperlink w:anchor="_Toc227496317" w:history="1">
            <w:r w:rsidRPr="001C5299">
              <w:rPr>
                <w:rStyle w:val="Hyperlink"/>
                <w:rFonts w:ascii="Arial" w:hAnsi="Arial" w:cs="Arial"/>
                <w:noProof/>
                <w:sz w:val="22"/>
                <w:szCs w:val="22"/>
              </w:rPr>
              <w:t>1.1 Background and Context</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_Toc227496317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5</w:t>
            </w:r>
            <w:r w:rsidRPr="001C5299">
              <w:rPr>
                <w:rFonts w:ascii="Arial" w:hAnsi="Arial" w:cs="Arial"/>
                <w:noProof/>
                <w:webHidden/>
                <w:sz w:val="22"/>
                <w:szCs w:val="22"/>
              </w:rPr>
              <w:fldChar w:fldCharType="end"/>
            </w:r>
          </w:hyperlink>
        </w:p>
        <w:p w14:paraId="4459B00A" w14:textId="2E10B9AF" w:rsidR="001C5299" w:rsidRPr="001C5299" w:rsidRDefault="001C5299">
          <w:pPr>
            <w:pStyle w:val="TOC1"/>
            <w:tabs>
              <w:tab w:val="right" w:leader="dot" w:pos="9350"/>
            </w:tabs>
            <w:rPr>
              <w:rFonts w:ascii="Arial" w:eastAsiaTheme="minorEastAsia" w:hAnsi="Arial" w:cs="Arial"/>
              <w:noProof/>
              <w:sz w:val="22"/>
              <w:szCs w:val="22"/>
            </w:rPr>
          </w:pPr>
          <w:hyperlink w:anchor="_Toc227496318" w:history="1">
            <w:r w:rsidRPr="001C5299">
              <w:rPr>
                <w:rStyle w:val="Hyperlink"/>
                <w:rFonts w:ascii="Arial" w:hAnsi="Arial" w:cs="Arial"/>
                <w:noProof/>
                <w:sz w:val="22"/>
                <w:szCs w:val="22"/>
              </w:rPr>
              <w:t>1.2 Problem Statement</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_Toc227496318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6</w:t>
            </w:r>
            <w:r w:rsidRPr="001C5299">
              <w:rPr>
                <w:rFonts w:ascii="Arial" w:hAnsi="Arial" w:cs="Arial"/>
                <w:noProof/>
                <w:webHidden/>
                <w:sz w:val="22"/>
                <w:szCs w:val="22"/>
              </w:rPr>
              <w:fldChar w:fldCharType="end"/>
            </w:r>
          </w:hyperlink>
        </w:p>
        <w:p w14:paraId="3FC3511D" w14:textId="4E1C3018" w:rsidR="001C5299" w:rsidRPr="001C5299" w:rsidRDefault="001C5299">
          <w:pPr>
            <w:pStyle w:val="TOC1"/>
            <w:tabs>
              <w:tab w:val="right" w:leader="dot" w:pos="9350"/>
            </w:tabs>
            <w:rPr>
              <w:rFonts w:ascii="Arial" w:eastAsiaTheme="minorEastAsia" w:hAnsi="Arial" w:cs="Arial"/>
              <w:noProof/>
              <w:sz w:val="22"/>
              <w:szCs w:val="22"/>
            </w:rPr>
          </w:pPr>
          <w:hyperlink w:anchor="_Toc227496319" w:history="1">
            <w:r w:rsidRPr="001C5299">
              <w:rPr>
                <w:rStyle w:val="Hyperlink"/>
                <w:rFonts w:ascii="Arial" w:hAnsi="Arial" w:cs="Arial"/>
                <w:noProof/>
                <w:sz w:val="22"/>
                <w:szCs w:val="22"/>
              </w:rPr>
              <w:t>1.3 Research Aim and Objectives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_Toc227496319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6</w:t>
            </w:r>
            <w:r w:rsidRPr="001C5299">
              <w:rPr>
                <w:rFonts w:ascii="Arial" w:hAnsi="Arial" w:cs="Arial"/>
                <w:noProof/>
                <w:webHidden/>
                <w:sz w:val="22"/>
                <w:szCs w:val="22"/>
              </w:rPr>
              <w:fldChar w:fldCharType="end"/>
            </w:r>
          </w:hyperlink>
        </w:p>
        <w:p w14:paraId="430BAB70" w14:textId="57A73671" w:rsidR="001C5299" w:rsidRPr="001C5299" w:rsidRDefault="001C5299">
          <w:pPr>
            <w:pStyle w:val="TOC1"/>
            <w:tabs>
              <w:tab w:val="right" w:leader="dot" w:pos="9350"/>
            </w:tabs>
            <w:rPr>
              <w:rFonts w:ascii="Arial" w:eastAsiaTheme="minorEastAsia" w:hAnsi="Arial" w:cs="Arial"/>
              <w:noProof/>
              <w:sz w:val="22"/>
              <w:szCs w:val="22"/>
            </w:rPr>
          </w:pPr>
          <w:hyperlink w:anchor="_Toc227496320" w:history="1">
            <w:r w:rsidRPr="001C5299">
              <w:rPr>
                <w:rStyle w:val="Hyperlink"/>
                <w:rFonts w:ascii="Arial" w:hAnsi="Arial" w:cs="Arial"/>
                <w:noProof/>
                <w:sz w:val="22"/>
                <w:szCs w:val="22"/>
              </w:rPr>
              <w:t>1.4 Research Approach</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_Toc227496320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7</w:t>
            </w:r>
            <w:r w:rsidRPr="001C5299">
              <w:rPr>
                <w:rFonts w:ascii="Arial" w:hAnsi="Arial" w:cs="Arial"/>
                <w:noProof/>
                <w:webHidden/>
                <w:sz w:val="22"/>
                <w:szCs w:val="22"/>
              </w:rPr>
              <w:fldChar w:fldCharType="end"/>
            </w:r>
          </w:hyperlink>
        </w:p>
        <w:p w14:paraId="31BCC2BA" w14:textId="7444978B" w:rsidR="001C5299" w:rsidRPr="001C5299" w:rsidRDefault="001C5299">
          <w:pPr>
            <w:pStyle w:val="TOC1"/>
            <w:tabs>
              <w:tab w:val="right" w:leader="dot" w:pos="9350"/>
            </w:tabs>
            <w:rPr>
              <w:rFonts w:ascii="Arial" w:eastAsiaTheme="minorEastAsia" w:hAnsi="Arial" w:cs="Arial"/>
              <w:noProof/>
              <w:sz w:val="22"/>
              <w:szCs w:val="22"/>
            </w:rPr>
          </w:pPr>
          <w:hyperlink w:anchor="_Toc227496321" w:history="1">
            <w:r w:rsidRPr="001C5299">
              <w:rPr>
                <w:rStyle w:val="Hyperlink"/>
                <w:rFonts w:ascii="Arial" w:hAnsi="Arial" w:cs="Arial"/>
                <w:noProof/>
                <w:sz w:val="22"/>
                <w:szCs w:val="22"/>
              </w:rPr>
              <w:t>1.5 Significance of the Study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_Toc227496321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8</w:t>
            </w:r>
            <w:r w:rsidRPr="001C5299">
              <w:rPr>
                <w:rFonts w:ascii="Arial" w:hAnsi="Arial" w:cs="Arial"/>
                <w:noProof/>
                <w:webHidden/>
                <w:sz w:val="22"/>
                <w:szCs w:val="22"/>
              </w:rPr>
              <w:fldChar w:fldCharType="end"/>
            </w:r>
          </w:hyperlink>
        </w:p>
        <w:p w14:paraId="318727A6" w14:textId="1050CE05" w:rsidR="001C5299" w:rsidRPr="001C5299" w:rsidRDefault="001C5299">
          <w:pPr>
            <w:pStyle w:val="TOC1"/>
            <w:tabs>
              <w:tab w:val="right" w:leader="dot" w:pos="9350"/>
            </w:tabs>
            <w:rPr>
              <w:rFonts w:ascii="Arial" w:eastAsiaTheme="minorEastAsia" w:hAnsi="Arial" w:cs="Arial"/>
              <w:noProof/>
              <w:sz w:val="22"/>
              <w:szCs w:val="22"/>
            </w:rPr>
          </w:pPr>
          <w:hyperlink w:anchor="_Toc227496322" w:history="1">
            <w:r w:rsidRPr="001C5299">
              <w:rPr>
                <w:rStyle w:val="Hyperlink"/>
                <w:rFonts w:ascii="Arial" w:hAnsi="Arial" w:cs="Arial"/>
                <w:noProof/>
                <w:sz w:val="22"/>
                <w:szCs w:val="22"/>
              </w:rPr>
              <w:t>1.6 Dissertation Structure</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_Toc227496322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8</w:t>
            </w:r>
            <w:r w:rsidRPr="001C5299">
              <w:rPr>
                <w:rFonts w:ascii="Arial" w:hAnsi="Arial" w:cs="Arial"/>
                <w:noProof/>
                <w:webHidden/>
                <w:sz w:val="22"/>
                <w:szCs w:val="22"/>
              </w:rPr>
              <w:fldChar w:fldCharType="end"/>
            </w:r>
          </w:hyperlink>
        </w:p>
        <w:p w14:paraId="2908C91F" w14:textId="56BC8B47" w:rsidR="001C5299" w:rsidRPr="001C5299" w:rsidRDefault="001C5299">
          <w:pPr>
            <w:pStyle w:val="TOC1"/>
            <w:tabs>
              <w:tab w:val="right" w:leader="dot" w:pos="9350"/>
            </w:tabs>
            <w:rPr>
              <w:rFonts w:ascii="Arial" w:eastAsiaTheme="minorEastAsia" w:hAnsi="Arial" w:cs="Arial"/>
              <w:noProof/>
              <w:sz w:val="22"/>
              <w:szCs w:val="22"/>
            </w:rPr>
          </w:pPr>
          <w:hyperlink w:anchor="_Toc227496323" w:history="1">
            <w:r w:rsidRPr="001C5299">
              <w:rPr>
                <w:rStyle w:val="Hyperlink"/>
                <w:rFonts w:ascii="Arial" w:hAnsi="Arial" w:cs="Arial"/>
                <w:noProof/>
                <w:sz w:val="22"/>
                <w:szCs w:val="22"/>
              </w:rPr>
              <w:t xml:space="preserve">Chapter </w:t>
            </w:r>
            <w:r w:rsidRPr="001C5299">
              <w:rPr>
                <w:rStyle w:val="Hyperlink"/>
                <w:rFonts w:ascii="Arial" w:hAnsi="Arial" w:cs="Arial"/>
                <w:noProof/>
                <w:sz w:val="22"/>
                <w:szCs w:val="22"/>
                <w:lang w:val="bg-BG"/>
              </w:rPr>
              <w:t>2</w:t>
            </w:r>
            <w:r w:rsidRPr="001C5299">
              <w:rPr>
                <w:rStyle w:val="Hyperlink"/>
                <w:rFonts w:ascii="Arial" w:hAnsi="Arial" w:cs="Arial"/>
                <w:noProof/>
                <w:sz w:val="22"/>
                <w:szCs w:val="22"/>
              </w:rPr>
              <w:t>: Literature Review</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_Toc227496323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9</w:t>
            </w:r>
            <w:r w:rsidRPr="001C5299">
              <w:rPr>
                <w:rFonts w:ascii="Arial" w:hAnsi="Arial" w:cs="Arial"/>
                <w:noProof/>
                <w:webHidden/>
                <w:sz w:val="22"/>
                <w:szCs w:val="22"/>
              </w:rPr>
              <w:fldChar w:fldCharType="end"/>
            </w:r>
          </w:hyperlink>
        </w:p>
        <w:p w14:paraId="51187E7B" w14:textId="42D9F52E" w:rsidR="001C5299" w:rsidRPr="001C5299" w:rsidRDefault="001C5299">
          <w:pPr>
            <w:pStyle w:val="TOC1"/>
            <w:tabs>
              <w:tab w:val="right" w:leader="dot" w:pos="9350"/>
            </w:tabs>
            <w:rPr>
              <w:rFonts w:ascii="Arial" w:eastAsiaTheme="minorEastAsia" w:hAnsi="Arial" w:cs="Arial"/>
              <w:noProof/>
              <w:sz w:val="22"/>
              <w:szCs w:val="22"/>
            </w:rPr>
          </w:pPr>
          <w:hyperlink w:anchor="_Toc227496324" w:history="1">
            <w:r w:rsidRPr="001C5299">
              <w:rPr>
                <w:rStyle w:val="Hyperlink"/>
                <w:rFonts w:ascii="Arial" w:hAnsi="Arial" w:cs="Arial"/>
                <w:noProof/>
                <w:sz w:val="22"/>
                <w:szCs w:val="22"/>
              </w:rPr>
              <w:t>2.1 The Use of AI in the Financial Markets.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_Toc227496324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9</w:t>
            </w:r>
            <w:r w:rsidRPr="001C5299">
              <w:rPr>
                <w:rFonts w:ascii="Arial" w:hAnsi="Arial" w:cs="Arial"/>
                <w:noProof/>
                <w:webHidden/>
                <w:sz w:val="22"/>
                <w:szCs w:val="22"/>
              </w:rPr>
              <w:fldChar w:fldCharType="end"/>
            </w:r>
          </w:hyperlink>
        </w:p>
        <w:p w14:paraId="33B914D1" w14:textId="12F16579" w:rsidR="001C5299" w:rsidRPr="001C5299" w:rsidRDefault="001C5299">
          <w:pPr>
            <w:pStyle w:val="TOC1"/>
            <w:tabs>
              <w:tab w:val="right" w:leader="dot" w:pos="9350"/>
            </w:tabs>
            <w:rPr>
              <w:rFonts w:ascii="Arial" w:eastAsiaTheme="minorEastAsia" w:hAnsi="Arial" w:cs="Arial"/>
              <w:noProof/>
              <w:sz w:val="22"/>
              <w:szCs w:val="22"/>
            </w:rPr>
          </w:pPr>
          <w:hyperlink w:anchor="_Toc227496325" w:history="1">
            <w:r w:rsidRPr="001C5299">
              <w:rPr>
                <w:rStyle w:val="Hyperlink"/>
                <w:rFonts w:ascii="Arial" w:hAnsi="Arial" w:cs="Arial"/>
                <w:noProof/>
                <w:sz w:val="22"/>
                <w:szCs w:val="22"/>
              </w:rPr>
              <w:t>2.2 Impact on Market Volatility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_Toc227496325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9</w:t>
            </w:r>
            <w:r w:rsidRPr="001C5299">
              <w:rPr>
                <w:rFonts w:ascii="Arial" w:hAnsi="Arial" w:cs="Arial"/>
                <w:noProof/>
                <w:webHidden/>
                <w:sz w:val="22"/>
                <w:szCs w:val="22"/>
              </w:rPr>
              <w:fldChar w:fldCharType="end"/>
            </w:r>
          </w:hyperlink>
        </w:p>
        <w:p w14:paraId="5E60717D" w14:textId="7D04EB1A" w:rsidR="001C5299" w:rsidRPr="001C5299" w:rsidRDefault="001C5299">
          <w:pPr>
            <w:pStyle w:val="TOC1"/>
            <w:tabs>
              <w:tab w:val="right" w:leader="dot" w:pos="9350"/>
            </w:tabs>
            <w:rPr>
              <w:rFonts w:ascii="Arial" w:eastAsiaTheme="minorEastAsia" w:hAnsi="Arial" w:cs="Arial"/>
              <w:noProof/>
              <w:sz w:val="22"/>
              <w:szCs w:val="22"/>
            </w:rPr>
          </w:pPr>
          <w:hyperlink w:anchor="_Toc227496326" w:history="1">
            <w:r w:rsidRPr="001C5299">
              <w:rPr>
                <w:rStyle w:val="Hyperlink"/>
                <w:rFonts w:ascii="Arial" w:hAnsi="Arial" w:cs="Arial"/>
                <w:noProof/>
                <w:sz w:val="22"/>
                <w:szCs w:val="22"/>
              </w:rPr>
              <w:t>2.3 Impact on Market Liquidity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_Toc227496326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10</w:t>
            </w:r>
            <w:r w:rsidRPr="001C5299">
              <w:rPr>
                <w:rFonts w:ascii="Arial" w:hAnsi="Arial" w:cs="Arial"/>
                <w:noProof/>
                <w:webHidden/>
                <w:sz w:val="22"/>
                <w:szCs w:val="22"/>
              </w:rPr>
              <w:fldChar w:fldCharType="end"/>
            </w:r>
          </w:hyperlink>
        </w:p>
        <w:p w14:paraId="34EEA0E7" w14:textId="117D07D0" w:rsidR="001C5299" w:rsidRPr="001C5299" w:rsidRDefault="001C5299">
          <w:pPr>
            <w:pStyle w:val="TOC1"/>
            <w:tabs>
              <w:tab w:val="right" w:leader="dot" w:pos="9350"/>
            </w:tabs>
            <w:rPr>
              <w:rFonts w:ascii="Arial" w:eastAsiaTheme="minorEastAsia" w:hAnsi="Arial" w:cs="Arial"/>
              <w:noProof/>
              <w:sz w:val="22"/>
              <w:szCs w:val="22"/>
            </w:rPr>
          </w:pPr>
          <w:hyperlink w:anchor="_Toc227496327" w:history="1">
            <w:r w:rsidRPr="001C5299">
              <w:rPr>
                <w:rStyle w:val="Hyperlink"/>
                <w:rFonts w:ascii="Arial" w:hAnsi="Arial" w:cs="Arial"/>
                <w:noProof/>
                <w:sz w:val="22"/>
                <w:szCs w:val="22"/>
              </w:rPr>
              <w:t>2.4 Fairness in the market and moral concerns.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_Toc227496327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11</w:t>
            </w:r>
            <w:r w:rsidRPr="001C5299">
              <w:rPr>
                <w:rFonts w:ascii="Arial" w:hAnsi="Arial" w:cs="Arial"/>
                <w:noProof/>
                <w:webHidden/>
                <w:sz w:val="22"/>
                <w:szCs w:val="22"/>
              </w:rPr>
              <w:fldChar w:fldCharType="end"/>
            </w:r>
          </w:hyperlink>
        </w:p>
        <w:p w14:paraId="419F8540" w14:textId="3DFB03FD" w:rsidR="001C5299" w:rsidRPr="001C5299" w:rsidRDefault="001C5299">
          <w:pPr>
            <w:pStyle w:val="TOC1"/>
            <w:tabs>
              <w:tab w:val="right" w:leader="dot" w:pos="9350"/>
            </w:tabs>
            <w:rPr>
              <w:rFonts w:ascii="Arial" w:eastAsiaTheme="minorEastAsia" w:hAnsi="Arial" w:cs="Arial"/>
              <w:noProof/>
              <w:sz w:val="22"/>
              <w:szCs w:val="22"/>
            </w:rPr>
          </w:pPr>
          <w:hyperlink w:anchor="_Toc227496328" w:history="1">
            <w:r w:rsidRPr="001C5299">
              <w:rPr>
                <w:rStyle w:val="Hyperlink"/>
                <w:rFonts w:ascii="Arial" w:hAnsi="Arial" w:cs="Arial"/>
                <w:noProof/>
                <w:sz w:val="22"/>
                <w:szCs w:val="22"/>
              </w:rPr>
              <w:t>2.5 Problems with Regulations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_Toc227496328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11</w:t>
            </w:r>
            <w:r w:rsidRPr="001C5299">
              <w:rPr>
                <w:rFonts w:ascii="Arial" w:hAnsi="Arial" w:cs="Arial"/>
                <w:noProof/>
                <w:webHidden/>
                <w:sz w:val="22"/>
                <w:szCs w:val="22"/>
              </w:rPr>
              <w:fldChar w:fldCharType="end"/>
            </w:r>
          </w:hyperlink>
        </w:p>
        <w:p w14:paraId="1FC7BF18" w14:textId="3CF5B3A4" w:rsidR="001C5299" w:rsidRPr="001C5299" w:rsidRDefault="001C5299">
          <w:pPr>
            <w:pStyle w:val="TOC1"/>
            <w:tabs>
              <w:tab w:val="right" w:leader="dot" w:pos="9350"/>
            </w:tabs>
            <w:rPr>
              <w:rFonts w:ascii="Arial" w:eastAsiaTheme="minorEastAsia" w:hAnsi="Arial" w:cs="Arial"/>
              <w:noProof/>
              <w:sz w:val="22"/>
              <w:szCs w:val="22"/>
            </w:rPr>
          </w:pPr>
          <w:hyperlink w:anchor="_Toc227496329" w:history="1">
            <w:r w:rsidRPr="001C5299">
              <w:rPr>
                <w:rStyle w:val="Hyperlink"/>
                <w:rFonts w:ascii="Arial" w:hAnsi="Arial" w:cs="Arial"/>
                <w:noProof/>
                <w:sz w:val="22"/>
                <w:szCs w:val="22"/>
              </w:rPr>
              <w:t>2.6 Research Gaps and the Framework for Ideas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_Toc227496329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12</w:t>
            </w:r>
            <w:r w:rsidRPr="001C5299">
              <w:rPr>
                <w:rFonts w:ascii="Arial" w:hAnsi="Arial" w:cs="Arial"/>
                <w:noProof/>
                <w:webHidden/>
                <w:sz w:val="22"/>
                <w:szCs w:val="22"/>
              </w:rPr>
              <w:fldChar w:fldCharType="end"/>
            </w:r>
          </w:hyperlink>
        </w:p>
        <w:p w14:paraId="4CFAC333" w14:textId="02EA6AD6" w:rsidR="001C5299" w:rsidRPr="001C5299" w:rsidRDefault="001C5299">
          <w:pPr>
            <w:pStyle w:val="TOC1"/>
            <w:tabs>
              <w:tab w:val="right" w:leader="dot" w:pos="9350"/>
            </w:tabs>
            <w:rPr>
              <w:rFonts w:ascii="Arial" w:eastAsiaTheme="minorEastAsia" w:hAnsi="Arial" w:cs="Arial"/>
              <w:noProof/>
              <w:sz w:val="22"/>
              <w:szCs w:val="22"/>
            </w:rPr>
          </w:pPr>
          <w:hyperlink w:anchor="_Toc227496330" w:history="1">
            <w:r w:rsidRPr="001C5299">
              <w:rPr>
                <w:rStyle w:val="Hyperlink"/>
                <w:rFonts w:ascii="Arial" w:hAnsi="Arial" w:cs="Arial"/>
                <w:noProof/>
                <w:sz w:val="22"/>
                <w:szCs w:val="22"/>
              </w:rPr>
              <w:t xml:space="preserve">Chapter </w:t>
            </w:r>
            <w:r w:rsidRPr="001C5299">
              <w:rPr>
                <w:rStyle w:val="Hyperlink"/>
                <w:rFonts w:ascii="Arial" w:hAnsi="Arial" w:cs="Arial"/>
                <w:noProof/>
                <w:sz w:val="22"/>
                <w:szCs w:val="22"/>
                <w:lang w:val="bg-BG"/>
              </w:rPr>
              <w:t>3</w:t>
            </w:r>
            <w:r w:rsidRPr="001C5299">
              <w:rPr>
                <w:rStyle w:val="Hyperlink"/>
                <w:rFonts w:ascii="Arial" w:hAnsi="Arial" w:cs="Arial"/>
                <w:noProof/>
                <w:sz w:val="22"/>
                <w:szCs w:val="22"/>
              </w:rPr>
              <w:t>: Methodology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_Toc227496330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13</w:t>
            </w:r>
            <w:r w:rsidRPr="001C5299">
              <w:rPr>
                <w:rFonts w:ascii="Arial" w:hAnsi="Arial" w:cs="Arial"/>
                <w:noProof/>
                <w:webHidden/>
                <w:sz w:val="22"/>
                <w:szCs w:val="22"/>
              </w:rPr>
              <w:fldChar w:fldCharType="end"/>
            </w:r>
          </w:hyperlink>
        </w:p>
        <w:p w14:paraId="4B1F604E" w14:textId="5700D325" w:rsidR="001C5299" w:rsidRPr="001C5299" w:rsidRDefault="001C5299">
          <w:pPr>
            <w:pStyle w:val="TOC1"/>
            <w:tabs>
              <w:tab w:val="right" w:leader="dot" w:pos="9350"/>
            </w:tabs>
            <w:rPr>
              <w:rFonts w:ascii="Arial" w:eastAsiaTheme="minorEastAsia" w:hAnsi="Arial" w:cs="Arial"/>
              <w:noProof/>
              <w:sz w:val="22"/>
              <w:szCs w:val="22"/>
            </w:rPr>
          </w:pPr>
          <w:hyperlink w:anchor="_Toc227496331" w:history="1">
            <w:r w:rsidRPr="001C5299">
              <w:rPr>
                <w:rStyle w:val="Hyperlink"/>
                <w:rFonts w:ascii="Arial" w:hAnsi="Arial" w:cs="Arial"/>
                <w:noProof/>
                <w:sz w:val="22"/>
                <w:szCs w:val="22"/>
              </w:rPr>
              <w:t>3.1 Research Philosophy and Approach</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_Toc227496331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13</w:t>
            </w:r>
            <w:r w:rsidRPr="001C5299">
              <w:rPr>
                <w:rFonts w:ascii="Arial" w:hAnsi="Arial" w:cs="Arial"/>
                <w:noProof/>
                <w:webHidden/>
                <w:sz w:val="22"/>
                <w:szCs w:val="22"/>
              </w:rPr>
              <w:fldChar w:fldCharType="end"/>
            </w:r>
          </w:hyperlink>
        </w:p>
        <w:p w14:paraId="0DBE75F1" w14:textId="0611023C" w:rsidR="001C5299" w:rsidRPr="001C5299" w:rsidRDefault="001C5299">
          <w:pPr>
            <w:pStyle w:val="TOC1"/>
            <w:tabs>
              <w:tab w:val="right" w:leader="dot" w:pos="9350"/>
            </w:tabs>
            <w:rPr>
              <w:rFonts w:ascii="Arial" w:eastAsiaTheme="minorEastAsia" w:hAnsi="Arial" w:cs="Arial"/>
              <w:noProof/>
              <w:sz w:val="22"/>
              <w:szCs w:val="22"/>
            </w:rPr>
          </w:pPr>
          <w:hyperlink w:anchor="_Toc227496332" w:history="1">
            <w:r w:rsidRPr="001C5299">
              <w:rPr>
                <w:rStyle w:val="Hyperlink"/>
                <w:rFonts w:ascii="Arial" w:hAnsi="Arial" w:cs="Arial"/>
                <w:noProof/>
                <w:sz w:val="22"/>
                <w:szCs w:val="22"/>
              </w:rPr>
              <w:t>3.2 Research Design</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_Toc227496332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13</w:t>
            </w:r>
            <w:r w:rsidRPr="001C5299">
              <w:rPr>
                <w:rFonts w:ascii="Arial" w:hAnsi="Arial" w:cs="Arial"/>
                <w:noProof/>
                <w:webHidden/>
                <w:sz w:val="22"/>
                <w:szCs w:val="22"/>
              </w:rPr>
              <w:fldChar w:fldCharType="end"/>
            </w:r>
          </w:hyperlink>
        </w:p>
        <w:p w14:paraId="5EBF5DB7" w14:textId="7A5B0ADD" w:rsidR="001C5299" w:rsidRPr="001C5299" w:rsidRDefault="001C5299">
          <w:pPr>
            <w:pStyle w:val="TOC1"/>
            <w:tabs>
              <w:tab w:val="right" w:leader="dot" w:pos="9350"/>
            </w:tabs>
            <w:rPr>
              <w:rFonts w:ascii="Arial" w:eastAsiaTheme="minorEastAsia" w:hAnsi="Arial" w:cs="Arial"/>
              <w:noProof/>
              <w:sz w:val="22"/>
              <w:szCs w:val="22"/>
            </w:rPr>
          </w:pPr>
          <w:hyperlink w:anchor="_Toc227496333" w:history="1">
            <w:r w:rsidRPr="001C5299">
              <w:rPr>
                <w:rStyle w:val="Hyperlink"/>
                <w:rFonts w:ascii="Arial" w:hAnsi="Arial" w:cs="Arial"/>
                <w:noProof/>
                <w:sz w:val="22"/>
                <w:szCs w:val="22"/>
              </w:rPr>
              <w:t>3.3 Data Sources and Selection Criteria</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_Toc227496333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13</w:t>
            </w:r>
            <w:r w:rsidRPr="001C5299">
              <w:rPr>
                <w:rFonts w:ascii="Arial" w:hAnsi="Arial" w:cs="Arial"/>
                <w:noProof/>
                <w:webHidden/>
                <w:sz w:val="22"/>
                <w:szCs w:val="22"/>
              </w:rPr>
              <w:fldChar w:fldCharType="end"/>
            </w:r>
          </w:hyperlink>
        </w:p>
        <w:p w14:paraId="6E7B140A" w14:textId="12EED930" w:rsidR="001C5299" w:rsidRPr="001C5299" w:rsidRDefault="001C5299">
          <w:pPr>
            <w:pStyle w:val="TOC1"/>
            <w:tabs>
              <w:tab w:val="right" w:leader="dot" w:pos="9350"/>
            </w:tabs>
            <w:rPr>
              <w:rFonts w:ascii="Arial" w:eastAsiaTheme="minorEastAsia" w:hAnsi="Arial" w:cs="Arial"/>
              <w:noProof/>
              <w:sz w:val="22"/>
              <w:szCs w:val="22"/>
            </w:rPr>
          </w:pPr>
          <w:hyperlink w:anchor="_Toc227496334" w:history="1">
            <w:r w:rsidRPr="001C5299">
              <w:rPr>
                <w:rStyle w:val="Hyperlink"/>
                <w:rFonts w:ascii="Arial" w:hAnsi="Arial" w:cs="Arial"/>
                <w:noProof/>
                <w:sz w:val="22"/>
                <w:szCs w:val="22"/>
                <w:lang w:val="bg-BG"/>
              </w:rPr>
              <w:t>3.4 Data Analysis Method</w:t>
            </w:r>
            <w:r w:rsidRPr="001C5299">
              <w:rPr>
                <w:rStyle w:val="Hyperlink"/>
                <w:rFonts w:ascii="Arial" w:hAnsi="Arial" w:cs="Arial"/>
                <w:noProof/>
                <w:sz w:val="22"/>
                <w:szCs w:val="22"/>
                <w:lang w:val="en-GB"/>
              </w:rPr>
              <w:t>.</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_Toc227496334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14</w:t>
            </w:r>
            <w:r w:rsidRPr="001C5299">
              <w:rPr>
                <w:rFonts w:ascii="Arial" w:hAnsi="Arial" w:cs="Arial"/>
                <w:noProof/>
                <w:webHidden/>
                <w:sz w:val="22"/>
                <w:szCs w:val="22"/>
              </w:rPr>
              <w:fldChar w:fldCharType="end"/>
            </w:r>
          </w:hyperlink>
        </w:p>
        <w:p w14:paraId="02BCA651" w14:textId="04070941" w:rsidR="001C5299" w:rsidRPr="001C5299" w:rsidRDefault="001C5299">
          <w:pPr>
            <w:pStyle w:val="TOC1"/>
            <w:tabs>
              <w:tab w:val="right" w:leader="dot" w:pos="9350"/>
            </w:tabs>
            <w:rPr>
              <w:rFonts w:ascii="Arial" w:eastAsiaTheme="minorEastAsia" w:hAnsi="Arial" w:cs="Arial"/>
              <w:noProof/>
              <w:sz w:val="22"/>
              <w:szCs w:val="22"/>
            </w:rPr>
          </w:pPr>
          <w:hyperlink w:anchor="_Toc227496335" w:history="1">
            <w:r w:rsidRPr="001C5299">
              <w:rPr>
                <w:rStyle w:val="Hyperlink"/>
                <w:rFonts w:ascii="Arial" w:hAnsi="Arial" w:cs="Arial"/>
                <w:noProof/>
                <w:sz w:val="22"/>
                <w:szCs w:val="22"/>
              </w:rPr>
              <w:t>3.5 Validity, Reliability, and Trustworthiness.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_Toc227496335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15</w:t>
            </w:r>
            <w:r w:rsidRPr="001C5299">
              <w:rPr>
                <w:rFonts w:ascii="Arial" w:hAnsi="Arial" w:cs="Arial"/>
                <w:noProof/>
                <w:webHidden/>
                <w:sz w:val="22"/>
                <w:szCs w:val="22"/>
              </w:rPr>
              <w:fldChar w:fldCharType="end"/>
            </w:r>
          </w:hyperlink>
        </w:p>
        <w:p w14:paraId="1A452D72" w14:textId="5B9B05D5" w:rsidR="001C5299" w:rsidRPr="001C5299" w:rsidRDefault="001C5299">
          <w:pPr>
            <w:pStyle w:val="TOC1"/>
            <w:tabs>
              <w:tab w:val="right" w:leader="dot" w:pos="9350"/>
            </w:tabs>
            <w:rPr>
              <w:rFonts w:ascii="Arial" w:eastAsiaTheme="minorEastAsia" w:hAnsi="Arial" w:cs="Arial"/>
              <w:noProof/>
              <w:sz w:val="22"/>
              <w:szCs w:val="22"/>
            </w:rPr>
          </w:pPr>
          <w:hyperlink w:anchor="_Toc227496336" w:history="1">
            <w:r w:rsidRPr="001C5299">
              <w:rPr>
                <w:rStyle w:val="Hyperlink"/>
                <w:rFonts w:ascii="Arial" w:hAnsi="Arial" w:cs="Arial"/>
                <w:noProof/>
                <w:sz w:val="22"/>
                <w:szCs w:val="22"/>
              </w:rPr>
              <w:t>3.6 Ethical Considerations.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_Toc227496336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15</w:t>
            </w:r>
            <w:r w:rsidRPr="001C5299">
              <w:rPr>
                <w:rFonts w:ascii="Arial" w:hAnsi="Arial" w:cs="Arial"/>
                <w:noProof/>
                <w:webHidden/>
                <w:sz w:val="22"/>
                <w:szCs w:val="22"/>
              </w:rPr>
              <w:fldChar w:fldCharType="end"/>
            </w:r>
          </w:hyperlink>
        </w:p>
        <w:p w14:paraId="6AED34D9" w14:textId="3D460E41" w:rsidR="001C5299" w:rsidRPr="001C5299" w:rsidRDefault="001C5299">
          <w:pPr>
            <w:pStyle w:val="TOC1"/>
            <w:tabs>
              <w:tab w:val="right" w:leader="dot" w:pos="9350"/>
            </w:tabs>
            <w:rPr>
              <w:rFonts w:ascii="Arial" w:eastAsiaTheme="minorEastAsia" w:hAnsi="Arial" w:cs="Arial"/>
              <w:noProof/>
              <w:sz w:val="22"/>
              <w:szCs w:val="22"/>
            </w:rPr>
          </w:pPr>
          <w:hyperlink w:anchor="_Toc227496337" w:history="1">
            <w:r w:rsidRPr="001C5299">
              <w:rPr>
                <w:rStyle w:val="Hyperlink"/>
                <w:rFonts w:ascii="Arial" w:hAnsi="Arial" w:cs="Arial"/>
                <w:noProof/>
                <w:sz w:val="22"/>
                <w:szCs w:val="22"/>
              </w:rPr>
              <w:t>3.7 Limitations of the Methodology.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_Toc227496337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16</w:t>
            </w:r>
            <w:r w:rsidRPr="001C5299">
              <w:rPr>
                <w:rFonts w:ascii="Arial" w:hAnsi="Arial" w:cs="Arial"/>
                <w:noProof/>
                <w:webHidden/>
                <w:sz w:val="22"/>
                <w:szCs w:val="22"/>
              </w:rPr>
              <w:fldChar w:fldCharType="end"/>
            </w:r>
          </w:hyperlink>
        </w:p>
        <w:p w14:paraId="29114FC9" w14:textId="10E665E8" w:rsidR="001C5299" w:rsidRPr="001C5299" w:rsidRDefault="001C5299">
          <w:pPr>
            <w:pStyle w:val="TOC1"/>
            <w:tabs>
              <w:tab w:val="right" w:leader="dot" w:pos="9350"/>
            </w:tabs>
            <w:rPr>
              <w:rFonts w:ascii="Arial" w:eastAsiaTheme="minorEastAsia" w:hAnsi="Arial" w:cs="Arial"/>
              <w:noProof/>
              <w:sz w:val="22"/>
              <w:szCs w:val="22"/>
            </w:rPr>
          </w:pPr>
          <w:hyperlink w:anchor="_Toc227496338" w:history="1">
            <w:r w:rsidRPr="001C5299">
              <w:rPr>
                <w:rStyle w:val="Hyperlink"/>
                <w:rFonts w:ascii="Arial" w:hAnsi="Arial" w:cs="Arial"/>
                <w:noProof/>
                <w:sz w:val="22"/>
                <w:szCs w:val="22"/>
              </w:rPr>
              <w:t>Chapter 4: Findings and Discussion</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_Toc227496338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16</w:t>
            </w:r>
            <w:r w:rsidRPr="001C5299">
              <w:rPr>
                <w:rFonts w:ascii="Arial" w:hAnsi="Arial" w:cs="Arial"/>
                <w:noProof/>
                <w:webHidden/>
                <w:sz w:val="22"/>
                <w:szCs w:val="22"/>
              </w:rPr>
              <w:fldChar w:fldCharType="end"/>
            </w:r>
          </w:hyperlink>
        </w:p>
        <w:p w14:paraId="182E9BAD" w14:textId="3E8B7788" w:rsidR="001C5299" w:rsidRPr="001C5299" w:rsidRDefault="001C5299">
          <w:pPr>
            <w:pStyle w:val="TOC1"/>
            <w:tabs>
              <w:tab w:val="right" w:leader="dot" w:pos="9350"/>
            </w:tabs>
            <w:rPr>
              <w:rFonts w:ascii="Arial" w:eastAsiaTheme="minorEastAsia" w:hAnsi="Arial" w:cs="Arial"/>
              <w:noProof/>
              <w:sz w:val="22"/>
              <w:szCs w:val="22"/>
            </w:rPr>
          </w:pPr>
          <w:hyperlink w:anchor="_Toc227496339" w:history="1">
            <w:r w:rsidRPr="001C5299">
              <w:rPr>
                <w:rStyle w:val="Hyperlink"/>
                <w:rFonts w:ascii="Arial" w:hAnsi="Arial" w:cs="Arial"/>
                <w:noProof/>
                <w:sz w:val="22"/>
                <w:szCs w:val="22"/>
              </w:rPr>
              <w:t>Theme 1: Market Instability and Rising Volatility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_Toc227496339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17</w:t>
            </w:r>
            <w:r w:rsidRPr="001C5299">
              <w:rPr>
                <w:rFonts w:ascii="Arial" w:hAnsi="Arial" w:cs="Arial"/>
                <w:noProof/>
                <w:webHidden/>
                <w:sz w:val="22"/>
                <w:szCs w:val="22"/>
              </w:rPr>
              <w:fldChar w:fldCharType="end"/>
            </w:r>
          </w:hyperlink>
        </w:p>
        <w:p w14:paraId="4F170487" w14:textId="3D15C54A" w:rsidR="001C5299" w:rsidRPr="001C5299" w:rsidRDefault="001C5299">
          <w:pPr>
            <w:pStyle w:val="TOC1"/>
            <w:tabs>
              <w:tab w:val="right" w:leader="dot" w:pos="9350"/>
            </w:tabs>
            <w:rPr>
              <w:rFonts w:ascii="Arial" w:eastAsiaTheme="minorEastAsia" w:hAnsi="Arial" w:cs="Arial"/>
              <w:noProof/>
              <w:sz w:val="22"/>
              <w:szCs w:val="22"/>
            </w:rPr>
          </w:pPr>
          <w:hyperlink w:anchor="_Toc227496340" w:history="1">
            <w:r w:rsidRPr="001C5299">
              <w:rPr>
                <w:rStyle w:val="Hyperlink"/>
                <w:rFonts w:ascii="Arial" w:hAnsi="Arial" w:cs="Arial"/>
                <w:noProof/>
                <w:sz w:val="22"/>
                <w:szCs w:val="22"/>
              </w:rPr>
              <w:t>Theme 2: Regulation Challenges and Ethical Concerns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_Toc227496340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18</w:t>
            </w:r>
            <w:r w:rsidRPr="001C5299">
              <w:rPr>
                <w:rFonts w:ascii="Arial" w:hAnsi="Arial" w:cs="Arial"/>
                <w:noProof/>
                <w:webHidden/>
                <w:sz w:val="22"/>
                <w:szCs w:val="22"/>
              </w:rPr>
              <w:fldChar w:fldCharType="end"/>
            </w:r>
          </w:hyperlink>
        </w:p>
        <w:p w14:paraId="4115903A" w14:textId="011DC940" w:rsidR="001C5299" w:rsidRPr="001C5299" w:rsidRDefault="001C5299">
          <w:pPr>
            <w:pStyle w:val="TOC1"/>
            <w:tabs>
              <w:tab w:val="right" w:leader="dot" w:pos="9350"/>
            </w:tabs>
            <w:rPr>
              <w:rFonts w:ascii="Arial" w:eastAsiaTheme="minorEastAsia" w:hAnsi="Arial" w:cs="Arial"/>
              <w:noProof/>
              <w:sz w:val="22"/>
              <w:szCs w:val="22"/>
            </w:rPr>
          </w:pPr>
          <w:hyperlink w:anchor="_Toc227496341" w:history="1">
            <w:r w:rsidRPr="001C5299">
              <w:rPr>
                <w:rStyle w:val="Hyperlink"/>
                <w:rFonts w:ascii="Arial" w:hAnsi="Arial" w:cs="Arial"/>
                <w:noProof/>
                <w:sz w:val="22"/>
                <w:szCs w:val="22"/>
              </w:rPr>
              <w:t>Theme 3: Changing Liquidity Patterns in FX Markets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_Toc227496341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19</w:t>
            </w:r>
            <w:r w:rsidRPr="001C5299">
              <w:rPr>
                <w:rFonts w:ascii="Arial" w:hAnsi="Arial" w:cs="Arial"/>
                <w:noProof/>
                <w:webHidden/>
                <w:sz w:val="22"/>
                <w:szCs w:val="22"/>
              </w:rPr>
              <w:fldChar w:fldCharType="end"/>
            </w:r>
          </w:hyperlink>
        </w:p>
        <w:p w14:paraId="734ACB19" w14:textId="145077E7" w:rsidR="001C5299" w:rsidRPr="001C5299" w:rsidRDefault="001C5299">
          <w:pPr>
            <w:pStyle w:val="TOC1"/>
            <w:tabs>
              <w:tab w:val="right" w:leader="dot" w:pos="9350"/>
            </w:tabs>
            <w:rPr>
              <w:rFonts w:ascii="Arial" w:eastAsiaTheme="minorEastAsia" w:hAnsi="Arial" w:cs="Arial"/>
              <w:noProof/>
              <w:sz w:val="22"/>
              <w:szCs w:val="22"/>
            </w:rPr>
          </w:pPr>
          <w:hyperlink w:anchor="_Toc227496342" w:history="1">
            <w:r w:rsidRPr="001C5299">
              <w:rPr>
                <w:rStyle w:val="Hyperlink"/>
                <w:rFonts w:ascii="Arial" w:hAnsi="Arial" w:cs="Arial"/>
                <w:noProof/>
                <w:sz w:val="22"/>
                <w:szCs w:val="22"/>
              </w:rPr>
              <w:t>4.5 Synthesis and Interpretation</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_Toc227496342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20</w:t>
            </w:r>
            <w:r w:rsidRPr="001C5299">
              <w:rPr>
                <w:rFonts w:ascii="Arial" w:hAnsi="Arial" w:cs="Arial"/>
                <w:noProof/>
                <w:webHidden/>
                <w:sz w:val="22"/>
                <w:szCs w:val="22"/>
              </w:rPr>
              <w:fldChar w:fldCharType="end"/>
            </w:r>
          </w:hyperlink>
        </w:p>
        <w:p w14:paraId="175E699B" w14:textId="28E7277F" w:rsidR="001C5299" w:rsidRPr="001C5299" w:rsidRDefault="001C5299">
          <w:pPr>
            <w:pStyle w:val="TOC1"/>
            <w:tabs>
              <w:tab w:val="right" w:leader="dot" w:pos="9350"/>
            </w:tabs>
            <w:rPr>
              <w:rFonts w:ascii="Arial" w:eastAsiaTheme="minorEastAsia" w:hAnsi="Arial" w:cs="Arial"/>
              <w:noProof/>
              <w:sz w:val="22"/>
              <w:szCs w:val="22"/>
            </w:rPr>
          </w:pPr>
          <w:hyperlink w:anchor="_Toc227496343" w:history="1">
            <w:r w:rsidRPr="001C5299">
              <w:rPr>
                <w:rStyle w:val="Hyperlink"/>
                <w:rFonts w:ascii="Arial" w:hAnsi="Arial" w:cs="Arial"/>
                <w:noProof/>
                <w:sz w:val="22"/>
                <w:szCs w:val="22"/>
              </w:rPr>
              <w:t>4.6 Summary</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_Toc227496343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21</w:t>
            </w:r>
            <w:r w:rsidRPr="001C5299">
              <w:rPr>
                <w:rFonts w:ascii="Arial" w:hAnsi="Arial" w:cs="Arial"/>
                <w:noProof/>
                <w:webHidden/>
                <w:sz w:val="22"/>
                <w:szCs w:val="22"/>
              </w:rPr>
              <w:fldChar w:fldCharType="end"/>
            </w:r>
          </w:hyperlink>
        </w:p>
        <w:p w14:paraId="1C062BF6" w14:textId="0FBAA164" w:rsidR="001C5299" w:rsidRPr="001C5299" w:rsidRDefault="001C5299">
          <w:pPr>
            <w:pStyle w:val="TOC1"/>
            <w:tabs>
              <w:tab w:val="right" w:leader="dot" w:pos="9350"/>
            </w:tabs>
            <w:rPr>
              <w:rFonts w:ascii="Arial" w:eastAsiaTheme="minorEastAsia" w:hAnsi="Arial" w:cs="Arial"/>
              <w:noProof/>
              <w:sz w:val="22"/>
              <w:szCs w:val="22"/>
            </w:rPr>
          </w:pPr>
          <w:hyperlink w:anchor="_Toc227496344" w:history="1">
            <w:r w:rsidRPr="001C5299">
              <w:rPr>
                <w:rStyle w:val="Hyperlink"/>
                <w:rFonts w:ascii="Arial" w:hAnsi="Arial" w:cs="Arial"/>
                <w:noProof/>
                <w:sz w:val="22"/>
                <w:szCs w:val="22"/>
              </w:rPr>
              <w:t>Chapter 5: Evaluation and Conclusion</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_Toc227496344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21</w:t>
            </w:r>
            <w:r w:rsidRPr="001C5299">
              <w:rPr>
                <w:rFonts w:ascii="Arial" w:hAnsi="Arial" w:cs="Arial"/>
                <w:noProof/>
                <w:webHidden/>
                <w:sz w:val="22"/>
                <w:szCs w:val="22"/>
              </w:rPr>
              <w:fldChar w:fldCharType="end"/>
            </w:r>
          </w:hyperlink>
        </w:p>
        <w:p w14:paraId="33D14F3D" w14:textId="53F55159" w:rsidR="001C5299" w:rsidRPr="001C5299" w:rsidRDefault="001C5299">
          <w:pPr>
            <w:pStyle w:val="TOC1"/>
            <w:tabs>
              <w:tab w:val="right" w:leader="dot" w:pos="9350"/>
            </w:tabs>
            <w:rPr>
              <w:rFonts w:ascii="Arial" w:eastAsiaTheme="minorEastAsia" w:hAnsi="Arial" w:cs="Arial"/>
              <w:noProof/>
              <w:sz w:val="22"/>
              <w:szCs w:val="22"/>
            </w:rPr>
          </w:pPr>
          <w:hyperlink w:anchor="_Toc227496345" w:history="1">
            <w:r w:rsidRPr="001C5299">
              <w:rPr>
                <w:rStyle w:val="Hyperlink"/>
                <w:rFonts w:ascii="Arial" w:hAnsi="Arial" w:cs="Arial"/>
                <w:noProof/>
                <w:sz w:val="22"/>
                <w:szCs w:val="22"/>
              </w:rPr>
              <w:t>5.1 Introduction</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_Toc227496345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21</w:t>
            </w:r>
            <w:r w:rsidRPr="001C5299">
              <w:rPr>
                <w:rFonts w:ascii="Arial" w:hAnsi="Arial" w:cs="Arial"/>
                <w:noProof/>
                <w:webHidden/>
                <w:sz w:val="22"/>
                <w:szCs w:val="22"/>
              </w:rPr>
              <w:fldChar w:fldCharType="end"/>
            </w:r>
          </w:hyperlink>
        </w:p>
        <w:p w14:paraId="7FD9ACF3" w14:textId="5098D634" w:rsidR="001C5299" w:rsidRPr="001C5299" w:rsidRDefault="001C5299">
          <w:pPr>
            <w:pStyle w:val="TOC1"/>
            <w:tabs>
              <w:tab w:val="right" w:leader="dot" w:pos="9350"/>
            </w:tabs>
            <w:rPr>
              <w:rFonts w:ascii="Arial" w:eastAsiaTheme="minorEastAsia" w:hAnsi="Arial" w:cs="Arial"/>
              <w:noProof/>
              <w:sz w:val="22"/>
              <w:szCs w:val="22"/>
            </w:rPr>
          </w:pPr>
          <w:hyperlink w:anchor="_Toc227496346" w:history="1">
            <w:r w:rsidRPr="001C5299">
              <w:rPr>
                <w:rStyle w:val="Hyperlink"/>
                <w:rFonts w:ascii="Arial" w:hAnsi="Arial" w:cs="Arial"/>
                <w:noProof/>
                <w:sz w:val="22"/>
                <w:szCs w:val="22"/>
              </w:rPr>
              <w:t>References</w:t>
            </w:r>
            <w:r w:rsidRPr="001C5299">
              <w:rPr>
                <w:rFonts w:ascii="Arial" w:hAnsi="Arial" w:cs="Arial"/>
                <w:noProof/>
                <w:webHidden/>
                <w:sz w:val="22"/>
                <w:szCs w:val="22"/>
              </w:rPr>
              <w:tab/>
            </w:r>
            <w:r w:rsidRPr="001C5299">
              <w:rPr>
                <w:rFonts w:ascii="Arial" w:hAnsi="Arial" w:cs="Arial"/>
                <w:noProof/>
                <w:webHidden/>
                <w:sz w:val="22"/>
                <w:szCs w:val="22"/>
              </w:rPr>
              <w:fldChar w:fldCharType="begin"/>
            </w:r>
            <w:r w:rsidRPr="001C5299">
              <w:rPr>
                <w:rFonts w:ascii="Arial" w:hAnsi="Arial" w:cs="Arial"/>
                <w:noProof/>
                <w:webHidden/>
                <w:sz w:val="22"/>
                <w:szCs w:val="22"/>
              </w:rPr>
              <w:instrText xml:space="preserve"> PAGEREF _Toc227496346 \h </w:instrText>
            </w:r>
            <w:r w:rsidRPr="001C5299">
              <w:rPr>
                <w:rFonts w:ascii="Arial" w:hAnsi="Arial" w:cs="Arial"/>
                <w:noProof/>
                <w:webHidden/>
                <w:sz w:val="22"/>
                <w:szCs w:val="22"/>
              </w:rPr>
            </w:r>
            <w:r w:rsidRPr="001C5299">
              <w:rPr>
                <w:rFonts w:ascii="Arial" w:hAnsi="Arial" w:cs="Arial"/>
                <w:noProof/>
                <w:webHidden/>
                <w:sz w:val="22"/>
                <w:szCs w:val="22"/>
              </w:rPr>
              <w:fldChar w:fldCharType="separate"/>
            </w:r>
            <w:r w:rsidRPr="001C5299">
              <w:rPr>
                <w:rFonts w:ascii="Arial" w:hAnsi="Arial" w:cs="Arial"/>
                <w:noProof/>
                <w:webHidden/>
                <w:sz w:val="22"/>
                <w:szCs w:val="22"/>
              </w:rPr>
              <w:t>25</w:t>
            </w:r>
            <w:r w:rsidRPr="001C5299">
              <w:rPr>
                <w:rFonts w:ascii="Arial" w:hAnsi="Arial" w:cs="Arial"/>
                <w:noProof/>
                <w:webHidden/>
                <w:sz w:val="22"/>
                <w:szCs w:val="22"/>
              </w:rPr>
              <w:fldChar w:fldCharType="end"/>
            </w:r>
          </w:hyperlink>
        </w:p>
        <w:p w14:paraId="4D082B6E" w14:textId="5CCCE5A7" w:rsidR="00AE7D8A" w:rsidRPr="001C5299" w:rsidRDefault="00AE7D8A">
          <w:pPr>
            <w:rPr>
              <w:rFonts w:ascii="Arial" w:hAnsi="Arial" w:cs="Arial"/>
              <w:sz w:val="22"/>
              <w:szCs w:val="22"/>
            </w:rPr>
          </w:pPr>
          <w:r w:rsidRPr="001C5299">
            <w:rPr>
              <w:rFonts w:ascii="Arial" w:hAnsi="Arial" w:cs="Arial"/>
              <w:b/>
              <w:bCs/>
              <w:noProof/>
              <w:sz w:val="22"/>
              <w:szCs w:val="22"/>
            </w:rPr>
            <w:fldChar w:fldCharType="end"/>
          </w:r>
        </w:p>
      </w:sdtContent>
    </w:sdt>
    <w:p w14:paraId="17AE9E8F" w14:textId="77777777" w:rsidR="007751B4" w:rsidRPr="005B4F1A" w:rsidRDefault="007751B4" w:rsidP="00522DA4">
      <w:pPr>
        <w:spacing w:line="360" w:lineRule="auto"/>
        <w:jc w:val="both"/>
        <w:rPr>
          <w:rFonts w:ascii="Arial" w:hAnsi="Arial" w:cs="Arial"/>
          <w:b/>
          <w:bCs/>
          <w:sz w:val="22"/>
          <w:szCs w:val="22"/>
          <w:lang w:val="bg-BG"/>
        </w:rPr>
      </w:pPr>
    </w:p>
    <w:p w14:paraId="581D41CB" w14:textId="19DEE973" w:rsidR="00522DA4" w:rsidRPr="001C5299" w:rsidRDefault="00522DA4" w:rsidP="00522DA4">
      <w:pPr>
        <w:spacing w:line="360" w:lineRule="auto"/>
        <w:jc w:val="both"/>
        <w:rPr>
          <w:rFonts w:ascii="Arial" w:hAnsi="Arial" w:cs="Arial"/>
          <w:b/>
          <w:bCs/>
          <w:sz w:val="22"/>
          <w:szCs w:val="22"/>
        </w:rPr>
      </w:pPr>
      <w:r w:rsidRPr="001C5299">
        <w:rPr>
          <w:rFonts w:ascii="Arial" w:hAnsi="Arial" w:cs="Arial"/>
          <w:b/>
          <w:bCs/>
          <w:sz w:val="22"/>
          <w:szCs w:val="22"/>
        </w:rPr>
        <w:t>Abstract</w:t>
      </w:r>
    </w:p>
    <w:p w14:paraId="36A0889F" w14:textId="26D5CD43" w:rsidR="00522DA4" w:rsidRPr="001C5299" w:rsidRDefault="00522DA4" w:rsidP="00522DA4">
      <w:pPr>
        <w:spacing w:line="360" w:lineRule="auto"/>
        <w:jc w:val="both"/>
        <w:rPr>
          <w:rFonts w:ascii="Arial" w:hAnsi="Arial" w:cs="Arial"/>
          <w:sz w:val="22"/>
          <w:szCs w:val="22"/>
        </w:rPr>
      </w:pPr>
      <w:r w:rsidRPr="001C5299">
        <w:rPr>
          <w:rFonts w:ascii="Arial" w:hAnsi="Arial" w:cs="Arial"/>
          <w:sz w:val="22"/>
          <w:szCs w:val="22"/>
        </w:rPr>
        <w:t xml:space="preserve">The </w:t>
      </w:r>
      <w:r w:rsidR="00736843" w:rsidRPr="001C5299">
        <w:rPr>
          <w:rFonts w:ascii="Arial" w:hAnsi="Arial" w:cs="Arial"/>
          <w:sz w:val="22"/>
          <w:szCs w:val="22"/>
        </w:rPr>
        <w:t>growth</w:t>
      </w:r>
      <w:r w:rsidRPr="001C5299">
        <w:rPr>
          <w:rFonts w:ascii="Arial" w:hAnsi="Arial" w:cs="Arial"/>
          <w:sz w:val="22"/>
          <w:szCs w:val="22"/>
        </w:rPr>
        <w:t xml:space="preserve"> of Artificial Intelligence (AI) in global financial markets has fundamentally transformed trading dynamics, particularly within the foreign exchange (forex) market, which processes over $7.5 trillion daily. This dissertation critically examines the impact of AI-driven trading systems on two fundamental market dimensions: volatility and liquidity. Adopting a qualitative secondary research design, the study synthesizes academic literature, regulatory publications, and industry analyses from 2015 to 2025 through systematic thematic analysis.</w:t>
      </w:r>
    </w:p>
    <w:p w14:paraId="47A60604" w14:textId="77777777" w:rsidR="00522DA4" w:rsidRPr="001C5299" w:rsidRDefault="00522DA4" w:rsidP="00522DA4">
      <w:pPr>
        <w:spacing w:line="360" w:lineRule="auto"/>
        <w:jc w:val="both"/>
        <w:rPr>
          <w:rFonts w:ascii="Arial" w:hAnsi="Arial" w:cs="Arial"/>
          <w:sz w:val="22"/>
          <w:szCs w:val="22"/>
        </w:rPr>
      </w:pPr>
      <w:r w:rsidRPr="001C5299">
        <w:rPr>
          <w:rFonts w:ascii="Arial" w:hAnsi="Arial" w:cs="Arial"/>
          <w:sz w:val="22"/>
          <w:szCs w:val="22"/>
        </w:rPr>
        <w:t>The research aims to explore how AI technologies influence forex market stability, examining both technological efficiency gains and systemic vulnerabilities. Three research questions guide the inquiry: (1) How has AI-driven trading altered price discovery and volatility patterns? (2) How do market participants experience AI-related liquidity changes? (3) What adaptive strategies do traditional traders employ in response to AI dominance?</w:t>
      </w:r>
    </w:p>
    <w:p w14:paraId="6333E762" w14:textId="4094CCAF" w:rsidR="00610062" w:rsidRPr="005B1800" w:rsidRDefault="005B1800" w:rsidP="00522DA4">
      <w:pPr>
        <w:spacing w:line="360" w:lineRule="auto"/>
        <w:jc w:val="both"/>
        <w:rPr>
          <w:rFonts w:ascii="Arial" w:hAnsi="Arial" w:cs="Arial"/>
          <w:sz w:val="22"/>
          <w:szCs w:val="22"/>
          <w:lang w:val="bg-BG"/>
        </w:rPr>
      </w:pPr>
      <w:r w:rsidRPr="005B1800">
        <w:rPr>
          <w:rFonts w:ascii="Arial" w:hAnsi="Arial" w:cs="Arial"/>
          <w:sz w:val="22"/>
          <w:szCs w:val="22"/>
        </w:rPr>
        <w:t>Three core themes emerged from the analysis: (1) Market Instability and Rising Volatility, (2) Regulation Challenges and Ethical Concerns, and (3) Changing Liquidity Patterns in FX Markets. The findings indicate that AI-driven systems enhance market efficiency and execution speed under stable conditions, while simultaneously increasing the likelihood of rapid volatility spikes and contributing to structural fragility during periods of market stress. In addition, liquidity provision is shown to be conditional, with strong performance in normal conditions but significant withdrawal during uncertainty.</w:t>
      </w:r>
    </w:p>
    <w:p w14:paraId="3BDE2B88" w14:textId="77777777" w:rsidR="00522DA4" w:rsidRPr="001C5299" w:rsidRDefault="00522DA4" w:rsidP="00522DA4">
      <w:pPr>
        <w:spacing w:line="360" w:lineRule="auto"/>
        <w:jc w:val="both"/>
        <w:rPr>
          <w:rFonts w:ascii="Arial" w:hAnsi="Arial" w:cs="Arial"/>
          <w:sz w:val="22"/>
          <w:szCs w:val="22"/>
        </w:rPr>
      </w:pPr>
      <w:r w:rsidRPr="001C5299">
        <w:rPr>
          <w:rFonts w:ascii="Arial" w:hAnsi="Arial" w:cs="Arial"/>
          <w:sz w:val="22"/>
          <w:szCs w:val="22"/>
        </w:rPr>
        <w:t>The study contributes to financial technology discourse by bridging quantitative empirical research with qualitative interpretive insights, emphasizing the human and institutional dimensions of AI integration. Practical implications include recommendations for hybrid human-AI collaboration frameworks, explainable AI governance, and adaptive regulatory approaches. The research concludes that sustainable market stability requires co-evolution of technology, human oversight, and ethical regulation, advocating for interdisciplinary approaches that balance automation with accountability in the digital financial ecosystem.</w:t>
      </w:r>
    </w:p>
    <w:p w14:paraId="5538CD6E" w14:textId="77777777" w:rsidR="00522DA4" w:rsidRPr="001C5299" w:rsidRDefault="00522DA4" w:rsidP="00522DA4">
      <w:pPr>
        <w:spacing w:line="360" w:lineRule="auto"/>
        <w:jc w:val="both"/>
        <w:rPr>
          <w:rFonts w:ascii="Arial" w:hAnsi="Arial" w:cs="Arial"/>
          <w:sz w:val="22"/>
          <w:szCs w:val="22"/>
        </w:rPr>
      </w:pPr>
      <w:r w:rsidRPr="001C5299">
        <w:rPr>
          <w:rFonts w:ascii="Arial" w:hAnsi="Arial" w:cs="Arial"/>
          <w:b/>
          <w:bCs/>
          <w:sz w:val="22"/>
          <w:szCs w:val="22"/>
        </w:rPr>
        <w:t xml:space="preserve">Keywords: </w:t>
      </w:r>
      <w:r w:rsidRPr="001C5299">
        <w:rPr>
          <w:rFonts w:ascii="Arial" w:hAnsi="Arial" w:cs="Arial"/>
          <w:sz w:val="22"/>
          <w:szCs w:val="22"/>
        </w:rPr>
        <w:t>Artificial Intelligence, Algorithmic Trading, Forex Market, Market Volatility, Liquidity, Financial Technology, Regulatory Oversight, Qualitative Research</w:t>
      </w:r>
    </w:p>
    <w:p w14:paraId="6DABD0DF" w14:textId="77777777" w:rsidR="007751B4" w:rsidRPr="001C5299" w:rsidRDefault="007751B4" w:rsidP="00522DA4">
      <w:pPr>
        <w:spacing w:line="360" w:lineRule="auto"/>
        <w:jc w:val="both"/>
        <w:rPr>
          <w:rFonts w:ascii="Arial" w:hAnsi="Arial" w:cs="Arial"/>
          <w:sz w:val="22"/>
          <w:szCs w:val="22"/>
        </w:rPr>
      </w:pPr>
    </w:p>
    <w:p w14:paraId="03852C0B" w14:textId="77777777" w:rsidR="007751B4" w:rsidRPr="001C5299" w:rsidRDefault="007751B4" w:rsidP="00522DA4">
      <w:pPr>
        <w:spacing w:line="360" w:lineRule="auto"/>
        <w:jc w:val="both"/>
        <w:rPr>
          <w:rFonts w:ascii="Arial" w:hAnsi="Arial" w:cs="Arial"/>
          <w:sz w:val="22"/>
          <w:szCs w:val="22"/>
        </w:rPr>
      </w:pPr>
    </w:p>
    <w:p w14:paraId="1D9F4B7C" w14:textId="77777777" w:rsidR="00736843" w:rsidRPr="001C5299" w:rsidRDefault="00736843" w:rsidP="00522DA4">
      <w:pPr>
        <w:spacing w:line="360" w:lineRule="auto"/>
        <w:jc w:val="both"/>
        <w:rPr>
          <w:rFonts w:ascii="Arial" w:hAnsi="Arial" w:cs="Arial"/>
          <w:b/>
          <w:bCs/>
          <w:sz w:val="22"/>
          <w:szCs w:val="22"/>
        </w:rPr>
      </w:pPr>
    </w:p>
    <w:p w14:paraId="78E49CA5" w14:textId="733043A0" w:rsidR="007751B4" w:rsidRPr="001C5299" w:rsidRDefault="00C05EF6" w:rsidP="00522DA4">
      <w:pPr>
        <w:spacing w:line="360" w:lineRule="auto"/>
        <w:jc w:val="both"/>
        <w:rPr>
          <w:rFonts w:ascii="Arial" w:hAnsi="Arial" w:cs="Arial"/>
          <w:b/>
          <w:bCs/>
          <w:sz w:val="22"/>
          <w:szCs w:val="22"/>
        </w:rPr>
      </w:pPr>
      <w:r w:rsidRPr="001C5299">
        <w:rPr>
          <w:rFonts w:ascii="Arial" w:hAnsi="Arial" w:cs="Arial"/>
          <w:b/>
          <w:bCs/>
          <w:sz w:val="22"/>
          <w:szCs w:val="22"/>
        </w:rPr>
        <w:t>List of Abbreviations:</w:t>
      </w:r>
    </w:p>
    <w:tbl>
      <w:tblPr>
        <w:tblStyle w:val="TableGrid"/>
        <w:tblW w:w="0" w:type="auto"/>
        <w:tblLook w:val="04A0" w:firstRow="1" w:lastRow="0" w:firstColumn="1" w:lastColumn="0" w:noHBand="0" w:noVBand="1"/>
      </w:tblPr>
      <w:tblGrid>
        <w:gridCol w:w="988"/>
        <w:gridCol w:w="6237"/>
      </w:tblGrid>
      <w:tr w:rsidR="007751B4" w:rsidRPr="001C5299" w14:paraId="5220A553" w14:textId="77777777" w:rsidTr="007751B4">
        <w:tc>
          <w:tcPr>
            <w:tcW w:w="988" w:type="dxa"/>
          </w:tcPr>
          <w:p w14:paraId="65CBF734" w14:textId="48E2375B"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AI</w:t>
            </w:r>
          </w:p>
        </w:tc>
        <w:tc>
          <w:tcPr>
            <w:tcW w:w="6237" w:type="dxa"/>
          </w:tcPr>
          <w:p w14:paraId="5CD77E99" w14:textId="2C48A4FE"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Artificial Intelligence</w:t>
            </w:r>
          </w:p>
        </w:tc>
      </w:tr>
      <w:tr w:rsidR="007751B4" w:rsidRPr="001C5299" w14:paraId="1B684F65" w14:textId="77777777" w:rsidTr="007751B4">
        <w:tc>
          <w:tcPr>
            <w:tcW w:w="988" w:type="dxa"/>
          </w:tcPr>
          <w:p w14:paraId="497330A7" w14:textId="7201D5A7"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BIS</w:t>
            </w:r>
          </w:p>
        </w:tc>
        <w:tc>
          <w:tcPr>
            <w:tcW w:w="6237" w:type="dxa"/>
          </w:tcPr>
          <w:p w14:paraId="631E45CA" w14:textId="2FFACC03"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Bank for International Settlements</w:t>
            </w:r>
          </w:p>
        </w:tc>
      </w:tr>
      <w:tr w:rsidR="007751B4" w:rsidRPr="001C5299" w14:paraId="0BE00911" w14:textId="77777777" w:rsidTr="007751B4">
        <w:tc>
          <w:tcPr>
            <w:tcW w:w="988" w:type="dxa"/>
          </w:tcPr>
          <w:p w14:paraId="0BBA9695" w14:textId="4B7C2807"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DeFi</w:t>
            </w:r>
          </w:p>
        </w:tc>
        <w:tc>
          <w:tcPr>
            <w:tcW w:w="6237" w:type="dxa"/>
          </w:tcPr>
          <w:p w14:paraId="102F9126" w14:textId="4643CC48"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Decentralized Finance</w:t>
            </w:r>
          </w:p>
        </w:tc>
      </w:tr>
      <w:tr w:rsidR="007751B4" w:rsidRPr="001C5299" w14:paraId="7B834E10" w14:textId="77777777" w:rsidTr="007751B4">
        <w:tc>
          <w:tcPr>
            <w:tcW w:w="988" w:type="dxa"/>
          </w:tcPr>
          <w:p w14:paraId="2CC895BD" w14:textId="6103749E"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DL</w:t>
            </w:r>
          </w:p>
        </w:tc>
        <w:tc>
          <w:tcPr>
            <w:tcW w:w="6237" w:type="dxa"/>
          </w:tcPr>
          <w:p w14:paraId="26252EDB" w14:textId="4A541450"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Deep Learning</w:t>
            </w:r>
          </w:p>
        </w:tc>
      </w:tr>
      <w:tr w:rsidR="007751B4" w:rsidRPr="001C5299" w14:paraId="552B138F" w14:textId="77777777" w:rsidTr="007751B4">
        <w:tc>
          <w:tcPr>
            <w:tcW w:w="988" w:type="dxa"/>
          </w:tcPr>
          <w:p w14:paraId="1470AFA5" w14:textId="1920E38F"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ECB</w:t>
            </w:r>
          </w:p>
        </w:tc>
        <w:tc>
          <w:tcPr>
            <w:tcW w:w="6237" w:type="dxa"/>
          </w:tcPr>
          <w:p w14:paraId="420F0477" w14:textId="362E6FC1"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European Central Bank</w:t>
            </w:r>
          </w:p>
        </w:tc>
      </w:tr>
      <w:tr w:rsidR="007751B4" w:rsidRPr="001C5299" w14:paraId="0CF23461" w14:textId="77777777" w:rsidTr="007751B4">
        <w:tc>
          <w:tcPr>
            <w:tcW w:w="988" w:type="dxa"/>
          </w:tcPr>
          <w:p w14:paraId="3F5E98A5" w14:textId="4C555032"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EU</w:t>
            </w:r>
          </w:p>
        </w:tc>
        <w:tc>
          <w:tcPr>
            <w:tcW w:w="6237" w:type="dxa"/>
          </w:tcPr>
          <w:p w14:paraId="2B12D7EC" w14:textId="639CD7F7"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European Union</w:t>
            </w:r>
          </w:p>
        </w:tc>
      </w:tr>
      <w:tr w:rsidR="007751B4" w:rsidRPr="001C5299" w14:paraId="5CAD80B5" w14:textId="77777777" w:rsidTr="007751B4">
        <w:tc>
          <w:tcPr>
            <w:tcW w:w="988" w:type="dxa"/>
          </w:tcPr>
          <w:p w14:paraId="6173FA3C" w14:textId="59C14760"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FX</w:t>
            </w:r>
          </w:p>
        </w:tc>
        <w:tc>
          <w:tcPr>
            <w:tcW w:w="6237" w:type="dxa"/>
          </w:tcPr>
          <w:p w14:paraId="3953BE04" w14:textId="0D7BF895"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Forex Exchange</w:t>
            </w:r>
          </w:p>
        </w:tc>
      </w:tr>
      <w:tr w:rsidR="007751B4" w:rsidRPr="001C5299" w14:paraId="0A8E3354" w14:textId="77777777" w:rsidTr="007751B4">
        <w:tc>
          <w:tcPr>
            <w:tcW w:w="988" w:type="dxa"/>
          </w:tcPr>
          <w:p w14:paraId="6FA73623" w14:textId="1C1C101C"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FSB</w:t>
            </w:r>
          </w:p>
        </w:tc>
        <w:tc>
          <w:tcPr>
            <w:tcW w:w="6237" w:type="dxa"/>
          </w:tcPr>
          <w:p w14:paraId="7CD4CB75" w14:textId="69092D7E" w:rsidR="007751B4" w:rsidRPr="001C5299" w:rsidRDefault="007751B4" w:rsidP="00522DA4">
            <w:pPr>
              <w:spacing w:line="360" w:lineRule="auto"/>
              <w:jc w:val="both"/>
              <w:rPr>
                <w:rFonts w:ascii="Arial" w:hAnsi="Arial" w:cs="Arial"/>
                <w:sz w:val="22"/>
                <w:szCs w:val="22"/>
              </w:rPr>
            </w:pPr>
            <w:r w:rsidRPr="001C5299">
              <w:rPr>
                <w:rFonts w:ascii="Arial" w:hAnsi="Arial" w:cs="Arial"/>
                <w:sz w:val="22"/>
                <w:szCs w:val="22"/>
              </w:rPr>
              <w:t>Financial Stability Board</w:t>
            </w:r>
          </w:p>
        </w:tc>
      </w:tr>
      <w:tr w:rsidR="007751B4" w:rsidRPr="001C5299" w14:paraId="0C45B877" w14:textId="77777777" w:rsidTr="007751B4">
        <w:tc>
          <w:tcPr>
            <w:tcW w:w="988" w:type="dxa"/>
          </w:tcPr>
          <w:p w14:paraId="49D8D7E9" w14:textId="1E01E27E" w:rsidR="007751B4" w:rsidRPr="001C5299" w:rsidRDefault="0095053F" w:rsidP="00522DA4">
            <w:pPr>
              <w:spacing w:line="360" w:lineRule="auto"/>
              <w:jc w:val="both"/>
              <w:rPr>
                <w:rFonts w:ascii="Arial" w:hAnsi="Arial" w:cs="Arial"/>
                <w:sz w:val="22"/>
                <w:szCs w:val="22"/>
              </w:rPr>
            </w:pPr>
            <w:r w:rsidRPr="001C5299">
              <w:rPr>
                <w:rFonts w:ascii="Arial" w:hAnsi="Arial" w:cs="Arial"/>
                <w:sz w:val="22"/>
                <w:szCs w:val="22"/>
              </w:rPr>
              <w:t>ML</w:t>
            </w:r>
          </w:p>
        </w:tc>
        <w:tc>
          <w:tcPr>
            <w:tcW w:w="6237" w:type="dxa"/>
          </w:tcPr>
          <w:p w14:paraId="1EDFD6F2" w14:textId="35E3B956" w:rsidR="007751B4" w:rsidRPr="001C5299" w:rsidRDefault="0095053F" w:rsidP="00522DA4">
            <w:pPr>
              <w:spacing w:line="360" w:lineRule="auto"/>
              <w:jc w:val="both"/>
              <w:rPr>
                <w:rFonts w:ascii="Arial" w:hAnsi="Arial" w:cs="Arial"/>
                <w:sz w:val="22"/>
                <w:szCs w:val="22"/>
              </w:rPr>
            </w:pPr>
            <w:r w:rsidRPr="001C5299">
              <w:rPr>
                <w:rFonts w:ascii="Arial" w:hAnsi="Arial" w:cs="Arial"/>
                <w:sz w:val="22"/>
                <w:szCs w:val="22"/>
              </w:rPr>
              <w:t>Machine Learning</w:t>
            </w:r>
          </w:p>
        </w:tc>
      </w:tr>
      <w:tr w:rsidR="0095053F" w:rsidRPr="001C5299" w14:paraId="317309C0" w14:textId="77777777" w:rsidTr="00FA215D">
        <w:tc>
          <w:tcPr>
            <w:tcW w:w="988" w:type="dxa"/>
          </w:tcPr>
          <w:p w14:paraId="41E4BEDE" w14:textId="0EAFF915" w:rsidR="0095053F" w:rsidRPr="001C5299" w:rsidRDefault="0095053F" w:rsidP="0095053F">
            <w:pPr>
              <w:spacing w:line="360" w:lineRule="auto"/>
              <w:jc w:val="both"/>
              <w:rPr>
                <w:rFonts w:ascii="Arial" w:hAnsi="Arial" w:cs="Arial"/>
                <w:sz w:val="22"/>
                <w:szCs w:val="22"/>
              </w:rPr>
            </w:pPr>
            <w:r w:rsidRPr="001C5299">
              <w:rPr>
                <w:rFonts w:ascii="Arial" w:hAnsi="Arial" w:cs="Arial"/>
                <w:sz w:val="22"/>
                <w:szCs w:val="22"/>
              </w:rPr>
              <w:t>NLP</w:t>
            </w:r>
          </w:p>
        </w:tc>
        <w:tc>
          <w:tcPr>
            <w:tcW w:w="6237" w:type="dxa"/>
            <w:vAlign w:val="center"/>
          </w:tcPr>
          <w:p w14:paraId="7F7B1F77" w14:textId="3198E9A1" w:rsidR="0095053F" w:rsidRPr="001C5299" w:rsidRDefault="0095053F" w:rsidP="0095053F">
            <w:pPr>
              <w:spacing w:line="360" w:lineRule="auto"/>
              <w:jc w:val="both"/>
              <w:rPr>
                <w:rFonts w:ascii="Arial" w:hAnsi="Arial" w:cs="Arial"/>
                <w:sz w:val="22"/>
                <w:szCs w:val="22"/>
              </w:rPr>
            </w:pPr>
            <w:r w:rsidRPr="001C5299">
              <w:rPr>
                <w:rFonts w:ascii="Arial" w:hAnsi="Arial" w:cs="Arial"/>
                <w:sz w:val="22"/>
                <w:szCs w:val="22"/>
              </w:rPr>
              <w:t>Natural Language Processing</w:t>
            </w:r>
          </w:p>
        </w:tc>
      </w:tr>
      <w:tr w:rsidR="00C05EF6" w:rsidRPr="001C5299" w14:paraId="7F4C5756" w14:textId="77777777" w:rsidTr="007751B4">
        <w:tc>
          <w:tcPr>
            <w:tcW w:w="988" w:type="dxa"/>
          </w:tcPr>
          <w:p w14:paraId="004C6DFE" w14:textId="405D00BA"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UK</w:t>
            </w:r>
          </w:p>
        </w:tc>
        <w:tc>
          <w:tcPr>
            <w:tcW w:w="6237" w:type="dxa"/>
          </w:tcPr>
          <w:p w14:paraId="0F245137" w14:textId="575DCABB"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United Kingdom</w:t>
            </w:r>
          </w:p>
        </w:tc>
      </w:tr>
      <w:tr w:rsidR="00C05EF6" w:rsidRPr="001C5299" w14:paraId="640887EB" w14:textId="77777777" w:rsidTr="007751B4">
        <w:tc>
          <w:tcPr>
            <w:tcW w:w="988" w:type="dxa"/>
          </w:tcPr>
          <w:p w14:paraId="5CD52B35" w14:textId="59C5E081"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US</w:t>
            </w:r>
          </w:p>
        </w:tc>
        <w:tc>
          <w:tcPr>
            <w:tcW w:w="6237" w:type="dxa"/>
          </w:tcPr>
          <w:p w14:paraId="78E77F38" w14:textId="6F053ECF"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United States</w:t>
            </w:r>
          </w:p>
        </w:tc>
      </w:tr>
      <w:tr w:rsidR="00C05EF6" w:rsidRPr="001C5299" w14:paraId="53F39025" w14:textId="77777777" w:rsidTr="007751B4">
        <w:tc>
          <w:tcPr>
            <w:tcW w:w="988" w:type="dxa"/>
          </w:tcPr>
          <w:p w14:paraId="4D1ED259" w14:textId="2026C1D6"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XAI</w:t>
            </w:r>
          </w:p>
        </w:tc>
        <w:tc>
          <w:tcPr>
            <w:tcW w:w="6237" w:type="dxa"/>
          </w:tcPr>
          <w:p w14:paraId="327880D7" w14:textId="09E6EDC3" w:rsidR="00C05EF6" w:rsidRPr="001C5299" w:rsidRDefault="00C05EF6" w:rsidP="0095053F">
            <w:pPr>
              <w:spacing w:line="360" w:lineRule="auto"/>
              <w:jc w:val="both"/>
              <w:rPr>
                <w:rFonts w:ascii="Arial" w:hAnsi="Arial" w:cs="Arial"/>
                <w:sz w:val="22"/>
                <w:szCs w:val="22"/>
              </w:rPr>
            </w:pPr>
            <w:r w:rsidRPr="001C5299">
              <w:rPr>
                <w:rFonts w:ascii="Arial" w:hAnsi="Arial" w:cs="Arial"/>
                <w:sz w:val="22"/>
                <w:szCs w:val="22"/>
              </w:rPr>
              <w:t>Explainable Artificial Intelligence</w:t>
            </w:r>
          </w:p>
        </w:tc>
      </w:tr>
    </w:tbl>
    <w:p w14:paraId="3B426BCF" w14:textId="5765888A" w:rsidR="007751B4" w:rsidRPr="001C5299" w:rsidRDefault="007751B4" w:rsidP="00522DA4">
      <w:pPr>
        <w:spacing w:line="360" w:lineRule="auto"/>
        <w:jc w:val="both"/>
        <w:rPr>
          <w:rFonts w:ascii="Arial" w:hAnsi="Arial" w:cs="Arial"/>
          <w:sz w:val="22"/>
          <w:szCs w:val="22"/>
        </w:rPr>
      </w:pPr>
    </w:p>
    <w:p w14:paraId="1AACC707" w14:textId="77777777" w:rsidR="00522DA4" w:rsidRPr="001C5299" w:rsidRDefault="00522DA4" w:rsidP="003936EA">
      <w:pPr>
        <w:spacing w:line="360" w:lineRule="auto"/>
        <w:jc w:val="both"/>
        <w:rPr>
          <w:rFonts w:ascii="Arial" w:hAnsi="Arial" w:cs="Arial"/>
          <w:b/>
          <w:bCs/>
          <w:sz w:val="22"/>
          <w:szCs w:val="22"/>
        </w:rPr>
      </w:pPr>
    </w:p>
    <w:p w14:paraId="03D63E39" w14:textId="77777777" w:rsidR="00C05EF6" w:rsidRPr="001C5299" w:rsidRDefault="00C05EF6" w:rsidP="003936EA">
      <w:pPr>
        <w:spacing w:line="360" w:lineRule="auto"/>
        <w:jc w:val="both"/>
        <w:rPr>
          <w:rFonts w:ascii="Arial" w:hAnsi="Arial" w:cs="Arial"/>
          <w:b/>
          <w:bCs/>
          <w:sz w:val="22"/>
          <w:szCs w:val="22"/>
        </w:rPr>
      </w:pPr>
    </w:p>
    <w:p w14:paraId="6D70BDDC" w14:textId="77777777" w:rsidR="00E838F8" w:rsidRDefault="00E838F8" w:rsidP="00524112">
      <w:pPr>
        <w:spacing w:line="360" w:lineRule="auto"/>
        <w:jc w:val="both"/>
        <w:rPr>
          <w:rFonts w:ascii="Arial" w:hAnsi="Arial" w:cs="Arial"/>
          <w:b/>
          <w:bCs/>
          <w:sz w:val="22"/>
          <w:szCs w:val="22"/>
          <w:lang w:val="en-GB"/>
        </w:rPr>
      </w:pPr>
      <w:bookmarkStart w:id="0" w:name="_Hlk205534223"/>
    </w:p>
    <w:p w14:paraId="6AE92B6B" w14:textId="77777777" w:rsidR="003675A7" w:rsidRDefault="003675A7" w:rsidP="00524112">
      <w:pPr>
        <w:spacing w:line="360" w:lineRule="auto"/>
        <w:jc w:val="both"/>
        <w:rPr>
          <w:rFonts w:ascii="Arial" w:hAnsi="Arial" w:cs="Arial"/>
          <w:b/>
          <w:bCs/>
          <w:sz w:val="22"/>
          <w:szCs w:val="22"/>
          <w:lang w:val="en-GB"/>
        </w:rPr>
      </w:pPr>
    </w:p>
    <w:p w14:paraId="4F14D3C4" w14:textId="77777777" w:rsidR="00636B27" w:rsidRDefault="00636B27" w:rsidP="00524112">
      <w:pPr>
        <w:spacing w:line="360" w:lineRule="auto"/>
        <w:jc w:val="both"/>
        <w:rPr>
          <w:rFonts w:ascii="Arial" w:hAnsi="Arial" w:cs="Arial"/>
          <w:b/>
          <w:bCs/>
          <w:sz w:val="22"/>
          <w:szCs w:val="22"/>
          <w:lang w:val="en-GB"/>
        </w:rPr>
      </w:pPr>
    </w:p>
    <w:p w14:paraId="2171DDE1" w14:textId="77777777" w:rsidR="00636B27" w:rsidRDefault="00636B27" w:rsidP="00524112">
      <w:pPr>
        <w:spacing w:line="360" w:lineRule="auto"/>
        <w:jc w:val="both"/>
        <w:rPr>
          <w:rFonts w:ascii="Arial" w:hAnsi="Arial" w:cs="Arial"/>
          <w:b/>
          <w:bCs/>
          <w:sz w:val="22"/>
          <w:szCs w:val="22"/>
          <w:lang w:val="en-GB"/>
        </w:rPr>
      </w:pPr>
    </w:p>
    <w:p w14:paraId="49842161" w14:textId="77777777" w:rsidR="00636B27" w:rsidRDefault="00636B27" w:rsidP="00524112">
      <w:pPr>
        <w:spacing w:line="360" w:lineRule="auto"/>
        <w:jc w:val="both"/>
        <w:rPr>
          <w:rFonts w:ascii="Arial" w:hAnsi="Arial" w:cs="Arial"/>
          <w:b/>
          <w:bCs/>
          <w:sz w:val="22"/>
          <w:szCs w:val="22"/>
          <w:lang w:val="en-GB"/>
        </w:rPr>
      </w:pPr>
    </w:p>
    <w:p w14:paraId="25BBF817" w14:textId="77777777" w:rsidR="00636B27" w:rsidRDefault="00636B27" w:rsidP="00524112">
      <w:pPr>
        <w:spacing w:line="360" w:lineRule="auto"/>
        <w:jc w:val="both"/>
        <w:rPr>
          <w:rFonts w:ascii="Arial" w:hAnsi="Arial" w:cs="Arial"/>
          <w:b/>
          <w:bCs/>
          <w:sz w:val="22"/>
          <w:szCs w:val="22"/>
          <w:lang w:val="en-GB"/>
        </w:rPr>
      </w:pPr>
    </w:p>
    <w:p w14:paraId="4BBD57CE" w14:textId="77777777" w:rsidR="00636B27" w:rsidRPr="00636B27" w:rsidRDefault="00636B27" w:rsidP="00524112">
      <w:pPr>
        <w:spacing w:line="360" w:lineRule="auto"/>
        <w:jc w:val="both"/>
        <w:rPr>
          <w:rFonts w:ascii="Arial" w:hAnsi="Arial" w:cs="Arial"/>
          <w:b/>
          <w:bCs/>
          <w:sz w:val="22"/>
          <w:szCs w:val="22"/>
          <w:lang w:val="en-GB"/>
        </w:rPr>
      </w:pPr>
    </w:p>
    <w:p w14:paraId="434C3903" w14:textId="03D608E4" w:rsidR="00F02BA2" w:rsidRPr="001C5299" w:rsidRDefault="00736843" w:rsidP="00736843">
      <w:pPr>
        <w:pStyle w:val="anistyle"/>
        <w:rPr>
          <w:rFonts w:ascii="Arial" w:hAnsi="Arial" w:cs="Arial"/>
          <w:sz w:val="22"/>
          <w:szCs w:val="22"/>
        </w:rPr>
      </w:pPr>
      <w:bookmarkStart w:id="1" w:name="_Toc227496316"/>
      <w:r w:rsidRPr="001C5299">
        <w:rPr>
          <w:rFonts w:ascii="Arial" w:hAnsi="Arial" w:cs="Arial"/>
          <w:sz w:val="22"/>
          <w:szCs w:val="22"/>
        </w:rPr>
        <w:lastRenderedPageBreak/>
        <w:t>Chapter</w:t>
      </w:r>
      <w:r w:rsidR="00F02BA2" w:rsidRPr="001C5299">
        <w:rPr>
          <w:rFonts w:ascii="Arial" w:hAnsi="Arial" w:cs="Arial"/>
          <w:sz w:val="22"/>
          <w:szCs w:val="22"/>
        </w:rPr>
        <w:t xml:space="preserve"> </w:t>
      </w:r>
      <w:r w:rsidR="005B4F1A">
        <w:rPr>
          <w:rFonts w:ascii="Arial" w:hAnsi="Arial" w:cs="Arial"/>
          <w:sz w:val="22"/>
          <w:szCs w:val="22"/>
          <w:lang w:val="bg-BG"/>
        </w:rPr>
        <w:t>1</w:t>
      </w:r>
      <w:r w:rsidR="00F02BA2" w:rsidRPr="001C5299">
        <w:rPr>
          <w:rFonts w:ascii="Arial" w:hAnsi="Arial" w:cs="Arial"/>
          <w:sz w:val="22"/>
          <w:szCs w:val="22"/>
        </w:rPr>
        <w:t>: Introduction</w:t>
      </w:r>
      <w:bookmarkEnd w:id="1"/>
    </w:p>
    <w:p w14:paraId="5E33FBA2" w14:textId="77777777" w:rsidR="00F02BA2" w:rsidRPr="001C5299" w:rsidRDefault="00F02BA2" w:rsidP="00736843">
      <w:pPr>
        <w:pStyle w:val="anistyle"/>
        <w:rPr>
          <w:rFonts w:ascii="Arial" w:hAnsi="Arial" w:cs="Arial"/>
          <w:sz w:val="22"/>
          <w:szCs w:val="22"/>
        </w:rPr>
      </w:pPr>
      <w:bookmarkStart w:id="2" w:name="_Toc227496317"/>
      <w:r w:rsidRPr="001C5299">
        <w:rPr>
          <w:rFonts w:ascii="Arial" w:hAnsi="Arial" w:cs="Arial"/>
          <w:sz w:val="22"/>
          <w:szCs w:val="22"/>
        </w:rPr>
        <w:t>1.1 Background and Context</w:t>
      </w:r>
      <w:bookmarkEnd w:id="2"/>
    </w:p>
    <w:p w14:paraId="0B496400" w14:textId="4A703C5C"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 xml:space="preserve">The use of Artificial Intelligence in financial markets has changed how trading works around the world. The foreign exchange market, also known as the forex market, has experienced especially big changes because of technology. The forex market is the most liquid financial market in the world. </w:t>
      </w:r>
      <w:r w:rsidR="005B1800" w:rsidRPr="005B1800">
        <w:rPr>
          <w:rFonts w:ascii="Arial" w:hAnsi="Arial" w:cs="Arial"/>
          <w:sz w:val="22"/>
          <w:szCs w:val="22"/>
        </w:rPr>
        <w:t>This makes it the largest and most liquid financial market globally</w:t>
      </w:r>
      <w:r w:rsidR="005B1800">
        <w:rPr>
          <w:rFonts w:ascii="Arial" w:hAnsi="Arial" w:cs="Arial"/>
          <w:sz w:val="22"/>
          <w:szCs w:val="22"/>
          <w:lang w:val="bg-BG"/>
        </w:rPr>
        <w:t>.</w:t>
      </w:r>
      <w:r w:rsidR="005B1800" w:rsidRPr="001C5299">
        <w:rPr>
          <w:rFonts w:ascii="Arial" w:hAnsi="Arial" w:cs="Arial"/>
          <w:sz w:val="22"/>
          <w:szCs w:val="22"/>
        </w:rPr>
        <w:t xml:space="preserve"> Every</w:t>
      </w:r>
      <w:r w:rsidRPr="001C5299">
        <w:rPr>
          <w:rFonts w:ascii="Arial" w:hAnsi="Arial" w:cs="Arial"/>
          <w:sz w:val="22"/>
          <w:szCs w:val="22"/>
        </w:rPr>
        <w:t xml:space="preserve"> day, more than $7.5 trillion worth of currency is traded (BIS, 2025). The market has changed from manual trading done by humans to algorithmic processes, which are computer programs that follow specific rules, and now to sophisticated AI-powered systems that can learn and adapt. Today, nearly 80% of all forex transactions involve some kind of algorithmic or AI-assisted component (BIS, 2025). This represents a fundamental shift in how the market is structured and how it behaves.</w:t>
      </w:r>
    </w:p>
    <w:p w14:paraId="198E07EE"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AI-driven technologies include several types of computer systems. Machine learning, often shortened to ML, allows computers to learn from data without being explicitly programmed. Natural language processing, or NLP, helps computers understand human language. Reinforcement learning allows systems to learn by trial and error. These technologies enable trading systems to analyze huge amounts of data, find complex patterns, and execute trades very quickly with minimal delay (Cohen, 2022; Bhuiyan et al., 2025). Traditional algorithmic trading relied on pre-programmed rules that did not change. However, AI systems are different because they can learn on their own and adapt to changing market conditions. These capabilities have improved how efficiently trades are executed and how well liquidity is provided to the market. At the same time, they have introduced new complexity, made the system less transparent, and created potential for instability (Dakalbab et al., 2024).</w:t>
      </w:r>
    </w:p>
    <w:p w14:paraId="78D2E437" w14:textId="2B2682B0"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 xml:space="preserve">Regulatory institutions are organizations that create and enforce rules for financial markets. These include the Bank for International Settlements, which is often called BIS, the European Central Bank or ECB, and the Financial Stability Board, known as FSB. These organizations have raised concerns about whether markets are fair, whether trading systems are transparent enough, and whether volatility gets worse during stressful market periods (ECB, 2023; FSB, 2024). </w:t>
      </w:r>
    </w:p>
    <w:p w14:paraId="5EB479B2" w14:textId="77777777" w:rsidR="007E3003" w:rsidRPr="001C5299" w:rsidRDefault="007E3003" w:rsidP="00F02BA2">
      <w:pPr>
        <w:spacing w:line="360" w:lineRule="auto"/>
        <w:jc w:val="both"/>
        <w:rPr>
          <w:rFonts w:ascii="Arial" w:hAnsi="Arial" w:cs="Arial"/>
          <w:sz w:val="22"/>
          <w:szCs w:val="22"/>
        </w:rPr>
      </w:pPr>
    </w:p>
    <w:p w14:paraId="3847DFF0" w14:textId="77777777" w:rsidR="007E3003" w:rsidRPr="001C5299" w:rsidRDefault="007E3003" w:rsidP="00F02BA2">
      <w:pPr>
        <w:spacing w:line="360" w:lineRule="auto"/>
        <w:jc w:val="both"/>
        <w:rPr>
          <w:rFonts w:ascii="Arial" w:hAnsi="Arial" w:cs="Arial"/>
          <w:sz w:val="22"/>
          <w:szCs w:val="22"/>
        </w:rPr>
      </w:pPr>
    </w:p>
    <w:p w14:paraId="4D89F902" w14:textId="4CAD8804" w:rsidR="00F02BA2" w:rsidRPr="001C5299" w:rsidRDefault="00F02BA2" w:rsidP="00736843">
      <w:pPr>
        <w:pStyle w:val="anistyle"/>
        <w:rPr>
          <w:rFonts w:ascii="Arial" w:hAnsi="Arial" w:cs="Arial"/>
          <w:sz w:val="22"/>
          <w:szCs w:val="22"/>
        </w:rPr>
      </w:pPr>
      <w:bookmarkStart w:id="3" w:name="_Toc227496318"/>
      <w:r w:rsidRPr="001C5299">
        <w:rPr>
          <w:rFonts w:ascii="Arial" w:hAnsi="Arial" w:cs="Arial"/>
          <w:sz w:val="22"/>
          <w:szCs w:val="22"/>
        </w:rPr>
        <w:lastRenderedPageBreak/>
        <w:t>1.2 Problem Statement</w:t>
      </w:r>
      <w:bookmarkEnd w:id="3"/>
    </w:p>
    <w:p w14:paraId="41229246"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Even though there has been a lot of quantitative research on how algorithmic trading affects markets, significant gaps still exist. Most studies use numbers and statistics to measure correlations between algorithmic activity and volatility indicators (</w:t>
      </w:r>
      <w:proofErr w:type="spellStart"/>
      <w:r w:rsidRPr="001C5299">
        <w:rPr>
          <w:rFonts w:ascii="Arial" w:hAnsi="Arial" w:cs="Arial"/>
          <w:sz w:val="22"/>
          <w:szCs w:val="22"/>
        </w:rPr>
        <w:t>Pattnaik</w:t>
      </w:r>
      <w:proofErr w:type="spellEnd"/>
      <w:r w:rsidRPr="001C5299">
        <w:rPr>
          <w:rFonts w:ascii="Arial" w:hAnsi="Arial" w:cs="Arial"/>
          <w:sz w:val="22"/>
          <w:szCs w:val="22"/>
        </w:rPr>
        <w:t xml:space="preserve"> et al., 2024). However, these studies do not look at the interpretive and behavioral dimensions of how AI transforms markets. In other words, they do not examine how market participants perceive, interpret, and adapt to changes caused by AI. Understanding these human and institutional perspectives is important because perceptions shape how regulators respond and how the market behaves. These perceptions matter just as much as empirical data, which means data collected through observation (Afua et al., 2024).</w:t>
      </w:r>
    </w:p>
    <w:p w14:paraId="66526B62"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Furthermore, the increasing dominance of AI raises ethical and socio-economic concerns. Ethical concerns relate to questions about what is right and wrong. Socio-economic concerns relate to how society and the economy are affected. Not everyone has equal access to advanced algorithms and powerful computers needed to run them. This creates informational asymmetries, which means some people have access to better information than others. This situation potentially widens the gap between technologically advanced institutions with lots of resources and smaller participants who cannot afford the same technology (Virgilio, 2019; Rezaei et al., 2025). This dissertation addresses these gaps by using qualitative analysis to examine how AI-driven trading influences volatility and liquidity from the perspective of people involved in the market.</w:t>
      </w:r>
    </w:p>
    <w:p w14:paraId="02EE7449" w14:textId="77777777" w:rsidR="00F02BA2" w:rsidRPr="001C5299" w:rsidRDefault="00F02BA2" w:rsidP="00736843">
      <w:pPr>
        <w:pStyle w:val="anistyle"/>
        <w:rPr>
          <w:rFonts w:ascii="Arial" w:hAnsi="Arial" w:cs="Arial"/>
          <w:sz w:val="22"/>
          <w:szCs w:val="22"/>
        </w:rPr>
      </w:pPr>
      <w:bookmarkStart w:id="4" w:name="_Toc227496319"/>
      <w:r w:rsidRPr="001C5299">
        <w:rPr>
          <w:rFonts w:ascii="Arial" w:hAnsi="Arial" w:cs="Arial"/>
          <w:sz w:val="22"/>
          <w:szCs w:val="22"/>
        </w:rPr>
        <w:t>1.3 Research Aim and Objectives</w:t>
      </w:r>
      <w:bookmarkEnd w:id="4"/>
    </w:p>
    <w:p w14:paraId="10EFB44B"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The main research aim is to critically examine the impact of AI-driven trading on volatility and liquidity in the forex market. This examination uses qualitative secondary analysis, which means analyzing existing written materials rather than collecting new data. The research highlights perceptions and adaptive responses of market participants, meaning how people in the market see these changes and how they respond to them.</w:t>
      </w:r>
    </w:p>
    <w:p w14:paraId="56E45553"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 xml:space="preserve">The research has three specific objectives. The first objective is to analyze the qualitative impact of AI-driven trading on volatility metrics and liquidity indicators across different segments of the forex market. Volatility metrics are measurements of how much prices change. Liquidity indicators are measurements of how easy it is to buy or sell. The second objective is to investigate how AI trading systems affect bid-ask spreads, market depth, and transaction costs. Bid-ask spreads refer to the difference between the price sellers want and the price buyers want to pay. Market depth refers to how many </w:t>
      </w:r>
      <w:proofErr w:type="gramStart"/>
      <w:r w:rsidRPr="001C5299">
        <w:rPr>
          <w:rFonts w:ascii="Arial" w:hAnsi="Arial" w:cs="Arial"/>
          <w:sz w:val="22"/>
          <w:szCs w:val="22"/>
        </w:rPr>
        <w:t>buy</w:t>
      </w:r>
      <w:proofErr w:type="gramEnd"/>
      <w:r w:rsidRPr="001C5299">
        <w:rPr>
          <w:rFonts w:ascii="Arial" w:hAnsi="Arial" w:cs="Arial"/>
          <w:sz w:val="22"/>
          <w:szCs w:val="22"/>
        </w:rPr>
        <w:t xml:space="preserve"> and </w:t>
      </w:r>
      <w:proofErr w:type="gramStart"/>
      <w:r w:rsidRPr="001C5299">
        <w:rPr>
          <w:rFonts w:ascii="Arial" w:hAnsi="Arial" w:cs="Arial"/>
          <w:sz w:val="22"/>
          <w:szCs w:val="22"/>
        </w:rPr>
        <w:t>sell</w:t>
      </w:r>
      <w:proofErr w:type="gramEnd"/>
      <w:r w:rsidRPr="001C5299">
        <w:rPr>
          <w:rFonts w:ascii="Arial" w:hAnsi="Arial" w:cs="Arial"/>
          <w:sz w:val="22"/>
          <w:szCs w:val="22"/>
        </w:rPr>
        <w:t xml:space="preserve"> orders exist at different prices. Transaction costs are the </w:t>
      </w:r>
      <w:r w:rsidRPr="001C5299">
        <w:rPr>
          <w:rFonts w:ascii="Arial" w:hAnsi="Arial" w:cs="Arial"/>
          <w:sz w:val="22"/>
          <w:szCs w:val="22"/>
        </w:rPr>
        <w:lastRenderedPageBreak/>
        <w:t>costs of completing a trade. This investigation looks at both empirical perspectives, which means what the data shows, and participant perspectives, which means what people experience. The third objective is to examine adaptive strategies employed by institutional and retail traders in response to AI-driven market changes. Institutional traders work for large organizations like banks. Retail traders are individual people trading for themselves.</w:t>
      </w:r>
    </w:p>
    <w:p w14:paraId="10AA24DA" w14:textId="77777777" w:rsidR="00F02BA2" w:rsidRPr="001C5299" w:rsidRDefault="00F02BA2" w:rsidP="00F02BA2">
      <w:pPr>
        <w:spacing w:line="360" w:lineRule="auto"/>
        <w:jc w:val="both"/>
        <w:rPr>
          <w:rFonts w:ascii="Arial" w:hAnsi="Arial" w:cs="Arial"/>
          <w:b/>
          <w:bCs/>
          <w:sz w:val="22"/>
          <w:szCs w:val="22"/>
        </w:rPr>
      </w:pPr>
      <w:r w:rsidRPr="001C5299">
        <w:rPr>
          <w:rFonts w:ascii="Arial" w:hAnsi="Arial" w:cs="Arial"/>
          <w:b/>
          <w:bCs/>
          <w:sz w:val="22"/>
          <w:szCs w:val="22"/>
        </w:rPr>
        <w:t>Research Questions</w:t>
      </w:r>
    </w:p>
    <w:p w14:paraId="6A546E8C"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 xml:space="preserve">Three research questions guide this study. The first question asks: How has AI-driven trading altered price discovery and volatility patterns in the forex market? Price discovery is the process by which markets determine prices through supply and demand. The second question asks: How do participants experience liquidity changes related to AI-driven trading systems? The third question asks: How do traditional market participants adapt their strategies in response to increased AI trading activity, and what implications does this have for market efficiency? Market efficiency refers to how well markets reflect all available information </w:t>
      </w:r>
      <w:proofErr w:type="gramStart"/>
      <w:r w:rsidRPr="001C5299">
        <w:rPr>
          <w:rFonts w:ascii="Arial" w:hAnsi="Arial" w:cs="Arial"/>
          <w:sz w:val="22"/>
          <w:szCs w:val="22"/>
        </w:rPr>
        <w:t>in</w:t>
      </w:r>
      <w:proofErr w:type="gramEnd"/>
      <w:r w:rsidRPr="001C5299">
        <w:rPr>
          <w:rFonts w:ascii="Arial" w:hAnsi="Arial" w:cs="Arial"/>
          <w:sz w:val="22"/>
          <w:szCs w:val="22"/>
        </w:rPr>
        <w:t xml:space="preserve"> prices.</w:t>
      </w:r>
    </w:p>
    <w:p w14:paraId="4421E945" w14:textId="77777777" w:rsidR="00F02BA2" w:rsidRPr="001C5299" w:rsidRDefault="00F02BA2" w:rsidP="00736843">
      <w:pPr>
        <w:pStyle w:val="anistyle"/>
        <w:rPr>
          <w:rFonts w:ascii="Arial" w:hAnsi="Arial" w:cs="Arial"/>
          <w:sz w:val="22"/>
          <w:szCs w:val="22"/>
        </w:rPr>
      </w:pPr>
      <w:bookmarkStart w:id="5" w:name="_Toc227496320"/>
      <w:r w:rsidRPr="001C5299">
        <w:rPr>
          <w:rFonts w:ascii="Arial" w:hAnsi="Arial" w:cs="Arial"/>
          <w:sz w:val="22"/>
          <w:szCs w:val="22"/>
        </w:rPr>
        <w:t>1.4 Research Approach</w:t>
      </w:r>
      <w:bookmarkEnd w:id="5"/>
    </w:p>
    <w:p w14:paraId="63FED1EF"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This research uses a qualitative secondary data approach. This means it focuses on interpretive synthesis of existing academic literature, regulatory reports, and industry analyses. Interpretive synthesis means bringing together different sources to understand their deeper meaning. The study uses thematic analysis, which is a method developed by Braun and Clarke in 2006. Thematic analysis identifies recurring themes about how AI is perceived to influence volatility and liquidity. This approach enables in-depth understanding of what people think without requiring access to proprietary trading data. Proprietary data is private company information that is typically confidential and restricted from public access.</w:t>
      </w:r>
    </w:p>
    <w:p w14:paraId="41C89DCF" w14:textId="168FE90A"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Relying on secondary data has limitations, which means limitations that naturally come with this type of research. The findings are constrained by the scope, quality, and perspective of existing research. The absence of primary interviews, which would involve talking directly to traders and regulators, restricts direct validation of participants' perceptions (Golafshani, 2003). However, the method is suitable for exploring interpretive dimensions of market behavior in areas where data confidentiality and algorithmic opacity pose significant barriers. Algorithmic opacity means that AI systems work in ways that are difficult for outsiders to understand. This makes direct observation very difficult.</w:t>
      </w:r>
    </w:p>
    <w:p w14:paraId="56A3894B" w14:textId="77777777" w:rsidR="00736843" w:rsidRPr="001C5299" w:rsidRDefault="00736843" w:rsidP="00F02BA2">
      <w:pPr>
        <w:spacing w:line="360" w:lineRule="auto"/>
        <w:jc w:val="both"/>
        <w:rPr>
          <w:rFonts w:ascii="Arial" w:hAnsi="Arial" w:cs="Arial"/>
          <w:sz w:val="22"/>
          <w:szCs w:val="22"/>
        </w:rPr>
      </w:pPr>
    </w:p>
    <w:p w14:paraId="485ADBD3" w14:textId="77777777" w:rsidR="00F02BA2" w:rsidRPr="001C5299" w:rsidRDefault="00F02BA2" w:rsidP="00736843">
      <w:pPr>
        <w:pStyle w:val="anistyle"/>
        <w:rPr>
          <w:rFonts w:ascii="Arial" w:hAnsi="Arial" w:cs="Arial"/>
          <w:sz w:val="22"/>
          <w:szCs w:val="22"/>
        </w:rPr>
      </w:pPr>
      <w:bookmarkStart w:id="6" w:name="_Toc227496321"/>
      <w:r w:rsidRPr="001C5299">
        <w:rPr>
          <w:rFonts w:ascii="Arial" w:hAnsi="Arial" w:cs="Arial"/>
          <w:sz w:val="22"/>
          <w:szCs w:val="22"/>
        </w:rPr>
        <w:lastRenderedPageBreak/>
        <w:t>1.5 Significance of the Study</w:t>
      </w:r>
      <w:bookmarkEnd w:id="6"/>
    </w:p>
    <w:p w14:paraId="60B00E62" w14:textId="77777777"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This research contributes to ongoing debates about fairness, transparency, and inclusiveness in digital financial systems. The study makes several important contributions. First, it bridges the gap between quantitative metrics, which are numerical measurements, and qualitative stakeholder experiences, which are the lived experiences of people involved. Second, it illuminates the behavioral and psychological dimensions of AI adoption in trading. This means it sheds light on how people think and feel about using AI. Third, it informs regulatory and policy frameworks for AI governance in financial markets. Governance refers to the systems and processes for making and enforcing rules. Fourth, it provides insights for market participants who are developing adaptive strategies to deal with AI in trading.</w:t>
      </w:r>
    </w:p>
    <w:p w14:paraId="5D24B28C" w14:textId="77777777" w:rsidR="00F02BA2" w:rsidRPr="001C5299" w:rsidRDefault="00F02BA2" w:rsidP="00C93D3C">
      <w:pPr>
        <w:pStyle w:val="anistyle"/>
        <w:rPr>
          <w:rFonts w:ascii="Arial" w:hAnsi="Arial" w:cs="Arial"/>
          <w:sz w:val="22"/>
          <w:szCs w:val="22"/>
        </w:rPr>
      </w:pPr>
      <w:bookmarkStart w:id="7" w:name="_Toc227496322"/>
      <w:r w:rsidRPr="001C5299">
        <w:rPr>
          <w:rFonts w:ascii="Arial" w:hAnsi="Arial" w:cs="Arial"/>
          <w:sz w:val="22"/>
          <w:szCs w:val="22"/>
        </w:rPr>
        <w:t>1.6 Dissertation Structure</w:t>
      </w:r>
      <w:bookmarkEnd w:id="7"/>
    </w:p>
    <w:p w14:paraId="63E282BE" w14:textId="57C1D395" w:rsidR="00F02BA2" w:rsidRPr="001C5299" w:rsidRDefault="00F02BA2" w:rsidP="00F02BA2">
      <w:pPr>
        <w:spacing w:line="360" w:lineRule="auto"/>
        <w:jc w:val="both"/>
        <w:rPr>
          <w:rFonts w:ascii="Arial" w:hAnsi="Arial" w:cs="Arial"/>
          <w:sz w:val="22"/>
          <w:szCs w:val="22"/>
        </w:rPr>
      </w:pPr>
      <w:r w:rsidRPr="001C5299">
        <w:rPr>
          <w:rFonts w:ascii="Arial" w:hAnsi="Arial" w:cs="Arial"/>
          <w:sz w:val="22"/>
          <w:szCs w:val="22"/>
        </w:rPr>
        <w:t xml:space="preserve">The dissertation is organized into five chapters. Chapter </w:t>
      </w:r>
      <w:r w:rsidR="00C93D3C" w:rsidRPr="001C5299">
        <w:rPr>
          <w:rFonts w:ascii="Arial" w:hAnsi="Arial" w:cs="Arial"/>
          <w:sz w:val="22"/>
          <w:szCs w:val="22"/>
        </w:rPr>
        <w:t>I</w:t>
      </w:r>
      <w:r w:rsidRPr="001C5299">
        <w:rPr>
          <w:rFonts w:ascii="Arial" w:hAnsi="Arial" w:cs="Arial"/>
          <w:sz w:val="22"/>
          <w:szCs w:val="22"/>
        </w:rPr>
        <w:t xml:space="preserve"> provides background, aims, objectives, and research questions. Chapter </w:t>
      </w:r>
      <w:r w:rsidR="00C93D3C" w:rsidRPr="001C5299">
        <w:rPr>
          <w:rFonts w:ascii="Arial" w:hAnsi="Arial" w:cs="Arial"/>
          <w:sz w:val="22"/>
          <w:szCs w:val="22"/>
        </w:rPr>
        <w:t>II</w:t>
      </w:r>
      <w:r w:rsidRPr="001C5299">
        <w:rPr>
          <w:rFonts w:ascii="Arial" w:hAnsi="Arial" w:cs="Arial"/>
          <w:sz w:val="22"/>
          <w:szCs w:val="22"/>
        </w:rPr>
        <w:t xml:space="preserve"> critically examines prior research on AI trading, volatility, and liquidity. It identifies theoretical and methodological gaps, which are missing pieces in our understanding and ways of studying the topic. Chapter </w:t>
      </w:r>
      <w:r w:rsidR="00C93D3C" w:rsidRPr="001C5299">
        <w:rPr>
          <w:rFonts w:ascii="Arial" w:hAnsi="Arial" w:cs="Arial"/>
          <w:sz w:val="22"/>
          <w:szCs w:val="22"/>
        </w:rPr>
        <w:t>III</w:t>
      </w:r>
      <w:r w:rsidRPr="001C5299">
        <w:rPr>
          <w:rFonts w:ascii="Arial" w:hAnsi="Arial" w:cs="Arial"/>
          <w:sz w:val="22"/>
          <w:szCs w:val="22"/>
        </w:rPr>
        <w:t xml:space="preserve"> outlines the qualitative research design, data sources, analysis methods, and ethical considerations. Ethical considerations are the moral principles guiding the research. Chapter </w:t>
      </w:r>
      <w:r w:rsidR="00C93D3C" w:rsidRPr="001C5299">
        <w:rPr>
          <w:rFonts w:ascii="Arial" w:hAnsi="Arial" w:cs="Arial"/>
          <w:sz w:val="22"/>
          <w:szCs w:val="22"/>
        </w:rPr>
        <w:t>IV</w:t>
      </w:r>
      <w:r w:rsidRPr="001C5299">
        <w:rPr>
          <w:rFonts w:ascii="Arial" w:hAnsi="Arial" w:cs="Arial"/>
          <w:sz w:val="22"/>
          <w:szCs w:val="22"/>
        </w:rPr>
        <w:t xml:space="preserve"> presents thematic synthesis and discusses findings in relation to </w:t>
      </w:r>
      <w:r w:rsidR="00C93D3C" w:rsidRPr="001C5299">
        <w:rPr>
          <w:rFonts w:ascii="Arial" w:hAnsi="Arial" w:cs="Arial"/>
          <w:sz w:val="22"/>
          <w:szCs w:val="22"/>
        </w:rPr>
        <w:t>literature</w:t>
      </w:r>
      <w:r w:rsidRPr="001C5299">
        <w:rPr>
          <w:rFonts w:ascii="Arial" w:hAnsi="Arial" w:cs="Arial"/>
          <w:sz w:val="22"/>
          <w:szCs w:val="22"/>
        </w:rPr>
        <w:t xml:space="preserve">. Thematic synthesis means bringing together the themes identified in the analysis. Chapter </w:t>
      </w:r>
      <w:r w:rsidR="00C93D3C" w:rsidRPr="001C5299">
        <w:rPr>
          <w:rFonts w:ascii="Arial" w:hAnsi="Arial" w:cs="Arial"/>
          <w:sz w:val="22"/>
          <w:szCs w:val="22"/>
        </w:rPr>
        <w:t>V</w:t>
      </w:r>
      <w:r w:rsidRPr="001C5299">
        <w:rPr>
          <w:rFonts w:ascii="Arial" w:hAnsi="Arial" w:cs="Arial"/>
          <w:sz w:val="22"/>
          <w:szCs w:val="22"/>
        </w:rPr>
        <w:t xml:space="preserve"> summarizes key findings, contributions, and recommendations for future research and policy development.</w:t>
      </w:r>
    </w:p>
    <w:p w14:paraId="1D03F4B1" w14:textId="77777777" w:rsidR="00215026" w:rsidRPr="001C5299" w:rsidRDefault="00215026" w:rsidP="00F02BA2">
      <w:pPr>
        <w:spacing w:line="360" w:lineRule="auto"/>
        <w:jc w:val="both"/>
        <w:rPr>
          <w:rFonts w:ascii="Arial" w:hAnsi="Arial" w:cs="Arial"/>
          <w:sz w:val="22"/>
          <w:szCs w:val="22"/>
        </w:rPr>
      </w:pPr>
    </w:p>
    <w:p w14:paraId="0B5DFE9D" w14:textId="77777777" w:rsidR="00215026" w:rsidRPr="001C5299" w:rsidRDefault="00215026" w:rsidP="00F02BA2">
      <w:pPr>
        <w:spacing w:line="360" w:lineRule="auto"/>
        <w:jc w:val="both"/>
        <w:rPr>
          <w:rFonts w:ascii="Arial" w:hAnsi="Arial" w:cs="Arial"/>
          <w:sz w:val="22"/>
          <w:szCs w:val="22"/>
        </w:rPr>
      </w:pPr>
    </w:p>
    <w:p w14:paraId="2B96CEFF" w14:textId="77777777" w:rsidR="00215026" w:rsidRPr="001C5299" w:rsidRDefault="00215026" w:rsidP="00F02BA2">
      <w:pPr>
        <w:spacing w:line="360" w:lineRule="auto"/>
        <w:jc w:val="both"/>
        <w:rPr>
          <w:rFonts w:ascii="Arial" w:hAnsi="Arial" w:cs="Arial"/>
          <w:sz w:val="22"/>
          <w:szCs w:val="22"/>
        </w:rPr>
      </w:pPr>
    </w:p>
    <w:p w14:paraId="4F566CD9" w14:textId="77777777" w:rsidR="00215026" w:rsidRPr="001C5299" w:rsidRDefault="00215026" w:rsidP="00F02BA2">
      <w:pPr>
        <w:spacing w:line="360" w:lineRule="auto"/>
        <w:jc w:val="both"/>
        <w:rPr>
          <w:rFonts w:ascii="Arial" w:hAnsi="Arial" w:cs="Arial"/>
          <w:sz w:val="22"/>
          <w:szCs w:val="22"/>
        </w:rPr>
      </w:pPr>
    </w:p>
    <w:p w14:paraId="66A4C231" w14:textId="77777777" w:rsidR="00215026" w:rsidRPr="001C5299" w:rsidRDefault="00215026" w:rsidP="00F02BA2">
      <w:pPr>
        <w:spacing w:line="360" w:lineRule="auto"/>
        <w:jc w:val="both"/>
        <w:rPr>
          <w:rFonts w:ascii="Arial" w:hAnsi="Arial" w:cs="Arial"/>
          <w:sz w:val="22"/>
          <w:szCs w:val="22"/>
        </w:rPr>
      </w:pPr>
    </w:p>
    <w:p w14:paraId="6DE96F9D" w14:textId="77777777" w:rsidR="00215026" w:rsidRPr="001C5299" w:rsidRDefault="00215026" w:rsidP="00F02BA2">
      <w:pPr>
        <w:spacing w:line="360" w:lineRule="auto"/>
        <w:jc w:val="both"/>
        <w:rPr>
          <w:rFonts w:ascii="Arial" w:hAnsi="Arial" w:cs="Arial"/>
          <w:sz w:val="22"/>
          <w:szCs w:val="22"/>
        </w:rPr>
      </w:pPr>
    </w:p>
    <w:p w14:paraId="536A3854" w14:textId="77777777" w:rsidR="00215026" w:rsidRPr="001C5299" w:rsidRDefault="00215026" w:rsidP="00F02BA2">
      <w:pPr>
        <w:spacing w:line="360" w:lineRule="auto"/>
        <w:jc w:val="both"/>
        <w:rPr>
          <w:rFonts w:ascii="Arial" w:hAnsi="Arial" w:cs="Arial"/>
          <w:sz w:val="22"/>
          <w:szCs w:val="22"/>
        </w:rPr>
      </w:pPr>
    </w:p>
    <w:p w14:paraId="2F40A7DA" w14:textId="77777777" w:rsidR="00705767" w:rsidRPr="001C5299" w:rsidRDefault="00705767" w:rsidP="00F02BA2">
      <w:pPr>
        <w:spacing w:line="360" w:lineRule="auto"/>
        <w:jc w:val="both"/>
        <w:rPr>
          <w:rFonts w:ascii="Arial" w:hAnsi="Arial" w:cs="Arial"/>
          <w:sz w:val="22"/>
          <w:szCs w:val="22"/>
        </w:rPr>
      </w:pPr>
    </w:p>
    <w:p w14:paraId="7A973A29" w14:textId="2EB4E53B" w:rsidR="00705767" w:rsidRPr="001C5299" w:rsidRDefault="00705767" w:rsidP="00705767">
      <w:pPr>
        <w:pStyle w:val="anistyle"/>
        <w:rPr>
          <w:rFonts w:ascii="Arial" w:hAnsi="Arial" w:cs="Arial"/>
          <w:sz w:val="22"/>
          <w:szCs w:val="22"/>
        </w:rPr>
      </w:pPr>
      <w:bookmarkStart w:id="8" w:name="_Toc227496323"/>
      <w:r w:rsidRPr="001C5299">
        <w:rPr>
          <w:rFonts w:ascii="Arial" w:hAnsi="Arial" w:cs="Arial"/>
          <w:sz w:val="22"/>
          <w:szCs w:val="22"/>
        </w:rPr>
        <w:lastRenderedPageBreak/>
        <w:t xml:space="preserve">Chapter </w:t>
      </w:r>
      <w:r w:rsidR="005B4F1A">
        <w:rPr>
          <w:rFonts w:ascii="Arial" w:hAnsi="Arial" w:cs="Arial"/>
          <w:sz w:val="22"/>
          <w:szCs w:val="22"/>
          <w:lang w:val="bg-BG"/>
        </w:rPr>
        <w:t>2</w:t>
      </w:r>
      <w:r w:rsidRPr="001C5299">
        <w:rPr>
          <w:rFonts w:ascii="Arial" w:hAnsi="Arial" w:cs="Arial"/>
          <w:sz w:val="22"/>
          <w:szCs w:val="22"/>
        </w:rPr>
        <w:t>: Literature Review</w:t>
      </w:r>
      <w:bookmarkEnd w:id="8"/>
    </w:p>
    <w:p w14:paraId="320E67CB" w14:textId="77777777" w:rsidR="00B87882" w:rsidRPr="001C5299" w:rsidRDefault="00705767" w:rsidP="00705767">
      <w:pPr>
        <w:spacing w:line="360" w:lineRule="auto"/>
        <w:jc w:val="both"/>
        <w:rPr>
          <w:rFonts w:ascii="Arial" w:hAnsi="Arial" w:cs="Arial"/>
          <w:sz w:val="22"/>
          <w:szCs w:val="22"/>
        </w:rPr>
      </w:pPr>
      <w:r w:rsidRPr="001C5299">
        <w:rPr>
          <w:rFonts w:ascii="Arial" w:hAnsi="Arial" w:cs="Arial"/>
          <w:sz w:val="22"/>
          <w:szCs w:val="22"/>
        </w:rPr>
        <w:br/>
        <w:t xml:space="preserve">A lot more has been written about Artificial Intelligence (AI) in financial markets, which shows how advanced technology is and what AI-based decision-making means for the whole system. In forex markets, AI has changed the way people think about liquidity, instability, and fairness in the market. This chapter takes a critical look at academic and real-world studies that look at the connections between AI-driven trading, volatility, and liquidity. It does this by pointing out theoretical foundations, methodological orientations, and unsolved gaps that support the qualitative interpretive approach used in this dissertation. </w:t>
      </w:r>
    </w:p>
    <w:p w14:paraId="0693B1BE" w14:textId="6253974B" w:rsidR="00705767" w:rsidRPr="001C5299" w:rsidRDefault="00705767" w:rsidP="00B87882">
      <w:pPr>
        <w:spacing w:line="360" w:lineRule="auto"/>
        <w:rPr>
          <w:rFonts w:ascii="Arial" w:hAnsi="Arial" w:cs="Arial"/>
          <w:sz w:val="22"/>
          <w:szCs w:val="22"/>
        </w:rPr>
      </w:pPr>
      <w:r w:rsidRPr="001C5299">
        <w:rPr>
          <w:rStyle w:val="anistyleChar"/>
          <w:rFonts w:ascii="Arial" w:hAnsi="Arial" w:cs="Arial"/>
          <w:sz w:val="22"/>
          <w:szCs w:val="22"/>
        </w:rPr>
        <w:br/>
      </w:r>
      <w:bookmarkStart w:id="9" w:name="_Toc227496324"/>
      <w:r w:rsidRPr="001C5299">
        <w:rPr>
          <w:rStyle w:val="anistyleChar"/>
          <w:rFonts w:ascii="Arial" w:hAnsi="Arial" w:cs="Arial"/>
          <w:sz w:val="22"/>
          <w:szCs w:val="22"/>
        </w:rPr>
        <w:t>2.1 The Use of AI in the Financial Markets</w:t>
      </w:r>
      <w:r w:rsidR="00B87882" w:rsidRPr="001C5299">
        <w:rPr>
          <w:rStyle w:val="anistyleChar"/>
          <w:rFonts w:ascii="Arial" w:hAnsi="Arial" w:cs="Arial"/>
          <w:sz w:val="22"/>
          <w:szCs w:val="22"/>
        </w:rPr>
        <w:t>.</w:t>
      </w:r>
      <w:bookmarkEnd w:id="9"/>
      <w:r w:rsidRPr="001C5299">
        <w:rPr>
          <w:rFonts w:ascii="Arial" w:hAnsi="Arial" w:cs="Arial"/>
          <w:sz w:val="22"/>
          <w:szCs w:val="22"/>
        </w:rPr>
        <w:br/>
        <w:t xml:space="preserve">AI technologies—encompassing machine learning (ML), deep learning (DL), and natural language processing (NLP)—have revolutionized financial decision-making (El Hajj and Hammoud, 2023). Traditional algorithmic trade relies on rules that have already been written. </w:t>
      </w:r>
      <w:r w:rsidR="00214AE0" w:rsidRPr="00214AE0">
        <w:rPr>
          <w:rFonts w:ascii="Arial" w:hAnsi="Arial" w:cs="Arial"/>
          <w:sz w:val="22"/>
          <w:szCs w:val="22"/>
        </w:rPr>
        <w:t>Early evidence from foreign exchange markets suggests that the rise of automated trading significantly transformed market microstructure by increasing speed, efficiency, and data-driven decision-making (Chaboud et al., 2009).</w:t>
      </w:r>
      <w:r w:rsidR="00214AE0">
        <w:rPr>
          <w:rFonts w:ascii="Arial" w:hAnsi="Arial" w:cs="Arial"/>
          <w:sz w:val="22"/>
          <w:szCs w:val="22"/>
          <w:lang w:val="bg-BG"/>
        </w:rPr>
        <w:t xml:space="preserve"> </w:t>
      </w:r>
      <w:r w:rsidRPr="001C5299">
        <w:rPr>
          <w:rFonts w:ascii="Arial" w:hAnsi="Arial" w:cs="Arial"/>
          <w:sz w:val="22"/>
          <w:szCs w:val="22"/>
        </w:rPr>
        <w:t>AI-driven systems, on the other hand, learn from huge, changing datasets and change with the market on their own (Cohen, 2022).</w:t>
      </w:r>
      <w:r w:rsidR="00DA6BE5" w:rsidRPr="001C5299">
        <w:rPr>
          <w:rFonts w:ascii="Arial" w:hAnsi="Arial" w:cs="Arial"/>
          <w:sz w:val="22"/>
          <w:szCs w:val="22"/>
          <w:lang w:val="bg-BG"/>
        </w:rPr>
        <w:t xml:space="preserve"> </w:t>
      </w:r>
      <w:r w:rsidR="00DA6BE5" w:rsidRPr="001C5299">
        <w:rPr>
          <w:rFonts w:ascii="Arial" w:hAnsi="Arial" w:cs="Arial"/>
          <w:sz w:val="22"/>
          <w:szCs w:val="22"/>
        </w:rPr>
        <w:t xml:space="preserve">AI models in financial markets are especially good at spotting non-linear patterns in big, diverse datasets, according to recent systematic research. </w:t>
      </w:r>
      <w:r w:rsidR="00DA6BE5" w:rsidRPr="001C5299">
        <w:rPr>
          <w:rFonts w:ascii="Arial" w:hAnsi="Arial" w:cs="Arial"/>
          <w:sz w:val="22"/>
          <w:szCs w:val="22"/>
          <w:lang w:val="en-GB"/>
        </w:rPr>
        <w:t>However</w:t>
      </w:r>
      <w:r w:rsidR="00DA6BE5" w:rsidRPr="001C5299">
        <w:rPr>
          <w:rFonts w:ascii="Arial" w:hAnsi="Arial" w:cs="Arial"/>
          <w:sz w:val="22"/>
          <w:szCs w:val="22"/>
        </w:rPr>
        <w:t>, their effectiveness is still heavily reliant on data quality, model interpretability, and resilience to overfitting in unstable environments (Noormohammadzadehmaleki et al. 2025).</w:t>
      </w:r>
      <w:r w:rsidRPr="001C5299">
        <w:rPr>
          <w:rFonts w:ascii="Arial" w:hAnsi="Arial" w:cs="Arial"/>
          <w:sz w:val="22"/>
          <w:szCs w:val="22"/>
        </w:rPr>
        <w:br/>
        <w:t xml:space="preserve">According to O'Hara (2015), this change was a "microstructural revolution" in which speed, data analytics, and robotics took the lead. According to Dakalbab et al. (2024), AI systems may act in surprising ways when they are under a lot of stress because reinforcement learning models respond to new information as a group, which is known as "algorithmic herding." When machines make decisions quickly and on their own, it can be hard for lawmakers and market players to keep things stable in ecosystems that are getting more complicated. </w:t>
      </w:r>
    </w:p>
    <w:p w14:paraId="1789331F" w14:textId="049E18F7" w:rsidR="00705767" w:rsidRPr="001C5299" w:rsidRDefault="00705767" w:rsidP="00215026">
      <w:pPr>
        <w:pStyle w:val="anistyle"/>
        <w:rPr>
          <w:rFonts w:ascii="Arial" w:hAnsi="Arial" w:cs="Arial"/>
          <w:color w:val="4EA72E" w:themeColor="accent6"/>
          <w:sz w:val="22"/>
          <w:szCs w:val="22"/>
        </w:rPr>
      </w:pPr>
      <w:r w:rsidRPr="001C5299">
        <w:rPr>
          <w:rFonts w:ascii="Arial" w:hAnsi="Arial" w:cs="Arial"/>
          <w:sz w:val="22"/>
          <w:szCs w:val="22"/>
        </w:rPr>
        <w:br/>
      </w:r>
      <w:bookmarkStart w:id="10" w:name="_Toc227496325"/>
      <w:r w:rsidRPr="001C5299">
        <w:rPr>
          <w:rFonts w:ascii="Arial" w:hAnsi="Arial" w:cs="Arial"/>
          <w:sz w:val="22"/>
          <w:szCs w:val="22"/>
        </w:rPr>
        <w:t>2.2 Impact on Market Volatility</w:t>
      </w:r>
      <w:bookmarkEnd w:id="10"/>
    </w:p>
    <w:p w14:paraId="074FDE22" w14:textId="6598FD87" w:rsidR="00705767" w:rsidRPr="001C5299" w:rsidRDefault="00705767" w:rsidP="00705767">
      <w:pPr>
        <w:spacing w:line="360" w:lineRule="auto"/>
        <w:rPr>
          <w:rFonts w:ascii="Arial" w:hAnsi="Arial" w:cs="Arial"/>
          <w:sz w:val="22"/>
          <w:szCs w:val="22"/>
        </w:rPr>
      </w:pPr>
      <w:r w:rsidRPr="001C5299">
        <w:rPr>
          <w:rFonts w:ascii="Arial" w:hAnsi="Arial" w:cs="Arial"/>
          <w:sz w:val="22"/>
          <w:szCs w:val="22"/>
        </w:rPr>
        <w:t xml:space="preserve">Literature tells two different stories about AI's effects: it can either lower volatility by making information more efficient and providing more liquidity (Afua et al., 2024), or it can raise volatility during stressful times by causing cascading effects between algorithms. </w:t>
      </w:r>
      <w:r w:rsidRPr="001C5299">
        <w:rPr>
          <w:rFonts w:ascii="Arial" w:hAnsi="Arial" w:cs="Arial"/>
          <w:sz w:val="22"/>
          <w:szCs w:val="22"/>
        </w:rPr>
        <w:br/>
      </w:r>
      <w:r w:rsidRPr="001C5299">
        <w:rPr>
          <w:rFonts w:ascii="Arial" w:hAnsi="Arial" w:cs="Arial"/>
          <w:sz w:val="22"/>
          <w:szCs w:val="22"/>
        </w:rPr>
        <w:lastRenderedPageBreak/>
        <w:t xml:space="preserve">In 2011, Hendershott et al. showed that automated trading usually increased market liquidity and lowered transaction costs, which made short-term fluctuations more stable. But things like the "Flash Crash" of 2010 showed how weak automatic systems were when many programs reacted at the same time to bad signals (Kirilenko et al., 2017). According to Dakalbab et al. (2024), integrating deep learning makes volatility management harder because the decision paths of these "black box" models are hard to understand or control. </w:t>
      </w:r>
      <w:r w:rsidRPr="001C5299">
        <w:rPr>
          <w:rFonts w:ascii="Arial" w:hAnsi="Arial" w:cs="Arial"/>
          <w:sz w:val="22"/>
          <w:szCs w:val="22"/>
        </w:rPr>
        <w:br/>
        <w:t xml:space="preserve">Recent research (Bhuiyan et al., 2025; Rezaei et al., 2025) says that instability caused by AI shows up in microstructural dimensions (within milliseconds of trade completion) instead of long-term macro trends. Even small changes can have big </w:t>
      </w:r>
      <w:proofErr w:type="spellStart"/>
      <w:proofErr w:type="gramStart"/>
      <w:r w:rsidRPr="001C5299">
        <w:rPr>
          <w:rFonts w:ascii="Arial" w:hAnsi="Arial" w:cs="Arial"/>
          <w:sz w:val="22"/>
          <w:szCs w:val="22"/>
        </w:rPr>
        <w:t>affects</w:t>
      </w:r>
      <w:proofErr w:type="spellEnd"/>
      <w:proofErr w:type="gramEnd"/>
      <w:r w:rsidRPr="001C5299">
        <w:rPr>
          <w:rFonts w:ascii="Arial" w:hAnsi="Arial" w:cs="Arial"/>
          <w:sz w:val="22"/>
          <w:szCs w:val="22"/>
        </w:rPr>
        <w:t xml:space="preserve"> on prices, the availability of cash, and investor mood over time. A lot of research shows that AI can both make markets more stable and less stable, based on things like the quality of the data, how the algorithms are designed, and how stressed the market is. </w:t>
      </w:r>
    </w:p>
    <w:p w14:paraId="63BADA37" w14:textId="77777777" w:rsidR="00705767" w:rsidRPr="001C5299" w:rsidRDefault="00705767" w:rsidP="00B82D7A">
      <w:pPr>
        <w:pStyle w:val="anistyle"/>
        <w:tabs>
          <w:tab w:val="left" w:pos="3052"/>
        </w:tabs>
        <w:rPr>
          <w:rFonts w:ascii="Arial" w:hAnsi="Arial" w:cs="Arial"/>
          <w:color w:val="4EA72E" w:themeColor="accent6"/>
          <w:sz w:val="22"/>
          <w:szCs w:val="22"/>
        </w:rPr>
      </w:pPr>
      <w:r w:rsidRPr="001C5299">
        <w:rPr>
          <w:rFonts w:ascii="Arial" w:hAnsi="Arial" w:cs="Arial"/>
          <w:sz w:val="22"/>
          <w:szCs w:val="22"/>
        </w:rPr>
        <w:br/>
      </w:r>
      <w:bookmarkStart w:id="11" w:name="_Toc227496326"/>
      <w:r w:rsidRPr="001C5299">
        <w:rPr>
          <w:rFonts w:ascii="Arial" w:hAnsi="Arial" w:cs="Arial"/>
          <w:sz w:val="22"/>
          <w:szCs w:val="22"/>
        </w:rPr>
        <w:t>2.3 Impact on Market Liquidity</w:t>
      </w:r>
      <w:bookmarkEnd w:id="11"/>
    </w:p>
    <w:p w14:paraId="6364ECC6" w14:textId="77777777" w:rsidR="00E077A9" w:rsidRPr="001C5299" w:rsidRDefault="00705767" w:rsidP="00B82D7A">
      <w:pPr>
        <w:tabs>
          <w:tab w:val="left" w:pos="3052"/>
        </w:tabs>
        <w:spacing w:line="360" w:lineRule="auto"/>
        <w:rPr>
          <w:rFonts w:ascii="Arial" w:hAnsi="Arial" w:cs="Arial"/>
          <w:sz w:val="22"/>
          <w:szCs w:val="22"/>
          <w:lang w:val="bg-BG"/>
        </w:rPr>
      </w:pPr>
      <w:r w:rsidRPr="001C5299">
        <w:rPr>
          <w:rFonts w:ascii="Arial" w:hAnsi="Arial" w:cs="Arial"/>
          <w:sz w:val="22"/>
          <w:szCs w:val="22"/>
        </w:rPr>
        <w:t xml:space="preserve">Afua et al. (2024) say that AI systems improve the way standard markets work by reducing bid-ask gaps and growing market depth. A study by Hendershott, Jones, and </w:t>
      </w:r>
      <w:proofErr w:type="spellStart"/>
      <w:r w:rsidRPr="001C5299">
        <w:rPr>
          <w:rFonts w:ascii="Arial" w:hAnsi="Arial" w:cs="Arial"/>
          <w:sz w:val="22"/>
          <w:szCs w:val="22"/>
        </w:rPr>
        <w:t>Menkveld</w:t>
      </w:r>
      <w:proofErr w:type="spellEnd"/>
      <w:r w:rsidRPr="001C5299">
        <w:rPr>
          <w:rFonts w:ascii="Arial" w:hAnsi="Arial" w:cs="Arial"/>
          <w:sz w:val="22"/>
          <w:szCs w:val="22"/>
        </w:rPr>
        <w:t xml:space="preserve"> (2011) found that automated trade helped make gaps smaller and prices appear faster. </w:t>
      </w:r>
      <w:r w:rsidRPr="001C5299">
        <w:rPr>
          <w:rFonts w:ascii="Arial" w:hAnsi="Arial" w:cs="Arial"/>
          <w:sz w:val="22"/>
          <w:szCs w:val="22"/>
        </w:rPr>
        <w:br/>
        <w:t xml:space="preserve">But when there is a lot of doubt, AI systems tend to pull back liquidity, which makes market stress worse (O'Hara, 2015). </w:t>
      </w:r>
    </w:p>
    <w:p w14:paraId="1156870F" w14:textId="126FBAFB" w:rsidR="00705767" w:rsidRPr="001C5299" w:rsidRDefault="00705767" w:rsidP="00B82D7A">
      <w:pPr>
        <w:tabs>
          <w:tab w:val="left" w:pos="3052"/>
        </w:tabs>
        <w:spacing w:line="360" w:lineRule="auto"/>
        <w:rPr>
          <w:rFonts w:ascii="Arial" w:hAnsi="Arial" w:cs="Arial"/>
          <w:sz w:val="22"/>
          <w:szCs w:val="22"/>
          <w:lang w:val="bg-BG"/>
        </w:rPr>
      </w:pPr>
      <w:r w:rsidRPr="001C5299">
        <w:rPr>
          <w:rFonts w:ascii="Arial" w:hAnsi="Arial" w:cs="Arial"/>
          <w:sz w:val="22"/>
          <w:szCs w:val="22"/>
        </w:rPr>
        <w:t xml:space="preserve">Rezaei et al. (2025) and El Hajj and Hammoud (2023) show that these reductions happen in a planned way because of shared data sources and decision processes that work together. Literature talks about a liquidity paradox: AI makes liquidity better when things are fixed but takes it away when it's most needed. </w:t>
      </w:r>
      <w:r w:rsidRPr="001C5299">
        <w:rPr>
          <w:rFonts w:ascii="Arial" w:hAnsi="Arial" w:cs="Arial"/>
          <w:sz w:val="22"/>
          <w:szCs w:val="22"/>
        </w:rPr>
        <w:br/>
        <w:t xml:space="preserve">Also, AI-driven funding supply creates an imbalance between institutions with more powerful technology and smaller players. Virgilio (2019) says that AI strategies make markets more concentrated by letting big companies control order books. This challenges the idea of an open market equilibrium and raises concerns about fairness and accessibility. </w:t>
      </w:r>
    </w:p>
    <w:p w14:paraId="03B5C935" w14:textId="20A24B31" w:rsidR="00B82D7A" w:rsidRPr="001C5299" w:rsidRDefault="00B82D7A" w:rsidP="00B82D7A">
      <w:pPr>
        <w:tabs>
          <w:tab w:val="left" w:pos="3052"/>
        </w:tabs>
        <w:spacing w:line="360" w:lineRule="auto"/>
        <w:rPr>
          <w:rFonts w:ascii="Arial" w:hAnsi="Arial" w:cs="Arial"/>
          <w:sz w:val="22"/>
          <w:szCs w:val="22"/>
          <w:lang w:val="en-GB"/>
        </w:rPr>
      </w:pPr>
      <w:r w:rsidRPr="001C5299">
        <w:rPr>
          <w:rFonts w:ascii="Arial" w:hAnsi="Arial" w:cs="Arial"/>
          <w:sz w:val="22"/>
          <w:szCs w:val="22"/>
        </w:rPr>
        <w:t>Furthermore, the accuracy and consistency of financial data are critical to the success of AI-driven liquidity supply. Algorithmic systems may provide unstable reactions under quickly shifting market circumstances since financial datasets are often noisy, partial, and non-stationary. This may lead to abrupt liquidity withdrawals and exacerbate systemic instability</w:t>
      </w:r>
      <w:r w:rsidRPr="001C5299">
        <w:rPr>
          <w:rFonts w:ascii="Arial" w:hAnsi="Arial" w:cs="Arial"/>
          <w:sz w:val="22"/>
          <w:szCs w:val="22"/>
          <w:lang w:val="bg-BG"/>
        </w:rPr>
        <w:t xml:space="preserve"> </w:t>
      </w:r>
      <w:r w:rsidRPr="001C5299">
        <w:rPr>
          <w:rFonts w:ascii="Arial" w:hAnsi="Arial" w:cs="Arial"/>
          <w:sz w:val="22"/>
          <w:szCs w:val="22"/>
          <w:lang w:val="en-GB"/>
        </w:rPr>
        <w:t>(</w:t>
      </w:r>
      <w:r w:rsidRPr="001C5299">
        <w:rPr>
          <w:rFonts w:ascii="Arial" w:hAnsi="Arial" w:cs="Arial"/>
          <w:sz w:val="22"/>
          <w:szCs w:val="22"/>
        </w:rPr>
        <w:t>Noor</w:t>
      </w:r>
      <w:r w:rsidRPr="001C5299">
        <w:rPr>
          <w:rFonts w:ascii="Arial" w:hAnsi="Arial" w:cs="Arial"/>
          <w:sz w:val="22"/>
          <w:szCs w:val="22"/>
          <w:lang w:val="en-GB"/>
        </w:rPr>
        <w:t>m</w:t>
      </w:r>
      <w:proofErr w:type="spellStart"/>
      <w:r w:rsidRPr="001C5299">
        <w:rPr>
          <w:rFonts w:ascii="Arial" w:hAnsi="Arial" w:cs="Arial"/>
          <w:sz w:val="22"/>
          <w:szCs w:val="22"/>
        </w:rPr>
        <w:t>ohammadzadeh</w:t>
      </w:r>
      <w:proofErr w:type="spellEnd"/>
      <w:r w:rsidRPr="001C5299">
        <w:rPr>
          <w:rFonts w:ascii="Arial" w:hAnsi="Arial" w:cs="Arial"/>
          <w:sz w:val="22"/>
          <w:szCs w:val="22"/>
          <w:lang w:val="en-GB"/>
        </w:rPr>
        <w:t>m</w:t>
      </w:r>
      <w:proofErr w:type="spellStart"/>
      <w:r w:rsidRPr="001C5299">
        <w:rPr>
          <w:rFonts w:ascii="Arial" w:hAnsi="Arial" w:cs="Arial"/>
          <w:sz w:val="22"/>
          <w:szCs w:val="22"/>
        </w:rPr>
        <w:t>aleki</w:t>
      </w:r>
      <w:proofErr w:type="spellEnd"/>
      <w:r w:rsidRPr="001C5299">
        <w:rPr>
          <w:rFonts w:ascii="Arial" w:hAnsi="Arial" w:cs="Arial"/>
          <w:sz w:val="22"/>
          <w:szCs w:val="22"/>
        </w:rPr>
        <w:t xml:space="preserve"> et al. 2025)</w:t>
      </w:r>
      <w:r w:rsidRPr="001C5299">
        <w:rPr>
          <w:rFonts w:ascii="Arial" w:hAnsi="Arial" w:cs="Arial"/>
          <w:sz w:val="22"/>
          <w:szCs w:val="22"/>
          <w:lang w:val="bg-BG"/>
        </w:rPr>
        <w:t>.</w:t>
      </w:r>
    </w:p>
    <w:p w14:paraId="502F7221" w14:textId="77777777" w:rsidR="00DA6BE5" w:rsidRPr="001C5299" w:rsidRDefault="00705767" w:rsidP="00DA6BE5">
      <w:pPr>
        <w:pStyle w:val="anistyle"/>
        <w:rPr>
          <w:rFonts w:ascii="Arial" w:hAnsi="Arial" w:cs="Arial"/>
          <w:sz w:val="22"/>
          <w:szCs w:val="22"/>
        </w:rPr>
      </w:pPr>
      <w:r w:rsidRPr="001C5299">
        <w:rPr>
          <w:rFonts w:ascii="Arial" w:hAnsi="Arial" w:cs="Arial"/>
          <w:sz w:val="22"/>
          <w:szCs w:val="22"/>
        </w:rPr>
        <w:lastRenderedPageBreak/>
        <w:br/>
      </w:r>
      <w:bookmarkStart w:id="12" w:name="_Toc227496327"/>
      <w:r w:rsidRPr="001C5299">
        <w:rPr>
          <w:rFonts w:ascii="Arial" w:hAnsi="Arial" w:cs="Arial"/>
          <w:sz w:val="22"/>
          <w:szCs w:val="22"/>
        </w:rPr>
        <w:t>2.4 Fairness in the market and moral concerns.</w:t>
      </w:r>
      <w:bookmarkEnd w:id="12"/>
    </w:p>
    <w:p w14:paraId="09E16E34" w14:textId="05428F8A" w:rsidR="00CD691F" w:rsidRPr="001C5299" w:rsidRDefault="00705767" w:rsidP="00705767">
      <w:pPr>
        <w:spacing w:line="360" w:lineRule="auto"/>
        <w:rPr>
          <w:rFonts w:ascii="Arial" w:hAnsi="Arial" w:cs="Arial"/>
          <w:sz w:val="22"/>
          <w:szCs w:val="22"/>
          <w:lang w:val="bg-BG"/>
        </w:rPr>
      </w:pPr>
      <w:r w:rsidRPr="001C5299">
        <w:rPr>
          <w:rFonts w:ascii="Arial" w:hAnsi="Arial" w:cs="Arial"/>
          <w:sz w:val="22"/>
          <w:szCs w:val="22"/>
        </w:rPr>
        <w:br/>
        <w:t xml:space="preserve">AI-driven trade brings up social and socioeconomic issues in addition to technical ones. Cohen (2022) and Bhuiyan et al. (2025) say that advanced AI infrastructure makes a "technological divide" between schools that have the latest computers and schools that don't. </w:t>
      </w:r>
      <w:r w:rsidRPr="001C5299">
        <w:rPr>
          <w:rFonts w:ascii="Arial" w:hAnsi="Arial" w:cs="Arial"/>
          <w:sz w:val="22"/>
          <w:szCs w:val="22"/>
        </w:rPr>
        <w:br/>
        <w:t xml:space="preserve">Accountability is hard because AI systems are not always clear. As Dakalbab et al. (2024) say, "black-box models," especially in deep learning, make it very hard for authorities and inspectors to understand why decisions are made. Algorithmic mistakes can happen without a clear cause, which makes control and ethics review difficult. The ECB (2023) and the FSB (2024) have both called for better AI control models that would make trade systems more transparent, easy to understand, and accountable to people. </w:t>
      </w:r>
      <w:r w:rsidRPr="001C5299">
        <w:rPr>
          <w:rFonts w:ascii="Arial" w:hAnsi="Arial" w:cs="Arial"/>
          <w:sz w:val="22"/>
          <w:szCs w:val="22"/>
        </w:rPr>
        <w:br/>
        <w:t xml:space="preserve">From the point of view of </w:t>
      </w:r>
      <w:r w:rsidR="00930040" w:rsidRPr="001C5299">
        <w:rPr>
          <w:rFonts w:ascii="Arial" w:hAnsi="Arial" w:cs="Arial"/>
          <w:sz w:val="22"/>
          <w:szCs w:val="22"/>
        </w:rPr>
        <w:t>behavior</w:t>
      </w:r>
      <w:r w:rsidRPr="001C5299">
        <w:rPr>
          <w:rFonts w:ascii="Arial" w:hAnsi="Arial" w:cs="Arial"/>
          <w:sz w:val="22"/>
          <w:szCs w:val="22"/>
        </w:rPr>
        <w:t xml:space="preserve">, study shows that human traders are changing their methods </w:t>
      </w:r>
      <w:proofErr w:type="gramStart"/>
      <w:r w:rsidRPr="001C5299">
        <w:rPr>
          <w:rFonts w:ascii="Arial" w:hAnsi="Arial" w:cs="Arial"/>
          <w:sz w:val="22"/>
          <w:szCs w:val="22"/>
        </w:rPr>
        <w:t>more and more</w:t>
      </w:r>
      <w:proofErr w:type="gramEnd"/>
      <w:r w:rsidRPr="001C5299">
        <w:rPr>
          <w:rFonts w:ascii="Arial" w:hAnsi="Arial" w:cs="Arial"/>
          <w:sz w:val="22"/>
          <w:szCs w:val="22"/>
        </w:rPr>
        <w:t xml:space="preserve"> to work with AI systems. Khalil et al. (2025) say that big traders use mixed models that combine human judgement with AI analytics. This lowers the risks that come with systems that are fully automated. Afua et al. (2024) say that this kind of cohabitation causes psychic displacement because people who make decisions lose trust when they </w:t>
      </w:r>
      <w:proofErr w:type="gramStart"/>
      <w:r w:rsidRPr="001C5299">
        <w:rPr>
          <w:rFonts w:ascii="Arial" w:hAnsi="Arial" w:cs="Arial"/>
          <w:sz w:val="22"/>
          <w:szCs w:val="22"/>
        </w:rPr>
        <w:t>have to</w:t>
      </w:r>
      <w:proofErr w:type="gramEnd"/>
      <w:r w:rsidRPr="001C5299">
        <w:rPr>
          <w:rFonts w:ascii="Arial" w:hAnsi="Arial" w:cs="Arial"/>
          <w:sz w:val="22"/>
          <w:szCs w:val="22"/>
        </w:rPr>
        <w:t xml:space="preserve"> compete with robots. Literature describes AI integration as both improving efficiency and changing how people act. </w:t>
      </w:r>
    </w:p>
    <w:p w14:paraId="3F4222A3" w14:textId="77777777" w:rsidR="00CD691F" w:rsidRPr="001C5299" w:rsidRDefault="00705767" w:rsidP="00CD691F">
      <w:pPr>
        <w:pStyle w:val="anistyle"/>
        <w:rPr>
          <w:rFonts w:ascii="Arial" w:hAnsi="Arial" w:cs="Arial"/>
          <w:sz w:val="22"/>
          <w:szCs w:val="22"/>
          <w:lang w:val="bg-BG"/>
        </w:rPr>
      </w:pPr>
      <w:r w:rsidRPr="001C5299">
        <w:rPr>
          <w:rFonts w:ascii="Arial" w:hAnsi="Arial" w:cs="Arial"/>
          <w:sz w:val="22"/>
          <w:szCs w:val="22"/>
        </w:rPr>
        <w:br/>
      </w:r>
      <w:bookmarkStart w:id="13" w:name="_Toc227496328"/>
      <w:r w:rsidRPr="001C5299">
        <w:rPr>
          <w:rFonts w:ascii="Arial" w:hAnsi="Arial" w:cs="Arial"/>
          <w:sz w:val="22"/>
          <w:szCs w:val="22"/>
        </w:rPr>
        <w:t>2.5 Problems with Regulations</w:t>
      </w:r>
      <w:bookmarkEnd w:id="13"/>
      <w:r w:rsidRPr="001C5299">
        <w:rPr>
          <w:rFonts w:ascii="Arial" w:hAnsi="Arial" w:cs="Arial"/>
          <w:sz w:val="22"/>
          <w:szCs w:val="22"/>
        </w:rPr>
        <w:t xml:space="preserve"> </w:t>
      </w:r>
    </w:p>
    <w:p w14:paraId="413D506A" w14:textId="77777777" w:rsidR="00CD691F" w:rsidRPr="001C5299" w:rsidRDefault="00705767" w:rsidP="00705767">
      <w:pPr>
        <w:spacing w:line="360" w:lineRule="auto"/>
        <w:rPr>
          <w:rFonts w:ascii="Arial" w:hAnsi="Arial" w:cs="Arial"/>
          <w:sz w:val="22"/>
          <w:szCs w:val="22"/>
          <w:lang w:val="bg-BG"/>
        </w:rPr>
      </w:pPr>
      <w:r w:rsidRPr="001C5299">
        <w:rPr>
          <w:rFonts w:ascii="Arial" w:hAnsi="Arial" w:cs="Arial"/>
          <w:sz w:val="22"/>
          <w:szCs w:val="22"/>
        </w:rPr>
        <w:br/>
        <w:t xml:space="preserve">Oversight by regulators has always been behind technical progress. There are three main problems that regulators should deal with: responsibility, openness, and the spread of systemic risk. Bhuiyan et al. (2025) and Rezaei et al. (2025) show that AI systems can combine in unpredictable ways, leading to behaviors that are hard for humans to understand. The European Central Bank (ECB) supports "explainable AI" (XAI) ideas, which say that programs should give supervisors results that can be understood. Dakalbab et al. (2024), on the other hand, say that private and competitive obstacles mean that XAI models are still mostly theoretical in financial uses. </w:t>
      </w:r>
      <w:r w:rsidRPr="001C5299">
        <w:rPr>
          <w:rFonts w:ascii="Arial" w:hAnsi="Arial" w:cs="Arial"/>
          <w:sz w:val="22"/>
          <w:szCs w:val="22"/>
        </w:rPr>
        <w:br/>
        <w:t xml:space="preserve">Lack of unified global standards makes monitoring even harder. The EU AI Act (2024) sets up ways to categorize the levels of AI risk, but there isn't much action in the international forex markets yet. Literature calls for changes from rigid regulation to adaptable governance co-evolving with technological progress (FSB, 2024; El Hajj and Hammoud, 2023). </w:t>
      </w:r>
    </w:p>
    <w:p w14:paraId="64C32E38" w14:textId="77777777" w:rsidR="00CD691F" w:rsidRPr="001C5299" w:rsidRDefault="00705767" w:rsidP="00CD691F">
      <w:pPr>
        <w:pStyle w:val="anistyle"/>
        <w:rPr>
          <w:rFonts w:ascii="Arial" w:hAnsi="Arial" w:cs="Arial"/>
          <w:sz w:val="22"/>
          <w:szCs w:val="22"/>
          <w:lang w:val="bg-BG"/>
        </w:rPr>
      </w:pPr>
      <w:r w:rsidRPr="001C5299">
        <w:rPr>
          <w:rFonts w:ascii="Arial" w:hAnsi="Arial" w:cs="Arial"/>
          <w:sz w:val="22"/>
          <w:szCs w:val="22"/>
        </w:rPr>
        <w:lastRenderedPageBreak/>
        <w:br/>
      </w:r>
      <w:bookmarkStart w:id="14" w:name="_Toc227496329"/>
      <w:r w:rsidRPr="001C5299">
        <w:rPr>
          <w:rFonts w:ascii="Arial" w:hAnsi="Arial" w:cs="Arial"/>
          <w:sz w:val="22"/>
          <w:szCs w:val="22"/>
        </w:rPr>
        <w:t>2.6 Research Gaps and the Framework for Ideas</w:t>
      </w:r>
      <w:bookmarkEnd w:id="14"/>
      <w:r w:rsidRPr="001C5299">
        <w:rPr>
          <w:rFonts w:ascii="Arial" w:hAnsi="Arial" w:cs="Arial"/>
          <w:sz w:val="22"/>
          <w:szCs w:val="22"/>
        </w:rPr>
        <w:t xml:space="preserve"> </w:t>
      </w:r>
    </w:p>
    <w:p w14:paraId="60623919" w14:textId="219DC4DC" w:rsidR="00930040" w:rsidRPr="001C5299" w:rsidRDefault="00705767" w:rsidP="00705767">
      <w:pPr>
        <w:spacing w:line="360" w:lineRule="auto"/>
        <w:rPr>
          <w:rFonts w:ascii="Arial" w:hAnsi="Arial" w:cs="Arial"/>
          <w:sz w:val="22"/>
          <w:szCs w:val="22"/>
        </w:rPr>
      </w:pPr>
      <w:r w:rsidRPr="001C5299">
        <w:rPr>
          <w:rFonts w:ascii="Arial" w:hAnsi="Arial" w:cs="Arial"/>
          <w:sz w:val="22"/>
          <w:szCs w:val="22"/>
        </w:rPr>
        <w:br/>
      </w:r>
      <w:r w:rsidR="0005399D" w:rsidRPr="001C5299">
        <w:rPr>
          <w:rFonts w:ascii="Arial" w:hAnsi="Arial" w:cs="Arial"/>
          <w:sz w:val="22"/>
          <w:szCs w:val="22"/>
          <w:lang w:val="en-GB"/>
        </w:rPr>
        <w:t xml:space="preserve">According to </w:t>
      </w:r>
      <w:r w:rsidRPr="001C5299">
        <w:rPr>
          <w:rFonts w:ascii="Arial" w:hAnsi="Arial" w:cs="Arial"/>
          <w:sz w:val="22"/>
          <w:szCs w:val="22"/>
        </w:rPr>
        <w:t>Sumpter et al. (2023)</w:t>
      </w:r>
      <w:r w:rsidR="0005399D" w:rsidRPr="001C5299">
        <w:rPr>
          <w:rFonts w:ascii="Arial" w:hAnsi="Arial" w:cs="Arial"/>
          <w:sz w:val="22"/>
          <w:szCs w:val="22"/>
        </w:rPr>
        <w:t xml:space="preserve"> </w:t>
      </w:r>
      <w:r w:rsidRPr="001C5299">
        <w:rPr>
          <w:rFonts w:ascii="Arial" w:hAnsi="Arial" w:cs="Arial"/>
          <w:sz w:val="22"/>
          <w:szCs w:val="22"/>
        </w:rPr>
        <w:t xml:space="preserve">the human-technology link in AI trade is still not well understood. This dissertation fills a unique conceptual gap by combining qualitative data to learn about how people think about AI-driven trading, how it has changed over time, and how regulators see it. </w:t>
      </w:r>
      <w:r w:rsidRPr="001C5299">
        <w:rPr>
          <w:rFonts w:ascii="Arial" w:hAnsi="Arial" w:cs="Arial"/>
          <w:sz w:val="22"/>
          <w:szCs w:val="22"/>
        </w:rPr>
        <w:br/>
        <w:t xml:space="preserve">Framework for ideas: This research looks at trading that is driven by AI as a cyber-socio-financial system where technology processes (like automation, machine learning, and decision analytics) interact with human thought, institutional adaptation, and governmental control in a way that is always changing. This structure is based on three linked dimensions: </w:t>
      </w:r>
      <w:r w:rsidRPr="001C5299">
        <w:rPr>
          <w:rFonts w:ascii="Arial" w:hAnsi="Arial" w:cs="Arial"/>
          <w:sz w:val="22"/>
          <w:szCs w:val="22"/>
        </w:rPr>
        <w:br/>
        <w:t xml:space="preserve">1. The efficiency of technology: how AI boosts speed, accuracy, and liquidity </w:t>
      </w:r>
      <w:r w:rsidRPr="001C5299">
        <w:rPr>
          <w:rFonts w:ascii="Arial" w:hAnsi="Arial" w:cs="Arial"/>
          <w:sz w:val="22"/>
          <w:szCs w:val="22"/>
        </w:rPr>
        <w:br/>
        <w:t xml:space="preserve">2. Systemic Vulnerability: How technology makes things more unstable and spreads risk during crises </w:t>
      </w:r>
      <w:r w:rsidRPr="001C5299">
        <w:rPr>
          <w:rFonts w:ascii="Arial" w:hAnsi="Arial" w:cs="Arial"/>
          <w:sz w:val="22"/>
          <w:szCs w:val="22"/>
        </w:rPr>
        <w:br/>
        <w:t xml:space="preserve">3. </w:t>
      </w:r>
      <w:r w:rsidR="00930040" w:rsidRPr="001C5299">
        <w:rPr>
          <w:rFonts w:ascii="Arial" w:hAnsi="Arial" w:cs="Arial"/>
          <w:sz w:val="22"/>
          <w:szCs w:val="22"/>
        </w:rPr>
        <w:t>Behavioral</w:t>
      </w:r>
      <w:r w:rsidRPr="001C5299">
        <w:rPr>
          <w:rFonts w:ascii="Arial" w:hAnsi="Arial" w:cs="Arial"/>
          <w:sz w:val="22"/>
          <w:szCs w:val="22"/>
        </w:rPr>
        <w:t xml:space="preserve"> Interpretation: How people see, change, and control surroundings that are controlled by AI </w:t>
      </w:r>
      <w:r w:rsidRPr="001C5299">
        <w:rPr>
          <w:rFonts w:ascii="Arial" w:hAnsi="Arial" w:cs="Arial"/>
          <w:sz w:val="22"/>
          <w:szCs w:val="22"/>
        </w:rPr>
        <w:br/>
        <w:t xml:space="preserve">This three-part view helps the dissertation's qualitative study of AI's effect on the instability and liquidity of the forex market by connecting numbers and real-life experiences. </w:t>
      </w:r>
      <w:r w:rsidRPr="001C5299">
        <w:rPr>
          <w:rFonts w:ascii="Arial" w:hAnsi="Arial" w:cs="Arial"/>
          <w:sz w:val="22"/>
          <w:szCs w:val="22"/>
        </w:rPr>
        <w:br/>
        <w:t xml:space="preserve">Literature shows that AI-driven trade changes the </w:t>
      </w:r>
      <w:proofErr w:type="spellStart"/>
      <w:r w:rsidRPr="001C5299">
        <w:rPr>
          <w:rFonts w:ascii="Arial" w:hAnsi="Arial" w:cs="Arial"/>
          <w:sz w:val="22"/>
          <w:szCs w:val="22"/>
        </w:rPr>
        <w:t>fx</w:t>
      </w:r>
      <w:proofErr w:type="spellEnd"/>
      <w:r w:rsidRPr="001C5299">
        <w:rPr>
          <w:rFonts w:ascii="Arial" w:hAnsi="Arial" w:cs="Arial"/>
          <w:sz w:val="22"/>
          <w:szCs w:val="22"/>
        </w:rPr>
        <w:t xml:space="preserve"> market in a basic way by automating tasks, learning, and making decisions based on data. It makes the </w:t>
      </w:r>
      <w:r w:rsidR="0005399D" w:rsidRPr="001C5299">
        <w:rPr>
          <w:rFonts w:ascii="Arial" w:hAnsi="Arial" w:cs="Arial"/>
          <w:sz w:val="22"/>
          <w:szCs w:val="22"/>
        </w:rPr>
        <w:t>market</w:t>
      </w:r>
      <w:r w:rsidRPr="001C5299">
        <w:rPr>
          <w:rFonts w:ascii="Arial" w:hAnsi="Arial" w:cs="Arial"/>
          <w:sz w:val="22"/>
          <w:szCs w:val="22"/>
        </w:rPr>
        <w:t xml:space="preserve"> better when things are stable, but it also makes volatility and liquidity risk worse when things aren't going well. AI also adds to the difficulty of social decisions, the lack of equal access to knowledge, and legal confusion. The works that were looked at show that empirical research has come a long way, but they also show that we still don't have enough qualitative information about how people in the market </w:t>
      </w:r>
      <w:proofErr w:type="gramStart"/>
      <w:r w:rsidRPr="001C5299">
        <w:rPr>
          <w:rFonts w:ascii="Arial" w:hAnsi="Arial" w:cs="Arial"/>
          <w:sz w:val="22"/>
          <w:szCs w:val="22"/>
        </w:rPr>
        <w:t>actually live</w:t>
      </w:r>
      <w:proofErr w:type="gramEnd"/>
      <w:r w:rsidRPr="001C5299">
        <w:rPr>
          <w:rFonts w:ascii="Arial" w:hAnsi="Arial" w:cs="Arial"/>
          <w:sz w:val="22"/>
          <w:szCs w:val="22"/>
        </w:rPr>
        <w:t xml:space="preserve"> and think. This study's main addition is to fill in that gap by using theme analysis of secondary qualitative data to figure out how connections are changing over time.</w:t>
      </w:r>
      <w:r w:rsidR="005B1800" w:rsidRPr="005B1800">
        <w:t xml:space="preserve"> </w:t>
      </w:r>
      <w:r w:rsidR="005B1800" w:rsidRPr="005B1800">
        <w:rPr>
          <w:rFonts w:ascii="Arial" w:hAnsi="Arial" w:cs="Arial"/>
          <w:sz w:val="22"/>
          <w:szCs w:val="22"/>
        </w:rPr>
        <w:t>These gaps justify the adoption of a qualitative interpretive approach, which is developed further in Chapter 3.</w:t>
      </w:r>
    </w:p>
    <w:p w14:paraId="2C30CA95" w14:textId="5319BED7" w:rsidR="00EA6D63" w:rsidRPr="001C5299" w:rsidRDefault="00EA6D63" w:rsidP="00EA6D63">
      <w:pPr>
        <w:pStyle w:val="anistyle"/>
        <w:rPr>
          <w:rFonts w:ascii="Arial" w:hAnsi="Arial" w:cs="Arial"/>
          <w:sz w:val="22"/>
          <w:szCs w:val="22"/>
        </w:rPr>
      </w:pPr>
      <w:bookmarkStart w:id="15" w:name="_Toc227496330"/>
      <w:r w:rsidRPr="001C5299">
        <w:rPr>
          <w:rFonts w:ascii="Arial" w:hAnsi="Arial" w:cs="Arial"/>
          <w:sz w:val="22"/>
          <w:szCs w:val="22"/>
        </w:rPr>
        <w:t xml:space="preserve">Chapter </w:t>
      </w:r>
      <w:r w:rsidR="005B1800">
        <w:rPr>
          <w:rFonts w:ascii="Arial" w:hAnsi="Arial" w:cs="Arial"/>
          <w:sz w:val="22"/>
          <w:szCs w:val="22"/>
          <w:lang w:val="bg-BG"/>
        </w:rPr>
        <w:t>3</w:t>
      </w:r>
      <w:r w:rsidRPr="001C5299">
        <w:rPr>
          <w:rFonts w:ascii="Arial" w:hAnsi="Arial" w:cs="Arial"/>
          <w:sz w:val="22"/>
          <w:szCs w:val="22"/>
        </w:rPr>
        <w:t>: Methodology</w:t>
      </w:r>
      <w:bookmarkEnd w:id="15"/>
    </w:p>
    <w:p w14:paraId="5C6DF9BD" w14:textId="27B1DDE4" w:rsidR="00EA6D63" w:rsidRPr="001C5299" w:rsidRDefault="00EA6D63" w:rsidP="00EA6D63">
      <w:pPr>
        <w:spacing w:line="360" w:lineRule="auto"/>
        <w:rPr>
          <w:rFonts w:ascii="Arial" w:hAnsi="Arial" w:cs="Arial"/>
          <w:sz w:val="22"/>
          <w:szCs w:val="22"/>
        </w:rPr>
      </w:pPr>
      <w:r w:rsidRPr="001C5299">
        <w:rPr>
          <w:rFonts w:ascii="Arial" w:hAnsi="Arial" w:cs="Arial"/>
          <w:sz w:val="22"/>
          <w:szCs w:val="22"/>
        </w:rPr>
        <w:t xml:space="preserve">A dissertation's research approach makes sure that it makes sense, is true, and is scientifically sound. This study uses a qualitative secondary research approach that focuses on putting together and analyzing academic and professional sources that have already been published. This chapter talks about the study strategy, data collection methods, analysis techniques, and </w:t>
      </w:r>
      <w:r w:rsidRPr="001C5299">
        <w:rPr>
          <w:rFonts w:ascii="Arial" w:hAnsi="Arial" w:cs="Arial"/>
          <w:sz w:val="22"/>
          <w:szCs w:val="22"/>
        </w:rPr>
        <w:lastRenderedPageBreak/>
        <w:t xml:space="preserve">ethics concerns that will be used to </w:t>
      </w:r>
      <w:proofErr w:type="gramStart"/>
      <w:r w:rsidRPr="001C5299">
        <w:rPr>
          <w:rFonts w:ascii="Arial" w:hAnsi="Arial" w:cs="Arial"/>
          <w:sz w:val="22"/>
          <w:szCs w:val="22"/>
        </w:rPr>
        <w:t>look into</w:t>
      </w:r>
      <w:proofErr w:type="gramEnd"/>
      <w:r w:rsidRPr="001C5299">
        <w:rPr>
          <w:rFonts w:ascii="Arial" w:hAnsi="Arial" w:cs="Arial"/>
          <w:sz w:val="22"/>
          <w:szCs w:val="22"/>
        </w:rPr>
        <w:t xml:space="preserve"> how AI-driven trade affects the FX market's instability and liquidity.</w:t>
      </w:r>
    </w:p>
    <w:p w14:paraId="0E59976C" w14:textId="77777777" w:rsidR="00EA6D63" w:rsidRPr="001C5299" w:rsidRDefault="00EA6D63" w:rsidP="00930040">
      <w:pPr>
        <w:pStyle w:val="anistyle"/>
        <w:rPr>
          <w:rFonts w:ascii="Arial" w:hAnsi="Arial" w:cs="Arial"/>
          <w:sz w:val="22"/>
          <w:szCs w:val="22"/>
          <w:lang w:val="bg-BG"/>
        </w:rPr>
      </w:pPr>
      <w:bookmarkStart w:id="16" w:name="_Toc227496331"/>
      <w:r w:rsidRPr="001C5299">
        <w:rPr>
          <w:rFonts w:ascii="Arial" w:hAnsi="Arial" w:cs="Arial"/>
          <w:sz w:val="22"/>
          <w:szCs w:val="22"/>
        </w:rPr>
        <w:t>3.1 Research Philosophy and Approach</w:t>
      </w:r>
      <w:bookmarkEnd w:id="16"/>
    </w:p>
    <w:p w14:paraId="17676212" w14:textId="5724C6A7" w:rsidR="00EA6D63" w:rsidRPr="001E67F7" w:rsidRDefault="00EA6D63" w:rsidP="00EA6D63">
      <w:pPr>
        <w:spacing w:line="360" w:lineRule="auto"/>
        <w:jc w:val="both"/>
        <w:rPr>
          <w:rFonts w:ascii="Arial" w:hAnsi="Arial" w:cs="Arial"/>
          <w:sz w:val="22"/>
          <w:szCs w:val="22"/>
          <w:lang w:val="bg-BG"/>
        </w:rPr>
      </w:pPr>
      <w:r w:rsidRPr="001C5299">
        <w:rPr>
          <w:rFonts w:ascii="Arial" w:hAnsi="Arial" w:cs="Arial"/>
          <w:sz w:val="22"/>
          <w:szCs w:val="22"/>
        </w:rPr>
        <w:t xml:space="preserve">The study uses an inductive approach, meaning it does not test existing theories. Instead, it collects qualitative data and looks for patterns and themes that naturally appear. This approach fits the aim of the research, which is to understand </w:t>
      </w:r>
      <w:r w:rsidRPr="001C5299">
        <w:rPr>
          <w:rFonts w:ascii="Arial" w:hAnsi="Arial" w:cs="Arial"/>
          <w:i/>
          <w:iCs/>
          <w:sz w:val="22"/>
          <w:szCs w:val="22"/>
        </w:rPr>
        <w:t>how</w:t>
      </w:r>
      <w:r w:rsidRPr="001C5299">
        <w:rPr>
          <w:rFonts w:ascii="Arial" w:hAnsi="Arial" w:cs="Arial"/>
          <w:sz w:val="22"/>
          <w:szCs w:val="22"/>
        </w:rPr>
        <w:t xml:space="preserve"> and </w:t>
      </w:r>
      <w:r w:rsidRPr="001C5299">
        <w:rPr>
          <w:rFonts w:ascii="Arial" w:hAnsi="Arial" w:cs="Arial"/>
          <w:i/>
          <w:iCs/>
          <w:sz w:val="22"/>
          <w:szCs w:val="22"/>
        </w:rPr>
        <w:t>why</w:t>
      </w:r>
      <w:r w:rsidRPr="001C5299">
        <w:rPr>
          <w:rFonts w:ascii="Arial" w:hAnsi="Arial" w:cs="Arial"/>
          <w:sz w:val="22"/>
          <w:szCs w:val="22"/>
        </w:rPr>
        <w:t xml:space="preserve"> individuals and institutions respond to AI-powered trading, rather than just measuring outcomes or statistical </w:t>
      </w:r>
      <w:proofErr w:type="gramStart"/>
      <w:r w:rsidRPr="001C5299">
        <w:rPr>
          <w:rFonts w:ascii="Arial" w:hAnsi="Arial" w:cs="Arial"/>
          <w:sz w:val="22"/>
          <w:szCs w:val="22"/>
        </w:rPr>
        <w:t>relationships</w:t>
      </w:r>
      <w:r w:rsidR="001E67F7" w:rsidRPr="001E67F7">
        <w:rPr>
          <w:rFonts w:ascii="Arial" w:hAnsi="Arial" w:cs="Arial"/>
          <w:sz w:val="22"/>
          <w:szCs w:val="22"/>
        </w:rPr>
        <w:t>(</w:t>
      </w:r>
      <w:proofErr w:type="gramEnd"/>
      <w:r w:rsidR="001E67F7" w:rsidRPr="001E67F7">
        <w:rPr>
          <w:rFonts w:ascii="Arial" w:hAnsi="Arial" w:cs="Arial"/>
          <w:sz w:val="22"/>
          <w:szCs w:val="22"/>
        </w:rPr>
        <w:t>Collis and Hussey, 2021)</w:t>
      </w:r>
      <w:r w:rsidR="001E67F7">
        <w:rPr>
          <w:rFonts w:ascii="Arial" w:hAnsi="Arial" w:cs="Arial"/>
          <w:sz w:val="22"/>
          <w:szCs w:val="22"/>
          <w:lang w:val="bg-BG"/>
        </w:rPr>
        <w:t xml:space="preserve">. </w:t>
      </w:r>
    </w:p>
    <w:p w14:paraId="742A0063" w14:textId="3952D201" w:rsidR="00EA6D63" w:rsidRPr="001C5299" w:rsidRDefault="00EA6D63" w:rsidP="00EA6D63">
      <w:pPr>
        <w:spacing w:line="360" w:lineRule="auto"/>
        <w:jc w:val="both"/>
        <w:rPr>
          <w:rFonts w:ascii="Arial" w:hAnsi="Arial" w:cs="Arial"/>
          <w:b/>
          <w:bCs/>
          <w:sz w:val="22"/>
          <w:szCs w:val="22"/>
          <w:lang w:val="bg-BG"/>
        </w:rPr>
      </w:pPr>
      <w:r w:rsidRPr="001C5299">
        <w:rPr>
          <w:rFonts w:ascii="Arial" w:hAnsi="Arial" w:cs="Arial"/>
          <w:sz w:val="22"/>
          <w:szCs w:val="22"/>
        </w:rPr>
        <w:t>This way of thinking is different from the usual quantitative and mathematical methods in finance. As Saunders et al. (2019) explain, interpretivist methods are especially useful in fast-changing areas—like technology and human behavior—because they show how human decisions, new technologies, and social changes interact with each other</w:t>
      </w:r>
      <w:r w:rsidRPr="001C5299">
        <w:rPr>
          <w:rFonts w:ascii="Arial" w:hAnsi="Arial" w:cs="Arial"/>
          <w:b/>
          <w:bCs/>
          <w:sz w:val="22"/>
          <w:szCs w:val="22"/>
        </w:rPr>
        <w:t>.</w:t>
      </w:r>
    </w:p>
    <w:p w14:paraId="726E865F" w14:textId="77777777" w:rsidR="005B1E8A" w:rsidRPr="001C5299" w:rsidRDefault="005B1E8A" w:rsidP="00930040">
      <w:pPr>
        <w:pStyle w:val="anistyle"/>
        <w:rPr>
          <w:rFonts w:ascii="Arial" w:hAnsi="Arial" w:cs="Arial"/>
          <w:sz w:val="22"/>
          <w:szCs w:val="22"/>
          <w:lang w:val="bg-BG"/>
        </w:rPr>
      </w:pPr>
      <w:bookmarkStart w:id="17" w:name="_Toc227496332"/>
      <w:r w:rsidRPr="001C5299">
        <w:rPr>
          <w:rFonts w:ascii="Arial" w:hAnsi="Arial" w:cs="Arial"/>
          <w:sz w:val="22"/>
          <w:szCs w:val="22"/>
        </w:rPr>
        <w:t>3.2 Research Design</w:t>
      </w:r>
      <w:bookmarkEnd w:id="17"/>
    </w:p>
    <w:p w14:paraId="4E6220A2" w14:textId="5BF4CC7B" w:rsidR="005B1E8A" w:rsidRPr="001C5299" w:rsidRDefault="005B1E8A" w:rsidP="005B1E8A">
      <w:pPr>
        <w:spacing w:line="360" w:lineRule="auto"/>
        <w:rPr>
          <w:rFonts w:ascii="Arial" w:hAnsi="Arial" w:cs="Arial"/>
          <w:sz w:val="22"/>
          <w:szCs w:val="22"/>
          <w:lang w:val="bg-BG"/>
        </w:rPr>
      </w:pPr>
      <w:r w:rsidRPr="001C5299">
        <w:rPr>
          <w:rFonts w:ascii="Arial" w:hAnsi="Arial" w:cs="Arial"/>
          <w:sz w:val="22"/>
          <w:szCs w:val="22"/>
        </w:rPr>
        <w:t xml:space="preserve">This qualitative secondary research study uses data from academic literature, regulatory papers, and industry studies. Secondary qualitative research allows researchers to study emergent or controversial themes when primary data collecting may be limited by access, expense, or secrecy, according to Johnston (2017). </w:t>
      </w:r>
      <w:r w:rsidRPr="001C5299">
        <w:rPr>
          <w:rFonts w:ascii="Arial" w:hAnsi="Arial" w:cs="Arial"/>
          <w:sz w:val="22"/>
          <w:szCs w:val="22"/>
        </w:rPr>
        <w:br/>
        <w:t xml:space="preserve">External researchers cannot access high-frequency trading data and proprietary algorithms, making this arrangement ideal for financial technology research (O'Hara, 2015). Instead, peer-reviewed journals, think-tank studies, and central bank publications give extensive, multi-perspective material for study. </w:t>
      </w:r>
      <w:r w:rsidRPr="001C5299">
        <w:rPr>
          <w:rFonts w:ascii="Arial" w:hAnsi="Arial" w:cs="Arial"/>
          <w:sz w:val="22"/>
          <w:szCs w:val="22"/>
        </w:rPr>
        <w:br/>
        <w:t>The study seeks to understand how institutional traders, analysts, and regulators perceive and react to AI-driven volatility and liquidity shifts. According to the study's exploratory goal, the design emphasizes understanding above numerical generalization.</w:t>
      </w:r>
    </w:p>
    <w:p w14:paraId="51D97F74" w14:textId="77777777" w:rsidR="005B1E8A" w:rsidRPr="001C5299" w:rsidRDefault="005B1E8A" w:rsidP="00930040">
      <w:pPr>
        <w:pStyle w:val="anistyle"/>
        <w:rPr>
          <w:rFonts w:ascii="Arial" w:hAnsi="Arial" w:cs="Arial"/>
          <w:sz w:val="22"/>
          <w:szCs w:val="22"/>
        </w:rPr>
      </w:pPr>
      <w:bookmarkStart w:id="18" w:name="_Toc227496333"/>
      <w:r w:rsidRPr="001C5299">
        <w:rPr>
          <w:rFonts w:ascii="Arial" w:hAnsi="Arial" w:cs="Arial"/>
          <w:sz w:val="22"/>
          <w:szCs w:val="22"/>
        </w:rPr>
        <w:t>3.3 Data Sources and Selection Criteria</w:t>
      </w:r>
      <w:bookmarkEnd w:id="18"/>
    </w:p>
    <w:p w14:paraId="7FB5F236" w14:textId="77777777" w:rsidR="00D42512" w:rsidRPr="001C5299" w:rsidRDefault="00D42512" w:rsidP="00D42512">
      <w:pPr>
        <w:spacing w:line="360" w:lineRule="auto"/>
        <w:rPr>
          <w:rFonts w:ascii="Arial" w:hAnsi="Arial" w:cs="Arial"/>
          <w:sz w:val="22"/>
          <w:szCs w:val="22"/>
          <w:lang w:val="en-GB"/>
        </w:rPr>
      </w:pPr>
      <w:r w:rsidRPr="001C5299">
        <w:rPr>
          <w:rFonts w:ascii="Arial" w:hAnsi="Arial" w:cs="Arial"/>
          <w:sz w:val="22"/>
          <w:szCs w:val="22"/>
          <w:lang w:val="en-GB"/>
        </w:rPr>
        <w:t>This dissertation uses only publicly accessible, reliable, and peer-reviewed data to ensure intellectual integrity and credibility. Main source categories are:</w:t>
      </w:r>
    </w:p>
    <w:p w14:paraId="0219FB3B" w14:textId="77777777" w:rsidR="00D42512" w:rsidRPr="001C5299" w:rsidRDefault="00D42512" w:rsidP="00D42512">
      <w:pPr>
        <w:spacing w:line="360" w:lineRule="auto"/>
        <w:rPr>
          <w:rFonts w:ascii="Arial" w:hAnsi="Arial" w:cs="Arial"/>
          <w:sz w:val="22"/>
          <w:szCs w:val="22"/>
          <w:lang w:val="en-GB"/>
        </w:rPr>
      </w:pPr>
      <w:r w:rsidRPr="001C5299">
        <w:rPr>
          <w:rFonts w:ascii="Arial" w:hAnsi="Arial" w:cs="Arial"/>
          <w:sz w:val="22"/>
          <w:szCs w:val="22"/>
          <w:lang w:val="en-GB"/>
        </w:rPr>
        <w:t>Peer-reviewed academic publications on AI in financial markets, algorithmic trading, volatility, and liquidity (</w:t>
      </w:r>
      <w:proofErr w:type="spellStart"/>
      <w:r w:rsidRPr="001C5299">
        <w:rPr>
          <w:rFonts w:ascii="Arial" w:hAnsi="Arial" w:cs="Arial"/>
          <w:sz w:val="22"/>
          <w:szCs w:val="22"/>
          <w:lang w:val="en-GB"/>
        </w:rPr>
        <w:t>Dakalbab</w:t>
      </w:r>
      <w:proofErr w:type="spellEnd"/>
      <w:r w:rsidRPr="001C5299">
        <w:rPr>
          <w:rFonts w:ascii="Arial" w:hAnsi="Arial" w:cs="Arial"/>
          <w:sz w:val="22"/>
          <w:szCs w:val="22"/>
          <w:lang w:val="en-GB"/>
        </w:rPr>
        <w:t xml:space="preserve"> et al., 2024; Bhuiyan, 2025). Official reports from the Bank for </w:t>
      </w:r>
      <w:r w:rsidRPr="001C5299">
        <w:rPr>
          <w:rFonts w:ascii="Arial" w:hAnsi="Arial" w:cs="Arial"/>
          <w:sz w:val="22"/>
          <w:szCs w:val="22"/>
          <w:lang w:val="en-GB"/>
        </w:rPr>
        <w:lastRenderedPageBreak/>
        <w:t>International Settlements (BIS), European Central Bank (ECB), Financial Stability Board (FSB), and International Monetary Fund</w:t>
      </w:r>
    </w:p>
    <w:p w14:paraId="6100092B" w14:textId="541FDA74" w:rsidR="00D42512" w:rsidRPr="001C5299" w:rsidRDefault="00D42512" w:rsidP="00D42512">
      <w:pPr>
        <w:spacing w:line="360" w:lineRule="auto"/>
        <w:rPr>
          <w:rFonts w:ascii="Arial" w:hAnsi="Arial" w:cs="Arial"/>
          <w:sz w:val="22"/>
          <w:szCs w:val="22"/>
          <w:lang w:val="en-GB"/>
        </w:rPr>
      </w:pPr>
      <w:r w:rsidRPr="001C5299">
        <w:rPr>
          <w:rFonts w:ascii="Arial" w:hAnsi="Arial" w:cs="Arial"/>
          <w:sz w:val="22"/>
          <w:szCs w:val="22"/>
          <w:lang w:val="en-GB"/>
        </w:rPr>
        <w:t>Inclusion criteria favoured sources:</w:t>
      </w:r>
      <w:r w:rsidR="00B028F6">
        <w:rPr>
          <w:rFonts w:ascii="Arial" w:hAnsi="Arial" w:cs="Arial"/>
          <w:sz w:val="22"/>
          <w:szCs w:val="22"/>
          <w:lang w:val="bg-BG"/>
        </w:rPr>
        <w:t xml:space="preserve"> </w:t>
      </w:r>
      <w:r w:rsidRPr="001C5299">
        <w:rPr>
          <w:rFonts w:ascii="Arial" w:hAnsi="Arial" w:cs="Arial"/>
          <w:sz w:val="22"/>
          <w:szCs w:val="22"/>
          <w:lang w:val="en-GB"/>
        </w:rPr>
        <w:t>Examined AI-driven trading in FX or financial markets</w:t>
      </w:r>
      <w:r w:rsidR="00B028F6">
        <w:rPr>
          <w:rFonts w:ascii="Arial" w:hAnsi="Arial" w:cs="Arial"/>
          <w:sz w:val="22"/>
          <w:szCs w:val="22"/>
          <w:lang w:val="en-GB"/>
        </w:rPr>
        <w:t>; Q</w:t>
      </w:r>
      <w:r w:rsidRPr="001C5299">
        <w:rPr>
          <w:rFonts w:ascii="Arial" w:hAnsi="Arial" w:cs="Arial"/>
          <w:sz w:val="22"/>
          <w:szCs w:val="22"/>
          <w:lang w:val="en-GB"/>
        </w:rPr>
        <w:t>ualitative insights on market views, liquidity dynamics, and volatility behaviour</w:t>
      </w:r>
      <w:r w:rsidR="00B028F6">
        <w:rPr>
          <w:rFonts w:ascii="Arial" w:hAnsi="Arial" w:cs="Arial"/>
          <w:sz w:val="22"/>
          <w:szCs w:val="22"/>
          <w:lang w:val="en-GB"/>
        </w:rPr>
        <w:t xml:space="preserve">; </w:t>
      </w:r>
      <w:r w:rsidRPr="001C5299">
        <w:rPr>
          <w:rFonts w:ascii="Arial" w:hAnsi="Arial" w:cs="Arial"/>
          <w:sz w:val="22"/>
          <w:szCs w:val="22"/>
          <w:lang w:val="en-GB"/>
        </w:rPr>
        <w:t>Published between 2000 and 2025, assuring historical and current relevance.</w:t>
      </w:r>
    </w:p>
    <w:p w14:paraId="3F62534C" w14:textId="596CB074" w:rsidR="005B1E8A" w:rsidRPr="001C5299" w:rsidRDefault="00D42512" w:rsidP="00D42512">
      <w:pPr>
        <w:spacing w:line="360" w:lineRule="auto"/>
        <w:rPr>
          <w:rFonts w:ascii="Arial" w:hAnsi="Arial" w:cs="Arial"/>
          <w:sz w:val="22"/>
          <w:szCs w:val="22"/>
          <w:lang w:val="en-GB"/>
        </w:rPr>
      </w:pPr>
      <w:r w:rsidRPr="001C5299">
        <w:rPr>
          <w:rFonts w:ascii="Arial" w:hAnsi="Arial" w:cs="Arial"/>
          <w:sz w:val="22"/>
          <w:szCs w:val="22"/>
          <w:lang w:val="en-GB"/>
        </w:rPr>
        <w:t>Studies on technical algorithmic models without human or institutional aspects were rejected since they did not fit the dissertation's interpretative goal.</w:t>
      </w:r>
    </w:p>
    <w:p w14:paraId="5D0EDD66" w14:textId="1E506F1E" w:rsidR="00B028F6" w:rsidRPr="001C5299" w:rsidRDefault="00B87882" w:rsidP="00930040">
      <w:pPr>
        <w:pStyle w:val="anistyle"/>
        <w:rPr>
          <w:rFonts w:ascii="Arial" w:hAnsi="Arial" w:cs="Arial"/>
          <w:sz w:val="22"/>
          <w:szCs w:val="22"/>
          <w:lang w:val="en-GB"/>
        </w:rPr>
      </w:pPr>
      <w:bookmarkStart w:id="19" w:name="_Toc227496334"/>
      <w:r w:rsidRPr="001C5299">
        <w:rPr>
          <w:rFonts w:ascii="Arial" w:hAnsi="Arial" w:cs="Arial"/>
          <w:sz w:val="22"/>
          <w:szCs w:val="22"/>
          <w:lang w:val="bg-BG"/>
        </w:rPr>
        <w:t xml:space="preserve">3.4 Data </w:t>
      </w:r>
      <w:r w:rsidR="00B028F6">
        <w:rPr>
          <w:rFonts w:ascii="Arial" w:hAnsi="Arial" w:cs="Arial"/>
          <w:sz w:val="22"/>
          <w:szCs w:val="22"/>
          <w:lang w:val="en-GB"/>
        </w:rPr>
        <w:t>a</w:t>
      </w:r>
      <w:r w:rsidRPr="001C5299">
        <w:rPr>
          <w:rFonts w:ascii="Arial" w:hAnsi="Arial" w:cs="Arial"/>
          <w:sz w:val="22"/>
          <w:szCs w:val="22"/>
          <w:lang w:val="bg-BG"/>
        </w:rPr>
        <w:t xml:space="preserve">nalysis </w:t>
      </w:r>
      <w:r w:rsidR="00B028F6">
        <w:rPr>
          <w:rFonts w:ascii="Arial" w:hAnsi="Arial" w:cs="Arial"/>
          <w:sz w:val="22"/>
          <w:szCs w:val="22"/>
          <w:lang w:val="en-GB"/>
        </w:rPr>
        <w:t>m</w:t>
      </w:r>
      <w:r w:rsidRPr="001C5299">
        <w:rPr>
          <w:rFonts w:ascii="Arial" w:hAnsi="Arial" w:cs="Arial"/>
          <w:sz w:val="22"/>
          <w:szCs w:val="22"/>
          <w:lang w:val="bg-BG"/>
        </w:rPr>
        <w:t>ethod</w:t>
      </w:r>
      <w:r w:rsidRPr="001C5299">
        <w:rPr>
          <w:rFonts w:ascii="Arial" w:hAnsi="Arial" w:cs="Arial"/>
          <w:sz w:val="22"/>
          <w:szCs w:val="22"/>
          <w:lang w:val="en-GB"/>
        </w:rPr>
        <w:t>.</w:t>
      </w:r>
      <w:bookmarkEnd w:id="19"/>
    </w:p>
    <w:p w14:paraId="5E74F3E1" w14:textId="05BC8474" w:rsidR="00B87882" w:rsidRPr="001C5299" w:rsidRDefault="00B87882" w:rsidP="00B87882">
      <w:pPr>
        <w:spacing w:line="360" w:lineRule="auto"/>
        <w:rPr>
          <w:rFonts w:ascii="Arial" w:hAnsi="Arial" w:cs="Arial"/>
          <w:sz w:val="22"/>
          <w:szCs w:val="22"/>
        </w:rPr>
      </w:pPr>
      <w:r w:rsidRPr="001C5299">
        <w:rPr>
          <w:rFonts w:ascii="Arial" w:hAnsi="Arial" w:cs="Arial"/>
          <w:sz w:val="22"/>
          <w:szCs w:val="22"/>
        </w:rPr>
        <w:t>Thematic analysis is a common way to find, understand, and describe trends in large amounts of data (Braun and Clarke, 2006). This work uses it to look at secondary data. This way makes it easier to put together large amounts of complicated written data into themes that make sense and show how AI-driven trade systems work.</w:t>
      </w:r>
      <w:r w:rsidRPr="001C5299">
        <w:rPr>
          <w:rFonts w:ascii="Arial" w:hAnsi="Arial" w:cs="Arial"/>
          <w:sz w:val="22"/>
          <w:szCs w:val="22"/>
        </w:rPr>
        <w:br/>
        <w:t xml:space="preserve">Braun and Clarke (2006) came up with a six-step plan that leads the process: </w:t>
      </w:r>
      <w:r w:rsidRPr="001C5299">
        <w:rPr>
          <w:rFonts w:ascii="Arial" w:hAnsi="Arial" w:cs="Arial"/>
          <w:sz w:val="22"/>
          <w:szCs w:val="22"/>
        </w:rPr>
        <w:br/>
      </w:r>
      <w:r w:rsidRPr="001C5299">
        <w:rPr>
          <w:rFonts w:ascii="Arial" w:hAnsi="Arial" w:cs="Arial"/>
          <w:sz w:val="22"/>
          <w:szCs w:val="22"/>
        </w:rPr>
        <w:br/>
        <w:t xml:space="preserve">1. Familiarization with Data: Reading research papers, reports, and comments to fully grasp important ideas connected to AI, volatility, and liquidity. </w:t>
      </w:r>
      <w:r w:rsidRPr="001C5299">
        <w:rPr>
          <w:rFonts w:ascii="Arial" w:hAnsi="Arial" w:cs="Arial"/>
          <w:sz w:val="22"/>
          <w:szCs w:val="22"/>
        </w:rPr>
        <w:br/>
        <w:t xml:space="preserve">2. Making initial code means finding the most important ideas, statements, and patterns that show how participants saw things or what they thought they saw (for example, "algorithmic herding," "liquidity withdrawal," "informational asymmetry"). </w:t>
      </w:r>
      <w:r w:rsidRPr="001C5299">
        <w:rPr>
          <w:rFonts w:ascii="Arial" w:hAnsi="Arial" w:cs="Arial"/>
          <w:sz w:val="22"/>
          <w:szCs w:val="22"/>
        </w:rPr>
        <w:br/>
        <w:t xml:space="preserve">3. Looking for Themes: Putting together codes that are linked into bigger themes like "Technological Acceleration," "Systemic Fragility," and "Regulatory Lag." </w:t>
      </w:r>
      <w:r w:rsidRPr="001C5299">
        <w:rPr>
          <w:rFonts w:ascii="Arial" w:hAnsi="Arial" w:cs="Arial"/>
          <w:sz w:val="22"/>
          <w:szCs w:val="22"/>
        </w:rPr>
        <w:br/>
        <w:t xml:space="preserve">4. Reviewing Themes: Making the connections between themes stronger and more reliable to make sure the ideas are consistent. </w:t>
      </w:r>
      <w:r w:rsidRPr="001C5299">
        <w:rPr>
          <w:rFonts w:ascii="Arial" w:hAnsi="Arial" w:cs="Arial"/>
          <w:sz w:val="22"/>
          <w:szCs w:val="22"/>
        </w:rPr>
        <w:br/>
        <w:t xml:space="preserve">5. Naming and defining themes mean making analytical stories that connect how AI-driven systems work with how they're thought to affect the market. </w:t>
      </w:r>
      <w:r w:rsidRPr="001C5299">
        <w:rPr>
          <w:rFonts w:ascii="Arial" w:hAnsi="Arial" w:cs="Arial"/>
          <w:sz w:val="22"/>
          <w:szCs w:val="22"/>
        </w:rPr>
        <w:br/>
        <w:t xml:space="preserve">6. Writing the Report: Adding the theme results to the main story of the study and showing how they relate to the literature review. </w:t>
      </w:r>
      <w:r w:rsidRPr="001C5299">
        <w:rPr>
          <w:rFonts w:ascii="Arial" w:hAnsi="Arial" w:cs="Arial"/>
          <w:sz w:val="22"/>
          <w:szCs w:val="22"/>
        </w:rPr>
        <w:br/>
        <w:t>This methodical technique makes sure that everything is clear and can be repeated. It also lets you understand things in a way that considers both academic research and business talk, which connects theory to how things are seen in the real world.</w:t>
      </w:r>
    </w:p>
    <w:p w14:paraId="341DC84F" w14:textId="77777777" w:rsidR="00B87882" w:rsidRPr="001C5299" w:rsidRDefault="00B87882" w:rsidP="00B87882">
      <w:pPr>
        <w:spacing w:line="360" w:lineRule="auto"/>
        <w:rPr>
          <w:rFonts w:ascii="Arial" w:hAnsi="Arial" w:cs="Arial"/>
          <w:sz w:val="22"/>
          <w:szCs w:val="22"/>
        </w:rPr>
      </w:pPr>
    </w:p>
    <w:p w14:paraId="70A719C5" w14:textId="65C77A0C" w:rsidR="00B87882" w:rsidRPr="001C5299" w:rsidRDefault="00B87882" w:rsidP="00930040">
      <w:pPr>
        <w:pStyle w:val="anistyle"/>
        <w:rPr>
          <w:rFonts w:ascii="Arial" w:hAnsi="Arial" w:cs="Arial"/>
          <w:sz w:val="22"/>
          <w:szCs w:val="22"/>
        </w:rPr>
      </w:pPr>
      <w:bookmarkStart w:id="20" w:name="_Toc227496335"/>
      <w:r w:rsidRPr="001C5299">
        <w:rPr>
          <w:rFonts w:ascii="Arial" w:hAnsi="Arial" w:cs="Arial"/>
          <w:sz w:val="22"/>
          <w:szCs w:val="22"/>
        </w:rPr>
        <w:lastRenderedPageBreak/>
        <w:t>3.5 Validity, Reliability, and Trustworthiness.</w:t>
      </w:r>
      <w:bookmarkEnd w:id="20"/>
    </w:p>
    <w:p w14:paraId="1565549F" w14:textId="01501DFA" w:rsidR="009F332F" w:rsidRPr="009F332F" w:rsidRDefault="009F332F" w:rsidP="009F332F">
      <w:pPr>
        <w:spacing w:line="360" w:lineRule="auto"/>
        <w:rPr>
          <w:rFonts w:ascii="Arial" w:hAnsi="Arial" w:cs="Arial"/>
          <w:sz w:val="22"/>
          <w:szCs w:val="22"/>
        </w:rPr>
      </w:pPr>
      <w:r w:rsidRPr="009F332F">
        <w:rPr>
          <w:rFonts w:ascii="Arial" w:hAnsi="Arial" w:cs="Arial"/>
          <w:sz w:val="22"/>
          <w:szCs w:val="22"/>
        </w:rPr>
        <w:t xml:space="preserve">In qualitative research, validity is understood not in terms of statistical accuracy, but in relation to the depth, credibility, and trustworthiness of the insights produced. To ensure methodological </w:t>
      </w:r>
      <w:r w:rsidR="00B028F6" w:rsidRPr="009F332F">
        <w:rPr>
          <w:rFonts w:ascii="Arial" w:hAnsi="Arial" w:cs="Arial"/>
          <w:sz w:val="22"/>
          <w:szCs w:val="22"/>
        </w:rPr>
        <w:t>rigor</w:t>
      </w:r>
      <w:r w:rsidRPr="009F332F">
        <w:rPr>
          <w:rFonts w:ascii="Arial" w:hAnsi="Arial" w:cs="Arial"/>
          <w:sz w:val="22"/>
          <w:szCs w:val="22"/>
        </w:rPr>
        <w:t>, this study adopts established criteria proposed by Golafshani (2003) and Lincoln and Guba (1985), including credibility, transferability, dependability, and confirmability.</w:t>
      </w:r>
    </w:p>
    <w:p w14:paraId="6B6C1640" w14:textId="193BCF4B" w:rsidR="009F332F" w:rsidRPr="009F332F" w:rsidRDefault="009F332F" w:rsidP="009F332F">
      <w:pPr>
        <w:spacing w:line="360" w:lineRule="auto"/>
        <w:rPr>
          <w:rFonts w:ascii="Arial" w:hAnsi="Arial" w:cs="Arial"/>
          <w:sz w:val="22"/>
          <w:szCs w:val="22"/>
        </w:rPr>
      </w:pPr>
      <w:r w:rsidRPr="009F332F">
        <w:rPr>
          <w:rFonts w:ascii="Arial" w:hAnsi="Arial" w:cs="Arial"/>
          <w:sz w:val="22"/>
          <w:szCs w:val="22"/>
        </w:rPr>
        <w:t xml:space="preserve">Credibility is achieved </w:t>
      </w:r>
      <w:r w:rsidR="0085429F" w:rsidRPr="009F332F">
        <w:rPr>
          <w:rFonts w:ascii="Arial" w:hAnsi="Arial" w:cs="Arial"/>
          <w:sz w:val="22"/>
          <w:szCs w:val="22"/>
        </w:rPr>
        <w:t>using</w:t>
      </w:r>
      <w:r w:rsidRPr="009F332F">
        <w:rPr>
          <w:rFonts w:ascii="Arial" w:hAnsi="Arial" w:cs="Arial"/>
          <w:sz w:val="22"/>
          <w:szCs w:val="22"/>
        </w:rPr>
        <w:t xml:space="preserve"> multiple high-quality sources, including academic literature, regulatory reports, and industry analyses, allowing for triangulation of perspectives. This enhances the robustness of interpretations by comparing findings across different types of evidence.</w:t>
      </w:r>
    </w:p>
    <w:p w14:paraId="2C9E81D3" w14:textId="77777777" w:rsidR="009F332F" w:rsidRPr="009F332F" w:rsidRDefault="009F332F" w:rsidP="009F332F">
      <w:pPr>
        <w:spacing w:line="360" w:lineRule="auto"/>
        <w:rPr>
          <w:rFonts w:ascii="Arial" w:hAnsi="Arial" w:cs="Arial"/>
          <w:sz w:val="22"/>
          <w:szCs w:val="22"/>
        </w:rPr>
      </w:pPr>
      <w:r w:rsidRPr="009F332F">
        <w:rPr>
          <w:rFonts w:ascii="Arial" w:hAnsi="Arial" w:cs="Arial"/>
          <w:sz w:val="22"/>
          <w:szCs w:val="22"/>
        </w:rPr>
        <w:t>Transferability is supported by situating the findings within the broader context of financial markets, particularly the foreign exchange market, while identifying patterns that may be applicable to other technologically driven financial environments.</w:t>
      </w:r>
    </w:p>
    <w:p w14:paraId="57E736C5" w14:textId="77777777" w:rsidR="009F332F" w:rsidRPr="009F332F" w:rsidRDefault="009F332F" w:rsidP="009F332F">
      <w:pPr>
        <w:spacing w:line="360" w:lineRule="auto"/>
        <w:rPr>
          <w:rFonts w:ascii="Arial" w:hAnsi="Arial" w:cs="Arial"/>
          <w:sz w:val="22"/>
          <w:szCs w:val="22"/>
        </w:rPr>
      </w:pPr>
      <w:r w:rsidRPr="009F332F">
        <w:rPr>
          <w:rFonts w:ascii="Arial" w:hAnsi="Arial" w:cs="Arial"/>
          <w:sz w:val="22"/>
          <w:szCs w:val="22"/>
        </w:rPr>
        <w:t>Dependability is ensured through methodological transparency, with clear documentation of data selection, coding processes, and thematic development. This allows the research process to be understood and potentially replicated.</w:t>
      </w:r>
    </w:p>
    <w:p w14:paraId="5C2D0978" w14:textId="77777777" w:rsidR="009F332F" w:rsidRPr="009F332F" w:rsidRDefault="009F332F" w:rsidP="009F332F">
      <w:pPr>
        <w:spacing w:line="360" w:lineRule="auto"/>
        <w:rPr>
          <w:rFonts w:ascii="Arial" w:hAnsi="Arial" w:cs="Arial"/>
          <w:sz w:val="22"/>
          <w:szCs w:val="22"/>
        </w:rPr>
      </w:pPr>
      <w:r w:rsidRPr="009F332F">
        <w:rPr>
          <w:rFonts w:ascii="Arial" w:hAnsi="Arial" w:cs="Arial"/>
          <w:sz w:val="22"/>
          <w:szCs w:val="22"/>
        </w:rPr>
        <w:t>Confirmability is maintained through a reflexive approach, where interpretations are grounded in evidence rather than personal bias. The use of secondary data further reduces the risk of subjective influence, as conclusions are drawn from established sources rather than individual opinion.</w:t>
      </w:r>
    </w:p>
    <w:p w14:paraId="79B2CA65" w14:textId="57E11B39" w:rsidR="00B87882" w:rsidRPr="001C5299" w:rsidRDefault="009F332F" w:rsidP="00B87882">
      <w:pPr>
        <w:spacing w:line="360" w:lineRule="auto"/>
        <w:rPr>
          <w:rFonts w:ascii="Arial" w:hAnsi="Arial" w:cs="Arial"/>
          <w:sz w:val="22"/>
          <w:szCs w:val="22"/>
        </w:rPr>
      </w:pPr>
      <w:r w:rsidRPr="009F332F">
        <w:rPr>
          <w:rFonts w:ascii="Arial" w:hAnsi="Arial" w:cs="Arial"/>
          <w:sz w:val="22"/>
          <w:szCs w:val="22"/>
        </w:rPr>
        <w:t>Overall, the combination of these measures strengthens the trustworthiness of the research and supports the validity of its findings within a qualitative interpretive framework</w:t>
      </w:r>
      <w:r>
        <w:rPr>
          <w:rFonts w:ascii="Arial" w:hAnsi="Arial" w:cs="Arial"/>
          <w:sz w:val="22"/>
          <w:szCs w:val="22"/>
          <w:lang w:val="bg-BG"/>
        </w:rPr>
        <w:t xml:space="preserve"> </w:t>
      </w:r>
      <w:r w:rsidR="001E67F7" w:rsidRPr="001E67F7">
        <w:rPr>
          <w:rFonts w:ascii="Arial" w:hAnsi="Arial" w:cs="Arial"/>
          <w:sz w:val="22"/>
          <w:szCs w:val="22"/>
        </w:rPr>
        <w:t>(Winter, 2000)</w:t>
      </w:r>
      <w:r w:rsidR="001E67F7">
        <w:rPr>
          <w:rFonts w:ascii="Arial" w:hAnsi="Arial" w:cs="Arial"/>
          <w:sz w:val="22"/>
          <w:szCs w:val="22"/>
          <w:lang w:val="bg-BG"/>
        </w:rPr>
        <w:t>.</w:t>
      </w:r>
      <w:r w:rsidR="00B87882" w:rsidRPr="001C5299">
        <w:rPr>
          <w:rFonts w:ascii="Arial" w:hAnsi="Arial" w:cs="Arial"/>
          <w:sz w:val="22"/>
          <w:szCs w:val="22"/>
        </w:rPr>
        <w:br/>
      </w:r>
    </w:p>
    <w:p w14:paraId="58D9E36F" w14:textId="58131A85" w:rsidR="00B87882" w:rsidRPr="001C5299" w:rsidRDefault="00B87882" w:rsidP="00930040">
      <w:pPr>
        <w:pStyle w:val="anistyle"/>
        <w:rPr>
          <w:rFonts w:ascii="Arial" w:hAnsi="Arial" w:cs="Arial"/>
          <w:sz w:val="22"/>
          <w:szCs w:val="22"/>
        </w:rPr>
      </w:pPr>
      <w:bookmarkStart w:id="21" w:name="_Toc227496336"/>
      <w:r w:rsidRPr="001C5299">
        <w:rPr>
          <w:rFonts w:ascii="Arial" w:hAnsi="Arial" w:cs="Arial"/>
          <w:sz w:val="22"/>
          <w:szCs w:val="22"/>
        </w:rPr>
        <w:t>3.6 Ethical Considerations.</w:t>
      </w:r>
      <w:bookmarkEnd w:id="21"/>
    </w:p>
    <w:p w14:paraId="16E35599" w14:textId="69E71A81" w:rsidR="000A7D37" w:rsidRPr="001C5299" w:rsidRDefault="000A7D37" w:rsidP="000A7D37">
      <w:pPr>
        <w:spacing w:line="360" w:lineRule="auto"/>
        <w:rPr>
          <w:rFonts w:ascii="Arial" w:hAnsi="Arial" w:cs="Arial"/>
          <w:sz w:val="22"/>
          <w:szCs w:val="22"/>
        </w:rPr>
      </w:pPr>
      <w:r w:rsidRPr="001C5299">
        <w:rPr>
          <w:rFonts w:ascii="Arial" w:hAnsi="Arial" w:cs="Arial"/>
          <w:sz w:val="22"/>
          <w:szCs w:val="22"/>
        </w:rPr>
        <w:t xml:space="preserve">This study follows the ethical guidelines set by the UK Statistics Authority (2022) and the University of Wales Trinity Saint David's Research Ethics Policy, even though it doesn't use real subjects or collect raw data. </w:t>
      </w:r>
      <w:r w:rsidRPr="001C5299">
        <w:rPr>
          <w:rFonts w:ascii="Arial" w:hAnsi="Arial" w:cs="Arial"/>
          <w:sz w:val="22"/>
          <w:szCs w:val="22"/>
        </w:rPr>
        <w:br/>
        <w:t>Some important social promises are</w:t>
      </w:r>
      <w:r w:rsidR="009F332F">
        <w:rPr>
          <w:rFonts w:ascii="Arial" w:hAnsi="Arial" w:cs="Arial"/>
          <w:sz w:val="22"/>
          <w:szCs w:val="22"/>
          <w:lang w:val="bg-BG"/>
        </w:rPr>
        <w:t xml:space="preserve"> </w:t>
      </w:r>
      <w:r w:rsidR="009F332F" w:rsidRPr="001C5299">
        <w:rPr>
          <w:rFonts w:ascii="Arial" w:hAnsi="Arial" w:cs="Arial"/>
          <w:sz w:val="22"/>
          <w:szCs w:val="22"/>
        </w:rPr>
        <w:t>respect</w:t>
      </w:r>
      <w:r w:rsidRPr="001C5299">
        <w:rPr>
          <w:rFonts w:ascii="Arial" w:hAnsi="Arial" w:cs="Arial"/>
          <w:sz w:val="22"/>
          <w:szCs w:val="22"/>
        </w:rPr>
        <w:t xml:space="preserve"> for intellectual property: all facts and quotes are properly cited using Harvard style. Openness: The whole study process is shown, including where the data came from and the choices that were made based on the analysis.</w:t>
      </w:r>
      <w:r w:rsidR="009F332F">
        <w:rPr>
          <w:rFonts w:ascii="Arial" w:hAnsi="Arial" w:cs="Arial"/>
          <w:sz w:val="22"/>
          <w:szCs w:val="22"/>
        </w:rPr>
        <w:t xml:space="preserve"> </w:t>
      </w:r>
      <w:r w:rsidRPr="001C5299">
        <w:rPr>
          <w:rFonts w:ascii="Arial" w:hAnsi="Arial" w:cs="Arial"/>
          <w:sz w:val="22"/>
          <w:szCs w:val="22"/>
        </w:rPr>
        <w:t xml:space="preserve">Data protection: only materials that are open to the public are used, so private or proprietary information is not included. Integrity and objectivity: interpretations are based on evidence, so </w:t>
      </w:r>
      <w:r w:rsidRPr="001C5299">
        <w:rPr>
          <w:rFonts w:ascii="Arial" w:hAnsi="Arial" w:cs="Arial"/>
          <w:sz w:val="22"/>
          <w:szCs w:val="22"/>
        </w:rPr>
        <w:lastRenderedPageBreak/>
        <w:t xml:space="preserve">results reflect the current state of study </w:t>
      </w:r>
      <w:r w:rsidR="0085429F" w:rsidRPr="001C5299">
        <w:rPr>
          <w:rFonts w:ascii="Arial" w:hAnsi="Arial" w:cs="Arial"/>
          <w:sz w:val="22"/>
          <w:szCs w:val="22"/>
        </w:rPr>
        <w:t>rather</w:t>
      </w:r>
      <w:r w:rsidRPr="001C5299">
        <w:rPr>
          <w:rFonts w:ascii="Arial" w:hAnsi="Arial" w:cs="Arial"/>
          <w:sz w:val="22"/>
          <w:szCs w:val="22"/>
        </w:rPr>
        <w:t xml:space="preserve"> than personal opinions. </w:t>
      </w:r>
      <w:r w:rsidRPr="001C5299">
        <w:rPr>
          <w:rFonts w:ascii="Arial" w:hAnsi="Arial" w:cs="Arial"/>
          <w:sz w:val="22"/>
          <w:szCs w:val="22"/>
        </w:rPr>
        <w:br/>
        <w:t>As the discussion over the ethics of AI in finance grows, this study also looks at larger problems of social ethics, such as the moral effects of giving financial decisions to self-driving systems (FSB, 2024; ECB, 2023) and how fair and accountable algorithms should be.</w:t>
      </w:r>
    </w:p>
    <w:p w14:paraId="7A9DBC0C" w14:textId="77777777" w:rsidR="00B87882" w:rsidRPr="001C5299" w:rsidRDefault="00B87882" w:rsidP="00B87882">
      <w:pPr>
        <w:spacing w:line="360" w:lineRule="auto"/>
        <w:rPr>
          <w:rFonts w:ascii="Arial" w:hAnsi="Arial" w:cs="Arial"/>
          <w:b/>
          <w:bCs/>
          <w:sz w:val="22"/>
          <w:szCs w:val="22"/>
        </w:rPr>
      </w:pPr>
    </w:p>
    <w:p w14:paraId="54CC1F62" w14:textId="4EBB193D" w:rsidR="00B87882" w:rsidRPr="001C5299" w:rsidRDefault="000A7D37" w:rsidP="00930040">
      <w:pPr>
        <w:pStyle w:val="anistyle"/>
        <w:rPr>
          <w:rFonts w:ascii="Arial" w:hAnsi="Arial" w:cs="Arial"/>
          <w:sz w:val="22"/>
          <w:szCs w:val="22"/>
        </w:rPr>
      </w:pPr>
      <w:bookmarkStart w:id="22" w:name="_Toc227496337"/>
      <w:r w:rsidRPr="001C5299">
        <w:rPr>
          <w:rFonts w:ascii="Arial" w:hAnsi="Arial" w:cs="Arial"/>
          <w:sz w:val="22"/>
          <w:szCs w:val="22"/>
        </w:rPr>
        <w:t>3.7 Limitations of the Methodology.</w:t>
      </w:r>
      <w:bookmarkEnd w:id="22"/>
    </w:p>
    <w:p w14:paraId="5F6C799E" w14:textId="3DD7BF24" w:rsidR="000A7D37" w:rsidRPr="001E67F7" w:rsidRDefault="000A7D37" w:rsidP="000A7D37">
      <w:pPr>
        <w:spacing w:line="360" w:lineRule="auto"/>
        <w:rPr>
          <w:rFonts w:ascii="Arial" w:hAnsi="Arial" w:cs="Arial"/>
          <w:sz w:val="22"/>
          <w:szCs w:val="22"/>
          <w:lang w:val="bg-BG"/>
        </w:rPr>
      </w:pPr>
      <w:r w:rsidRPr="001C5299">
        <w:rPr>
          <w:rFonts w:ascii="Arial" w:hAnsi="Arial" w:cs="Arial"/>
          <w:sz w:val="22"/>
          <w:szCs w:val="22"/>
        </w:rPr>
        <w:t xml:space="preserve">Even though it has some benefits, qualitative secondary research has some problems that come with it. First, data dependence limits the researcher to what has already been written, which might include institutional bias or leave out new points of view (Sumpter et al., 2023). Second, because original data collection wasn't done, results are based on opinion instead of direct observation. This makes the data less useful for other people. </w:t>
      </w:r>
      <w:r w:rsidRPr="001C5299">
        <w:rPr>
          <w:rFonts w:ascii="Arial" w:hAnsi="Arial" w:cs="Arial"/>
          <w:sz w:val="22"/>
          <w:szCs w:val="22"/>
        </w:rPr>
        <w:br/>
        <w:t xml:space="preserve">Also, because AI is changing so quickly, even the most recent studies may become useless very quickly as new technologies and rules come out. Regardless, using thematic analysis helps put results in context in a way that stays thematically important even as time passes. Lastly, the qualitative method can't show statistically that AI </w:t>
      </w:r>
      <w:proofErr w:type="gramStart"/>
      <w:r w:rsidRPr="001C5299">
        <w:rPr>
          <w:rFonts w:ascii="Arial" w:hAnsi="Arial" w:cs="Arial"/>
          <w:sz w:val="22"/>
          <w:szCs w:val="22"/>
        </w:rPr>
        <w:t>has an effect on</w:t>
      </w:r>
      <w:proofErr w:type="gramEnd"/>
      <w:r w:rsidRPr="001C5299">
        <w:rPr>
          <w:rFonts w:ascii="Arial" w:hAnsi="Arial" w:cs="Arial"/>
          <w:sz w:val="22"/>
          <w:szCs w:val="22"/>
        </w:rPr>
        <w:t xml:space="preserve"> the market, but it can show complex details about how people think, act, and react in institutions, which are things that quantitative models often miss.</w:t>
      </w:r>
      <w:r w:rsidR="005B1800" w:rsidRPr="005B1800">
        <w:t xml:space="preserve"> </w:t>
      </w:r>
      <w:r w:rsidR="005B1800" w:rsidRPr="005B1800">
        <w:rPr>
          <w:rFonts w:ascii="Arial" w:hAnsi="Arial" w:cs="Arial"/>
          <w:sz w:val="22"/>
          <w:szCs w:val="22"/>
        </w:rPr>
        <w:t>Despite these limitations, the approach remains appropriate for capturing complex socio-technical dynamics that are not easily quantifiable</w:t>
      </w:r>
      <w:r w:rsidR="001E67F7">
        <w:rPr>
          <w:rFonts w:ascii="Arial" w:hAnsi="Arial" w:cs="Arial"/>
          <w:sz w:val="22"/>
          <w:szCs w:val="22"/>
          <w:lang w:val="bg-BG"/>
        </w:rPr>
        <w:t xml:space="preserve"> </w:t>
      </w:r>
      <w:r w:rsidR="001E67F7" w:rsidRPr="001E67F7">
        <w:rPr>
          <w:rFonts w:ascii="Arial" w:hAnsi="Arial" w:cs="Arial"/>
          <w:sz w:val="22"/>
          <w:szCs w:val="22"/>
        </w:rPr>
        <w:t>(Adams et al., 2014)</w:t>
      </w:r>
      <w:r w:rsidR="001E67F7">
        <w:rPr>
          <w:rFonts w:ascii="Arial" w:hAnsi="Arial" w:cs="Arial"/>
          <w:sz w:val="22"/>
          <w:szCs w:val="22"/>
          <w:lang w:val="bg-BG"/>
        </w:rPr>
        <w:t>.</w:t>
      </w:r>
    </w:p>
    <w:p w14:paraId="1E2046F0" w14:textId="4B9B0BD7" w:rsidR="00B06680" w:rsidRPr="001E67F7" w:rsidRDefault="00B06680" w:rsidP="001E67F7">
      <w:pPr>
        <w:pStyle w:val="anistyle"/>
        <w:rPr>
          <w:rFonts w:ascii="Arial" w:hAnsi="Arial" w:cs="Arial"/>
          <w:sz w:val="22"/>
          <w:szCs w:val="22"/>
        </w:rPr>
      </w:pPr>
      <w:r w:rsidRPr="001E67F7">
        <w:rPr>
          <w:rFonts w:ascii="Arial" w:hAnsi="Arial" w:cs="Arial"/>
          <w:sz w:val="22"/>
          <w:szCs w:val="22"/>
        </w:rPr>
        <w:t>3.8 Summary.</w:t>
      </w:r>
    </w:p>
    <w:p w14:paraId="54C1E45F" w14:textId="32F61ECC" w:rsidR="00B06680" w:rsidRDefault="00B06680" w:rsidP="00930040">
      <w:pPr>
        <w:spacing w:line="360" w:lineRule="auto"/>
        <w:rPr>
          <w:rFonts w:ascii="Arial" w:hAnsi="Arial" w:cs="Arial"/>
          <w:sz w:val="22"/>
          <w:szCs w:val="22"/>
          <w:lang w:val="bg-BG"/>
        </w:rPr>
      </w:pPr>
      <w:r w:rsidRPr="001C5299">
        <w:rPr>
          <w:rFonts w:ascii="Arial" w:hAnsi="Arial" w:cs="Arial"/>
          <w:sz w:val="22"/>
          <w:szCs w:val="22"/>
        </w:rPr>
        <w:t xml:space="preserve">This part laid the theoretical groundwork for the study by explaining its philosophical direction, qualitative design, and analytical technique. The interpretivist model allows us to </w:t>
      </w:r>
      <w:proofErr w:type="gramStart"/>
      <w:r w:rsidRPr="001C5299">
        <w:rPr>
          <w:rFonts w:ascii="Arial" w:hAnsi="Arial" w:cs="Arial"/>
          <w:sz w:val="22"/>
          <w:szCs w:val="22"/>
        </w:rPr>
        <w:t>look into</w:t>
      </w:r>
      <w:proofErr w:type="gramEnd"/>
      <w:r w:rsidRPr="001C5299">
        <w:rPr>
          <w:rFonts w:ascii="Arial" w:hAnsi="Arial" w:cs="Arial"/>
          <w:sz w:val="22"/>
          <w:szCs w:val="22"/>
        </w:rPr>
        <w:t xml:space="preserve"> how people in the market understand and react to changes in instability and liquidity caused by AI. The study stays methodologically sound, ethically sound, and academically credible by using theme analysis of secondary data. </w:t>
      </w:r>
      <w:r w:rsidRPr="001C5299">
        <w:rPr>
          <w:rFonts w:ascii="Arial" w:hAnsi="Arial" w:cs="Arial"/>
          <w:sz w:val="22"/>
          <w:szCs w:val="22"/>
        </w:rPr>
        <w:br/>
        <w:t>This framework will be used in the next chapter to find and talk about the main theme results. It will do this by connecting patterns in the data to theory ideas from the literature review and answering the research questions of the study.</w:t>
      </w:r>
    </w:p>
    <w:p w14:paraId="3A6396A0" w14:textId="77777777" w:rsidR="005B4F1A" w:rsidRPr="005B4F1A" w:rsidRDefault="005B4F1A" w:rsidP="00930040">
      <w:pPr>
        <w:spacing w:line="360" w:lineRule="auto"/>
        <w:rPr>
          <w:rFonts w:ascii="Arial" w:hAnsi="Arial" w:cs="Arial"/>
          <w:sz w:val="22"/>
          <w:szCs w:val="22"/>
          <w:lang w:val="bg-BG"/>
        </w:rPr>
      </w:pPr>
    </w:p>
    <w:p w14:paraId="73B382FF" w14:textId="77777777" w:rsidR="00C23FC4" w:rsidRPr="001C5299" w:rsidRDefault="00C23FC4" w:rsidP="00C23FC4">
      <w:pPr>
        <w:pStyle w:val="anistyle"/>
        <w:rPr>
          <w:rFonts w:ascii="Arial" w:hAnsi="Arial" w:cs="Arial"/>
          <w:sz w:val="22"/>
          <w:szCs w:val="22"/>
        </w:rPr>
      </w:pPr>
      <w:bookmarkStart w:id="23" w:name="_Toc227496338"/>
      <w:bookmarkStart w:id="24" w:name="_Hlk214615646"/>
      <w:r w:rsidRPr="001C5299">
        <w:rPr>
          <w:rFonts w:ascii="Arial" w:hAnsi="Arial" w:cs="Arial"/>
          <w:sz w:val="22"/>
          <w:szCs w:val="22"/>
        </w:rPr>
        <w:lastRenderedPageBreak/>
        <w:t>Chapter 4: Findings and Discussion</w:t>
      </w:r>
      <w:bookmarkEnd w:id="23"/>
    </w:p>
    <w:p w14:paraId="48B56347"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This chapter presents and discusses the key findings derived from the thematic analysis of secondary qualitative data on the impact of AI-driven trading on volatility and liquidity in the foreign exchange market. The analysis draws on academic literature, regulatory reports, and institutional publications published between 2015 and 2025. Using Braun and Clarke’s (2006) thematic analysis approach, three key themes were identified: (1) Market Instability and Rising Volatility, (2) Regulation Challenges and Ethical Concerns, and (3) Changing Liquidity Patterns in FX Markets.</w:t>
      </w:r>
    </w:p>
    <w:p w14:paraId="4C3EC237" w14:textId="2351A9EC" w:rsidR="00C23FC4" w:rsidRPr="005B4F1A" w:rsidRDefault="00C23FC4" w:rsidP="00C23FC4">
      <w:pPr>
        <w:spacing w:line="360" w:lineRule="auto"/>
        <w:jc w:val="both"/>
        <w:rPr>
          <w:rFonts w:ascii="Arial" w:hAnsi="Arial" w:cs="Arial"/>
          <w:sz w:val="22"/>
          <w:szCs w:val="22"/>
          <w:lang w:val="bg-BG"/>
        </w:rPr>
      </w:pPr>
      <w:r w:rsidRPr="001C5299">
        <w:rPr>
          <w:rFonts w:ascii="Arial" w:hAnsi="Arial" w:cs="Arial"/>
          <w:sz w:val="22"/>
          <w:szCs w:val="22"/>
        </w:rPr>
        <w:t xml:space="preserve">Together, these themes address the central research question of how AI-driven trading is reshaping the structure and </w:t>
      </w:r>
      <w:r w:rsidR="0085429F" w:rsidRPr="001C5299">
        <w:rPr>
          <w:rFonts w:ascii="Arial" w:hAnsi="Arial" w:cs="Arial"/>
          <w:sz w:val="22"/>
          <w:szCs w:val="22"/>
        </w:rPr>
        <w:t>behavior</w:t>
      </w:r>
      <w:r w:rsidRPr="001C5299">
        <w:rPr>
          <w:rFonts w:ascii="Arial" w:hAnsi="Arial" w:cs="Arial"/>
          <w:sz w:val="22"/>
          <w:szCs w:val="22"/>
        </w:rPr>
        <w:t xml:space="preserve"> of forex markets. The findings suggest that AI improves efficiency and market responsiveness in normal </w:t>
      </w:r>
      <w:r w:rsidR="0085429F" w:rsidRPr="001C5299">
        <w:rPr>
          <w:rFonts w:ascii="Arial" w:hAnsi="Arial" w:cs="Arial"/>
          <w:sz w:val="22"/>
          <w:szCs w:val="22"/>
        </w:rPr>
        <w:t>conditions but</w:t>
      </w:r>
      <w:r w:rsidRPr="001C5299">
        <w:rPr>
          <w:rFonts w:ascii="Arial" w:hAnsi="Arial" w:cs="Arial"/>
          <w:sz w:val="22"/>
          <w:szCs w:val="22"/>
        </w:rPr>
        <w:t xml:space="preserve"> also introduces new forms of fragility and imbalance when markets are under stress.</w:t>
      </w:r>
    </w:p>
    <w:p w14:paraId="1EAD8708" w14:textId="77777777" w:rsidR="00C23FC4" w:rsidRPr="001C5299" w:rsidRDefault="00C23FC4" w:rsidP="00C23FC4">
      <w:pPr>
        <w:pStyle w:val="anistyle"/>
        <w:rPr>
          <w:rFonts w:ascii="Arial" w:hAnsi="Arial" w:cs="Arial"/>
          <w:sz w:val="22"/>
          <w:szCs w:val="22"/>
        </w:rPr>
      </w:pPr>
      <w:bookmarkStart w:id="25" w:name="_Toc227496339"/>
      <w:r w:rsidRPr="001C5299">
        <w:rPr>
          <w:rFonts w:ascii="Arial" w:hAnsi="Arial" w:cs="Arial"/>
          <w:sz w:val="22"/>
          <w:szCs w:val="22"/>
        </w:rPr>
        <w:t>Theme 1: Market Instability and Rising Volatility</w:t>
      </w:r>
      <w:bookmarkEnd w:id="25"/>
    </w:p>
    <w:p w14:paraId="02220997"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The first theme focuses on how AI-driven trading contributes to both efficiency and instability in forex markets. While algorithmic systems improve execution speed and reduce inefficiencies during stable conditions, the evidence suggests that they can also intensify volatility when markets become stressed.</w:t>
      </w:r>
    </w:p>
    <w:p w14:paraId="6ED68480" w14:textId="625B6C80"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Research by Dakalbab et al. (2024) and the European Central Bank (ECB, 2023) shows that algorithmic trading systems often respond in similar ways to the same market signals. When multiple systems interpret macroeconomic or geopolitical events simultaneously, trading behavior becomes more synchronized. This reduces variation in market responses and can lead to sharper price movements over short periods.</w:t>
      </w:r>
    </w:p>
    <w:p w14:paraId="36A60782" w14:textId="29517E40"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This pattern is not entirely new. Similar dynamics were observed during the 2010 Flash Crash, where automated trading systems contributed to rapid price declines followed by quick recoveries (Kirilenko et al., 2017). Although market infrastructure has evolved since then, recent evidence suggests that smaller </w:t>
      </w:r>
      <w:r w:rsidR="0085429F" w:rsidRPr="001C5299">
        <w:rPr>
          <w:rFonts w:ascii="Arial" w:hAnsi="Arial" w:cs="Arial"/>
          <w:sz w:val="22"/>
          <w:szCs w:val="22"/>
        </w:rPr>
        <w:t>scale,</w:t>
      </w:r>
      <w:r w:rsidRPr="001C5299">
        <w:rPr>
          <w:rFonts w:ascii="Arial" w:hAnsi="Arial" w:cs="Arial"/>
          <w:sz w:val="22"/>
          <w:szCs w:val="22"/>
        </w:rPr>
        <w:t xml:space="preserve"> but more frequent volatility spikes still occur in modern FX markets.</w:t>
      </w:r>
    </w:p>
    <w:p w14:paraId="1A7ACB17" w14:textId="30F47514"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Bhuiyan et al. (2025) describe this behavior as a form of non-linear response, where small external shocks can produce disproportionately large market reactions. The key issue is not only the speed of trading systems, but the way in which they reinforce each other’s actions through feedback loops.</w:t>
      </w:r>
    </w:p>
    <w:p w14:paraId="73CDE20E"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lastRenderedPageBreak/>
        <w:t>Findings from the Financial Stability Board (FSB, 2024) support this view, showing an increase in short-lived volatility spikes across foreign exchange markets over the past decade. These events tend to be brief, but their frequency indicates a structural change in how volatility behaves.</w:t>
      </w:r>
    </w:p>
    <w:p w14:paraId="3C6635D6" w14:textId="7FACEBBA"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From a market perspective, participants increasingly view this as a reduction in the stabilizing role traditionally provided by discretionary human intervention. While not a complete loss of control, it reflects a shift in how quickly and effectively markets can self-correct during periods of stress.</w:t>
      </w:r>
    </w:p>
    <w:p w14:paraId="11836422" w14:textId="0EF0935C" w:rsidR="00C23FC4" w:rsidRPr="005B4F1A" w:rsidRDefault="00C23FC4" w:rsidP="005B4F1A">
      <w:pPr>
        <w:spacing w:line="360" w:lineRule="auto"/>
        <w:jc w:val="both"/>
        <w:rPr>
          <w:rFonts w:ascii="Arial" w:hAnsi="Arial" w:cs="Arial"/>
          <w:sz w:val="22"/>
          <w:szCs w:val="22"/>
          <w:lang w:val="bg-BG"/>
        </w:rPr>
      </w:pPr>
      <w:r w:rsidRPr="001C5299">
        <w:rPr>
          <w:rFonts w:ascii="Arial" w:hAnsi="Arial" w:cs="Arial"/>
          <w:sz w:val="22"/>
          <w:szCs w:val="22"/>
        </w:rPr>
        <w:t>Overall, the findings suggest that AI-driven trading creates dual conditions: improved efficiency in stable environments, but increased vulnerability during periods of uncertainty.</w:t>
      </w:r>
    </w:p>
    <w:p w14:paraId="78A51CD4" w14:textId="77777777" w:rsidR="00C23FC4" w:rsidRPr="001C5299" w:rsidRDefault="00C23FC4" w:rsidP="00C23FC4">
      <w:pPr>
        <w:pStyle w:val="anistyle"/>
        <w:rPr>
          <w:rFonts w:ascii="Arial" w:hAnsi="Arial" w:cs="Arial"/>
          <w:sz w:val="22"/>
          <w:szCs w:val="22"/>
        </w:rPr>
      </w:pPr>
      <w:bookmarkStart w:id="26" w:name="_Toc227496340"/>
      <w:r w:rsidRPr="001C5299">
        <w:rPr>
          <w:rFonts w:ascii="Arial" w:hAnsi="Arial" w:cs="Arial"/>
          <w:sz w:val="22"/>
          <w:szCs w:val="22"/>
        </w:rPr>
        <w:t>Theme 2: Regulation Challenges and Ethical Concerns</w:t>
      </w:r>
      <w:bookmarkEnd w:id="26"/>
    </w:p>
    <w:p w14:paraId="714FDEDC"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The second theme highlights the growing difficulty regulators face in keeping pace with the rapid development of AI-driven trading systems. Across the literature, there is a consistent view that regulatory frameworks are struggling to adapt to the speed, complexity, and opacity of modern algorithmic trading.</w:t>
      </w:r>
    </w:p>
    <w:p w14:paraId="202582DA" w14:textId="63327EF0"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Both the ECB (2023) and FSB (2024) emphasize that one of the main challenges is the limited transparency of AI systems. Many machine learning models operate as “black boxes,” meaning that their internal decision-making processes are not easily interpretable, even by those who design or supervise them.</w:t>
      </w:r>
    </w:p>
    <w:p w14:paraId="5A19B272"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Three main regulatory challenges emerge from the analysis.</w:t>
      </w:r>
    </w:p>
    <w:p w14:paraId="26DFA3AC" w14:textId="6BBC13B1"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First, there is an interpretability issue. Regulators often cannot fully explain why a system executed a particular trade, especially when deep learning models are involved. This makes it difficult to identify risks before they materialize.</w:t>
      </w:r>
    </w:p>
    <w:p w14:paraId="6C96B24E"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Second, there is a clear mismatch in speed. Regulatory processes are designed around human decision-making timelines, while AI trading systems operate in milliseconds. This creates a structural delay that reduces the effectiveness of real-time supervision.</w:t>
      </w:r>
    </w:p>
    <w:p w14:paraId="6C435CB5"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Third, the global nature of forex markets creates inconsistencies in regulatory enforcement. Different jurisdictions apply different rules, which can lead to gaps in oversight and opportunities for regulatory arbitrage.</w:t>
      </w:r>
    </w:p>
    <w:p w14:paraId="6F488E0D" w14:textId="77777777" w:rsidR="00C23FC4" w:rsidRDefault="00C23FC4" w:rsidP="00C23FC4">
      <w:pPr>
        <w:spacing w:line="360" w:lineRule="auto"/>
        <w:jc w:val="both"/>
        <w:rPr>
          <w:rFonts w:ascii="Arial" w:hAnsi="Arial" w:cs="Arial"/>
          <w:sz w:val="22"/>
          <w:szCs w:val="22"/>
          <w:lang w:val="bg-BG"/>
        </w:rPr>
      </w:pPr>
      <w:r w:rsidRPr="001C5299">
        <w:rPr>
          <w:rFonts w:ascii="Arial" w:hAnsi="Arial" w:cs="Arial"/>
          <w:sz w:val="22"/>
          <w:szCs w:val="22"/>
        </w:rPr>
        <w:t xml:space="preserve">The EU AI Act (2024) represents an attempt to address some of these issues by introducing a risk-based classification system for AI applications. However, Bhuiyan et al. (2025) argue that its </w:t>
      </w:r>
      <w:r w:rsidRPr="001C5299">
        <w:rPr>
          <w:rFonts w:ascii="Arial" w:hAnsi="Arial" w:cs="Arial"/>
          <w:sz w:val="22"/>
          <w:szCs w:val="22"/>
        </w:rPr>
        <w:lastRenderedPageBreak/>
        <w:t>effectiveness in financial markets may be limited due to firms’ reluctance to disclose proprietary algorithms.</w:t>
      </w:r>
    </w:p>
    <w:p w14:paraId="29429700" w14:textId="2E43DA4B" w:rsidR="0085429F" w:rsidRPr="0085429F" w:rsidRDefault="0085429F" w:rsidP="00C23FC4">
      <w:pPr>
        <w:spacing w:line="360" w:lineRule="auto"/>
        <w:jc w:val="both"/>
        <w:rPr>
          <w:rFonts w:ascii="Arial" w:hAnsi="Arial" w:cs="Arial"/>
          <w:sz w:val="22"/>
          <w:szCs w:val="22"/>
          <w:lang w:val="bg-BG"/>
        </w:rPr>
      </w:pPr>
      <w:r w:rsidRPr="0085429F">
        <w:rPr>
          <w:rFonts w:ascii="Arial" w:hAnsi="Arial" w:cs="Arial"/>
          <w:sz w:val="22"/>
          <w:szCs w:val="22"/>
        </w:rPr>
        <w:t xml:space="preserve">The systemic implications of AI adoption extend beyond individual institutions and raise broader financial stability concerns. Recent evidence suggests that widespread use of similar AI models across financial markets may lead to increased herding </w:t>
      </w:r>
      <w:proofErr w:type="spellStart"/>
      <w:r w:rsidRPr="0085429F">
        <w:rPr>
          <w:rFonts w:ascii="Arial" w:hAnsi="Arial" w:cs="Arial"/>
          <w:sz w:val="22"/>
          <w:szCs w:val="22"/>
        </w:rPr>
        <w:t>behaviour</w:t>
      </w:r>
      <w:proofErr w:type="spellEnd"/>
      <w:r w:rsidRPr="0085429F">
        <w:rPr>
          <w:rFonts w:ascii="Arial" w:hAnsi="Arial" w:cs="Arial"/>
          <w:sz w:val="22"/>
          <w:szCs w:val="22"/>
        </w:rPr>
        <w:t>, higher market correlation, and potential distortions in price formation (Leitner et al., 2024). In addition, the concentration of AI providers may introduce systemic vulnerabilities, including operational risks and overreliance on a limited number of third-party technologies. These dynamics challenge existing regulatory frameworks, which may not be fully equipped to address the complexity, opacity, and scale of AI-driven financial systems.</w:t>
      </w:r>
    </w:p>
    <w:p w14:paraId="4D7E8421"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The FSB (2024) further reports that only a minority of regulators feel adequately prepared to supervise AI-driven trading systems. This highlights a significant institutional capability gap.</w:t>
      </w:r>
    </w:p>
    <w:p w14:paraId="099FC620"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Beyond regulatory challenges, the findings also raise ethical concerns. As trading decisions become increasingly automated, questions of accountability become more complex. El Hajj and Hammoud (2023) argue that responsibility becomes harder to define when outcomes result from autonomous systems rather than human decision-making.</w:t>
      </w:r>
    </w:p>
    <w:p w14:paraId="47286D24" w14:textId="3E51F4FB" w:rsidR="00C23FC4" w:rsidRPr="005B4F1A" w:rsidRDefault="00C23FC4" w:rsidP="00C23FC4">
      <w:pPr>
        <w:spacing w:line="360" w:lineRule="auto"/>
        <w:jc w:val="both"/>
        <w:rPr>
          <w:rFonts w:ascii="Arial" w:hAnsi="Arial" w:cs="Arial"/>
          <w:sz w:val="22"/>
          <w:szCs w:val="22"/>
          <w:lang w:val="bg-BG"/>
        </w:rPr>
      </w:pPr>
      <w:r w:rsidRPr="001C5299">
        <w:rPr>
          <w:rFonts w:ascii="Arial" w:hAnsi="Arial" w:cs="Arial"/>
          <w:sz w:val="22"/>
          <w:szCs w:val="22"/>
        </w:rPr>
        <w:t>In response, many financial institutions are adopting hybrid approaches that combine algorithmic execution with human oversight. Khalil et al. (2025) describe this as “centaur trading,” where human judgement and machine efficiency are integrated. While this may improve control, it also raises new questions about responsibility when outcomes are shared between humans and systems.</w:t>
      </w:r>
    </w:p>
    <w:p w14:paraId="74EFEBC5" w14:textId="77777777" w:rsidR="00C23FC4" w:rsidRPr="001C5299" w:rsidRDefault="00C23FC4" w:rsidP="00C23FC4">
      <w:pPr>
        <w:pStyle w:val="anistyle"/>
        <w:rPr>
          <w:rFonts w:ascii="Arial" w:hAnsi="Arial" w:cs="Arial"/>
          <w:sz w:val="22"/>
          <w:szCs w:val="22"/>
        </w:rPr>
      </w:pPr>
      <w:bookmarkStart w:id="27" w:name="_Toc227496341"/>
      <w:r w:rsidRPr="001C5299">
        <w:rPr>
          <w:rFonts w:ascii="Arial" w:hAnsi="Arial" w:cs="Arial"/>
          <w:sz w:val="22"/>
          <w:szCs w:val="22"/>
        </w:rPr>
        <w:t>Theme 3: Changing Liquidity Patterns in FX Markets</w:t>
      </w:r>
      <w:bookmarkEnd w:id="27"/>
    </w:p>
    <w:p w14:paraId="3334E1C6"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The third theme explores how AI-driven trading is reshaping liquidity conditions in foreign exchange markets. While algorithmic systems are generally associated with improved liquidity and tighter spreads, the findings suggest that liquidity is becoming more conditional and uneven.</w:t>
      </w:r>
    </w:p>
    <w:p w14:paraId="0EC6307D"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Under normal market conditions, AI systems contribute to continuous liquidity provision by placing large volumes of automated orders. This improves market efficiency and reduces transaction costs. However, this liquidity is highly dependent on stable market conditions.</w:t>
      </w:r>
    </w:p>
    <w:p w14:paraId="643EF0CB"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During periods of uncertainty or high volatility, liquidity tends to decline rapidly. AI systems often reduce exposure at the same time as part of risk management strategies. According to the Bank </w:t>
      </w:r>
      <w:r w:rsidRPr="001C5299">
        <w:rPr>
          <w:rFonts w:ascii="Arial" w:hAnsi="Arial" w:cs="Arial"/>
          <w:sz w:val="22"/>
          <w:szCs w:val="22"/>
        </w:rPr>
        <w:lastRenderedPageBreak/>
        <w:t>for International Settlements (BIS, 2024), this results in a shift from continuous liquidity provision to more intermittent or “episodic” liquidity availability.</w:t>
      </w:r>
    </w:p>
    <w:p w14:paraId="5DA87D3A"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Empirical findings from El Hajj and Hammoud (2023) show that during major market events, bid-ask spreads widen significantly within a very short period, while order book depth declines sharply. This suggests that liquidity is highly sensitive to stress conditions.</w:t>
      </w:r>
    </w:p>
    <w:p w14:paraId="23D8FFFA"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Another important finding is the increasing concentration of liquidity provision among large institutional participants with advanced technological capabilities. Smaller market participants often lack the infrastructure to compete effectively in high-speed trading environments (Afua et al., 2024).</w:t>
      </w:r>
    </w:p>
    <w:p w14:paraId="56E0CE7E"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This creates an uneven structure in liquidity provision. During stable periods, markets appear deep and efficient. However, during stress periods, liquidity becomes fragmented and more difficult to access.</w:t>
      </w:r>
    </w:p>
    <w:p w14:paraId="095EAC37" w14:textId="4CD8E61F"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This also has implications for price discovery. When fewer participants remain active in the market, price movements become more sensitive to individual </w:t>
      </w:r>
      <w:r w:rsidR="001E67F7" w:rsidRPr="001C5299">
        <w:rPr>
          <w:rFonts w:ascii="Arial" w:hAnsi="Arial" w:cs="Arial"/>
          <w:sz w:val="22"/>
          <w:szCs w:val="22"/>
        </w:rPr>
        <w:t>trade</w:t>
      </w:r>
      <w:r w:rsidRPr="001C5299">
        <w:rPr>
          <w:rFonts w:ascii="Arial" w:hAnsi="Arial" w:cs="Arial"/>
          <w:sz w:val="22"/>
          <w:szCs w:val="22"/>
        </w:rPr>
        <w:t>, which can amplify volatility effects identified in Theme 1.</w:t>
      </w:r>
    </w:p>
    <w:p w14:paraId="100177CD" w14:textId="3A8F8CB5"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From a theoretical perspective, these findings align with market microstructure theory, which </w:t>
      </w:r>
      <w:r w:rsidR="001E67F7" w:rsidRPr="001C5299">
        <w:rPr>
          <w:rFonts w:ascii="Arial" w:hAnsi="Arial" w:cs="Arial"/>
          <w:sz w:val="22"/>
          <w:szCs w:val="22"/>
        </w:rPr>
        <w:t>emphasizes</w:t>
      </w:r>
      <w:r w:rsidRPr="001C5299">
        <w:rPr>
          <w:rFonts w:ascii="Arial" w:hAnsi="Arial" w:cs="Arial"/>
          <w:sz w:val="22"/>
          <w:szCs w:val="22"/>
        </w:rPr>
        <w:t xml:space="preserve"> the importance of liquidity in maintaining stable pricing mechanisms. The evidence suggests that AI does not eliminate liquidity risk but redistributes it across different market conditions.</w:t>
      </w:r>
    </w:p>
    <w:p w14:paraId="5A02F3A6" w14:textId="693022BD" w:rsidR="00C23FC4" w:rsidRPr="005B4F1A" w:rsidRDefault="00C23FC4" w:rsidP="00C23FC4">
      <w:pPr>
        <w:spacing w:line="360" w:lineRule="auto"/>
        <w:jc w:val="both"/>
        <w:rPr>
          <w:rFonts w:ascii="Arial" w:hAnsi="Arial" w:cs="Arial"/>
          <w:sz w:val="22"/>
          <w:szCs w:val="22"/>
          <w:lang w:val="bg-BG"/>
        </w:rPr>
      </w:pPr>
      <w:r w:rsidRPr="001C5299">
        <w:rPr>
          <w:rFonts w:ascii="Arial" w:hAnsi="Arial" w:cs="Arial"/>
          <w:sz w:val="22"/>
          <w:szCs w:val="22"/>
        </w:rPr>
        <w:t>Overall, liquidity in AI-driven FX markets can be understood as conditional rather than constant, with efficiency in stable periods but fragility during times of stress.</w:t>
      </w:r>
    </w:p>
    <w:p w14:paraId="3E4A02DE" w14:textId="77777777" w:rsidR="00C23FC4" w:rsidRPr="001C5299" w:rsidRDefault="00C23FC4" w:rsidP="00C23FC4">
      <w:pPr>
        <w:pStyle w:val="anistyle"/>
        <w:rPr>
          <w:rFonts w:ascii="Arial" w:hAnsi="Arial" w:cs="Arial"/>
          <w:sz w:val="22"/>
          <w:szCs w:val="22"/>
        </w:rPr>
      </w:pPr>
      <w:bookmarkStart w:id="28" w:name="_Toc227496342"/>
      <w:r w:rsidRPr="001C5299">
        <w:rPr>
          <w:rFonts w:ascii="Arial" w:hAnsi="Arial" w:cs="Arial"/>
          <w:sz w:val="22"/>
          <w:szCs w:val="22"/>
        </w:rPr>
        <w:t>4.5 Synthesis and Interpretation</w:t>
      </w:r>
      <w:bookmarkEnd w:id="28"/>
    </w:p>
    <w:p w14:paraId="385CD724" w14:textId="03210684"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When the three themes are considered together, a consistent picture of AI’s impact on forex markets emerges. Rather than producing purely positive or negative effects, AI reshapes the structure of market behavior in a more complex way.</w:t>
      </w:r>
    </w:p>
    <w:p w14:paraId="5CB64769"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On one hand, AI-driven trading improves efficiency, enhances liquidity under normal conditions, and reduces transaction costs. On the other hand, it increases the likelihood of rapid volatility spikes, reduces liquidity during stress periods, and introduces new regulatory challenges.</w:t>
      </w:r>
    </w:p>
    <w:p w14:paraId="57DE5DFC" w14:textId="72B994F8"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These findings align with complexity theory, which views financial markets as adaptive systems characterized by interconnected and non-linear behavior. Within this framework, AI does not act </w:t>
      </w:r>
      <w:r w:rsidRPr="001C5299">
        <w:rPr>
          <w:rFonts w:ascii="Arial" w:hAnsi="Arial" w:cs="Arial"/>
          <w:sz w:val="22"/>
          <w:szCs w:val="22"/>
        </w:rPr>
        <w:lastRenderedPageBreak/>
        <w:t>as a stabilizing force on its own, but rather as a mechanism that accelerates existing market dynamics.</w:t>
      </w:r>
    </w:p>
    <w:p w14:paraId="0E0C331C" w14:textId="3B2988D9"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The findings also reflect differing perspectives among market participants. Institutional actors tend to focus on efficiency gains, while concerns remain around transparency, fairness, and reduced human oversight. These observations are consistent with Cohen (2022) and Dakalbab et al. (2024), who argue that the future of financial markets depends on balancing technological efficiency with accountability and governance.</w:t>
      </w:r>
      <w:r w:rsidR="00B028F6" w:rsidRPr="00B028F6">
        <w:t xml:space="preserve"> </w:t>
      </w:r>
      <w:r w:rsidR="00B028F6" w:rsidRPr="00B028F6">
        <w:rPr>
          <w:rFonts w:ascii="Arial" w:hAnsi="Arial" w:cs="Arial"/>
          <w:sz w:val="22"/>
          <w:szCs w:val="22"/>
        </w:rPr>
        <w:t xml:space="preserve">Importantly, these findings directly address the research questions outlined in Chapter 1, confirming that AI-driven trading simultaneously reshapes volatility dynamics, liquidity conditions, and participant </w:t>
      </w:r>
      <w:proofErr w:type="spellStart"/>
      <w:r w:rsidR="00B028F6" w:rsidRPr="00B028F6">
        <w:rPr>
          <w:rFonts w:ascii="Arial" w:hAnsi="Arial" w:cs="Arial"/>
          <w:sz w:val="22"/>
          <w:szCs w:val="22"/>
        </w:rPr>
        <w:t>behaviour</w:t>
      </w:r>
      <w:proofErr w:type="spellEnd"/>
      <w:r w:rsidR="00B028F6" w:rsidRPr="00B028F6">
        <w:rPr>
          <w:rFonts w:ascii="Arial" w:hAnsi="Arial" w:cs="Arial"/>
          <w:sz w:val="22"/>
          <w:szCs w:val="22"/>
        </w:rPr>
        <w:t xml:space="preserve"> in complex and interrelated ways.</w:t>
      </w:r>
    </w:p>
    <w:p w14:paraId="0511786A" w14:textId="77777777" w:rsidR="00C23FC4" w:rsidRPr="001C5299" w:rsidRDefault="00C23FC4" w:rsidP="00C23FC4">
      <w:pPr>
        <w:pStyle w:val="anistyle"/>
        <w:rPr>
          <w:rFonts w:ascii="Arial" w:hAnsi="Arial" w:cs="Arial"/>
          <w:sz w:val="22"/>
          <w:szCs w:val="22"/>
        </w:rPr>
      </w:pPr>
      <w:bookmarkStart w:id="29" w:name="_Toc227496343"/>
      <w:r w:rsidRPr="001C5299">
        <w:rPr>
          <w:rFonts w:ascii="Arial" w:hAnsi="Arial" w:cs="Arial"/>
          <w:sz w:val="22"/>
          <w:szCs w:val="22"/>
        </w:rPr>
        <w:t>4.6 Summary</w:t>
      </w:r>
      <w:bookmarkEnd w:id="29"/>
    </w:p>
    <w:p w14:paraId="0A4539AD"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This chapter has presented and discussed the main findings of the study based on secondary qualitative data analysis. The results show that AI-driven trading has a dual impact on foreign exchange markets.</w:t>
      </w:r>
    </w:p>
    <w:p w14:paraId="1CC25A0C" w14:textId="77777777"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While it improves efficiency and liquidity under normal conditions, it also contributes to greater volatility, uneven liquidity distribution, and increased regulatory complexity during periods of stress.</w:t>
      </w:r>
    </w:p>
    <w:p w14:paraId="67053AAD" w14:textId="509432A0" w:rsidR="00C23FC4" w:rsidRPr="001C5299" w:rsidRDefault="00C23FC4" w:rsidP="00C23FC4">
      <w:pPr>
        <w:spacing w:line="360" w:lineRule="auto"/>
        <w:jc w:val="both"/>
        <w:rPr>
          <w:rFonts w:ascii="Arial" w:hAnsi="Arial" w:cs="Arial"/>
          <w:sz w:val="22"/>
          <w:szCs w:val="22"/>
        </w:rPr>
      </w:pPr>
      <w:r w:rsidRPr="001C5299">
        <w:rPr>
          <w:rFonts w:ascii="Arial" w:hAnsi="Arial" w:cs="Arial"/>
          <w:sz w:val="22"/>
          <w:szCs w:val="22"/>
        </w:rPr>
        <w:t xml:space="preserve">The three themes—Market Instability and Rising Volatility, Regulation Challenges and Ethical Concerns, and Changing Liquidity Patterns in FX Markets—together demonstrate that AI is not simply a tool for </w:t>
      </w:r>
      <w:r w:rsidR="00730D7D" w:rsidRPr="001C5299">
        <w:rPr>
          <w:rFonts w:ascii="Arial" w:hAnsi="Arial" w:cs="Arial"/>
          <w:sz w:val="22"/>
          <w:szCs w:val="22"/>
        </w:rPr>
        <w:t>optimization</w:t>
      </w:r>
      <w:r w:rsidRPr="001C5299">
        <w:rPr>
          <w:rFonts w:ascii="Arial" w:hAnsi="Arial" w:cs="Arial"/>
          <w:sz w:val="22"/>
          <w:szCs w:val="22"/>
        </w:rPr>
        <w:t>, but a structural force that reshapes how financial markets function.</w:t>
      </w:r>
    </w:p>
    <w:p w14:paraId="0706F84A" w14:textId="4A4EF507" w:rsidR="00D57FBB" w:rsidRPr="00B028F6" w:rsidRDefault="00C23FC4" w:rsidP="00080584">
      <w:pPr>
        <w:spacing w:line="360" w:lineRule="auto"/>
        <w:jc w:val="both"/>
        <w:rPr>
          <w:rFonts w:ascii="Arial" w:hAnsi="Arial" w:cs="Arial"/>
          <w:sz w:val="22"/>
          <w:szCs w:val="22"/>
        </w:rPr>
      </w:pPr>
      <w:r w:rsidRPr="001C5299">
        <w:rPr>
          <w:rFonts w:ascii="Arial" w:hAnsi="Arial" w:cs="Arial"/>
          <w:sz w:val="22"/>
          <w:szCs w:val="22"/>
        </w:rPr>
        <w:t>The next chapter will discuss the theoretical and practical implications of these findings, as well as recommendations for regulators, financial institutions, and future research.</w:t>
      </w:r>
    </w:p>
    <w:p w14:paraId="6371241F" w14:textId="644004D9" w:rsidR="00080584" w:rsidRPr="001C5299" w:rsidRDefault="00080584" w:rsidP="00435A79">
      <w:pPr>
        <w:pStyle w:val="anistyle"/>
        <w:rPr>
          <w:rFonts w:ascii="Arial" w:hAnsi="Arial" w:cs="Arial"/>
          <w:sz w:val="22"/>
          <w:szCs w:val="22"/>
        </w:rPr>
      </w:pPr>
      <w:bookmarkStart w:id="30" w:name="_Toc227496344"/>
      <w:r w:rsidRPr="001C5299">
        <w:rPr>
          <w:rFonts w:ascii="Arial" w:hAnsi="Arial" w:cs="Arial"/>
          <w:sz w:val="22"/>
          <w:szCs w:val="22"/>
        </w:rPr>
        <w:t>Chapter 5: Evaluation and Conclusion</w:t>
      </w:r>
      <w:bookmarkEnd w:id="30"/>
    </w:p>
    <w:p w14:paraId="0683B74C" w14:textId="77777777" w:rsidR="00080584" w:rsidRPr="001C5299" w:rsidRDefault="00080584" w:rsidP="00435A79">
      <w:pPr>
        <w:pStyle w:val="anistyle"/>
        <w:rPr>
          <w:rFonts w:ascii="Arial" w:hAnsi="Arial" w:cs="Arial"/>
          <w:sz w:val="22"/>
          <w:szCs w:val="22"/>
        </w:rPr>
      </w:pPr>
      <w:bookmarkStart w:id="31" w:name="_Toc227496345"/>
      <w:r w:rsidRPr="001C5299">
        <w:rPr>
          <w:rFonts w:ascii="Arial" w:hAnsi="Arial" w:cs="Arial"/>
          <w:sz w:val="22"/>
          <w:szCs w:val="22"/>
        </w:rPr>
        <w:t>5.1 Introduction</w:t>
      </w:r>
      <w:bookmarkEnd w:id="31"/>
    </w:p>
    <w:p w14:paraId="67FD077A" w14:textId="4373BE0E" w:rsidR="00080584" w:rsidRPr="00B028F6" w:rsidRDefault="00080584" w:rsidP="00080584">
      <w:pPr>
        <w:spacing w:line="360" w:lineRule="auto"/>
        <w:jc w:val="both"/>
        <w:rPr>
          <w:rFonts w:ascii="Arial" w:hAnsi="Arial" w:cs="Arial"/>
          <w:sz w:val="22"/>
          <w:szCs w:val="22"/>
        </w:rPr>
      </w:pPr>
      <w:r w:rsidRPr="001C5299">
        <w:rPr>
          <w:rFonts w:ascii="Arial" w:hAnsi="Arial" w:cs="Arial"/>
          <w:sz w:val="22"/>
          <w:szCs w:val="22"/>
        </w:rPr>
        <w:t>This chapter provides a comprehensive evaluation of the research findings, linking them to theoretical debates and practical implications in the field of financial technology. It reflects on how the study addressed its research aim — to explore the qualitative impact of AI-driven trading on volatility and liquidity in the forex market — and evaluates the extent to which the findings align or diverge from existing scholarship. Finally, it outlines the theoretical, practical, and ethical implications of the study and identifies potential avenues for future research.</w:t>
      </w:r>
    </w:p>
    <w:p w14:paraId="7114BD0B" w14:textId="77777777" w:rsidR="00080584" w:rsidRPr="001E67F7" w:rsidRDefault="00080584" w:rsidP="001E67F7">
      <w:pPr>
        <w:pStyle w:val="anistyle"/>
        <w:rPr>
          <w:rFonts w:ascii="Arial" w:hAnsi="Arial" w:cs="Arial"/>
          <w:sz w:val="22"/>
          <w:szCs w:val="22"/>
        </w:rPr>
      </w:pPr>
      <w:r w:rsidRPr="001E67F7">
        <w:rPr>
          <w:rFonts w:ascii="Arial" w:hAnsi="Arial" w:cs="Arial"/>
          <w:sz w:val="22"/>
          <w:szCs w:val="22"/>
        </w:rPr>
        <w:lastRenderedPageBreak/>
        <w:t>5.2 Evaluation of Findings</w:t>
      </w:r>
    </w:p>
    <w:p w14:paraId="1CBDABBE" w14:textId="5ACA2195" w:rsidR="002F12BF" w:rsidRPr="001C5299" w:rsidRDefault="002F12BF" w:rsidP="00080584">
      <w:pPr>
        <w:spacing w:line="360" w:lineRule="auto"/>
        <w:jc w:val="both"/>
        <w:rPr>
          <w:rFonts w:ascii="Arial" w:hAnsi="Arial" w:cs="Arial"/>
          <w:sz w:val="22"/>
          <w:szCs w:val="22"/>
        </w:rPr>
      </w:pPr>
      <w:r w:rsidRPr="001C5299">
        <w:rPr>
          <w:rFonts w:ascii="Arial" w:hAnsi="Arial" w:cs="Arial"/>
          <w:sz w:val="22"/>
          <w:szCs w:val="22"/>
        </w:rPr>
        <w:t>The findings presented in Chapter 4 verify that AI-driven trading has a dual impact on the stability of the FX market, both fostering efficiency and causing systemic instability. This dilemma reflects a significant dispute in literature. On the one hand, researchers like Hendershott et al. (2011), Afua et al. (2024), and Bhuiyan et al. (2025) show how algorithmic and AI-based trading may increase informational efficiency, tighten spreads, and improve liquidity. However, research by Brummer and Yadav (2022), Kirilenko et al. (2017), and Dakalbab et al. (2024) shows that self-reinforcing feedback loops increase volatility under stressful situations.</w:t>
      </w:r>
    </w:p>
    <w:p w14:paraId="454E0AFE" w14:textId="484F62BD" w:rsidR="002F12BF" w:rsidRPr="001C5299" w:rsidRDefault="002F12BF" w:rsidP="00080584">
      <w:pPr>
        <w:spacing w:line="360" w:lineRule="auto"/>
        <w:jc w:val="both"/>
        <w:rPr>
          <w:rFonts w:ascii="Arial" w:hAnsi="Arial" w:cs="Arial"/>
          <w:sz w:val="22"/>
          <w:szCs w:val="22"/>
        </w:rPr>
      </w:pPr>
      <w:r w:rsidRPr="001C5299">
        <w:rPr>
          <w:rFonts w:ascii="Arial" w:hAnsi="Arial" w:cs="Arial"/>
          <w:sz w:val="22"/>
          <w:szCs w:val="22"/>
        </w:rPr>
        <w:t>By highlighting the human and interpretative aspects of AI adoption, the results also expand on previous studies. This dissertation provides a qualitative synthesis of stakeholder perceptions, revealing interpretive problems like algorithmic distrust, technological stratification, and liquidity withdrawal anxiety, whereas previous studies have mostly used quantitative econometric models (Patnaik et al., 2024; Rezaei et al., 2025). These observations are consistent with the viewpoints of Lo</w:t>
      </w:r>
      <w:r w:rsidR="001E67F7">
        <w:rPr>
          <w:rFonts w:ascii="Arial" w:hAnsi="Arial" w:cs="Arial"/>
          <w:sz w:val="22"/>
          <w:szCs w:val="22"/>
          <w:lang w:val="bg-BG"/>
        </w:rPr>
        <w:t xml:space="preserve"> (2017</w:t>
      </w:r>
      <w:r w:rsidRPr="001C5299">
        <w:rPr>
          <w:rFonts w:ascii="Arial" w:hAnsi="Arial" w:cs="Arial"/>
          <w:sz w:val="22"/>
          <w:szCs w:val="22"/>
        </w:rPr>
        <w:t>), who contend that behavioral adaptability and human mood influence market stability just as much as technological factors.</w:t>
      </w:r>
    </w:p>
    <w:p w14:paraId="00D865BF" w14:textId="69E8FD35" w:rsidR="00E5449E" w:rsidRPr="005B1800" w:rsidRDefault="00E5449E" w:rsidP="00080584">
      <w:pPr>
        <w:spacing w:line="360" w:lineRule="auto"/>
        <w:jc w:val="both"/>
        <w:rPr>
          <w:rFonts w:ascii="Arial" w:hAnsi="Arial" w:cs="Arial"/>
          <w:sz w:val="22"/>
          <w:szCs w:val="22"/>
          <w:lang w:val="bg-BG"/>
        </w:rPr>
      </w:pPr>
      <w:r w:rsidRPr="005B1800">
        <w:rPr>
          <w:rFonts w:ascii="Arial" w:hAnsi="Arial" w:cs="Arial"/>
          <w:sz w:val="22"/>
          <w:szCs w:val="22"/>
        </w:rPr>
        <w:t>The geographical concentration of AI research in U.S. and Chinese markets (Noormohammadzadehmaleki et al., 2025) further amplifies the “AI concentration paradox” identified in this study. Such regional dominance leads to model homogeneity, reinforcing correlated behaviors across global trading systems and thereby intensifying liquidity fragility during stress episodes.</w:t>
      </w:r>
    </w:p>
    <w:p w14:paraId="7620D127" w14:textId="47BCB0B4" w:rsidR="00603873" w:rsidRPr="005B1800" w:rsidRDefault="00603873" w:rsidP="00080584">
      <w:pPr>
        <w:spacing w:line="360" w:lineRule="auto"/>
        <w:jc w:val="both"/>
        <w:rPr>
          <w:rFonts w:ascii="Arial" w:hAnsi="Arial" w:cs="Arial"/>
          <w:sz w:val="22"/>
          <w:szCs w:val="22"/>
          <w:lang w:val="bg-BG"/>
        </w:rPr>
      </w:pPr>
      <w:r w:rsidRPr="005B1800">
        <w:rPr>
          <w:rFonts w:ascii="Arial" w:hAnsi="Arial" w:cs="Arial"/>
          <w:sz w:val="22"/>
          <w:szCs w:val="22"/>
        </w:rPr>
        <w:t>Another key contribution is the articulation of the liquidity paradox — the conditional reliability of AI systems that enhance liquidity in stable conditions but retract it during turbulence. This paradox is increasingly discussed in recent works, for instance in ECB’s The Rise of Artificial Intelligence: Benefits and Risks for Financial Stability (2024), which highlights risks of herding and correlation under concentrated AI adoption. Likewise, in BIS / FSB’s analysis Financial Stability Implications of Artificial Intelligence, the authors caution that widespread adoption of similar AI architectures may amplify market correlations and strain liquidity under stress. These sources identify a correlation between AI concentration and liquidity fragility, which the present study corroborates and enriches through qualitative interpretive depth</w:t>
      </w:r>
    </w:p>
    <w:p w14:paraId="44830230" w14:textId="1C0D56EE" w:rsidR="005B1800" w:rsidRPr="001E67F7" w:rsidRDefault="00080584" w:rsidP="00080584">
      <w:pPr>
        <w:spacing w:line="360" w:lineRule="auto"/>
        <w:jc w:val="both"/>
        <w:rPr>
          <w:rFonts w:ascii="Arial" w:hAnsi="Arial" w:cs="Arial"/>
          <w:sz w:val="22"/>
          <w:szCs w:val="22"/>
          <w:lang w:val="bg-BG"/>
        </w:rPr>
      </w:pPr>
      <w:r w:rsidRPr="005B1800">
        <w:rPr>
          <w:rFonts w:ascii="Arial" w:hAnsi="Arial" w:cs="Arial"/>
          <w:sz w:val="22"/>
          <w:szCs w:val="22"/>
        </w:rPr>
        <w:t xml:space="preserve">Lastly, the findings underscore the persistent </w:t>
      </w:r>
      <w:r w:rsidRPr="00B028F6">
        <w:rPr>
          <w:rFonts w:ascii="Arial" w:hAnsi="Arial" w:cs="Arial"/>
          <w:sz w:val="22"/>
          <w:szCs w:val="22"/>
        </w:rPr>
        <w:t>regulatory lag</w:t>
      </w:r>
      <w:r w:rsidRPr="005B1800">
        <w:rPr>
          <w:rFonts w:ascii="Arial" w:hAnsi="Arial" w:cs="Arial"/>
          <w:sz w:val="22"/>
          <w:szCs w:val="22"/>
        </w:rPr>
        <w:t xml:space="preserve"> between technological innovation and oversight. The EU AI Act (2024) and reports by the Financial Stability Board (FSB, 202</w:t>
      </w:r>
      <w:r w:rsidR="00D32574" w:rsidRPr="005B1800">
        <w:rPr>
          <w:rFonts w:ascii="Arial" w:hAnsi="Arial" w:cs="Arial"/>
          <w:sz w:val="22"/>
          <w:szCs w:val="22"/>
        </w:rPr>
        <w:t>4</w:t>
      </w:r>
      <w:r w:rsidRPr="005B1800">
        <w:rPr>
          <w:rFonts w:ascii="Arial" w:hAnsi="Arial" w:cs="Arial"/>
          <w:sz w:val="22"/>
          <w:szCs w:val="22"/>
        </w:rPr>
        <w:t>) acknowledge the challenge of monitoring “</w:t>
      </w:r>
      <w:proofErr w:type="gramStart"/>
      <w:r w:rsidRPr="005B1800">
        <w:rPr>
          <w:rFonts w:ascii="Arial" w:hAnsi="Arial" w:cs="Arial"/>
          <w:sz w:val="22"/>
          <w:szCs w:val="22"/>
        </w:rPr>
        <w:t>black-box</w:t>
      </w:r>
      <w:proofErr w:type="gramEnd"/>
      <w:r w:rsidRPr="005B1800">
        <w:rPr>
          <w:rFonts w:ascii="Arial" w:hAnsi="Arial" w:cs="Arial"/>
          <w:sz w:val="22"/>
          <w:szCs w:val="22"/>
        </w:rPr>
        <w:t xml:space="preserve">” systems whose internal logic defies human </w:t>
      </w:r>
      <w:r w:rsidRPr="005B1800">
        <w:rPr>
          <w:rFonts w:ascii="Arial" w:hAnsi="Arial" w:cs="Arial"/>
          <w:sz w:val="22"/>
          <w:szCs w:val="22"/>
        </w:rPr>
        <w:lastRenderedPageBreak/>
        <w:t xml:space="preserve">interpretation. This resonates with arguments by Campolo and Crawford (2023), who warn that algorithmic opacity undermines accountability and creates governance blind spots. The study therefore supports the emerging consensus that financial regulation must evolve from static </w:t>
      </w:r>
      <w:proofErr w:type="gramStart"/>
      <w:r w:rsidRPr="005B1800">
        <w:rPr>
          <w:rFonts w:ascii="Arial" w:hAnsi="Arial" w:cs="Arial"/>
          <w:sz w:val="22"/>
          <w:szCs w:val="22"/>
        </w:rPr>
        <w:t>rule-making</w:t>
      </w:r>
      <w:proofErr w:type="gramEnd"/>
      <w:r w:rsidRPr="005B1800">
        <w:rPr>
          <w:rFonts w:ascii="Arial" w:hAnsi="Arial" w:cs="Arial"/>
          <w:sz w:val="22"/>
          <w:szCs w:val="22"/>
        </w:rPr>
        <w:t xml:space="preserve"> to </w:t>
      </w:r>
      <w:r w:rsidRPr="005B1800">
        <w:rPr>
          <w:rFonts w:ascii="Arial" w:hAnsi="Arial" w:cs="Arial"/>
          <w:i/>
          <w:iCs/>
          <w:sz w:val="22"/>
          <w:szCs w:val="22"/>
        </w:rPr>
        <w:t>adaptive governance</w:t>
      </w:r>
      <w:r w:rsidRPr="005B1800">
        <w:rPr>
          <w:rFonts w:ascii="Arial" w:hAnsi="Arial" w:cs="Arial"/>
          <w:sz w:val="22"/>
          <w:szCs w:val="22"/>
        </w:rPr>
        <w:t xml:space="preserve"> — flexible, data-driven, and co-evolutionary with technology (Arner et al., 20</w:t>
      </w:r>
      <w:r w:rsidR="00C3415D" w:rsidRPr="005B1800">
        <w:rPr>
          <w:rFonts w:ascii="Arial" w:hAnsi="Arial" w:cs="Arial"/>
          <w:sz w:val="22"/>
          <w:szCs w:val="22"/>
        </w:rPr>
        <w:t>17</w:t>
      </w:r>
      <w:r w:rsidRPr="005B1800">
        <w:rPr>
          <w:rFonts w:ascii="Arial" w:hAnsi="Arial" w:cs="Arial"/>
          <w:sz w:val="22"/>
          <w:szCs w:val="22"/>
        </w:rPr>
        <w:t>; ECB, 2023).</w:t>
      </w:r>
      <w:r w:rsidR="005B1800" w:rsidRPr="005B1800">
        <w:t xml:space="preserve"> </w:t>
      </w:r>
      <w:r w:rsidR="005B1800" w:rsidRPr="005B1800">
        <w:rPr>
          <w:rFonts w:ascii="Arial" w:hAnsi="Arial" w:cs="Arial"/>
          <w:sz w:val="22"/>
          <w:szCs w:val="22"/>
        </w:rPr>
        <w:t>This demonstrates that AI-driven trading should not be evaluated in isolation, but as part of a broader ecosystem of interacting technological and human factors</w:t>
      </w:r>
      <w:r w:rsidR="005B1800">
        <w:rPr>
          <w:rFonts w:ascii="Arial" w:hAnsi="Arial" w:cs="Arial"/>
          <w:sz w:val="22"/>
          <w:szCs w:val="22"/>
          <w:lang w:val="bg-BG"/>
        </w:rPr>
        <w:t>.</w:t>
      </w:r>
    </w:p>
    <w:p w14:paraId="204710BC" w14:textId="77777777" w:rsidR="00080584" w:rsidRPr="001E67F7" w:rsidRDefault="00080584" w:rsidP="001E67F7">
      <w:pPr>
        <w:pStyle w:val="anistyle"/>
        <w:rPr>
          <w:rFonts w:ascii="Arial" w:hAnsi="Arial" w:cs="Arial"/>
          <w:sz w:val="22"/>
          <w:szCs w:val="22"/>
          <w:lang w:val="bg-BG"/>
        </w:rPr>
      </w:pPr>
      <w:r w:rsidRPr="001E67F7">
        <w:rPr>
          <w:rFonts w:ascii="Arial" w:hAnsi="Arial" w:cs="Arial"/>
          <w:sz w:val="22"/>
          <w:szCs w:val="22"/>
        </w:rPr>
        <w:t>5.3 Theoretical Implications</w:t>
      </w:r>
    </w:p>
    <w:p w14:paraId="55041F8C" w14:textId="77777777" w:rsidR="005B1800" w:rsidRPr="005B1800" w:rsidRDefault="005B1800" w:rsidP="005B1800">
      <w:pPr>
        <w:spacing w:line="360" w:lineRule="auto"/>
        <w:rPr>
          <w:rFonts w:ascii="Arial" w:hAnsi="Arial" w:cs="Arial"/>
          <w:sz w:val="22"/>
          <w:szCs w:val="22"/>
        </w:rPr>
      </w:pPr>
      <w:r w:rsidRPr="005B1800">
        <w:rPr>
          <w:rFonts w:ascii="Arial" w:hAnsi="Arial" w:cs="Arial"/>
          <w:sz w:val="22"/>
          <w:szCs w:val="22"/>
        </w:rPr>
        <w:t>This dissertation contributes to several key academic debates.</w:t>
      </w:r>
    </w:p>
    <w:p w14:paraId="1A3B2BB5" w14:textId="77777777" w:rsidR="005B1800" w:rsidRPr="005B1800" w:rsidRDefault="005B1800" w:rsidP="005B1800">
      <w:pPr>
        <w:spacing w:line="360" w:lineRule="auto"/>
        <w:rPr>
          <w:rFonts w:ascii="Arial" w:hAnsi="Arial" w:cs="Arial"/>
          <w:sz w:val="22"/>
          <w:szCs w:val="22"/>
        </w:rPr>
      </w:pPr>
      <w:r w:rsidRPr="005B1800">
        <w:rPr>
          <w:rFonts w:ascii="Arial" w:hAnsi="Arial" w:cs="Arial"/>
          <w:sz w:val="22"/>
          <w:szCs w:val="22"/>
        </w:rPr>
        <w:t>Market Microstructure and Efficiency:</w:t>
      </w:r>
      <w:r w:rsidRPr="005B1800">
        <w:rPr>
          <w:rFonts w:ascii="Arial" w:hAnsi="Arial" w:cs="Arial"/>
          <w:sz w:val="22"/>
          <w:szCs w:val="22"/>
        </w:rPr>
        <w:br/>
        <w:t>The findings support existing theories that AI-driven trading enhances price discovery and reduces transaction costs under normal market conditions (O’Hara, 2015; Hendershott et al., 2011). However, this research extends these perspectives by demonstrating that such efficiency is conditional and may deteriorate during periods of systemic stress, where algorithmic interactions become non-linear and destabilizing (Dakalbab et al., 2024; Kirilenko et al., 2017).</w:t>
      </w:r>
    </w:p>
    <w:p w14:paraId="6B087D2B" w14:textId="200DB7B7" w:rsidR="005B1800" w:rsidRPr="005B1800" w:rsidRDefault="005B1800" w:rsidP="005B1800">
      <w:pPr>
        <w:spacing w:line="360" w:lineRule="auto"/>
        <w:rPr>
          <w:rFonts w:ascii="Arial" w:hAnsi="Arial" w:cs="Arial"/>
          <w:sz w:val="22"/>
          <w:szCs w:val="22"/>
        </w:rPr>
      </w:pPr>
      <w:r w:rsidRPr="005B1800">
        <w:rPr>
          <w:rFonts w:ascii="Arial" w:hAnsi="Arial" w:cs="Arial"/>
          <w:sz w:val="22"/>
          <w:szCs w:val="22"/>
        </w:rPr>
        <w:t>Behavioral Finance and Adaptive Markets:</w:t>
      </w:r>
      <w:r w:rsidRPr="005B1800">
        <w:rPr>
          <w:rFonts w:ascii="Arial" w:hAnsi="Arial" w:cs="Arial"/>
          <w:sz w:val="22"/>
          <w:szCs w:val="22"/>
        </w:rPr>
        <w:br/>
        <w:t>The study aligns with the Adaptive Markets Hypothesis (Lo, 2017), highlighting that market participants continuously adjust their strategies in response to technological evolution. Importantly, this research adds a qualitative dimension by identifying psychological responses such as reduced confidence, perceived exclusion, and strategic adaptation among non-AI participants (Cohen, 2022; Rezaei et al., 2025).</w:t>
      </w:r>
    </w:p>
    <w:p w14:paraId="3FB6C039" w14:textId="42F36705" w:rsidR="005B1800" w:rsidRPr="005B1800" w:rsidRDefault="005B1800" w:rsidP="005B1800">
      <w:pPr>
        <w:spacing w:line="360" w:lineRule="auto"/>
        <w:rPr>
          <w:rFonts w:ascii="Arial" w:hAnsi="Arial" w:cs="Arial"/>
          <w:b/>
          <w:bCs/>
          <w:color w:val="4EA72E" w:themeColor="accent6"/>
          <w:sz w:val="22"/>
          <w:szCs w:val="22"/>
        </w:rPr>
      </w:pPr>
      <w:r w:rsidRPr="005B1800">
        <w:rPr>
          <w:rFonts w:ascii="Arial" w:hAnsi="Arial" w:cs="Arial"/>
          <w:sz w:val="22"/>
          <w:szCs w:val="22"/>
        </w:rPr>
        <w:t>Overall, the dissertation contributes by integrating technological and behavioral perspectives, reinforcing the idea that financial markets are not purely mechanical systems, but complex adaptive environments shaped by both algorithms and human actors</w:t>
      </w:r>
      <w:r w:rsidRPr="005B1800">
        <w:rPr>
          <w:rFonts w:ascii="Arial" w:hAnsi="Arial" w:cs="Arial"/>
          <w:b/>
          <w:bCs/>
          <w:color w:val="4EA72E" w:themeColor="accent6"/>
          <w:sz w:val="22"/>
          <w:szCs w:val="22"/>
        </w:rPr>
        <w:t>.</w:t>
      </w:r>
    </w:p>
    <w:p w14:paraId="0135457E" w14:textId="00806F1F" w:rsidR="00080584" w:rsidRPr="001E67F7" w:rsidRDefault="00080584" w:rsidP="00080584">
      <w:pPr>
        <w:spacing w:line="360" w:lineRule="auto"/>
        <w:jc w:val="both"/>
        <w:rPr>
          <w:rFonts w:ascii="Arial" w:hAnsi="Arial" w:cs="Arial"/>
          <w:sz w:val="22"/>
          <w:szCs w:val="22"/>
          <w:lang w:val="bg-BG"/>
        </w:rPr>
      </w:pPr>
    </w:p>
    <w:p w14:paraId="73B7A533" w14:textId="77777777" w:rsidR="00080584" w:rsidRPr="001E67F7" w:rsidRDefault="00080584" w:rsidP="001E67F7">
      <w:pPr>
        <w:pStyle w:val="anistyle"/>
        <w:rPr>
          <w:rFonts w:ascii="Arial" w:hAnsi="Arial" w:cs="Arial"/>
          <w:sz w:val="22"/>
          <w:szCs w:val="22"/>
        </w:rPr>
      </w:pPr>
      <w:r w:rsidRPr="001E67F7">
        <w:rPr>
          <w:rFonts w:ascii="Arial" w:hAnsi="Arial" w:cs="Arial"/>
          <w:sz w:val="22"/>
          <w:szCs w:val="22"/>
        </w:rPr>
        <w:t>5.4 Practical and Policy Implications</w:t>
      </w:r>
    </w:p>
    <w:p w14:paraId="674978BB" w14:textId="77777777" w:rsidR="00080584" w:rsidRPr="001E67F7" w:rsidRDefault="00080584" w:rsidP="001E67F7">
      <w:pPr>
        <w:spacing w:line="360" w:lineRule="auto"/>
        <w:jc w:val="both"/>
        <w:rPr>
          <w:rFonts w:ascii="Arial" w:hAnsi="Arial" w:cs="Arial"/>
          <w:sz w:val="22"/>
          <w:szCs w:val="22"/>
        </w:rPr>
      </w:pPr>
      <w:r w:rsidRPr="001E67F7">
        <w:rPr>
          <w:rFonts w:ascii="Arial" w:hAnsi="Arial" w:cs="Arial"/>
          <w:sz w:val="22"/>
          <w:szCs w:val="22"/>
        </w:rPr>
        <w:t>Practically, the findings have implications for market participants, regulators, and policy designers.</w:t>
      </w:r>
    </w:p>
    <w:p w14:paraId="5EB6B4F1" w14:textId="0F9DB357" w:rsidR="00080584" w:rsidRPr="001E67F7" w:rsidRDefault="00080584" w:rsidP="001E67F7">
      <w:pPr>
        <w:pStyle w:val="NoSpacing"/>
        <w:spacing w:line="360" w:lineRule="auto"/>
        <w:jc w:val="both"/>
        <w:rPr>
          <w:rFonts w:ascii="Arial" w:hAnsi="Arial" w:cs="Arial"/>
          <w:sz w:val="22"/>
          <w:szCs w:val="22"/>
        </w:rPr>
      </w:pPr>
      <w:r w:rsidRPr="001E67F7">
        <w:rPr>
          <w:rFonts w:ascii="Arial" w:hAnsi="Arial" w:cs="Arial"/>
          <w:sz w:val="22"/>
          <w:szCs w:val="22"/>
        </w:rPr>
        <w:t xml:space="preserve">For institutional traders, the results highlight the need for hybrid human–AI collaboration models that integrate computational speed with human judgment. Recent </w:t>
      </w:r>
      <w:r w:rsidR="00066A5C" w:rsidRPr="001E67F7">
        <w:rPr>
          <w:rFonts w:ascii="Arial" w:hAnsi="Arial" w:cs="Arial"/>
          <w:sz w:val="22"/>
          <w:szCs w:val="22"/>
        </w:rPr>
        <w:t>studies (Khalil et al., 2025</w:t>
      </w:r>
      <w:r w:rsidRPr="001E67F7">
        <w:rPr>
          <w:rFonts w:ascii="Arial" w:hAnsi="Arial" w:cs="Arial"/>
          <w:sz w:val="22"/>
          <w:szCs w:val="22"/>
        </w:rPr>
        <w:t>) show that firms using “augmented intelligence” frameworks achieve higher stability and adaptability.</w:t>
      </w:r>
      <w:r w:rsidR="001E67F7">
        <w:rPr>
          <w:rFonts w:ascii="Arial" w:hAnsi="Arial" w:cs="Arial"/>
          <w:sz w:val="22"/>
          <w:szCs w:val="22"/>
          <w:lang w:val="bg-BG"/>
        </w:rPr>
        <w:t xml:space="preserve"> </w:t>
      </w:r>
      <w:r w:rsidRPr="001E67F7">
        <w:rPr>
          <w:rFonts w:ascii="Arial" w:hAnsi="Arial" w:cs="Arial"/>
          <w:sz w:val="22"/>
          <w:szCs w:val="22"/>
        </w:rPr>
        <w:t xml:space="preserve">For regulators, the findings </w:t>
      </w:r>
      <w:r w:rsidR="00C3415D" w:rsidRPr="001E67F7">
        <w:rPr>
          <w:rFonts w:ascii="Arial" w:hAnsi="Arial" w:cs="Arial"/>
          <w:sz w:val="22"/>
          <w:szCs w:val="22"/>
        </w:rPr>
        <w:t>advocate</w:t>
      </w:r>
      <w:r w:rsidRPr="001E67F7">
        <w:rPr>
          <w:rFonts w:ascii="Arial" w:hAnsi="Arial" w:cs="Arial"/>
          <w:sz w:val="22"/>
          <w:szCs w:val="22"/>
        </w:rPr>
        <w:t xml:space="preserve"> </w:t>
      </w:r>
      <w:r w:rsidRPr="001E67F7">
        <w:rPr>
          <w:rFonts w:ascii="Arial" w:hAnsi="Arial" w:cs="Arial"/>
          <w:i/>
          <w:iCs/>
          <w:sz w:val="22"/>
          <w:szCs w:val="22"/>
        </w:rPr>
        <w:t>explainable AI (XAI)</w:t>
      </w:r>
      <w:r w:rsidRPr="001E67F7">
        <w:rPr>
          <w:rFonts w:ascii="Arial" w:hAnsi="Arial" w:cs="Arial"/>
          <w:sz w:val="22"/>
          <w:szCs w:val="22"/>
        </w:rPr>
        <w:t xml:space="preserve"> and </w:t>
      </w:r>
      <w:r w:rsidRPr="001E67F7">
        <w:rPr>
          <w:rFonts w:ascii="Arial" w:hAnsi="Arial" w:cs="Arial"/>
          <w:i/>
          <w:iCs/>
          <w:sz w:val="22"/>
          <w:szCs w:val="22"/>
        </w:rPr>
        <w:t xml:space="preserve">real-time supervision </w:t>
      </w:r>
      <w:r w:rsidRPr="001E67F7">
        <w:rPr>
          <w:rFonts w:ascii="Arial" w:hAnsi="Arial" w:cs="Arial"/>
          <w:i/>
          <w:iCs/>
          <w:sz w:val="22"/>
          <w:szCs w:val="22"/>
        </w:rPr>
        <w:lastRenderedPageBreak/>
        <w:t>tools</w:t>
      </w:r>
      <w:r w:rsidRPr="001E67F7">
        <w:rPr>
          <w:rFonts w:ascii="Arial" w:hAnsi="Arial" w:cs="Arial"/>
          <w:sz w:val="22"/>
          <w:szCs w:val="22"/>
        </w:rPr>
        <w:t xml:space="preserve"> that enable continuous monitoring of algorithmic activity. Global </w:t>
      </w:r>
      <w:r w:rsidR="00C3415D" w:rsidRPr="001E67F7">
        <w:rPr>
          <w:rFonts w:ascii="Arial" w:hAnsi="Arial" w:cs="Arial"/>
          <w:sz w:val="22"/>
          <w:szCs w:val="22"/>
        </w:rPr>
        <w:t>harmonization</w:t>
      </w:r>
      <w:r w:rsidRPr="001E67F7">
        <w:rPr>
          <w:rFonts w:ascii="Arial" w:hAnsi="Arial" w:cs="Arial"/>
          <w:sz w:val="22"/>
          <w:szCs w:val="22"/>
        </w:rPr>
        <w:t xml:space="preserve"> of AI regulation, as proposed by Arner et al. (20</w:t>
      </w:r>
      <w:r w:rsidR="00C3415D" w:rsidRPr="001E67F7">
        <w:rPr>
          <w:rFonts w:ascii="Arial" w:hAnsi="Arial" w:cs="Arial"/>
          <w:sz w:val="22"/>
          <w:szCs w:val="22"/>
        </w:rPr>
        <w:t>17</w:t>
      </w:r>
      <w:r w:rsidRPr="001E67F7">
        <w:rPr>
          <w:rFonts w:ascii="Arial" w:hAnsi="Arial" w:cs="Arial"/>
          <w:sz w:val="22"/>
          <w:szCs w:val="22"/>
        </w:rPr>
        <w:t>), would mitigate cross-border risks in forex markets.</w:t>
      </w:r>
      <w:r w:rsidR="001E67F7">
        <w:rPr>
          <w:rFonts w:ascii="Arial" w:hAnsi="Arial" w:cs="Arial"/>
          <w:sz w:val="22"/>
          <w:szCs w:val="22"/>
          <w:lang w:val="bg-BG"/>
        </w:rPr>
        <w:t xml:space="preserve"> </w:t>
      </w:r>
      <w:r w:rsidRPr="001E67F7">
        <w:rPr>
          <w:rFonts w:ascii="Arial" w:hAnsi="Arial" w:cs="Arial"/>
          <w:sz w:val="22"/>
          <w:szCs w:val="22"/>
        </w:rPr>
        <w:t>For policymakers, ethical considerations should be embedded in AI governance — ensuring transparency, data integrity, and equal technological access to prevent systemic bias. This supports the principles of the OECD AI Framework (2023) and aligns with the ECB’s (2023) emphasis on responsible AI innovation in financial systems.</w:t>
      </w:r>
    </w:p>
    <w:p w14:paraId="224874DE" w14:textId="44A9878A" w:rsidR="00080584" w:rsidRPr="001E67F7" w:rsidRDefault="00080584" w:rsidP="001E67F7">
      <w:pPr>
        <w:spacing w:line="360" w:lineRule="auto"/>
        <w:jc w:val="both"/>
        <w:rPr>
          <w:rFonts w:ascii="Arial" w:hAnsi="Arial" w:cs="Arial"/>
          <w:sz w:val="22"/>
          <w:szCs w:val="22"/>
          <w:lang w:val="bg-BG"/>
        </w:rPr>
      </w:pPr>
      <w:r w:rsidRPr="001E67F7">
        <w:rPr>
          <w:rFonts w:ascii="Arial" w:hAnsi="Arial" w:cs="Arial"/>
          <w:sz w:val="22"/>
          <w:szCs w:val="22"/>
        </w:rPr>
        <w:t>By addressing both the technical and human elements of AI-driven trading, the dissertation positions itself within an emerging research stream advocating a balanced integration of automation and human oversight</w:t>
      </w:r>
      <w:r w:rsidR="00C903CE" w:rsidRPr="001E67F7">
        <w:rPr>
          <w:rFonts w:ascii="Arial" w:hAnsi="Arial" w:cs="Arial"/>
          <w:sz w:val="22"/>
          <w:szCs w:val="22"/>
          <w:lang w:val="bg-BG"/>
        </w:rPr>
        <w:t>.</w:t>
      </w:r>
    </w:p>
    <w:p w14:paraId="453DC537" w14:textId="77777777" w:rsidR="00080584" w:rsidRPr="001E67F7" w:rsidRDefault="00080584" w:rsidP="001E67F7">
      <w:pPr>
        <w:pStyle w:val="anistyle"/>
        <w:rPr>
          <w:rFonts w:ascii="Arial" w:hAnsi="Arial" w:cs="Arial"/>
          <w:sz w:val="22"/>
          <w:szCs w:val="22"/>
        </w:rPr>
      </w:pPr>
      <w:r w:rsidRPr="001E67F7">
        <w:rPr>
          <w:rFonts w:ascii="Arial" w:hAnsi="Arial" w:cs="Arial"/>
          <w:sz w:val="22"/>
          <w:szCs w:val="22"/>
        </w:rPr>
        <w:t>5.5 Limitations and Future Research</w:t>
      </w:r>
    </w:p>
    <w:p w14:paraId="6DC3A97E" w14:textId="31C1BB3F" w:rsidR="00080584" w:rsidRPr="001E67F7" w:rsidRDefault="00080584" w:rsidP="00080584">
      <w:pPr>
        <w:spacing w:line="360" w:lineRule="auto"/>
        <w:jc w:val="both"/>
        <w:rPr>
          <w:rFonts w:ascii="Arial" w:hAnsi="Arial" w:cs="Arial"/>
          <w:sz w:val="22"/>
          <w:szCs w:val="22"/>
        </w:rPr>
      </w:pPr>
      <w:r w:rsidRPr="001E67F7">
        <w:rPr>
          <w:rFonts w:ascii="Arial" w:hAnsi="Arial" w:cs="Arial"/>
          <w:sz w:val="22"/>
          <w:szCs w:val="22"/>
        </w:rPr>
        <w:t xml:space="preserve">While the study provides significant interpretive insights, it is constrained by the limitations inherent to secondary data analysis. The lack of primary interviews restricts the ability to capture firsthand experiences of traders or regulators. Future research should therefore adopt </w:t>
      </w:r>
      <w:r w:rsidR="001E67F7" w:rsidRPr="001E67F7">
        <w:rPr>
          <w:rFonts w:ascii="Arial" w:hAnsi="Arial" w:cs="Arial"/>
          <w:sz w:val="22"/>
          <w:szCs w:val="22"/>
        </w:rPr>
        <w:t>mixed methods</w:t>
      </w:r>
      <w:r w:rsidRPr="001E67F7">
        <w:rPr>
          <w:rFonts w:ascii="Arial" w:hAnsi="Arial" w:cs="Arial"/>
          <w:sz w:val="22"/>
          <w:szCs w:val="22"/>
        </w:rPr>
        <w:t xml:space="preserve"> approaches combining qualitative interviews with quantitative analysis of market data to triangulate perceptions with measurable outcomes (Johnston, 2017; Lo and Mueller, 2022).</w:t>
      </w:r>
    </w:p>
    <w:p w14:paraId="064A30CD" w14:textId="4352C85C" w:rsidR="00080584" w:rsidRPr="001E67F7" w:rsidRDefault="00080584" w:rsidP="00080584">
      <w:pPr>
        <w:spacing w:line="360" w:lineRule="auto"/>
        <w:jc w:val="both"/>
        <w:rPr>
          <w:rFonts w:ascii="Arial" w:hAnsi="Arial" w:cs="Arial"/>
          <w:sz w:val="22"/>
          <w:szCs w:val="22"/>
        </w:rPr>
      </w:pPr>
      <w:r w:rsidRPr="001E67F7">
        <w:rPr>
          <w:rFonts w:ascii="Arial" w:hAnsi="Arial" w:cs="Arial"/>
          <w:sz w:val="22"/>
          <w:szCs w:val="22"/>
        </w:rPr>
        <w:t xml:space="preserve">Moreover, as AI systems evolve toward generative and self-modifying architectures, future studies must examine algorithmic self-learning risk — the potential for autonomous systems to deviate from intended </w:t>
      </w:r>
      <w:r w:rsidR="00C3415D" w:rsidRPr="001E67F7">
        <w:rPr>
          <w:rFonts w:ascii="Arial" w:hAnsi="Arial" w:cs="Arial"/>
          <w:sz w:val="22"/>
          <w:szCs w:val="22"/>
        </w:rPr>
        <w:t>behavior</w:t>
      </w:r>
      <w:r w:rsidRPr="001E67F7">
        <w:rPr>
          <w:rFonts w:ascii="Arial" w:hAnsi="Arial" w:cs="Arial"/>
          <w:sz w:val="22"/>
          <w:szCs w:val="22"/>
        </w:rPr>
        <w:t xml:space="preserve"> (Brummer and Yadav, 2022). Expanding the scope beyond forex to include crypto-assets and </w:t>
      </w:r>
      <w:r w:rsidR="00C3415D" w:rsidRPr="001E67F7">
        <w:rPr>
          <w:rFonts w:ascii="Arial" w:hAnsi="Arial" w:cs="Arial"/>
          <w:sz w:val="22"/>
          <w:szCs w:val="22"/>
        </w:rPr>
        <w:t>decentralized</w:t>
      </w:r>
      <w:r w:rsidRPr="001E67F7">
        <w:rPr>
          <w:rFonts w:ascii="Arial" w:hAnsi="Arial" w:cs="Arial"/>
          <w:sz w:val="22"/>
          <w:szCs w:val="22"/>
        </w:rPr>
        <w:t xml:space="preserve"> finance (DeFi) could further illuminate how AI interacts with emerging, less regulated markets.</w:t>
      </w:r>
    </w:p>
    <w:p w14:paraId="673EDCD8" w14:textId="77777777" w:rsidR="00080584" w:rsidRPr="001E67F7" w:rsidRDefault="00080584" w:rsidP="00080584">
      <w:pPr>
        <w:spacing w:line="360" w:lineRule="auto"/>
        <w:jc w:val="both"/>
        <w:rPr>
          <w:rFonts w:ascii="Arial" w:hAnsi="Arial" w:cs="Arial"/>
          <w:sz w:val="22"/>
          <w:szCs w:val="22"/>
        </w:rPr>
      </w:pPr>
      <w:r w:rsidRPr="001E67F7">
        <w:rPr>
          <w:rFonts w:ascii="Arial" w:hAnsi="Arial" w:cs="Arial"/>
          <w:sz w:val="22"/>
          <w:szCs w:val="22"/>
        </w:rPr>
        <w:t>Finally, longitudinal research examining the implementation of the EU AI Act and similar frameworks could provide valuable insight into the real-world efficacy of AI governance in global markets.</w:t>
      </w:r>
    </w:p>
    <w:p w14:paraId="71AB4965" w14:textId="59DD41D2" w:rsidR="00080584" w:rsidRPr="001E67F7" w:rsidRDefault="00080584" w:rsidP="00080584">
      <w:pPr>
        <w:spacing w:line="360" w:lineRule="auto"/>
        <w:jc w:val="both"/>
        <w:rPr>
          <w:rFonts w:ascii="Arial" w:hAnsi="Arial" w:cs="Arial"/>
          <w:sz w:val="22"/>
          <w:szCs w:val="22"/>
        </w:rPr>
      </w:pPr>
    </w:p>
    <w:p w14:paraId="532B9C5B" w14:textId="77777777" w:rsidR="00080584" w:rsidRPr="001E67F7" w:rsidRDefault="00080584" w:rsidP="001E67F7">
      <w:pPr>
        <w:pStyle w:val="anistyle"/>
        <w:rPr>
          <w:rFonts w:ascii="Arial" w:hAnsi="Arial" w:cs="Arial"/>
          <w:sz w:val="22"/>
          <w:szCs w:val="22"/>
        </w:rPr>
      </w:pPr>
      <w:r w:rsidRPr="001E67F7">
        <w:rPr>
          <w:rFonts w:ascii="Arial" w:hAnsi="Arial" w:cs="Arial"/>
          <w:sz w:val="22"/>
          <w:szCs w:val="22"/>
        </w:rPr>
        <w:t>5.6 Conclusion</w:t>
      </w:r>
    </w:p>
    <w:p w14:paraId="4B1A21DB" w14:textId="77777777" w:rsidR="00080584" w:rsidRPr="001E67F7" w:rsidRDefault="00080584" w:rsidP="00080584">
      <w:pPr>
        <w:spacing w:line="360" w:lineRule="auto"/>
        <w:jc w:val="both"/>
        <w:rPr>
          <w:rFonts w:ascii="Arial" w:hAnsi="Arial" w:cs="Arial"/>
          <w:sz w:val="22"/>
          <w:szCs w:val="22"/>
        </w:rPr>
      </w:pPr>
      <w:r w:rsidRPr="001E67F7">
        <w:rPr>
          <w:rFonts w:ascii="Arial" w:hAnsi="Arial" w:cs="Arial"/>
          <w:sz w:val="22"/>
          <w:szCs w:val="22"/>
        </w:rPr>
        <w:t>In conclusion, this dissertation provides a nuanced, qualitative understanding of how AI-driven trading transforms volatility and liquidity in the forex market. It demonstrates that AI serves as both an enabler and a disruptor: enhancing efficiency and market precision while simultaneously introducing systemic vulnerabilities and ethical dilemmas.</w:t>
      </w:r>
    </w:p>
    <w:p w14:paraId="44919D62" w14:textId="77777777" w:rsidR="00080584" w:rsidRPr="001E67F7" w:rsidRDefault="00080584" w:rsidP="00080584">
      <w:pPr>
        <w:spacing w:line="360" w:lineRule="auto"/>
        <w:jc w:val="both"/>
        <w:rPr>
          <w:rFonts w:ascii="Arial" w:hAnsi="Arial" w:cs="Arial"/>
          <w:sz w:val="22"/>
          <w:szCs w:val="22"/>
        </w:rPr>
      </w:pPr>
      <w:r w:rsidRPr="001E67F7">
        <w:rPr>
          <w:rFonts w:ascii="Arial" w:hAnsi="Arial" w:cs="Arial"/>
          <w:sz w:val="22"/>
          <w:szCs w:val="22"/>
        </w:rPr>
        <w:lastRenderedPageBreak/>
        <w:t>By bridging empirical evidence with interpretive analysis, the study highlights that technological sophistication alone cannot guarantee market stability. Instead, resilience arises from the co-evolution of technology, human oversight, and adaptive regulation.</w:t>
      </w:r>
    </w:p>
    <w:p w14:paraId="214F95BD" w14:textId="239C7D1B" w:rsidR="00080584" w:rsidRDefault="00080584" w:rsidP="00080584">
      <w:pPr>
        <w:spacing w:line="360" w:lineRule="auto"/>
        <w:jc w:val="both"/>
        <w:rPr>
          <w:rFonts w:ascii="Arial" w:hAnsi="Arial" w:cs="Arial"/>
          <w:sz w:val="22"/>
          <w:szCs w:val="22"/>
          <w:lang w:val="bg-BG"/>
        </w:rPr>
      </w:pPr>
      <w:r w:rsidRPr="001E67F7">
        <w:rPr>
          <w:rFonts w:ascii="Arial" w:hAnsi="Arial" w:cs="Arial"/>
          <w:sz w:val="22"/>
          <w:szCs w:val="22"/>
        </w:rPr>
        <w:t xml:space="preserve">The research contributes to the academic discourse by situating AI-driven trading within a broader socio-technical and </w:t>
      </w:r>
      <w:r w:rsidR="001E67F7" w:rsidRPr="001E67F7">
        <w:rPr>
          <w:rFonts w:ascii="Arial" w:hAnsi="Arial" w:cs="Arial"/>
          <w:sz w:val="22"/>
          <w:szCs w:val="22"/>
        </w:rPr>
        <w:t>behavioral</w:t>
      </w:r>
      <w:r w:rsidRPr="001E67F7">
        <w:rPr>
          <w:rFonts w:ascii="Arial" w:hAnsi="Arial" w:cs="Arial"/>
          <w:sz w:val="22"/>
          <w:szCs w:val="22"/>
        </w:rPr>
        <w:t xml:space="preserve"> framework, reinforcing the need for interdisciplinary approaches that combine financial economics, data science, and ethics. </w:t>
      </w:r>
      <w:r w:rsidR="001E67F7" w:rsidRPr="001E67F7">
        <w:rPr>
          <w:rFonts w:ascii="Arial" w:hAnsi="Arial" w:cs="Arial"/>
          <w:sz w:val="22"/>
          <w:szCs w:val="22"/>
        </w:rPr>
        <w:t>Ultimately, the sustainability of AI-driven financial markets will depend on the successful alignment of technological innovation, human oversight, and adaptive regulatory frameworks.</w:t>
      </w:r>
    </w:p>
    <w:p w14:paraId="165BCD53" w14:textId="77777777" w:rsidR="005B4F1A" w:rsidRDefault="005B4F1A" w:rsidP="00080584">
      <w:pPr>
        <w:spacing w:line="360" w:lineRule="auto"/>
        <w:jc w:val="both"/>
        <w:rPr>
          <w:rFonts w:ascii="Arial" w:hAnsi="Arial" w:cs="Arial"/>
          <w:sz w:val="22"/>
          <w:szCs w:val="22"/>
          <w:lang w:val="bg-BG"/>
        </w:rPr>
      </w:pPr>
    </w:p>
    <w:p w14:paraId="4CE1992B" w14:textId="77777777" w:rsidR="005B4F1A" w:rsidRDefault="005B4F1A" w:rsidP="00080584">
      <w:pPr>
        <w:spacing w:line="360" w:lineRule="auto"/>
        <w:jc w:val="both"/>
        <w:rPr>
          <w:rFonts w:ascii="Arial" w:hAnsi="Arial" w:cs="Arial"/>
          <w:sz w:val="22"/>
          <w:szCs w:val="22"/>
          <w:lang w:val="bg-BG"/>
        </w:rPr>
      </w:pPr>
    </w:p>
    <w:p w14:paraId="7BDD5D65" w14:textId="77777777" w:rsidR="005B4F1A" w:rsidRDefault="005B4F1A" w:rsidP="00080584">
      <w:pPr>
        <w:spacing w:line="360" w:lineRule="auto"/>
        <w:jc w:val="both"/>
        <w:rPr>
          <w:rFonts w:ascii="Arial" w:hAnsi="Arial" w:cs="Arial"/>
          <w:sz w:val="22"/>
          <w:szCs w:val="22"/>
          <w:lang w:val="bg-BG"/>
        </w:rPr>
      </w:pPr>
    </w:p>
    <w:p w14:paraId="6923BEFA" w14:textId="77777777" w:rsidR="005B4F1A" w:rsidRDefault="005B4F1A" w:rsidP="00080584">
      <w:pPr>
        <w:spacing w:line="360" w:lineRule="auto"/>
        <w:jc w:val="both"/>
        <w:rPr>
          <w:rFonts w:ascii="Arial" w:hAnsi="Arial" w:cs="Arial"/>
          <w:sz w:val="22"/>
          <w:szCs w:val="22"/>
          <w:lang w:val="bg-BG"/>
        </w:rPr>
      </w:pPr>
    </w:p>
    <w:p w14:paraId="22991795" w14:textId="77777777" w:rsidR="005B4F1A" w:rsidRDefault="005B4F1A" w:rsidP="00080584">
      <w:pPr>
        <w:spacing w:line="360" w:lineRule="auto"/>
        <w:jc w:val="both"/>
        <w:rPr>
          <w:rFonts w:ascii="Arial" w:hAnsi="Arial" w:cs="Arial"/>
          <w:sz w:val="22"/>
          <w:szCs w:val="22"/>
          <w:lang w:val="bg-BG"/>
        </w:rPr>
      </w:pPr>
    </w:p>
    <w:p w14:paraId="1DC21EC2" w14:textId="77777777" w:rsidR="005B4F1A" w:rsidRDefault="005B4F1A" w:rsidP="00080584">
      <w:pPr>
        <w:spacing w:line="360" w:lineRule="auto"/>
        <w:jc w:val="both"/>
        <w:rPr>
          <w:rFonts w:ascii="Arial" w:hAnsi="Arial" w:cs="Arial"/>
          <w:sz w:val="22"/>
          <w:szCs w:val="22"/>
          <w:lang w:val="bg-BG"/>
        </w:rPr>
      </w:pPr>
    </w:p>
    <w:p w14:paraId="1470246D" w14:textId="77777777" w:rsidR="005B4F1A" w:rsidRDefault="005B4F1A" w:rsidP="00080584">
      <w:pPr>
        <w:spacing w:line="360" w:lineRule="auto"/>
        <w:jc w:val="both"/>
        <w:rPr>
          <w:rFonts w:ascii="Arial" w:hAnsi="Arial" w:cs="Arial"/>
          <w:sz w:val="22"/>
          <w:szCs w:val="22"/>
          <w:lang w:val="bg-BG"/>
        </w:rPr>
      </w:pPr>
    </w:p>
    <w:p w14:paraId="193B3BB9" w14:textId="77777777" w:rsidR="005B4F1A" w:rsidRDefault="005B4F1A" w:rsidP="00080584">
      <w:pPr>
        <w:spacing w:line="360" w:lineRule="auto"/>
        <w:jc w:val="both"/>
        <w:rPr>
          <w:rFonts w:ascii="Arial" w:hAnsi="Arial" w:cs="Arial"/>
          <w:sz w:val="22"/>
          <w:szCs w:val="22"/>
          <w:lang w:val="bg-BG"/>
        </w:rPr>
      </w:pPr>
    </w:p>
    <w:p w14:paraId="05BE9CDE" w14:textId="77777777" w:rsidR="005B4F1A" w:rsidRDefault="005B4F1A" w:rsidP="00080584">
      <w:pPr>
        <w:spacing w:line="360" w:lineRule="auto"/>
        <w:jc w:val="both"/>
        <w:rPr>
          <w:rFonts w:ascii="Arial" w:hAnsi="Arial" w:cs="Arial"/>
          <w:sz w:val="22"/>
          <w:szCs w:val="22"/>
          <w:lang w:val="bg-BG"/>
        </w:rPr>
      </w:pPr>
    </w:p>
    <w:p w14:paraId="10B2489A" w14:textId="77777777" w:rsidR="005B4F1A" w:rsidRDefault="005B4F1A" w:rsidP="00080584">
      <w:pPr>
        <w:spacing w:line="360" w:lineRule="auto"/>
        <w:jc w:val="both"/>
        <w:rPr>
          <w:rFonts w:ascii="Arial" w:hAnsi="Arial" w:cs="Arial"/>
          <w:sz w:val="22"/>
          <w:szCs w:val="22"/>
          <w:lang w:val="bg-BG"/>
        </w:rPr>
      </w:pPr>
    </w:p>
    <w:p w14:paraId="193EA993" w14:textId="77777777" w:rsidR="005B4F1A" w:rsidRDefault="005B4F1A" w:rsidP="00080584">
      <w:pPr>
        <w:spacing w:line="360" w:lineRule="auto"/>
        <w:jc w:val="both"/>
        <w:rPr>
          <w:rFonts w:ascii="Arial" w:hAnsi="Arial" w:cs="Arial"/>
          <w:sz w:val="22"/>
          <w:szCs w:val="22"/>
          <w:lang w:val="bg-BG"/>
        </w:rPr>
      </w:pPr>
    </w:p>
    <w:p w14:paraId="130AAF69" w14:textId="77777777" w:rsidR="005B4F1A" w:rsidRDefault="005B4F1A" w:rsidP="00080584">
      <w:pPr>
        <w:spacing w:line="360" w:lineRule="auto"/>
        <w:jc w:val="both"/>
        <w:rPr>
          <w:rFonts w:ascii="Arial" w:hAnsi="Arial" w:cs="Arial"/>
          <w:sz w:val="22"/>
          <w:szCs w:val="22"/>
          <w:lang w:val="bg-BG"/>
        </w:rPr>
      </w:pPr>
    </w:p>
    <w:p w14:paraId="482F9CD7" w14:textId="77777777" w:rsidR="005B4F1A" w:rsidRDefault="005B4F1A" w:rsidP="00080584">
      <w:pPr>
        <w:spacing w:line="360" w:lineRule="auto"/>
        <w:jc w:val="both"/>
        <w:rPr>
          <w:rFonts w:ascii="Arial" w:hAnsi="Arial" w:cs="Arial"/>
          <w:sz w:val="22"/>
          <w:szCs w:val="22"/>
          <w:lang w:val="bg-BG"/>
        </w:rPr>
      </w:pPr>
    </w:p>
    <w:p w14:paraId="6DE7DAF5" w14:textId="77777777" w:rsidR="005B4F1A" w:rsidRDefault="005B4F1A" w:rsidP="00080584">
      <w:pPr>
        <w:spacing w:line="360" w:lineRule="auto"/>
        <w:jc w:val="both"/>
        <w:rPr>
          <w:rFonts w:ascii="Arial" w:hAnsi="Arial" w:cs="Arial"/>
          <w:sz w:val="22"/>
          <w:szCs w:val="22"/>
          <w:lang w:val="bg-BG"/>
        </w:rPr>
      </w:pPr>
    </w:p>
    <w:p w14:paraId="44A51C55" w14:textId="77777777" w:rsidR="005B4F1A" w:rsidRDefault="005B4F1A" w:rsidP="00080584">
      <w:pPr>
        <w:spacing w:line="360" w:lineRule="auto"/>
        <w:jc w:val="both"/>
        <w:rPr>
          <w:rFonts w:ascii="Arial" w:hAnsi="Arial" w:cs="Arial"/>
          <w:sz w:val="22"/>
          <w:szCs w:val="22"/>
          <w:lang w:val="bg-BG"/>
        </w:rPr>
      </w:pPr>
    </w:p>
    <w:p w14:paraId="3046F7D3" w14:textId="77777777" w:rsidR="005B4F1A" w:rsidRPr="005B4F1A" w:rsidRDefault="005B4F1A" w:rsidP="00080584">
      <w:pPr>
        <w:spacing w:line="360" w:lineRule="auto"/>
        <w:jc w:val="both"/>
        <w:rPr>
          <w:rFonts w:ascii="Arial" w:hAnsi="Arial" w:cs="Arial"/>
          <w:sz w:val="22"/>
          <w:szCs w:val="22"/>
          <w:lang w:val="bg-BG"/>
        </w:rPr>
      </w:pPr>
    </w:p>
    <w:bookmarkEnd w:id="0"/>
    <w:bookmarkEnd w:id="24"/>
    <w:p w14:paraId="02E0493A" w14:textId="77777777" w:rsidR="008C22E2" w:rsidRPr="001C5299" w:rsidRDefault="008C22E2" w:rsidP="00B4497B">
      <w:pPr>
        <w:spacing w:line="360" w:lineRule="auto"/>
        <w:jc w:val="both"/>
        <w:rPr>
          <w:rFonts w:ascii="Arial" w:hAnsi="Arial" w:cs="Arial"/>
          <w:color w:val="4EA72E" w:themeColor="accent6"/>
          <w:sz w:val="22"/>
          <w:szCs w:val="22"/>
        </w:rPr>
      </w:pPr>
    </w:p>
    <w:p w14:paraId="6BBDC88D" w14:textId="77777777" w:rsidR="008C22E2" w:rsidRPr="001C5299" w:rsidRDefault="008C22E2" w:rsidP="00B4497B">
      <w:pPr>
        <w:spacing w:line="360" w:lineRule="auto"/>
        <w:jc w:val="both"/>
        <w:rPr>
          <w:rFonts w:ascii="Arial" w:hAnsi="Arial" w:cs="Arial"/>
          <w:color w:val="EE0000"/>
          <w:sz w:val="22"/>
          <w:szCs w:val="22"/>
        </w:rPr>
      </w:pPr>
    </w:p>
    <w:p w14:paraId="33BBE05F" w14:textId="56BD9F2D" w:rsidR="002C6B9C" w:rsidRPr="001C5299" w:rsidRDefault="002C6B9C" w:rsidP="002C6B9C">
      <w:pPr>
        <w:pStyle w:val="NoSpacing"/>
        <w:rPr>
          <w:rFonts w:ascii="Arial" w:hAnsi="Arial" w:cs="Arial"/>
          <w:b/>
          <w:bCs/>
          <w:sz w:val="22"/>
          <w:szCs w:val="22"/>
        </w:rPr>
      </w:pPr>
      <w:r w:rsidRPr="001C5299">
        <w:rPr>
          <w:rFonts w:ascii="Arial" w:hAnsi="Arial" w:cs="Arial"/>
          <w:b/>
          <w:bCs/>
          <w:sz w:val="22"/>
          <w:szCs w:val="22"/>
        </w:rPr>
        <w:lastRenderedPageBreak/>
        <w:t>References</w:t>
      </w:r>
      <w:r w:rsidR="00CE6753" w:rsidRPr="001C5299">
        <w:rPr>
          <w:rFonts w:ascii="Arial" w:hAnsi="Arial" w:cs="Arial"/>
          <w:b/>
          <w:bCs/>
          <w:sz w:val="22"/>
          <w:szCs w:val="22"/>
        </w:rPr>
        <w:t>:</w:t>
      </w:r>
    </w:p>
    <w:p w14:paraId="120021BA" w14:textId="77777777" w:rsidR="00AA2C11" w:rsidRPr="001C5299" w:rsidRDefault="00AA2C11" w:rsidP="002C6B9C">
      <w:pPr>
        <w:pStyle w:val="NoSpacing"/>
        <w:rPr>
          <w:rFonts w:ascii="Arial" w:hAnsi="Arial" w:cs="Arial"/>
          <w:b/>
          <w:bCs/>
          <w:sz w:val="22"/>
          <w:szCs w:val="22"/>
        </w:rPr>
      </w:pPr>
    </w:p>
    <w:p w14:paraId="174C5B03" w14:textId="728492ED" w:rsidR="00AA2C11" w:rsidRPr="001C5299" w:rsidRDefault="00AA2C11" w:rsidP="00AA2C11">
      <w:pPr>
        <w:pStyle w:val="NoSpacing"/>
        <w:spacing w:line="360" w:lineRule="auto"/>
        <w:rPr>
          <w:rFonts w:ascii="Arial" w:hAnsi="Arial" w:cs="Arial"/>
          <w:b/>
          <w:bCs/>
          <w:sz w:val="22"/>
          <w:szCs w:val="22"/>
          <w:lang w:val="bg-BG"/>
        </w:rPr>
      </w:pPr>
      <w:r w:rsidRPr="001C5299">
        <w:rPr>
          <w:rFonts w:ascii="Arial" w:hAnsi="Arial" w:cs="Arial"/>
          <w:sz w:val="22"/>
          <w:szCs w:val="22"/>
        </w:rPr>
        <w:t xml:space="preserve">Adams, J., Khan, H.T.A. and Raeside, R. (2014) </w:t>
      </w:r>
      <w:r w:rsidRPr="001C5299">
        <w:rPr>
          <w:rFonts w:ascii="Arial" w:hAnsi="Arial" w:cs="Arial"/>
          <w:i/>
          <w:iCs/>
          <w:sz w:val="22"/>
          <w:szCs w:val="22"/>
        </w:rPr>
        <w:t>Research Methods for Business and Social Science Students.</w:t>
      </w:r>
      <w:r w:rsidRPr="001C5299">
        <w:rPr>
          <w:rFonts w:ascii="Arial" w:hAnsi="Arial" w:cs="Arial"/>
          <w:sz w:val="22"/>
          <w:szCs w:val="22"/>
        </w:rPr>
        <w:t xml:space="preserve"> 2nd ed. New Delhi: Sage Response</w:t>
      </w:r>
    </w:p>
    <w:p w14:paraId="4600AFCC" w14:textId="77777777" w:rsidR="00CE7AC6" w:rsidRPr="001C5299" w:rsidRDefault="00CE7AC6" w:rsidP="002C6B9C">
      <w:pPr>
        <w:pStyle w:val="NoSpacing"/>
        <w:rPr>
          <w:rFonts w:ascii="Arial" w:hAnsi="Arial" w:cs="Arial"/>
          <w:b/>
          <w:bCs/>
          <w:sz w:val="22"/>
          <w:szCs w:val="22"/>
          <w:lang w:val="bg-BG"/>
        </w:rPr>
      </w:pPr>
    </w:p>
    <w:p w14:paraId="73C05289" w14:textId="71E78241" w:rsidR="00CE6753" w:rsidRPr="001C5299" w:rsidRDefault="00CE6753" w:rsidP="00CE7AC6">
      <w:pPr>
        <w:pStyle w:val="NoSpacing"/>
        <w:spacing w:line="360" w:lineRule="auto"/>
        <w:rPr>
          <w:rFonts w:ascii="Arial" w:hAnsi="Arial" w:cs="Arial"/>
          <w:sz w:val="22"/>
          <w:szCs w:val="22"/>
        </w:rPr>
      </w:pPr>
      <w:r w:rsidRPr="001C5299">
        <w:rPr>
          <w:rFonts w:ascii="Arial" w:hAnsi="Arial" w:cs="Arial"/>
          <w:sz w:val="22"/>
          <w:szCs w:val="22"/>
        </w:rPr>
        <w:t>Afua, W., Adeola Olusola Ajayi-Nifise, Bello, G., Tubokirifuruar, S., Olubusola Odeyemi and Titilola Falaiye (2024). Algorithmic Trading and AI: A Review of Strategies and Market Impact. </w:t>
      </w:r>
      <w:r w:rsidRPr="001C5299">
        <w:rPr>
          <w:rFonts w:ascii="Arial" w:hAnsi="Arial" w:cs="Arial"/>
          <w:i/>
          <w:iCs/>
          <w:sz w:val="22"/>
          <w:szCs w:val="22"/>
        </w:rPr>
        <w:t>World Journal of Advanced Engineering Technology and Sciences</w:t>
      </w:r>
      <w:r w:rsidRPr="001C5299">
        <w:rPr>
          <w:rFonts w:ascii="Arial" w:hAnsi="Arial" w:cs="Arial"/>
          <w:sz w:val="22"/>
          <w:szCs w:val="22"/>
        </w:rPr>
        <w:t xml:space="preserve">, 11(1), pp.258–267. </w:t>
      </w:r>
      <w:r w:rsidR="00636B27" w:rsidRPr="001C5299">
        <w:rPr>
          <w:rFonts w:ascii="Arial" w:hAnsi="Arial" w:cs="Arial"/>
          <w:sz w:val="22"/>
          <w:szCs w:val="22"/>
        </w:rPr>
        <w:t>Doi</w:t>
      </w:r>
      <w:r w:rsidRPr="001C5299">
        <w:rPr>
          <w:rFonts w:ascii="Arial" w:hAnsi="Arial" w:cs="Arial"/>
          <w:sz w:val="22"/>
          <w:szCs w:val="22"/>
        </w:rPr>
        <w:t xml:space="preserve">: </w:t>
      </w:r>
      <w:hyperlink r:id="rId9" w:history="1">
        <w:r w:rsidRPr="001C5299">
          <w:rPr>
            <w:rStyle w:val="Hyperlink"/>
            <w:rFonts w:ascii="Arial" w:hAnsi="Arial" w:cs="Arial"/>
            <w:sz w:val="22"/>
            <w:szCs w:val="22"/>
          </w:rPr>
          <w:t>https://doi.org/10.30574/wjaets.2024.11.1.0054</w:t>
        </w:r>
      </w:hyperlink>
      <w:r w:rsidRPr="001C5299">
        <w:rPr>
          <w:rFonts w:ascii="Arial" w:hAnsi="Arial" w:cs="Arial"/>
          <w:sz w:val="22"/>
          <w:szCs w:val="22"/>
        </w:rPr>
        <w:t xml:space="preserve">. </w:t>
      </w:r>
    </w:p>
    <w:p w14:paraId="2D719671" w14:textId="77777777" w:rsidR="00AA2C11" w:rsidRPr="001C5299" w:rsidRDefault="00AA2C11" w:rsidP="00CE7AC6">
      <w:pPr>
        <w:pStyle w:val="NoSpacing"/>
        <w:spacing w:line="360" w:lineRule="auto"/>
        <w:rPr>
          <w:rFonts w:ascii="Arial" w:hAnsi="Arial" w:cs="Arial"/>
          <w:sz w:val="22"/>
          <w:szCs w:val="22"/>
        </w:rPr>
      </w:pPr>
    </w:p>
    <w:p w14:paraId="7D4C9569" w14:textId="5B857AC4" w:rsidR="00AA2C11" w:rsidRPr="001C5299" w:rsidRDefault="00AA2C11" w:rsidP="00CE7AC6">
      <w:pPr>
        <w:pStyle w:val="NoSpacing"/>
        <w:spacing w:line="360" w:lineRule="auto"/>
        <w:rPr>
          <w:rFonts w:ascii="Arial" w:hAnsi="Arial" w:cs="Arial"/>
          <w:sz w:val="22"/>
          <w:szCs w:val="22"/>
        </w:rPr>
      </w:pPr>
      <w:r w:rsidRPr="001C5299">
        <w:rPr>
          <w:rFonts w:ascii="Arial" w:hAnsi="Arial" w:cs="Arial"/>
          <w:sz w:val="22"/>
          <w:szCs w:val="22"/>
        </w:rPr>
        <w:t>Arner, D.W., Barberis, J. and Buckley, R.P. (</w:t>
      </w:r>
      <w:r w:rsidR="00636B27" w:rsidRPr="001C5299">
        <w:rPr>
          <w:rFonts w:ascii="Arial" w:hAnsi="Arial" w:cs="Arial"/>
          <w:sz w:val="22"/>
          <w:szCs w:val="22"/>
        </w:rPr>
        <w:t xml:space="preserve">2017) </w:t>
      </w:r>
      <w:r w:rsidRPr="001C5299">
        <w:rPr>
          <w:rFonts w:ascii="Arial" w:hAnsi="Arial" w:cs="Arial"/>
          <w:sz w:val="22"/>
          <w:szCs w:val="22"/>
        </w:rPr>
        <w:t xml:space="preserve">FinTech, RegTech, and the Reconceptualization of Financial Regulation.’ </w:t>
      </w:r>
      <w:r w:rsidRPr="001C5299">
        <w:rPr>
          <w:rFonts w:ascii="Arial" w:hAnsi="Arial" w:cs="Arial"/>
          <w:i/>
          <w:iCs/>
          <w:sz w:val="22"/>
          <w:szCs w:val="22"/>
        </w:rPr>
        <w:t>Northwestern Journal of International Law and Business,</w:t>
      </w:r>
      <w:r w:rsidRPr="001C5299">
        <w:rPr>
          <w:rFonts w:ascii="Arial" w:hAnsi="Arial" w:cs="Arial"/>
          <w:sz w:val="22"/>
          <w:szCs w:val="22"/>
        </w:rPr>
        <w:t xml:space="preserve"> 42(2), pp.1–38</w:t>
      </w:r>
    </w:p>
    <w:p w14:paraId="3CD4C13D" w14:textId="77777777" w:rsidR="00375161" w:rsidRPr="001C5299" w:rsidRDefault="00375161" w:rsidP="00CE7AC6">
      <w:pPr>
        <w:pStyle w:val="NoSpacing"/>
        <w:spacing w:line="360" w:lineRule="auto"/>
        <w:rPr>
          <w:rFonts w:ascii="Arial" w:hAnsi="Arial" w:cs="Arial"/>
          <w:sz w:val="22"/>
          <w:szCs w:val="22"/>
        </w:rPr>
      </w:pPr>
    </w:p>
    <w:p w14:paraId="6D7FF64F" w14:textId="1B971BB4" w:rsidR="00375161" w:rsidRPr="001C5299" w:rsidRDefault="00375161" w:rsidP="00375161">
      <w:pPr>
        <w:pStyle w:val="NoSpacing"/>
        <w:rPr>
          <w:rFonts w:ascii="Arial" w:hAnsi="Arial" w:cs="Arial"/>
          <w:sz w:val="22"/>
          <w:szCs w:val="22"/>
        </w:rPr>
      </w:pPr>
      <w:r w:rsidRPr="001C5299">
        <w:rPr>
          <w:rFonts w:ascii="Arial" w:hAnsi="Arial" w:cs="Arial"/>
          <w:sz w:val="22"/>
          <w:szCs w:val="22"/>
        </w:rPr>
        <w:t xml:space="preserve">Bank for International Settlements (BIS) (2025) </w:t>
      </w:r>
      <w:r w:rsidRPr="001C5299">
        <w:rPr>
          <w:rFonts w:ascii="Arial" w:hAnsi="Arial" w:cs="Arial"/>
          <w:i/>
          <w:iCs/>
          <w:sz w:val="22"/>
          <w:szCs w:val="22"/>
        </w:rPr>
        <w:t>Triennial Central Bank Survey: Foreign Exchange Turnover in April 2024.</w:t>
      </w:r>
      <w:r w:rsidRPr="001C5299">
        <w:rPr>
          <w:rFonts w:ascii="Arial" w:hAnsi="Arial" w:cs="Arial"/>
          <w:sz w:val="22"/>
          <w:szCs w:val="22"/>
        </w:rPr>
        <w:t xml:space="preserve"> Available at: </w:t>
      </w:r>
      <w:hyperlink r:id="rId10" w:tgtFrame="_new" w:history="1">
        <w:r w:rsidRPr="001C5299">
          <w:rPr>
            <w:rStyle w:val="Hyperlink"/>
            <w:rFonts w:ascii="Arial" w:hAnsi="Arial" w:cs="Arial"/>
            <w:sz w:val="22"/>
            <w:szCs w:val="22"/>
          </w:rPr>
          <w:t>https://www.bis.org/statistics/rpfx25_fx.htm</w:t>
        </w:r>
      </w:hyperlink>
      <w:r w:rsidRPr="001C5299">
        <w:rPr>
          <w:rFonts w:ascii="Arial" w:hAnsi="Arial" w:cs="Arial"/>
          <w:sz w:val="22"/>
          <w:szCs w:val="22"/>
        </w:rPr>
        <w:t>.</w:t>
      </w:r>
    </w:p>
    <w:p w14:paraId="134DAA7E" w14:textId="77777777" w:rsidR="00CE6753" w:rsidRPr="001C5299" w:rsidRDefault="00CE6753" w:rsidP="00CE7AC6">
      <w:pPr>
        <w:pStyle w:val="NoSpacing"/>
        <w:spacing w:line="360" w:lineRule="auto"/>
        <w:rPr>
          <w:rFonts w:ascii="Arial" w:hAnsi="Arial" w:cs="Arial"/>
          <w:sz w:val="22"/>
          <w:szCs w:val="22"/>
        </w:rPr>
      </w:pPr>
    </w:p>
    <w:p w14:paraId="70274834" w14:textId="715BCDB3" w:rsidR="00CE6753" w:rsidRPr="001C5299" w:rsidRDefault="00CE6753" w:rsidP="00375161">
      <w:pPr>
        <w:pStyle w:val="NoSpacing"/>
        <w:spacing w:line="360" w:lineRule="auto"/>
        <w:rPr>
          <w:rFonts w:ascii="Arial" w:hAnsi="Arial" w:cs="Arial"/>
          <w:sz w:val="22"/>
          <w:szCs w:val="22"/>
        </w:rPr>
      </w:pPr>
      <w:r w:rsidRPr="001C5299">
        <w:rPr>
          <w:rFonts w:ascii="Arial" w:hAnsi="Arial" w:cs="Arial"/>
          <w:sz w:val="22"/>
          <w:szCs w:val="22"/>
        </w:rPr>
        <w:t xml:space="preserve">Bhuiyan, M.S.M., Rafi, M.A., Rodrigues, G.N., Mir, M.N.H., Ishraq, A., Mridha, M.F. and Shin, J. (2025). Deep learning for algorithmic trading: A systematic review of predictive models and optimization strategies. </w:t>
      </w:r>
      <w:r w:rsidRPr="001C5299">
        <w:rPr>
          <w:rFonts w:ascii="Arial" w:hAnsi="Arial" w:cs="Arial"/>
          <w:i/>
          <w:iCs/>
          <w:sz w:val="22"/>
          <w:szCs w:val="22"/>
        </w:rPr>
        <w:t>Array</w:t>
      </w:r>
      <w:r w:rsidRPr="001C5299">
        <w:rPr>
          <w:rFonts w:ascii="Arial" w:hAnsi="Arial" w:cs="Arial"/>
          <w:sz w:val="22"/>
          <w:szCs w:val="22"/>
        </w:rPr>
        <w:t xml:space="preserve">, [online] 26, p.100390. </w:t>
      </w:r>
      <w:proofErr w:type="spellStart"/>
      <w:r w:rsidRPr="001C5299">
        <w:rPr>
          <w:rFonts w:ascii="Arial" w:hAnsi="Arial" w:cs="Arial"/>
          <w:sz w:val="22"/>
          <w:szCs w:val="22"/>
        </w:rPr>
        <w:t>doi</w:t>
      </w:r>
      <w:proofErr w:type="spellEnd"/>
      <w:r w:rsidRPr="001C5299">
        <w:rPr>
          <w:rFonts w:ascii="Arial" w:hAnsi="Arial" w:cs="Arial"/>
          <w:sz w:val="22"/>
          <w:szCs w:val="22"/>
        </w:rPr>
        <w:t xml:space="preserve">: </w:t>
      </w:r>
      <w:hyperlink r:id="rId11" w:history="1">
        <w:r w:rsidRPr="001C5299">
          <w:rPr>
            <w:rStyle w:val="Hyperlink"/>
            <w:rFonts w:ascii="Arial" w:hAnsi="Arial" w:cs="Arial"/>
            <w:sz w:val="22"/>
            <w:szCs w:val="22"/>
          </w:rPr>
          <w:t>https://doi.org/10.1016/j.array.2025.100390</w:t>
        </w:r>
      </w:hyperlink>
      <w:r w:rsidRPr="001C5299">
        <w:rPr>
          <w:rFonts w:ascii="Arial" w:hAnsi="Arial" w:cs="Arial"/>
          <w:sz w:val="22"/>
          <w:szCs w:val="22"/>
        </w:rPr>
        <w:t xml:space="preserve">. </w:t>
      </w:r>
    </w:p>
    <w:p w14:paraId="2FAF9F17" w14:textId="75B09001" w:rsidR="00C3415D" w:rsidRPr="001C5299" w:rsidRDefault="00603873" w:rsidP="00CE7AC6">
      <w:pPr>
        <w:pStyle w:val="NoSpacing"/>
        <w:spacing w:line="360" w:lineRule="auto"/>
        <w:rPr>
          <w:rFonts w:ascii="Arial" w:hAnsi="Arial" w:cs="Arial"/>
          <w:sz w:val="22"/>
          <w:szCs w:val="22"/>
        </w:rPr>
      </w:pPr>
      <w:r w:rsidRPr="001C5299">
        <w:rPr>
          <w:rFonts w:ascii="Arial" w:hAnsi="Arial" w:cs="Arial"/>
          <w:sz w:val="22"/>
          <w:szCs w:val="22"/>
        </w:rPr>
        <w:t>Braun, V. and Clarke, V. (</w:t>
      </w:r>
      <w:proofErr w:type="gramStart"/>
      <w:r w:rsidRPr="001C5299">
        <w:rPr>
          <w:rFonts w:ascii="Arial" w:hAnsi="Arial" w:cs="Arial"/>
          <w:sz w:val="22"/>
          <w:szCs w:val="22"/>
        </w:rPr>
        <w:t>2006) ‘</w:t>
      </w:r>
      <w:proofErr w:type="gramEnd"/>
      <w:r w:rsidRPr="001C5299">
        <w:rPr>
          <w:rFonts w:ascii="Arial" w:hAnsi="Arial" w:cs="Arial"/>
          <w:sz w:val="22"/>
          <w:szCs w:val="22"/>
        </w:rPr>
        <w:t xml:space="preserve">Using Thematic Analysis in Psychology.’ </w:t>
      </w:r>
      <w:r w:rsidRPr="001C5299">
        <w:rPr>
          <w:rFonts w:ascii="Arial" w:hAnsi="Arial" w:cs="Arial"/>
          <w:i/>
          <w:iCs/>
          <w:sz w:val="22"/>
          <w:szCs w:val="22"/>
        </w:rPr>
        <w:t>Qualitative Research in Psychology,</w:t>
      </w:r>
      <w:r w:rsidRPr="001C5299">
        <w:rPr>
          <w:rFonts w:ascii="Arial" w:hAnsi="Arial" w:cs="Arial"/>
          <w:sz w:val="22"/>
          <w:szCs w:val="22"/>
        </w:rPr>
        <w:t xml:space="preserve"> 3(2), pp.77–101.</w:t>
      </w:r>
    </w:p>
    <w:p w14:paraId="5E61CC55" w14:textId="77777777" w:rsidR="00603873" w:rsidRPr="001C5299" w:rsidRDefault="00603873" w:rsidP="00603873">
      <w:pPr>
        <w:pStyle w:val="NoSpacing"/>
        <w:rPr>
          <w:rFonts w:ascii="Arial" w:hAnsi="Arial" w:cs="Arial"/>
          <w:sz w:val="22"/>
          <w:szCs w:val="22"/>
        </w:rPr>
      </w:pPr>
      <w:r w:rsidRPr="001C5299">
        <w:rPr>
          <w:rFonts w:ascii="Arial" w:hAnsi="Arial" w:cs="Arial"/>
          <w:sz w:val="22"/>
          <w:szCs w:val="22"/>
        </w:rPr>
        <w:t xml:space="preserve">Brummer, C. and Yadav, Y. (2022) ‘Fintech and the Innovation Trilemma.’ </w:t>
      </w:r>
      <w:r w:rsidRPr="001C5299">
        <w:rPr>
          <w:rFonts w:ascii="Arial" w:hAnsi="Arial" w:cs="Arial"/>
          <w:i/>
          <w:iCs/>
          <w:sz w:val="22"/>
          <w:szCs w:val="22"/>
        </w:rPr>
        <w:t>Georgetown Law Journal,</w:t>
      </w:r>
      <w:r w:rsidRPr="001C5299">
        <w:rPr>
          <w:rFonts w:ascii="Arial" w:hAnsi="Arial" w:cs="Arial"/>
          <w:sz w:val="22"/>
          <w:szCs w:val="22"/>
        </w:rPr>
        <w:t xml:space="preserve"> 131(3), pp.867–915.</w:t>
      </w:r>
    </w:p>
    <w:p w14:paraId="3D1EB711" w14:textId="77777777" w:rsidR="00603873" w:rsidRPr="001C5299" w:rsidRDefault="00603873" w:rsidP="00CE7AC6">
      <w:pPr>
        <w:pStyle w:val="NoSpacing"/>
        <w:spacing w:line="360" w:lineRule="auto"/>
        <w:rPr>
          <w:rFonts w:ascii="Arial" w:hAnsi="Arial" w:cs="Arial"/>
          <w:sz w:val="22"/>
          <w:szCs w:val="22"/>
        </w:rPr>
      </w:pPr>
    </w:p>
    <w:p w14:paraId="05872FB4" w14:textId="77777777" w:rsidR="00603873" w:rsidRPr="001C5299" w:rsidRDefault="00603873" w:rsidP="00603873">
      <w:pPr>
        <w:pStyle w:val="NoSpacing"/>
        <w:rPr>
          <w:rFonts w:ascii="Arial" w:hAnsi="Arial" w:cs="Arial"/>
          <w:sz w:val="22"/>
          <w:szCs w:val="22"/>
        </w:rPr>
      </w:pPr>
      <w:proofErr w:type="spellStart"/>
      <w:r w:rsidRPr="001C5299">
        <w:rPr>
          <w:rFonts w:ascii="Arial" w:hAnsi="Arial" w:cs="Arial"/>
          <w:sz w:val="22"/>
          <w:szCs w:val="22"/>
        </w:rPr>
        <w:t>Chaboud</w:t>
      </w:r>
      <w:proofErr w:type="spellEnd"/>
      <w:r w:rsidRPr="001C5299">
        <w:rPr>
          <w:rFonts w:ascii="Arial" w:hAnsi="Arial" w:cs="Arial"/>
          <w:sz w:val="22"/>
          <w:szCs w:val="22"/>
        </w:rPr>
        <w:t xml:space="preserve">, A.P., </w:t>
      </w:r>
      <w:proofErr w:type="spellStart"/>
      <w:r w:rsidRPr="001C5299">
        <w:rPr>
          <w:rFonts w:ascii="Arial" w:hAnsi="Arial" w:cs="Arial"/>
          <w:sz w:val="22"/>
          <w:szCs w:val="22"/>
        </w:rPr>
        <w:t>Chiquoine</w:t>
      </w:r>
      <w:proofErr w:type="spellEnd"/>
      <w:r w:rsidRPr="001C5299">
        <w:rPr>
          <w:rFonts w:ascii="Arial" w:hAnsi="Arial" w:cs="Arial"/>
          <w:sz w:val="22"/>
          <w:szCs w:val="22"/>
        </w:rPr>
        <w:t xml:space="preserve">, B., Hjalmarsson, E. and Vega, C. (2009) ‘Rise of the Machines: Algorithmic Trading in the Foreign Exchange Market.’ </w:t>
      </w:r>
      <w:r w:rsidRPr="001C5299">
        <w:rPr>
          <w:rFonts w:ascii="Arial" w:hAnsi="Arial" w:cs="Arial"/>
          <w:i/>
          <w:iCs/>
          <w:sz w:val="22"/>
          <w:szCs w:val="22"/>
        </w:rPr>
        <w:t>Journal of Finance,</w:t>
      </w:r>
      <w:r w:rsidRPr="001C5299">
        <w:rPr>
          <w:rFonts w:ascii="Arial" w:hAnsi="Arial" w:cs="Arial"/>
          <w:sz w:val="22"/>
          <w:szCs w:val="22"/>
        </w:rPr>
        <w:t xml:space="preserve"> 69(5), pp.2045–2084.</w:t>
      </w:r>
    </w:p>
    <w:p w14:paraId="1877DCE3" w14:textId="0873A86D" w:rsidR="004148B6" w:rsidRPr="001C5299" w:rsidRDefault="002C6B9C" w:rsidP="00CE7AC6">
      <w:pPr>
        <w:pStyle w:val="NoSpacing"/>
        <w:spacing w:line="360" w:lineRule="auto"/>
        <w:rPr>
          <w:rFonts w:ascii="Arial" w:hAnsi="Arial" w:cs="Arial"/>
          <w:sz w:val="22"/>
          <w:szCs w:val="22"/>
          <w:lang w:val="en-GB"/>
        </w:rPr>
      </w:pPr>
      <w:r w:rsidRPr="001C5299">
        <w:rPr>
          <w:rFonts w:ascii="Arial" w:hAnsi="Arial" w:cs="Arial"/>
          <w:sz w:val="22"/>
          <w:szCs w:val="22"/>
        </w:rPr>
        <w:br/>
      </w:r>
      <w:r w:rsidR="004148B6" w:rsidRPr="001C5299">
        <w:rPr>
          <w:rFonts w:ascii="Arial" w:hAnsi="Arial" w:cs="Arial"/>
          <w:sz w:val="22"/>
          <w:szCs w:val="22"/>
        </w:rPr>
        <w:t xml:space="preserve">Cohen, G. (2022). Algorithmic Trading and Financial Forecasting Using Advanced Artificial Intelligence Methodologies. </w:t>
      </w:r>
      <w:r w:rsidR="004148B6" w:rsidRPr="001C5299">
        <w:rPr>
          <w:rFonts w:ascii="Arial" w:hAnsi="Arial" w:cs="Arial"/>
          <w:i/>
          <w:iCs/>
          <w:sz w:val="22"/>
          <w:szCs w:val="22"/>
        </w:rPr>
        <w:t>Mathematics</w:t>
      </w:r>
      <w:r w:rsidR="004148B6" w:rsidRPr="001C5299">
        <w:rPr>
          <w:rFonts w:ascii="Arial" w:hAnsi="Arial" w:cs="Arial"/>
          <w:sz w:val="22"/>
          <w:szCs w:val="22"/>
        </w:rPr>
        <w:t xml:space="preserve">, [online] 10(18), p.3302. </w:t>
      </w:r>
      <w:r w:rsidR="004148B6" w:rsidRPr="001C5299">
        <w:rPr>
          <w:rFonts w:ascii="Arial" w:hAnsi="Arial" w:cs="Arial"/>
          <w:sz w:val="22"/>
          <w:szCs w:val="22"/>
          <w:lang w:val="bg-BG"/>
        </w:rPr>
        <w:t xml:space="preserve"> </w:t>
      </w:r>
      <w:hyperlink r:id="rId12" w:history="1">
        <w:r w:rsidR="004148B6" w:rsidRPr="001C5299">
          <w:rPr>
            <w:rStyle w:val="Hyperlink"/>
            <w:rFonts w:ascii="Arial" w:hAnsi="Arial" w:cs="Arial"/>
            <w:sz w:val="22"/>
            <w:szCs w:val="22"/>
          </w:rPr>
          <w:t>https://doi.org/10.3390/math1018330</w:t>
        </w:r>
        <w:r w:rsidR="004148B6" w:rsidRPr="001C5299">
          <w:rPr>
            <w:rStyle w:val="Hyperlink"/>
            <w:rFonts w:ascii="Arial" w:hAnsi="Arial" w:cs="Arial"/>
            <w:sz w:val="22"/>
            <w:szCs w:val="22"/>
            <w:lang w:val="bg-BG"/>
          </w:rPr>
          <w:t>2</w:t>
        </w:r>
      </w:hyperlink>
      <w:r w:rsidR="004148B6" w:rsidRPr="001C5299">
        <w:rPr>
          <w:rFonts w:ascii="Arial" w:hAnsi="Arial" w:cs="Arial"/>
          <w:sz w:val="22"/>
          <w:szCs w:val="22"/>
          <w:lang w:val="bg-BG"/>
        </w:rPr>
        <w:t xml:space="preserve">.  </w:t>
      </w:r>
    </w:p>
    <w:p w14:paraId="5115CF93" w14:textId="77777777" w:rsidR="00A364DF" w:rsidRPr="001C5299" w:rsidRDefault="00A364DF" w:rsidP="00CE7AC6">
      <w:pPr>
        <w:pStyle w:val="NoSpacing"/>
        <w:spacing w:line="360" w:lineRule="auto"/>
        <w:rPr>
          <w:rFonts w:ascii="Arial" w:hAnsi="Arial" w:cs="Arial"/>
          <w:sz w:val="22"/>
          <w:szCs w:val="22"/>
          <w:lang w:val="en-GB"/>
        </w:rPr>
      </w:pPr>
    </w:p>
    <w:p w14:paraId="4CBB1D35" w14:textId="0EB3E727" w:rsidR="00A364DF" w:rsidRPr="001C5299" w:rsidRDefault="00A364DF" w:rsidP="00A364DF">
      <w:pPr>
        <w:pStyle w:val="NoSpacing"/>
        <w:spacing w:line="360" w:lineRule="auto"/>
        <w:jc w:val="both"/>
        <w:rPr>
          <w:rFonts w:ascii="Arial" w:hAnsi="Arial" w:cs="Arial"/>
          <w:sz w:val="22"/>
          <w:szCs w:val="22"/>
        </w:rPr>
      </w:pPr>
      <w:r w:rsidRPr="001C5299">
        <w:rPr>
          <w:rFonts w:ascii="Arial" w:hAnsi="Arial" w:cs="Arial"/>
          <w:sz w:val="22"/>
          <w:szCs w:val="22"/>
        </w:rPr>
        <w:t xml:space="preserve">Collis, J. and Hussey, R. (2021) </w:t>
      </w:r>
      <w:r w:rsidRPr="001C5299">
        <w:rPr>
          <w:rFonts w:ascii="Arial" w:hAnsi="Arial" w:cs="Arial"/>
          <w:i/>
          <w:iCs/>
          <w:sz w:val="22"/>
          <w:szCs w:val="22"/>
        </w:rPr>
        <w:t>Business Research: A Practical Guide for Undergraduate and Postgraduate Students.</w:t>
      </w:r>
      <w:r w:rsidRPr="001C5299">
        <w:rPr>
          <w:rFonts w:ascii="Arial" w:hAnsi="Arial" w:cs="Arial"/>
          <w:sz w:val="22"/>
          <w:szCs w:val="22"/>
        </w:rPr>
        <w:t xml:space="preserve"> 5th </w:t>
      </w:r>
      <w:proofErr w:type="spellStart"/>
      <w:r w:rsidRPr="001C5299">
        <w:rPr>
          <w:rFonts w:ascii="Arial" w:hAnsi="Arial" w:cs="Arial"/>
          <w:sz w:val="22"/>
          <w:szCs w:val="22"/>
        </w:rPr>
        <w:t>edn</w:t>
      </w:r>
      <w:proofErr w:type="spellEnd"/>
      <w:r w:rsidRPr="001C5299">
        <w:rPr>
          <w:rFonts w:ascii="Arial" w:hAnsi="Arial" w:cs="Arial"/>
          <w:sz w:val="22"/>
          <w:szCs w:val="22"/>
        </w:rPr>
        <w:t>. London: Bloomsbury Publishing.</w:t>
      </w:r>
    </w:p>
    <w:p w14:paraId="1FFCEC45" w14:textId="77777777" w:rsidR="004148B6" w:rsidRPr="001C5299" w:rsidRDefault="004148B6" w:rsidP="00CE7AC6">
      <w:pPr>
        <w:pStyle w:val="NoSpacing"/>
        <w:spacing w:line="360" w:lineRule="auto"/>
        <w:rPr>
          <w:rFonts w:ascii="Arial" w:hAnsi="Arial" w:cs="Arial"/>
          <w:sz w:val="22"/>
          <w:szCs w:val="22"/>
          <w:lang w:val="bg-BG"/>
        </w:rPr>
      </w:pPr>
    </w:p>
    <w:p w14:paraId="199C5B39" w14:textId="30ABEE5E" w:rsidR="004148B6" w:rsidRPr="001C5299" w:rsidRDefault="004148B6" w:rsidP="00CE7AC6">
      <w:pPr>
        <w:pStyle w:val="NoSpacing"/>
        <w:spacing w:line="360" w:lineRule="auto"/>
        <w:rPr>
          <w:rFonts w:ascii="Arial" w:hAnsi="Arial" w:cs="Arial"/>
          <w:sz w:val="22"/>
          <w:szCs w:val="22"/>
          <w:lang w:val="bg-BG"/>
        </w:rPr>
      </w:pPr>
      <w:r w:rsidRPr="001C5299">
        <w:rPr>
          <w:rFonts w:ascii="Arial" w:hAnsi="Arial" w:cs="Arial"/>
          <w:sz w:val="22"/>
          <w:szCs w:val="22"/>
        </w:rPr>
        <w:lastRenderedPageBreak/>
        <w:t xml:space="preserve">Dakalbab, F., Talib, M.A., Nasir, Q. and </w:t>
      </w:r>
      <w:proofErr w:type="spellStart"/>
      <w:r w:rsidRPr="001C5299">
        <w:rPr>
          <w:rFonts w:ascii="Arial" w:hAnsi="Arial" w:cs="Arial"/>
          <w:sz w:val="22"/>
          <w:szCs w:val="22"/>
        </w:rPr>
        <w:t>Saroufil</w:t>
      </w:r>
      <w:proofErr w:type="spellEnd"/>
      <w:r w:rsidRPr="001C5299">
        <w:rPr>
          <w:rFonts w:ascii="Arial" w:hAnsi="Arial" w:cs="Arial"/>
          <w:sz w:val="22"/>
          <w:szCs w:val="22"/>
        </w:rPr>
        <w:t xml:space="preserve">, T. (2024). Artificial intelligence techniques in financial trading: A systematic literature review. </w:t>
      </w:r>
      <w:r w:rsidRPr="001C5299">
        <w:rPr>
          <w:rFonts w:ascii="Arial" w:hAnsi="Arial" w:cs="Arial"/>
          <w:i/>
          <w:iCs/>
          <w:sz w:val="22"/>
          <w:szCs w:val="22"/>
        </w:rPr>
        <w:t>Journal of King Saud University. Computer and information sciences</w:t>
      </w:r>
      <w:r w:rsidRPr="001C5299">
        <w:rPr>
          <w:rFonts w:ascii="Arial" w:hAnsi="Arial" w:cs="Arial"/>
          <w:sz w:val="22"/>
          <w:szCs w:val="22"/>
        </w:rPr>
        <w:t xml:space="preserve">, [online] 36(3), pp.102015–102015. </w:t>
      </w:r>
      <w:hyperlink r:id="rId13" w:history="1">
        <w:r w:rsidRPr="001C5299">
          <w:rPr>
            <w:rStyle w:val="Hyperlink"/>
            <w:rFonts w:ascii="Arial" w:hAnsi="Arial" w:cs="Arial"/>
            <w:sz w:val="22"/>
            <w:szCs w:val="22"/>
          </w:rPr>
          <w:t>https://doi.org/10.1016/j.jksuci.2024.102015</w:t>
        </w:r>
      </w:hyperlink>
      <w:r w:rsidRPr="001C5299">
        <w:rPr>
          <w:rFonts w:ascii="Arial" w:hAnsi="Arial" w:cs="Arial"/>
          <w:sz w:val="22"/>
          <w:szCs w:val="22"/>
          <w:lang w:val="bg-BG"/>
        </w:rPr>
        <w:t xml:space="preserve"> </w:t>
      </w:r>
    </w:p>
    <w:p w14:paraId="6A4A40A8" w14:textId="1BFC195B" w:rsidR="001E67F7" w:rsidRDefault="004148B6" w:rsidP="00A364DF">
      <w:pPr>
        <w:spacing w:line="360" w:lineRule="auto"/>
        <w:jc w:val="both"/>
        <w:rPr>
          <w:rFonts w:ascii="Arial" w:hAnsi="Arial" w:cs="Arial"/>
          <w:sz w:val="22"/>
          <w:szCs w:val="22"/>
          <w:lang w:val="bg-BG"/>
        </w:rPr>
      </w:pPr>
      <w:r w:rsidRPr="001C5299">
        <w:rPr>
          <w:rFonts w:ascii="Arial" w:hAnsi="Arial" w:cs="Arial"/>
          <w:sz w:val="22"/>
          <w:szCs w:val="22"/>
          <w:lang w:val="bg-BG"/>
        </w:rPr>
        <w:t xml:space="preserve"> </w:t>
      </w:r>
      <w:r w:rsidR="002C6B9C" w:rsidRPr="001C5299">
        <w:rPr>
          <w:rFonts w:ascii="Arial" w:hAnsi="Arial" w:cs="Arial"/>
          <w:sz w:val="22"/>
          <w:szCs w:val="22"/>
        </w:rPr>
        <w:br/>
      </w:r>
      <w:r w:rsidR="00CE7AC6" w:rsidRPr="001C5299">
        <w:rPr>
          <w:rFonts w:ascii="Arial" w:hAnsi="Arial" w:cs="Arial"/>
          <w:sz w:val="22"/>
          <w:szCs w:val="22"/>
        </w:rPr>
        <w:t xml:space="preserve">El Hajj, M. and Hammoud, J. (2023). Unveiling the Influence of Artificial Intelligence and Machine Learning on Financial Markets: A Comprehensive Analysis of AI Applications in Trading, Risk Management, and Financial Operations. </w:t>
      </w:r>
      <w:r w:rsidR="00CE7AC6" w:rsidRPr="001C5299">
        <w:rPr>
          <w:rFonts w:ascii="Arial" w:hAnsi="Arial" w:cs="Arial"/>
          <w:i/>
          <w:iCs/>
          <w:sz w:val="22"/>
          <w:szCs w:val="22"/>
        </w:rPr>
        <w:t>Journal of Risk and Financial Management</w:t>
      </w:r>
      <w:r w:rsidR="00CE7AC6" w:rsidRPr="001C5299">
        <w:rPr>
          <w:rFonts w:ascii="Arial" w:hAnsi="Arial" w:cs="Arial"/>
          <w:sz w:val="22"/>
          <w:szCs w:val="22"/>
        </w:rPr>
        <w:t xml:space="preserve">,16(10), pp.1–16. </w:t>
      </w:r>
      <w:proofErr w:type="spellStart"/>
      <w:r w:rsidR="00CE7AC6" w:rsidRPr="001C5299">
        <w:rPr>
          <w:rFonts w:ascii="Arial" w:hAnsi="Arial" w:cs="Arial"/>
          <w:sz w:val="22"/>
          <w:szCs w:val="22"/>
        </w:rPr>
        <w:t>doi</w:t>
      </w:r>
      <w:proofErr w:type="spellEnd"/>
      <w:r w:rsidR="00CE7AC6" w:rsidRPr="001C5299">
        <w:rPr>
          <w:rFonts w:ascii="Arial" w:hAnsi="Arial" w:cs="Arial"/>
          <w:sz w:val="22"/>
          <w:szCs w:val="22"/>
        </w:rPr>
        <w:t xml:space="preserve">: </w:t>
      </w:r>
      <w:hyperlink r:id="rId14" w:history="1">
        <w:r w:rsidR="00A364DF" w:rsidRPr="001C5299">
          <w:rPr>
            <w:rStyle w:val="Hyperlink"/>
            <w:rFonts w:ascii="Arial" w:hAnsi="Arial" w:cs="Arial"/>
            <w:sz w:val="22"/>
            <w:szCs w:val="22"/>
          </w:rPr>
          <w:t>https://doi.org/10.3390/jrfm16100434</w:t>
        </w:r>
      </w:hyperlink>
      <w:r w:rsidR="00CE7AC6" w:rsidRPr="001C5299">
        <w:rPr>
          <w:rFonts w:ascii="Arial" w:hAnsi="Arial" w:cs="Arial"/>
          <w:sz w:val="22"/>
          <w:szCs w:val="22"/>
        </w:rPr>
        <w:t>.</w:t>
      </w:r>
    </w:p>
    <w:p w14:paraId="14849664" w14:textId="5D463ACA" w:rsidR="00BF366D" w:rsidRPr="001E67F7" w:rsidRDefault="002C6B9C" w:rsidP="00A364DF">
      <w:pPr>
        <w:spacing w:line="360" w:lineRule="auto"/>
        <w:jc w:val="both"/>
        <w:rPr>
          <w:rFonts w:ascii="Arial" w:hAnsi="Arial" w:cs="Arial"/>
          <w:sz w:val="22"/>
          <w:szCs w:val="22"/>
        </w:rPr>
      </w:pPr>
      <w:r w:rsidRPr="001C5299">
        <w:rPr>
          <w:rFonts w:ascii="Arial" w:hAnsi="Arial" w:cs="Arial"/>
          <w:sz w:val="22"/>
          <w:szCs w:val="22"/>
        </w:rPr>
        <w:br/>
        <w:t>ECB (2023)</w:t>
      </w:r>
      <w:r w:rsidR="00724E60" w:rsidRPr="001C5299">
        <w:rPr>
          <w:rFonts w:ascii="Arial" w:hAnsi="Arial" w:cs="Arial"/>
          <w:sz w:val="22"/>
          <w:szCs w:val="22"/>
          <w:lang w:val="bg-BG"/>
        </w:rPr>
        <w:t xml:space="preserve"> </w:t>
      </w:r>
      <w:r w:rsidRPr="001C5299">
        <w:rPr>
          <w:rFonts w:ascii="Arial" w:hAnsi="Arial" w:cs="Arial"/>
          <w:sz w:val="22"/>
          <w:szCs w:val="22"/>
        </w:rPr>
        <w:t>Financial Stability</w:t>
      </w:r>
      <w:r w:rsidR="00724E60" w:rsidRPr="001C5299">
        <w:rPr>
          <w:rFonts w:ascii="Arial" w:hAnsi="Arial" w:cs="Arial"/>
          <w:sz w:val="22"/>
          <w:szCs w:val="22"/>
          <w:lang w:val="bg-BG"/>
        </w:rPr>
        <w:t xml:space="preserve"> </w:t>
      </w:r>
      <w:r w:rsidR="00724E60" w:rsidRPr="001C5299">
        <w:rPr>
          <w:rFonts w:ascii="Arial" w:hAnsi="Arial" w:cs="Arial"/>
          <w:sz w:val="22"/>
          <w:szCs w:val="22"/>
          <w:lang w:val="en-GB"/>
        </w:rPr>
        <w:t>Review</w:t>
      </w:r>
      <w:r w:rsidRPr="001C5299">
        <w:rPr>
          <w:rFonts w:ascii="Arial" w:hAnsi="Arial" w:cs="Arial"/>
          <w:sz w:val="22"/>
          <w:szCs w:val="22"/>
        </w:rPr>
        <w:t>.</w:t>
      </w:r>
      <w:r w:rsidRPr="001C5299">
        <w:rPr>
          <w:rFonts w:ascii="Arial" w:hAnsi="Arial" w:cs="Arial"/>
          <w:i/>
          <w:iCs/>
          <w:sz w:val="22"/>
          <w:szCs w:val="22"/>
        </w:rPr>
        <w:t xml:space="preserve"> European Central Bank Report.</w:t>
      </w:r>
      <w:r w:rsidR="00724E60" w:rsidRPr="001C5299">
        <w:rPr>
          <w:rFonts w:ascii="Arial" w:hAnsi="Arial" w:cs="Arial"/>
          <w:i/>
          <w:iCs/>
          <w:sz w:val="22"/>
          <w:szCs w:val="22"/>
        </w:rPr>
        <w:t xml:space="preserve"> </w:t>
      </w:r>
      <w:r w:rsidR="00724E60" w:rsidRPr="001C5299">
        <w:rPr>
          <w:rFonts w:ascii="Arial" w:hAnsi="Arial" w:cs="Arial"/>
          <w:sz w:val="22"/>
          <w:szCs w:val="22"/>
        </w:rPr>
        <w:t xml:space="preserve">Available at: </w:t>
      </w:r>
      <w:hyperlink r:id="rId15" w:history="1">
        <w:r w:rsidR="00607DD8" w:rsidRPr="001C5299">
          <w:rPr>
            <w:rStyle w:val="Hyperlink"/>
            <w:rFonts w:ascii="Arial" w:hAnsi="Arial" w:cs="Arial"/>
            <w:sz w:val="22"/>
            <w:szCs w:val="22"/>
          </w:rPr>
          <w:t>https://www.ecb.europa.eu/pub/pdf/fsr/ecb.fsr202311~bfe9d7c565.en.pdf</w:t>
        </w:r>
      </w:hyperlink>
      <w:r w:rsidR="00724E60" w:rsidRPr="001C5299">
        <w:rPr>
          <w:rFonts w:ascii="Arial" w:hAnsi="Arial" w:cs="Arial"/>
          <w:sz w:val="22"/>
          <w:szCs w:val="22"/>
          <w:lang w:val="bg-BG"/>
        </w:rPr>
        <w:t xml:space="preserve"> </w:t>
      </w:r>
    </w:p>
    <w:p w14:paraId="7726F154" w14:textId="77777777" w:rsidR="00A364DF" w:rsidRPr="001C5299" w:rsidRDefault="00A364DF" w:rsidP="00214AE0">
      <w:pPr>
        <w:pStyle w:val="NoSpacing"/>
        <w:spacing w:line="360" w:lineRule="auto"/>
        <w:jc w:val="both"/>
        <w:rPr>
          <w:rFonts w:ascii="Arial" w:hAnsi="Arial" w:cs="Arial"/>
          <w:sz w:val="22"/>
          <w:szCs w:val="22"/>
        </w:rPr>
      </w:pPr>
      <w:r w:rsidRPr="001C5299">
        <w:rPr>
          <w:rFonts w:ascii="Arial" w:hAnsi="Arial" w:cs="Arial"/>
          <w:sz w:val="22"/>
          <w:szCs w:val="22"/>
        </w:rPr>
        <w:t xml:space="preserve">ECB (2023) </w:t>
      </w:r>
      <w:r w:rsidRPr="001C5299">
        <w:rPr>
          <w:rFonts w:ascii="Arial" w:hAnsi="Arial" w:cs="Arial"/>
          <w:i/>
          <w:iCs/>
          <w:sz w:val="22"/>
          <w:szCs w:val="22"/>
        </w:rPr>
        <w:t>Artificial Intelligence and Financial Stability.</w:t>
      </w:r>
      <w:r w:rsidRPr="001C5299">
        <w:rPr>
          <w:rFonts w:ascii="Arial" w:hAnsi="Arial" w:cs="Arial"/>
          <w:sz w:val="22"/>
          <w:szCs w:val="22"/>
        </w:rPr>
        <w:t xml:space="preserve"> European Central Bank Report.</w:t>
      </w:r>
    </w:p>
    <w:p w14:paraId="3EB31484" w14:textId="1C2B8950" w:rsidR="00A364DF" w:rsidRPr="001C5299" w:rsidRDefault="00A364DF" w:rsidP="00214AE0">
      <w:pPr>
        <w:pStyle w:val="NoSpacing"/>
        <w:spacing w:line="360" w:lineRule="auto"/>
        <w:jc w:val="both"/>
        <w:rPr>
          <w:rFonts w:ascii="Arial" w:hAnsi="Arial" w:cs="Arial"/>
          <w:sz w:val="22"/>
          <w:szCs w:val="22"/>
        </w:rPr>
      </w:pPr>
      <w:r w:rsidRPr="001C5299">
        <w:rPr>
          <w:rFonts w:ascii="Arial" w:hAnsi="Arial" w:cs="Arial"/>
          <w:sz w:val="22"/>
          <w:szCs w:val="22"/>
        </w:rPr>
        <w:t>El Hajj, M. and Hammoud, J. (</w:t>
      </w:r>
      <w:r w:rsidR="00214AE0" w:rsidRPr="001C5299">
        <w:rPr>
          <w:rFonts w:ascii="Arial" w:hAnsi="Arial" w:cs="Arial"/>
          <w:sz w:val="22"/>
          <w:szCs w:val="22"/>
        </w:rPr>
        <w:t xml:space="preserve">2023) </w:t>
      </w:r>
      <w:r w:rsidRPr="001C5299">
        <w:rPr>
          <w:rFonts w:ascii="Arial" w:hAnsi="Arial" w:cs="Arial"/>
          <w:sz w:val="22"/>
          <w:szCs w:val="22"/>
        </w:rPr>
        <w:t xml:space="preserve">Unveiling the Influence of Artificial Intelligence and Machine Learning on Financial Markets: A Comprehensive Analysis of AI Applications in Trading, Risk Management, and Financial Operations.’ </w:t>
      </w:r>
      <w:r w:rsidRPr="001C5299">
        <w:rPr>
          <w:rFonts w:ascii="Arial" w:hAnsi="Arial" w:cs="Arial"/>
          <w:i/>
          <w:iCs/>
          <w:sz w:val="22"/>
          <w:szCs w:val="22"/>
        </w:rPr>
        <w:t>Journal of Risk and Financial Management,</w:t>
      </w:r>
      <w:r w:rsidRPr="001C5299">
        <w:rPr>
          <w:rFonts w:ascii="Arial" w:hAnsi="Arial" w:cs="Arial"/>
          <w:sz w:val="22"/>
          <w:szCs w:val="22"/>
        </w:rPr>
        <w:t xml:space="preserve"> 16(10), pp.1–16.</w:t>
      </w:r>
    </w:p>
    <w:p w14:paraId="005101FD" w14:textId="77777777" w:rsidR="000850B4" w:rsidRPr="001C5299" w:rsidRDefault="000850B4" w:rsidP="00A364DF">
      <w:pPr>
        <w:pStyle w:val="NoSpacing"/>
        <w:rPr>
          <w:rFonts w:ascii="Arial" w:hAnsi="Arial" w:cs="Arial"/>
          <w:sz w:val="22"/>
          <w:szCs w:val="22"/>
        </w:rPr>
      </w:pPr>
    </w:p>
    <w:p w14:paraId="67767429" w14:textId="3C29D0B7" w:rsidR="000850B4" w:rsidRPr="001C5299" w:rsidRDefault="000850B4" w:rsidP="000850B4">
      <w:pPr>
        <w:pStyle w:val="NoSpacing"/>
        <w:rPr>
          <w:rFonts w:ascii="Arial" w:hAnsi="Arial" w:cs="Arial"/>
          <w:sz w:val="22"/>
          <w:szCs w:val="22"/>
          <w:lang w:val="bg-BG"/>
        </w:rPr>
      </w:pPr>
      <w:r w:rsidRPr="001C5299">
        <w:rPr>
          <w:rFonts w:ascii="Arial" w:hAnsi="Arial" w:cs="Arial"/>
          <w:sz w:val="22"/>
          <w:szCs w:val="22"/>
        </w:rPr>
        <w:t xml:space="preserve">Financial Stability Board (FSB) (2024). </w:t>
      </w:r>
      <w:r w:rsidRPr="001C5299">
        <w:rPr>
          <w:rFonts w:ascii="Arial" w:hAnsi="Arial" w:cs="Arial"/>
          <w:i/>
          <w:iCs/>
          <w:sz w:val="22"/>
          <w:szCs w:val="22"/>
        </w:rPr>
        <w:t>The Financial Stability Implications of Artificial Intelligence</w:t>
      </w:r>
      <w:r w:rsidRPr="001C5299">
        <w:rPr>
          <w:rFonts w:ascii="Arial" w:hAnsi="Arial" w:cs="Arial"/>
          <w:sz w:val="22"/>
          <w:szCs w:val="22"/>
        </w:rPr>
        <w:t xml:space="preserve">. [online] Available at: </w:t>
      </w:r>
      <w:hyperlink r:id="rId16" w:history="1">
        <w:r w:rsidR="00A569A5" w:rsidRPr="001C5299">
          <w:rPr>
            <w:rStyle w:val="Hyperlink"/>
            <w:rFonts w:ascii="Arial" w:hAnsi="Arial" w:cs="Arial"/>
            <w:sz w:val="22"/>
            <w:szCs w:val="22"/>
          </w:rPr>
          <w:t>https://www.fsb.org/uploads/P14112024.pdf</w:t>
        </w:r>
      </w:hyperlink>
      <w:r w:rsidRPr="001C5299">
        <w:rPr>
          <w:rFonts w:ascii="Arial" w:hAnsi="Arial" w:cs="Arial"/>
          <w:sz w:val="22"/>
          <w:szCs w:val="22"/>
        </w:rPr>
        <w:t>.</w:t>
      </w:r>
    </w:p>
    <w:p w14:paraId="5C076AD1" w14:textId="77777777" w:rsidR="00C41AEE" w:rsidRPr="001C5299" w:rsidRDefault="00C41AEE" w:rsidP="000850B4">
      <w:pPr>
        <w:pStyle w:val="NoSpacing"/>
        <w:rPr>
          <w:rFonts w:ascii="Arial" w:hAnsi="Arial" w:cs="Arial"/>
          <w:sz w:val="22"/>
          <w:szCs w:val="22"/>
          <w:lang w:val="bg-BG"/>
        </w:rPr>
      </w:pPr>
    </w:p>
    <w:p w14:paraId="5BDF7087" w14:textId="712BDC7F" w:rsidR="00C41AEE" w:rsidRPr="001C5299" w:rsidRDefault="00C41AEE" w:rsidP="000850B4">
      <w:pPr>
        <w:pStyle w:val="NoSpacing"/>
        <w:rPr>
          <w:rFonts w:ascii="Arial" w:hAnsi="Arial" w:cs="Arial"/>
          <w:sz w:val="22"/>
          <w:szCs w:val="22"/>
          <w:lang w:val="bg-BG"/>
        </w:rPr>
      </w:pPr>
      <w:r w:rsidRPr="001C5299">
        <w:rPr>
          <w:rFonts w:ascii="Arial" w:hAnsi="Arial" w:cs="Arial"/>
          <w:sz w:val="22"/>
          <w:szCs w:val="22"/>
        </w:rPr>
        <w:t xml:space="preserve">Golafshani, N. (2003). Understanding Reliability and Validity in Qualitative Research. </w:t>
      </w:r>
      <w:r w:rsidRPr="001C5299">
        <w:rPr>
          <w:rFonts w:ascii="Arial" w:hAnsi="Arial" w:cs="Arial"/>
          <w:i/>
          <w:iCs/>
          <w:sz w:val="22"/>
          <w:szCs w:val="22"/>
        </w:rPr>
        <w:t>The Qualitative Report</w:t>
      </w:r>
      <w:r w:rsidRPr="001C5299">
        <w:rPr>
          <w:rFonts w:ascii="Arial" w:hAnsi="Arial" w:cs="Arial"/>
          <w:sz w:val="22"/>
          <w:szCs w:val="22"/>
        </w:rPr>
        <w:t xml:space="preserve">, [online] 8(4), pp.597–606. </w:t>
      </w:r>
      <w:proofErr w:type="spellStart"/>
      <w:r w:rsidR="00B028F6" w:rsidRPr="001C5299">
        <w:rPr>
          <w:rFonts w:ascii="Arial" w:hAnsi="Arial" w:cs="Arial"/>
          <w:sz w:val="22"/>
          <w:szCs w:val="22"/>
        </w:rPr>
        <w:t>doi</w:t>
      </w:r>
      <w:proofErr w:type="spellEnd"/>
      <w:r w:rsidR="00B028F6" w:rsidRPr="001C5299">
        <w:rPr>
          <w:rFonts w:ascii="Arial" w:hAnsi="Arial" w:cs="Arial"/>
          <w:sz w:val="22"/>
          <w:szCs w:val="22"/>
        </w:rPr>
        <w:t xml:space="preserve">: </w:t>
      </w:r>
      <w:hyperlink r:id="rId17" w:history="1">
        <w:r w:rsidR="00B028F6" w:rsidRPr="00D07E8E">
          <w:rPr>
            <w:rStyle w:val="Hyperlink"/>
            <w:rFonts w:ascii="Arial" w:hAnsi="Arial" w:cs="Arial"/>
            <w:sz w:val="22"/>
            <w:szCs w:val="22"/>
          </w:rPr>
          <w:t>https://doi.org/10.46743/2160-3715/2003.1870</w:t>
        </w:r>
      </w:hyperlink>
      <w:r w:rsidRPr="001C5299">
        <w:rPr>
          <w:rFonts w:ascii="Arial" w:hAnsi="Arial" w:cs="Arial"/>
          <w:sz w:val="22"/>
          <w:szCs w:val="22"/>
        </w:rPr>
        <w:t>.</w:t>
      </w:r>
      <w:r w:rsidR="00B028F6">
        <w:rPr>
          <w:rFonts w:ascii="Arial" w:hAnsi="Arial" w:cs="Arial"/>
          <w:sz w:val="22"/>
          <w:szCs w:val="22"/>
        </w:rPr>
        <w:t xml:space="preserve"> </w:t>
      </w:r>
    </w:p>
    <w:p w14:paraId="209F034D" w14:textId="77777777" w:rsidR="00A569A5" w:rsidRPr="001C5299" w:rsidRDefault="00A569A5" w:rsidP="000850B4">
      <w:pPr>
        <w:pStyle w:val="NoSpacing"/>
        <w:rPr>
          <w:rFonts w:ascii="Arial" w:hAnsi="Arial" w:cs="Arial"/>
          <w:sz w:val="22"/>
          <w:szCs w:val="22"/>
        </w:rPr>
      </w:pPr>
    </w:p>
    <w:p w14:paraId="52E12FEC" w14:textId="18F70501" w:rsidR="00A569A5" w:rsidRPr="001C5299" w:rsidRDefault="00A569A5" w:rsidP="00A569A5">
      <w:pPr>
        <w:pStyle w:val="NoSpacing"/>
        <w:rPr>
          <w:rFonts w:ascii="Arial" w:hAnsi="Arial" w:cs="Arial"/>
          <w:sz w:val="22"/>
          <w:szCs w:val="22"/>
        </w:rPr>
      </w:pPr>
      <w:r w:rsidRPr="001C5299">
        <w:rPr>
          <w:rFonts w:ascii="Arial" w:hAnsi="Arial" w:cs="Arial"/>
          <w:sz w:val="22"/>
          <w:szCs w:val="22"/>
        </w:rPr>
        <w:t xml:space="preserve">Hendershott, T., Jones, C.M. and </w:t>
      </w:r>
      <w:proofErr w:type="spellStart"/>
      <w:r w:rsidRPr="001C5299">
        <w:rPr>
          <w:rFonts w:ascii="Arial" w:hAnsi="Arial" w:cs="Arial"/>
          <w:sz w:val="22"/>
          <w:szCs w:val="22"/>
        </w:rPr>
        <w:t>Menkveld</w:t>
      </w:r>
      <w:proofErr w:type="spellEnd"/>
      <w:r w:rsidRPr="001C5299">
        <w:rPr>
          <w:rFonts w:ascii="Arial" w:hAnsi="Arial" w:cs="Arial"/>
          <w:sz w:val="22"/>
          <w:szCs w:val="22"/>
        </w:rPr>
        <w:t>, A.J. (</w:t>
      </w:r>
      <w:r w:rsidR="00214AE0" w:rsidRPr="001C5299">
        <w:rPr>
          <w:rFonts w:ascii="Arial" w:hAnsi="Arial" w:cs="Arial"/>
          <w:sz w:val="22"/>
          <w:szCs w:val="22"/>
        </w:rPr>
        <w:t xml:space="preserve">2011) </w:t>
      </w:r>
      <w:r w:rsidRPr="001C5299">
        <w:rPr>
          <w:rFonts w:ascii="Arial" w:hAnsi="Arial" w:cs="Arial"/>
          <w:sz w:val="22"/>
          <w:szCs w:val="22"/>
        </w:rPr>
        <w:t xml:space="preserve">Does Algorithmic Trading Improve Liquidity?’ </w:t>
      </w:r>
      <w:r w:rsidRPr="001C5299">
        <w:rPr>
          <w:rFonts w:ascii="Arial" w:hAnsi="Arial" w:cs="Arial"/>
          <w:i/>
          <w:iCs/>
          <w:sz w:val="22"/>
          <w:szCs w:val="22"/>
        </w:rPr>
        <w:t>The Journal of Finance,</w:t>
      </w:r>
      <w:r w:rsidRPr="001C5299">
        <w:rPr>
          <w:rFonts w:ascii="Arial" w:hAnsi="Arial" w:cs="Arial"/>
          <w:sz w:val="22"/>
          <w:szCs w:val="22"/>
        </w:rPr>
        <w:t xml:space="preserve"> 66(1), pp.1–33.</w:t>
      </w:r>
    </w:p>
    <w:p w14:paraId="6C511517" w14:textId="77777777" w:rsidR="00724E60" w:rsidRPr="001E67F7" w:rsidRDefault="00724E60" w:rsidP="002C6B9C">
      <w:pPr>
        <w:pStyle w:val="NoSpacing"/>
        <w:rPr>
          <w:rFonts w:ascii="Arial" w:hAnsi="Arial" w:cs="Arial"/>
          <w:sz w:val="22"/>
          <w:szCs w:val="22"/>
          <w:lang w:val="bg-BG"/>
        </w:rPr>
      </w:pPr>
    </w:p>
    <w:p w14:paraId="48B97A8C" w14:textId="77777777" w:rsidR="00066A5C" w:rsidRPr="001C5299" w:rsidRDefault="00066A5C" w:rsidP="00066A5C">
      <w:pPr>
        <w:pStyle w:val="NoSpacing"/>
        <w:rPr>
          <w:rFonts w:ascii="Arial" w:hAnsi="Arial" w:cs="Arial"/>
          <w:sz w:val="22"/>
          <w:szCs w:val="22"/>
        </w:rPr>
      </w:pPr>
      <w:r w:rsidRPr="001C5299">
        <w:rPr>
          <w:rFonts w:ascii="Arial" w:hAnsi="Arial" w:cs="Arial"/>
          <w:sz w:val="22"/>
          <w:szCs w:val="22"/>
        </w:rPr>
        <w:t xml:space="preserve">Khalil, M.A., Padmanabhan, R., Hadid, M., Adel Elomri and </w:t>
      </w:r>
      <w:proofErr w:type="spellStart"/>
      <w:r w:rsidRPr="001C5299">
        <w:rPr>
          <w:rFonts w:ascii="Arial" w:hAnsi="Arial" w:cs="Arial"/>
          <w:sz w:val="22"/>
          <w:szCs w:val="22"/>
        </w:rPr>
        <w:t>Laoucine</w:t>
      </w:r>
      <w:proofErr w:type="spellEnd"/>
      <w:r w:rsidRPr="001C5299">
        <w:rPr>
          <w:rFonts w:ascii="Arial" w:hAnsi="Arial" w:cs="Arial"/>
          <w:sz w:val="22"/>
          <w:szCs w:val="22"/>
        </w:rPr>
        <w:t xml:space="preserve"> </w:t>
      </w:r>
      <w:proofErr w:type="spellStart"/>
      <w:r w:rsidRPr="001C5299">
        <w:rPr>
          <w:rFonts w:ascii="Arial" w:hAnsi="Arial" w:cs="Arial"/>
          <w:sz w:val="22"/>
          <w:szCs w:val="22"/>
        </w:rPr>
        <w:t>Kerbache</w:t>
      </w:r>
      <w:proofErr w:type="spellEnd"/>
      <w:r w:rsidRPr="001C5299">
        <w:rPr>
          <w:rFonts w:ascii="Arial" w:hAnsi="Arial" w:cs="Arial"/>
          <w:sz w:val="22"/>
          <w:szCs w:val="22"/>
        </w:rPr>
        <w:t xml:space="preserve"> (2025). AI driven transformation in trade finance: A roadmap for automating letter of credit document examination. </w:t>
      </w:r>
      <w:r w:rsidRPr="001C5299">
        <w:rPr>
          <w:rFonts w:ascii="Arial" w:hAnsi="Arial" w:cs="Arial"/>
          <w:i/>
          <w:iCs/>
          <w:sz w:val="22"/>
          <w:szCs w:val="22"/>
        </w:rPr>
        <w:t>Digital Business</w:t>
      </w:r>
      <w:r w:rsidRPr="001C5299">
        <w:rPr>
          <w:rFonts w:ascii="Arial" w:hAnsi="Arial" w:cs="Arial"/>
          <w:sz w:val="22"/>
          <w:szCs w:val="22"/>
        </w:rPr>
        <w:t xml:space="preserve">, 5(2), pp.100130–100130. </w:t>
      </w:r>
      <w:proofErr w:type="spellStart"/>
      <w:proofErr w:type="gramStart"/>
      <w:r w:rsidRPr="001C5299">
        <w:rPr>
          <w:rFonts w:ascii="Arial" w:hAnsi="Arial" w:cs="Arial"/>
          <w:sz w:val="22"/>
          <w:szCs w:val="22"/>
        </w:rPr>
        <w:t>doi:https</w:t>
      </w:r>
      <w:proofErr w:type="spellEnd"/>
      <w:r w:rsidRPr="001C5299">
        <w:rPr>
          <w:rFonts w:ascii="Arial" w:hAnsi="Arial" w:cs="Arial"/>
          <w:sz w:val="22"/>
          <w:szCs w:val="22"/>
        </w:rPr>
        <w:t>://doi.org/10.1016/j.digbus.2025.100130</w:t>
      </w:r>
      <w:proofErr w:type="gramEnd"/>
      <w:r w:rsidRPr="001C5299">
        <w:rPr>
          <w:rFonts w:ascii="Arial" w:hAnsi="Arial" w:cs="Arial"/>
          <w:sz w:val="22"/>
          <w:szCs w:val="22"/>
        </w:rPr>
        <w:t>.</w:t>
      </w:r>
    </w:p>
    <w:p w14:paraId="04E10CEC" w14:textId="77777777" w:rsidR="00066A5C" w:rsidRPr="001C5299" w:rsidRDefault="00066A5C" w:rsidP="002C6B9C">
      <w:pPr>
        <w:pStyle w:val="NoSpacing"/>
        <w:rPr>
          <w:rFonts w:ascii="Arial" w:hAnsi="Arial" w:cs="Arial"/>
          <w:sz w:val="22"/>
          <w:szCs w:val="22"/>
          <w:lang w:val="en-GB"/>
        </w:rPr>
      </w:pPr>
    </w:p>
    <w:p w14:paraId="6FFBE536" w14:textId="498C7FE8" w:rsidR="004A4A73" w:rsidRDefault="00A569A5" w:rsidP="002C6B9C">
      <w:pPr>
        <w:pStyle w:val="NoSpacing"/>
        <w:rPr>
          <w:rFonts w:ascii="Arial" w:hAnsi="Arial" w:cs="Arial"/>
          <w:sz w:val="22"/>
          <w:szCs w:val="22"/>
          <w:lang w:val="bg-BG"/>
        </w:rPr>
      </w:pPr>
      <w:r w:rsidRPr="001C5299">
        <w:rPr>
          <w:rFonts w:ascii="Arial" w:hAnsi="Arial" w:cs="Arial"/>
          <w:sz w:val="22"/>
          <w:szCs w:val="22"/>
        </w:rPr>
        <w:t xml:space="preserve">Kirilenko, A., Kyle, A.S., Samadi, M. and </w:t>
      </w:r>
      <w:proofErr w:type="spellStart"/>
      <w:r w:rsidRPr="001C5299">
        <w:rPr>
          <w:rFonts w:ascii="Arial" w:hAnsi="Arial" w:cs="Arial"/>
          <w:sz w:val="22"/>
          <w:szCs w:val="22"/>
        </w:rPr>
        <w:t>Tuzun</w:t>
      </w:r>
      <w:proofErr w:type="spellEnd"/>
      <w:r w:rsidRPr="001C5299">
        <w:rPr>
          <w:rFonts w:ascii="Arial" w:hAnsi="Arial" w:cs="Arial"/>
          <w:sz w:val="22"/>
          <w:szCs w:val="22"/>
        </w:rPr>
        <w:t>, T. (</w:t>
      </w:r>
      <w:proofErr w:type="gramStart"/>
      <w:r w:rsidRPr="001C5299">
        <w:rPr>
          <w:rFonts w:ascii="Arial" w:hAnsi="Arial" w:cs="Arial"/>
          <w:sz w:val="22"/>
          <w:szCs w:val="22"/>
        </w:rPr>
        <w:t>2017) ‘</w:t>
      </w:r>
      <w:proofErr w:type="gramEnd"/>
      <w:r w:rsidRPr="001C5299">
        <w:rPr>
          <w:rFonts w:ascii="Arial" w:hAnsi="Arial" w:cs="Arial"/>
          <w:sz w:val="22"/>
          <w:szCs w:val="22"/>
        </w:rPr>
        <w:t xml:space="preserve">The Flash Crash: The Impact of High Frequency Trading on an Electronic Market.’ </w:t>
      </w:r>
      <w:r w:rsidRPr="001C5299">
        <w:rPr>
          <w:rFonts w:ascii="Arial" w:hAnsi="Arial" w:cs="Arial"/>
          <w:i/>
          <w:iCs/>
          <w:sz w:val="22"/>
          <w:szCs w:val="22"/>
        </w:rPr>
        <w:t>Journal of Finance,</w:t>
      </w:r>
      <w:r w:rsidRPr="001C5299">
        <w:rPr>
          <w:rFonts w:ascii="Arial" w:hAnsi="Arial" w:cs="Arial"/>
          <w:sz w:val="22"/>
          <w:szCs w:val="22"/>
        </w:rPr>
        <w:t xml:space="preserve"> 72(3), pp.967–998.</w:t>
      </w:r>
    </w:p>
    <w:p w14:paraId="45356755" w14:textId="77777777" w:rsidR="001E67F7" w:rsidRPr="001E67F7" w:rsidRDefault="001E67F7" w:rsidP="002C6B9C">
      <w:pPr>
        <w:pStyle w:val="NoSpacing"/>
        <w:rPr>
          <w:rFonts w:ascii="Arial" w:hAnsi="Arial" w:cs="Arial"/>
          <w:sz w:val="22"/>
          <w:szCs w:val="22"/>
          <w:lang w:val="bg-BG"/>
        </w:rPr>
      </w:pPr>
    </w:p>
    <w:p w14:paraId="25993369" w14:textId="7040AC6C" w:rsidR="00010824" w:rsidRPr="001C5299" w:rsidRDefault="00010824" w:rsidP="00010824">
      <w:pPr>
        <w:pStyle w:val="NoSpacing"/>
        <w:rPr>
          <w:rFonts w:ascii="Arial" w:hAnsi="Arial" w:cs="Arial"/>
          <w:sz w:val="22"/>
          <w:szCs w:val="22"/>
        </w:rPr>
      </w:pPr>
      <w:r w:rsidRPr="0085429F">
        <w:rPr>
          <w:rFonts w:ascii="Arial" w:hAnsi="Arial" w:cs="Arial"/>
          <w:sz w:val="22"/>
          <w:szCs w:val="22"/>
        </w:rPr>
        <w:t>Leitner, G., Singh,</w:t>
      </w:r>
      <w:r w:rsidRPr="001C5299">
        <w:rPr>
          <w:rFonts w:ascii="Arial" w:hAnsi="Arial" w:cs="Arial"/>
          <w:sz w:val="22"/>
          <w:szCs w:val="22"/>
        </w:rPr>
        <w:t xml:space="preserve"> J., van der </w:t>
      </w:r>
      <w:proofErr w:type="spellStart"/>
      <w:r w:rsidRPr="001C5299">
        <w:rPr>
          <w:rFonts w:ascii="Arial" w:hAnsi="Arial" w:cs="Arial"/>
          <w:sz w:val="22"/>
          <w:szCs w:val="22"/>
        </w:rPr>
        <w:t>Kraaij</w:t>
      </w:r>
      <w:proofErr w:type="spellEnd"/>
      <w:r w:rsidRPr="001C5299">
        <w:rPr>
          <w:rFonts w:ascii="Arial" w:hAnsi="Arial" w:cs="Arial"/>
          <w:sz w:val="22"/>
          <w:szCs w:val="22"/>
        </w:rPr>
        <w:t xml:space="preserve">, A. and Zsámboki, B. (2024). The rise of artificial intelligence: benefits and risks for financial stability. </w:t>
      </w:r>
      <w:r w:rsidRPr="001C5299">
        <w:rPr>
          <w:rFonts w:ascii="Arial" w:hAnsi="Arial" w:cs="Arial"/>
          <w:i/>
          <w:iCs/>
          <w:sz w:val="22"/>
          <w:szCs w:val="22"/>
        </w:rPr>
        <w:t>www.ecb.europa.eu</w:t>
      </w:r>
      <w:r w:rsidRPr="001C5299">
        <w:rPr>
          <w:rFonts w:ascii="Arial" w:hAnsi="Arial" w:cs="Arial"/>
          <w:sz w:val="22"/>
          <w:szCs w:val="22"/>
        </w:rPr>
        <w:t xml:space="preserve">. [online] Available at: </w:t>
      </w:r>
      <w:hyperlink r:id="rId18" w:anchor="toc4" w:history="1">
        <w:r w:rsidRPr="001C5299">
          <w:rPr>
            <w:rStyle w:val="Hyperlink"/>
            <w:rFonts w:ascii="Arial" w:hAnsi="Arial" w:cs="Arial"/>
            <w:sz w:val="22"/>
            <w:szCs w:val="22"/>
          </w:rPr>
          <w:t>https://www.ecb.europa.eu/press/financial-stability-publications/fsr/special/html/ecb.fsrart202405_02~58c3ce5246.en.html#toc4</w:t>
        </w:r>
      </w:hyperlink>
      <w:r w:rsidRPr="001C5299">
        <w:rPr>
          <w:rFonts w:ascii="Arial" w:hAnsi="Arial" w:cs="Arial"/>
          <w:sz w:val="22"/>
          <w:szCs w:val="22"/>
        </w:rPr>
        <w:t xml:space="preserve">. </w:t>
      </w:r>
    </w:p>
    <w:p w14:paraId="460EA007" w14:textId="77777777" w:rsidR="004A4A73" w:rsidRPr="001C5299" w:rsidRDefault="004A4A73" w:rsidP="00AA2C11">
      <w:pPr>
        <w:pStyle w:val="NoSpacing"/>
        <w:rPr>
          <w:rFonts w:ascii="Arial" w:hAnsi="Arial" w:cs="Arial"/>
          <w:sz w:val="22"/>
          <w:szCs w:val="22"/>
          <w:lang w:val="bg-BG"/>
        </w:rPr>
      </w:pPr>
    </w:p>
    <w:p w14:paraId="3A1E0E7A" w14:textId="77777777" w:rsidR="004A4A73" w:rsidRPr="001C5299" w:rsidRDefault="004A4A73" w:rsidP="004A4A73">
      <w:pPr>
        <w:pStyle w:val="NoSpacing"/>
        <w:rPr>
          <w:rFonts w:ascii="Arial" w:hAnsi="Arial" w:cs="Arial"/>
          <w:sz w:val="22"/>
          <w:szCs w:val="22"/>
        </w:rPr>
      </w:pPr>
      <w:r w:rsidRPr="001C5299">
        <w:rPr>
          <w:rFonts w:ascii="Arial" w:hAnsi="Arial" w:cs="Arial"/>
          <w:sz w:val="22"/>
          <w:szCs w:val="22"/>
        </w:rPr>
        <w:lastRenderedPageBreak/>
        <w:t xml:space="preserve">Lincoln, Y.S. and Guba, E.G. (1985) </w:t>
      </w:r>
      <w:r w:rsidRPr="001C5299">
        <w:rPr>
          <w:rFonts w:ascii="Arial" w:hAnsi="Arial" w:cs="Arial"/>
          <w:i/>
          <w:iCs/>
          <w:sz w:val="22"/>
          <w:szCs w:val="22"/>
        </w:rPr>
        <w:t>Naturalistic Inquiry.</w:t>
      </w:r>
      <w:r w:rsidRPr="001C5299">
        <w:rPr>
          <w:rFonts w:ascii="Arial" w:hAnsi="Arial" w:cs="Arial"/>
          <w:sz w:val="22"/>
          <w:szCs w:val="22"/>
        </w:rPr>
        <w:t xml:space="preserve"> Beverly Hills, CA: Sage Publications.</w:t>
      </w:r>
    </w:p>
    <w:p w14:paraId="755E274B" w14:textId="77777777" w:rsidR="004A4A73" w:rsidRPr="001C5299" w:rsidRDefault="004A4A73" w:rsidP="00AA2C11">
      <w:pPr>
        <w:pStyle w:val="NoSpacing"/>
        <w:rPr>
          <w:rFonts w:ascii="Arial" w:hAnsi="Arial" w:cs="Arial"/>
          <w:sz w:val="22"/>
          <w:szCs w:val="22"/>
          <w:lang w:val="bg-BG"/>
        </w:rPr>
      </w:pPr>
      <w:r w:rsidRPr="001C5299">
        <w:rPr>
          <w:rFonts w:ascii="Arial" w:hAnsi="Arial" w:cs="Arial"/>
          <w:sz w:val="22"/>
          <w:szCs w:val="22"/>
          <w:lang w:val="bg-BG"/>
        </w:rPr>
        <w:t xml:space="preserve"> </w:t>
      </w:r>
    </w:p>
    <w:p w14:paraId="38166826" w14:textId="77777777" w:rsidR="004A4A73" w:rsidRPr="001C5299" w:rsidRDefault="004A4A73" w:rsidP="004A4A73">
      <w:pPr>
        <w:pStyle w:val="NoSpacing"/>
        <w:rPr>
          <w:rFonts w:ascii="Arial" w:hAnsi="Arial" w:cs="Arial"/>
          <w:sz w:val="22"/>
          <w:szCs w:val="22"/>
          <w:lang w:val="bg-BG"/>
        </w:rPr>
      </w:pPr>
      <w:r w:rsidRPr="001C5299">
        <w:rPr>
          <w:rFonts w:ascii="Arial" w:hAnsi="Arial" w:cs="Arial"/>
          <w:sz w:val="22"/>
          <w:szCs w:val="22"/>
        </w:rPr>
        <w:t>Lo, A.W. (201</w:t>
      </w:r>
      <w:r w:rsidRPr="001C5299">
        <w:rPr>
          <w:rFonts w:ascii="Arial" w:hAnsi="Arial" w:cs="Arial"/>
          <w:sz w:val="22"/>
          <w:szCs w:val="22"/>
          <w:lang w:val="bg-BG"/>
        </w:rPr>
        <w:t>7</w:t>
      </w:r>
      <w:r w:rsidRPr="001C5299">
        <w:rPr>
          <w:rFonts w:ascii="Arial" w:hAnsi="Arial" w:cs="Arial"/>
          <w:sz w:val="22"/>
          <w:szCs w:val="22"/>
        </w:rPr>
        <w:t xml:space="preserve">) </w:t>
      </w:r>
      <w:r w:rsidRPr="001C5299">
        <w:rPr>
          <w:rFonts w:ascii="Arial" w:hAnsi="Arial" w:cs="Arial"/>
          <w:i/>
          <w:iCs/>
          <w:sz w:val="22"/>
          <w:szCs w:val="22"/>
        </w:rPr>
        <w:t>Adaptive Markets: Financial Evolution at the Speed of Thought.</w:t>
      </w:r>
      <w:r w:rsidRPr="001C5299">
        <w:rPr>
          <w:rFonts w:ascii="Arial" w:hAnsi="Arial" w:cs="Arial"/>
          <w:sz w:val="22"/>
          <w:szCs w:val="22"/>
        </w:rPr>
        <w:t xml:space="preserve"> Princeton University Press.</w:t>
      </w:r>
    </w:p>
    <w:p w14:paraId="534E5E3E" w14:textId="77777777" w:rsidR="00C41AEE" w:rsidRPr="001C5299" w:rsidRDefault="00C41AEE" w:rsidP="004A4A73">
      <w:pPr>
        <w:pStyle w:val="NoSpacing"/>
        <w:rPr>
          <w:rFonts w:ascii="Arial" w:hAnsi="Arial" w:cs="Arial"/>
          <w:sz w:val="22"/>
          <w:szCs w:val="22"/>
          <w:lang w:val="bg-BG"/>
        </w:rPr>
      </w:pPr>
    </w:p>
    <w:p w14:paraId="00E49D91" w14:textId="762E2CCD" w:rsidR="00C41AEE" w:rsidRPr="001C5299" w:rsidRDefault="00C41AEE" w:rsidP="00C41AEE">
      <w:pPr>
        <w:pStyle w:val="NoSpacing"/>
        <w:rPr>
          <w:rFonts w:ascii="Arial" w:hAnsi="Arial" w:cs="Arial"/>
          <w:sz w:val="22"/>
          <w:szCs w:val="22"/>
          <w:lang w:val="bg-BG"/>
        </w:rPr>
      </w:pPr>
      <w:r w:rsidRPr="001C5299">
        <w:rPr>
          <w:rFonts w:ascii="Arial" w:hAnsi="Arial" w:cs="Arial"/>
          <w:sz w:val="22"/>
          <w:szCs w:val="22"/>
        </w:rPr>
        <w:t xml:space="preserve">Noormohammadzadehmaleki, D., Abbaskhani, S., Farhadi, A. and Azadeh Zamanifar (2025). A Comprehensive Systematic Review of AI Algorithms for Financial Market Prediction: From Machine Learning to Transformers. </w:t>
      </w:r>
      <w:proofErr w:type="spellStart"/>
      <w:r w:rsidRPr="001C5299">
        <w:rPr>
          <w:rFonts w:ascii="Arial" w:hAnsi="Arial" w:cs="Arial"/>
          <w:sz w:val="22"/>
          <w:szCs w:val="22"/>
        </w:rPr>
        <w:t>doi</w:t>
      </w:r>
      <w:proofErr w:type="spellEnd"/>
      <w:r w:rsidRPr="001C5299">
        <w:rPr>
          <w:rFonts w:ascii="Arial" w:hAnsi="Arial" w:cs="Arial"/>
          <w:sz w:val="22"/>
          <w:szCs w:val="22"/>
        </w:rPr>
        <w:t>:</w:t>
      </w:r>
      <w:r w:rsidRPr="001C5299">
        <w:rPr>
          <w:rFonts w:ascii="Arial" w:hAnsi="Arial" w:cs="Arial"/>
          <w:sz w:val="22"/>
          <w:szCs w:val="22"/>
          <w:lang w:val="bg-BG"/>
        </w:rPr>
        <w:t xml:space="preserve"> </w:t>
      </w:r>
      <w:hyperlink r:id="rId19" w:history="1">
        <w:r w:rsidRPr="001C5299">
          <w:rPr>
            <w:rStyle w:val="Hyperlink"/>
            <w:rFonts w:ascii="Arial" w:hAnsi="Arial" w:cs="Arial"/>
            <w:sz w:val="22"/>
            <w:szCs w:val="22"/>
          </w:rPr>
          <w:t>https://doi.org/10.13140/rg.2.2.13022.91206</w:t>
        </w:r>
      </w:hyperlink>
      <w:r w:rsidRPr="001C5299">
        <w:rPr>
          <w:rFonts w:ascii="Arial" w:hAnsi="Arial" w:cs="Arial"/>
          <w:sz w:val="22"/>
          <w:szCs w:val="22"/>
        </w:rPr>
        <w:t>.</w:t>
      </w:r>
      <w:r w:rsidRPr="001C5299">
        <w:rPr>
          <w:rFonts w:ascii="Arial" w:hAnsi="Arial" w:cs="Arial"/>
          <w:sz w:val="22"/>
          <w:szCs w:val="22"/>
          <w:lang w:val="bg-BG"/>
        </w:rPr>
        <w:t xml:space="preserve"> </w:t>
      </w:r>
    </w:p>
    <w:p w14:paraId="2DA2BC33" w14:textId="3D6BF643" w:rsidR="00AA2C11" w:rsidRPr="001C5299" w:rsidRDefault="002C6B9C" w:rsidP="00AA2C11">
      <w:pPr>
        <w:spacing w:line="360" w:lineRule="auto"/>
        <w:jc w:val="both"/>
        <w:rPr>
          <w:rFonts w:ascii="Arial" w:hAnsi="Arial" w:cs="Arial"/>
          <w:color w:val="EE0000"/>
          <w:sz w:val="22"/>
          <w:szCs w:val="22"/>
          <w:lang w:val="bg-BG"/>
        </w:rPr>
      </w:pPr>
      <w:r w:rsidRPr="001C5299">
        <w:rPr>
          <w:rFonts w:ascii="Arial" w:hAnsi="Arial" w:cs="Arial"/>
          <w:sz w:val="22"/>
          <w:szCs w:val="22"/>
        </w:rPr>
        <w:br/>
      </w:r>
      <w:r w:rsidR="00AA2C11" w:rsidRPr="001C5299">
        <w:rPr>
          <w:rFonts w:ascii="Arial" w:hAnsi="Arial" w:cs="Arial"/>
          <w:sz w:val="22"/>
          <w:szCs w:val="22"/>
        </w:rPr>
        <w:t xml:space="preserve">O’Hara, M. (2015). High frequency market microstructure. </w:t>
      </w:r>
      <w:r w:rsidR="00AA2C11" w:rsidRPr="001C5299">
        <w:rPr>
          <w:rFonts w:ascii="Arial" w:hAnsi="Arial" w:cs="Arial"/>
          <w:i/>
          <w:iCs/>
          <w:sz w:val="22"/>
          <w:szCs w:val="22"/>
        </w:rPr>
        <w:t>Journal of Financial Economics</w:t>
      </w:r>
      <w:r w:rsidR="00AA2C11" w:rsidRPr="001C5299">
        <w:rPr>
          <w:rFonts w:ascii="Arial" w:hAnsi="Arial" w:cs="Arial"/>
          <w:sz w:val="22"/>
          <w:szCs w:val="22"/>
        </w:rPr>
        <w:t xml:space="preserve">, [online] 116(2), pp.257–270. Doi: </w:t>
      </w:r>
      <w:hyperlink r:id="rId20" w:history="1">
        <w:r w:rsidR="00D709D8" w:rsidRPr="001C5299">
          <w:rPr>
            <w:rStyle w:val="Hyperlink"/>
            <w:rFonts w:ascii="Arial" w:hAnsi="Arial" w:cs="Arial"/>
            <w:sz w:val="22"/>
            <w:szCs w:val="22"/>
          </w:rPr>
          <w:t>https://doi.org/10.1016/j.jfineco.2015.01.003</w:t>
        </w:r>
      </w:hyperlink>
      <w:r w:rsidR="00AA2C11" w:rsidRPr="001C5299">
        <w:rPr>
          <w:rFonts w:ascii="Arial" w:hAnsi="Arial" w:cs="Arial"/>
          <w:color w:val="EE0000"/>
          <w:sz w:val="22"/>
          <w:szCs w:val="22"/>
        </w:rPr>
        <w:t>.</w:t>
      </w:r>
    </w:p>
    <w:p w14:paraId="7AB7D6FC" w14:textId="77777777" w:rsidR="00D709D8" w:rsidRPr="001C5299" w:rsidRDefault="00D709D8" w:rsidP="00D709D8">
      <w:pPr>
        <w:pStyle w:val="NoSpacing"/>
        <w:rPr>
          <w:rFonts w:ascii="Arial" w:hAnsi="Arial" w:cs="Arial"/>
          <w:sz w:val="22"/>
          <w:szCs w:val="22"/>
        </w:rPr>
      </w:pPr>
      <w:proofErr w:type="spellStart"/>
      <w:r w:rsidRPr="001C5299">
        <w:rPr>
          <w:rFonts w:ascii="Arial" w:hAnsi="Arial" w:cs="Arial"/>
          <w:sz w:val="22"/>
          <w:szCs w:val="22"/>
        </w:rPr>
        <w:t>Pattnaik</w:t>
      </w:r>
      <w:proofErr w:type="spellEnd"/>
      <w:r w:rsidRPr="001C5299">
        <w:rPr>
          <w:rFonts w:ascii="Arial" w:hAnsi="Arial" w:cs="Arial"/>
          <w:sz w:val="22"/>
          <w:szCs w:val="22"/>
        </w:rPr>
        <w:t>, D., Ray, S. and Raman, R. (</w:t>
      </w:r>
      <w:proofErr w:type="gramStart"/>
      <w:r w:rsidRPr="001C5299">
        <w:rPr>
          <w:rFonts w:ascii="Arial" w:hAnsi="Arial" w:cs="Arial"/>
          <w:sz w:val="22"/>
          <w:szCs w:val="22"/>
        </w:rPr>
        <w:t>2024) ‘</w:t>
      </w:r>
      <w:proofErr w:type="gramEnd"/>
      <w:r w:rsidRPr="001C5299">
        <w:rPr>
          <w:rFonts w:ascii="Arial" w:hAnsi="Arial" w:cs="Arial"/>
          <w:sz w:val="22"/>
          <w:szCs w:val="22"/>
        </w:rPr>
        <w:t xml:space="preserve">Applications of Artificial Intelligence and Machine Learning in the Financial Services Industry: A Bibliometric Review.’ </w:t>
      </w:r>
      <w:proofErr w:type="spellStart"/>
      <w:r w:rsidRPr="001C5299">
        <w:rPr>
          <w:rFonts w:ascii="Arial" w:hAnsi="Arial" w:cs="Arial"/>
          <w:i/>
          <w:iCs/>
          <w:sz w:val="22"/>
          <w:szCs w:val="22"/>
        </w:rPr>
        <w:t>Heliyon</w:t>
      </w:r>
      <w:proofErr w:type="spellEnd"/>
      <w:r w:rsidRPr="001C5299">
        <w:rPr>
          <w:rFonts w:ascii="Arial" w:hAnsi="Arial" w:cs="Arial"/>
          <w:i/>
          <w:iCs/>
          <w:sz w:val="22"/>
          <w:szCs w:val="22"/>
        </w:rPr>
        <w:t>,</w:t>
      </w:r>
      <w:r w:rsidRPr="001C5299">
        <w:rPr>
          <w:rFonts w:ascii="Arial" w:hAnsi="Arial" w:cs="Arial"/>
          <w:sz w:val="22"/>
          <w:szCs w:val="22"/>
        </w:rPr>
        <w:t xml:space="preserve"> 10(1), p.e23492.</w:t>
      </w:r>
    </w:p>
    <w:p w14:paraId="740FCC0C" w14:textId="77777777" w:rsidR="00D709D8" w:rsidRPr="001C5299" w:rsidRDefault="00D709D8" w:rsidP="00AA2C11">
      <w:pPr>
        <w:spacing w:line="360" w:lineRule="auto"/>
        <w:jc w:val="both"/>
        <w:rPr>
          <w:rFonts w:ascii="Arial" w:hAnsi="Arial" w:cs="Arial"/>
          <w:color w:val="EE0000"/>
          <w:sz w:val="22"/>
          <w:szCs w:val="22"/>
          <w:lang w:val="bg-BG"/>
        </w:rPr>
      </w:pPr>
    </w:p>
    <w:p w14:paraId="3E4A771B" w14:textId="1B34F525" w:rsidR="00AA2C11" w:rsidRPr="001C5299" w:rsidRDefault="00AA2C11" w:rsidP="00AA2C11">
      <w:pPr>
        <w:spacing w:line="360" w:lineRule="auto"/>
        <w:jc w:val="both"/>
        <w:rPr>
          <w:rFonts w:ascii="Arial" w:hAnsi="Arial" w:cs="Arial"/>
          <w:sz w:val="22"/>
          <w:szCs w:val="22"/>
          <w:lang w:val="bg-BG"/>
        </w:rPr>
      </w:pPr>
      <w:r w:rsidRPr="001C5299">
        <w:rPr>
          <w:rFonts w:ascii="Arial" w:hAnsi="Arial" w:cs="Arial"/>
          <w:sz w:val="22"/>
          <w:szCs w:val="22"/>
        </w:rPr>
        <w:t xml:space="preserve">Rezaei, A., Abdellatif, I. and Umar, A. (2025). Towards Economic Sustainability: A Comprehensive Review of Artificial Intelligence and Machine Learning Techniques in Improving the Accuracy of Stock Market Movements. </w:t>
      </w:r>
      <w:r w:rsidRPr="001C5299">
        <w:rPr>
          <w:rFonts w:ascii="Arial" w:hAnsi="Arial" w:cs="Arial"/>
          <w:i/>
          <w:iCs/>
          <w:sz w:val="22"/>
          <w:szCs w:val="22"/>
        </w:rPr>
        <w:t>International Journal of Financial Studies</w:t>
      </w:r>
      <w:r w:rsidRPr="001C5299">
        <w:rPr>
          <w:rFonts w:ascii="Arial" w:hAnsi="Arial" w:cs="Arial"/>
          <w:sz w:val="22"/>
          <w:szCs w:val="22"/>
        </w:rPr>
        <w:t xml:space="preserve">, [online] 13(1), pp.28–28. </w:t>
      </w:r>
      <w:proofErr w:type="spellStart"/>
      <w:r w:rsidRPr="001C5299">
        <w:rPr>
          <w:rFonts w:ascii="Arial" w:hAnsi="Arial" w:cs="Arial"/>
          <w:sz w:val="22"/>
          <w:szCs w:val="22"/>
        </w:rPr>
        <w:t>doi</w:t>
      </w:r>
      <w:proofErr w:type="spellEnd"/>
      <w:r w:rsidRPr="001C5299">
        <w:rPr>
          <w:rFonts w:ascii="Arial" w:hAnsi="Arial" w:cs="Arial"/>
          <w:sz w:val="22"/>
          <w:szCs w:val="22"/>
        </w:rPr>
        <w:t xml:space="preserve">: </w:t>
      </w:r>
      <w:hyperlink r:id="rId21" w:history="1">
        <w:r w:rsidR="005E78BD" w:rsidRPr="001C5299">
          <w:rPr>
            <w:rStyle w:val="Hyperlink"/>
            <w:rFonts w:ascii="Arial" w:hAnsi="Arial" w:cs="Arial"/>
            <w:sz w:val="22"/>
            <w:szCs w:val="22"/>
          </w:rPr>
          <w:t>https://doi.org/10.3390/ijfs13010028</w:t>
        </w:r>
      </w:hyperlink>
      <w:r w:rsidRPr="001C5299">
        <w:rPr>
          <w:rFonts w:ascii="Arial" w:hAnsi="Arial" w:cs="Arial"/>
          <w:sz w:val="22"/>
          <w:szCs w:val="22"/>
        </w:rPr>
        <w:t xml:space="preserve">. </w:t>
      </w:r>
    </w:p>
    <w:p w14:paraId="7E6C8468" w14:textId="5D2F7538" w:rsidR="005E78BD" w:rsidRPr="001C5299" w:rsidRDefault="005E78BD" w:rsidP="00AA2C11">
      <w:pPr>
        <w:spacing w:line="360" w:lineRule="auto"/>
        <w:jc w:val="both"/>
        <w:rPr>
          <w:rFonts w:ascii="Arial" w:hAnsi="Arial" w:cs="Arial"/>
          <w:sz w:val="22"/>
          <w:szCs w:val="22"/>
          <w:lang w:val="bg-BG"/>
        </w:rPr>
      </w:pPr>
      <w:r w:rsidRPr="001C5299">
        <w:rPr>
          <w:rFonts w:ascii="Arial" w:hAnsi="Arial" w:cs="Arial"/>
          <w:sz w:val="22"/>
          <w:szCs w:val="22"/>
        </w:rPr>
        <w:t xml:space="preserve">Saunders, M., Lewis, P. and Thornhill, A. (2019) </w:t>
      </w:r>
      <w:r w:rsidRPr="001C5299">
        <w:rPr>
          <w:rFonts w:ascii="Arial" w:hAnsi="Arial" w:cs="Arial"/>
          <w:i/>
          <w:iCs/>
          <w:sz w:val="22"/>
          <w:szCs w:val="22"/>
        </w:rPr>
        <w:t>Research Methods for Business Students.</w:t>
      </w:r>
      <w:r w:rsidRPr="001C5299">
        <w:rPr>
          <w:rFonts w:ascii="Arial" w:hAnsi="Arial" w:cs="Arial"/>
          <w:sz w:val="22"/>
          <w:szCs w:val="22"/>
        </w:rPr>
        <w:t xml:space="preserve"> 8th </w:t>
      </w:r>
      <w:proofErr w:type="spellStart"/>
      <w:r w:rsidRPr="001C5299">
        <w:rPr>
          <w:rFonts w:ascii="Arial" w:hAnsi="Arial" w:cs="Arial"/>
          <w:sz w:val="22"/>
          <w:szCs w:val="22"/>
        </w:rPr>
        <w:t>edn</w:t>
      </w:r>
      <w:proofErr w:type="spellEnd"/>
      <w:r w:rsidRPr="001C5299">
        <w:rPr>
          <w:rFonts w:ascii="Arial" w:hAnsi="Arial" w:cs="Arial"/>
          <w:sz w:val="22"/>
          <w:szCs w:val="22"/>
        </w:rPr>
        <w:t>. Pearson Education</w:t>
      </w:r>
      <w:r w:rsidRPr="001C5299">
        <w:rPr>
          <w:rFonts w:ascii="Arial" w:hAnsi="Arial" w:cs="Arial"/>
          <w:sz w:val="22"/>
          <w:szCs w:val="22"/>
          <w:lang w:val="bg-BG"/>
        </w:rPr>
        <w:t>.</w:t>
      </w:r>
    </w:p>
    <w:p w14:paraId="0052B8D9" w14:textId="77777777" w:rsidR="005E78BD" w:rsidRPr="001C5299" w:rsidRDefault="005E78BD" w:rsidP="005E78BD">
      <w:pPr>
        <w:pStyle w:val="NoSpacing"/>
        <w:rPr>
          <w:rFonts w:ascii="Arial" w:hAnsi="Arial" w:cs="Arial"/>
          <w:sz w:val="22"/>
          <w:szCs w:val="22"/>
          <w:lang w:val="bg-BG"/>
        </w:rPr>
      </w:pPr>
      <w:r w:rsidRPr="001C5299">
        <w:rPr>
          <w:rFonts w:ascii="Arial" w:hAnsi="Arial" w:cs="Arial"/>
          <w:sz w:val="22"/>
          <w:szCs w:val="22"/>
        </w:rPr>
        <w:t xml:space="preserve">Sumpter, J.P., et al. (2023) ‘A “Limitations” Section Should Be Mandatory in All Scientific Papers.’ </w:t>
      </w:r>
      <w:r w:rsidRPr="001C5299">
        <w:rPr>
          <w:rFonts w:ascii="Arial" w:hAnsi="Arial" w:cs="Arial"/>
          <w:i/>
          <w:iCs/>
          <w:sz w:val="22"/>
          <w:szCs w:val="22"/>
        </w:rPr>
        <w:t>Science of the Total Environment,</w:t>
      </w:r>
      <w:r w:rsidRPr="001C5299">
        <w:rPr>
          <w:rFonts w:ascii="Arial" w:hAnsi="Arial" w:cs="Arial"/>
          <w:sz w:val="22"/>
          <w:szCs w:val="22"/>
        </w:rPr>
        <w:t xml:space="preserve"> 857(2), p.159395.</w:t>
      </w:r>
    </w:p>
    <w:p w14:paraId="18C2B2D1" w14:textId="77777777" w:rsidR="005E78BD" w:rsidRPr="001C5299" w:rsidRDefault="005E78BD" w:rsidP="00AA2C11">
      <w:pPr>
        <w:spacing w:line="360" w:lineRule="auto"/>
        <w:jc w:val="both"/>
        <w:rPr>
          <w:rFonts w:ascii="Arial" w:hAnsi="Arial" w:cs="Arial"/>
          <w:sz w:val="22"/>
          <w:szCs w:val="22"/>
          <w:lang w:val="bg-BG"/>
        </w:rPr>
      </w:pPr>
    </w:p>
    <w:p w14:paraId="705B7322" w14:textId="77777777" w:rsidR="005E78BD" w:rsidRPr="001C5299" w:rsidRDefault="005E78BD" w:rsidP="005E78BD">
      <w:pPr>
        <w:pStyle w:val="NoSpacing"/>
        <w:rPr>
          <w:rFonts w:ascii="Arial" w:hAnsi="Arial" w:cs="Arial"/>
          <w:sz w:val="22"/>
          <w:szCs w:val="22"/>
          <w:lang w:val="bg-BG"/>
        </w:rPr>
      </w:pPr>
      <w:r w:rsidRPr="001C5299">
        <w:rPr>
          <w:rFonts w:ascii="Arial" w:hAnsi="Arial" w:cs="Arial"/>
          <w:sz w:val="22"/>
          <w:szCs w:val="22"/>
        </w:rPr>
        <w:t xml:space="preserve">UK Statistics Authority (2022) </w:t>
      </w:r>
      <w:r w:rsidRPr="001C5299">
        <w:rPr>
          <w:rFonts w:ascii="Arial" w:hAnsi="Arial" w:cs="Arial"/>
          <w:i/>
          <w:iCs/>
          <w:sz w:val="22"/>
          <w:szCs w:val="22"/>
        </w:rPr>
        <w:t>Ethical Considerations Associated with Qualitative Research Methods.</w:t>
      </w:r>
      <w:r w:rsidRPr="001C5299">
        <w:rPr>
          <w:rFonts w:ascii="Arial" w:hAnsi="Arial" w:cs="Arial"/>
          <w:sz w:val="22"/>
          <w:szCs w:val="22"/>
        </w:rPr>
        <w:t xml:space="preserve"> Available at: </w:t>
      </w:r>
      <w:hyperlink r:id="rId22" w:tgtFrame="_new" w:history="1">
        <w:r w:rsidRPr="001C5299">
          <w:rPr>
            <w:rStyle w:val="Hyperlink"/>
            <w:rFonts w:ascii="Arial" w:hAnsi="Arial" w:cs="Arial"/>
            <w:sz w:val="22"/>
            <w:szCs w:val="22"/>
          </w:rPr>
          <w:t>https://uksa.statisticsauthority.gov.uk/publication/ethical-considerations-associated-with-qualitative-research-methods/pages/2/</w:t>
        </w:r>
      </w:hyperlink>
      <w:r w:rsidRPr="001C5299">
        <w:rPr>
          <w:rFonts w:ascii="Arial" w:hAnsi="Arial" w:cs="Arial"/>
          <w:sz w:val="22"/>
          <w:szCs w:val="22"/>
        </w:rPr>
        <w:t>.</w:t>
      </w:r>
    </w:p>
    <w:p w14:paraId="158026C1" w14:textId="77777777" w:rsidR="005E78BD" w:rsidRPr="001C5299" w:rsidRDefault="005E78BD" w:rsidP="00AA2C11">
      <w:pPr>
        <w:spacing w:line="360" w:lineRule="auto"/>
        <w:jc w:val="both"/>
        <w:rPr>
          <w:rFonts w:ascii="Arial" w:hAnsi="Arial" w:cs="Arial"/>
          <w:sz w:val="22"/>
          <w:szCs w:val="22"/>
          <w:lang w:val="en-GB"/>
        </w:rPr>
      </w:pPr>
    </w:p>
    <w:p w14:paraId="488A47A0" w14:textId="7BEA9778" w:rsidR="005E78BD" w:rsidRPr="001C5299" w:rsidRDefault="005E78BD" w:rsidP="00AA2C11">
      <w:pPr>
        <w:spacing w:line="360" w:lineRule="auto"/>
        <w:jc w:val="both"/>
        <w:rPr>
          <w:rFonts w:ascii="Arial" w:hAnsi="Arial" w:cs="Arial"/>
          <w:sz w:val="22"/>
          <w:szCs w:val="22"/>
          <w:lang w:val="en-GB"/>
        </w:rPr>
      </w:pPr>
      <w:r w:rsidRPr="001C5299">
        <w:rPr>
          <w:rFonts w:ascii="Arial" w:hAnsi="Arial" w:cs="Arial"/>
          <w:sz w:val="22"/>
          <w:szCs w:val="22"/>
        </w:rPr>
        <w:t>Virgilio, G.P.M. (</w:t>
      </w:r>
      <w:proofErr w:type="gramStart"/>
      <w:r w:rsidRPr="001C5299">
        <w:rPr>
          <w:rFonts w:ascii="Arial" w:hAnsi="Arial" w:cs="Arial"/>
          <w:sz w:val="22"/>
          <w:szCs w:val="22"/>
        </w:rPr>
        <w:t>2019) ‘</w:t>
      </w:r>
      <w:proofErr w:type="gramEnd"/>
      <w:r w:rsidRPr="001C5299">
        <w:rPr>
          <w:rFonts w:ascii="Arial" w:hAnsi="Arial" w:cs="Arial"/>
          <w:sz w:val="22"/>
          <w:szCs w:val="22"/>
        </w:rPr>
        <w:t xml:space="preserve">High-Frequency Trading: A Literature Review.’ </w:t>
      </w:r>
      <w:r w:rsidRPr="001C5299">
        <w:rPr>
          <w:rFonts w:ascii="Arial" w:hAnsi="Arial" w:cs="Arial"/>
          <w:i/>
          <w:iCs/>
          <w:sz w:val="22"/>
          <w:szCs w:val="22"/>
        </w:rPr>
        <w:t>Financial Markets and Portfolio Management,</w:t>
      </w:r>
      <w:r w:rsidRPr="001C5299">
        <w:rPr>
          <w:rFonts w:ascii="Arial" w:hAnsi="Arial" w:cs="Arial"/>
          <w:sz w:val="22"/>
          <w:szCs w:val="22"/>
        </w:rPr>
        <w:t xml:space="preserve"> 33(2), pp.183–208</w:t>
      </w:r>
    </w:p>
    <w:p w14:paraId="11ADE939" w14:textId="77777777" w:rsidR="00EB4227" w:rsidRPr="001C5299" w:rsidRDefault="00EB4227" w:rsidP="00EB4227">
      <w:pPr>
        <w:pStyle w:val="NoSpacing"/>
        <w:rPr>
          <w:rFonts w:ascii="Arial" w:hAnsi="Arial" w:cs="Arial"/>
          <w:sz w:val="22"/>
          <w:szCs w:val="22"/>
          <w:lang w:val="bg-BG"/>
        </w:rPr>
      </w:pPr>
      <w:r w:rsidRPr="001C5299">
        <w:rPr>
          <w:rFonts w:ascii="Arial" w:hAnsi="Arial" w:cs="Arial"/>
          <w:sz w:val="22"/>
          <w:szCs w:val="22"/>
        </w:rPr>
        <w:t>Winter, G. (</w:t>
      </w:r>
      <w:proofErr w:type="gramStart"/>
      <w:r w:rsidRPr="001C5299">
        <w:rPr>
          <w:rFonts w:ascii="Arial" w:hAnsi="Arial" w:cs="Arial"/>
          <w:sz w:val="22"/>
          <w:szCs w:val="22"/>
        </w:rPr>
        <w:t>2000) ‘</w:t>
      </w:r>
      <w:proofErr w:type="gramEnd"/>
      <w:r w:rsidRPr="001C5299">
        <w:rPr>
          <w:rFonts w:ascii="Arial" w:hAnsi="Arial" w:cs="Arial"/>
          <w:sz w:val="22"/>
          <w:szCs w:val="22"/>
        </w:rPr>
        <w:t xml:space="preserve">A Comparative Discussion of the Notion of Validity in Qualitative and Quantitative Research.’ </w:t>
      </w:r>
      <w:r w:rsidRPr="001C5299">
        <w:rPr>
          <w:rFonts w:ascii="Arial" w:hAnsi="Arial" w:cs="Arial"/>
          <w:i/>
          <w:iCs/>
          <w:sz w:val="22"/>
          <w:szCs w:val="22"/>
        </w:rPr>
        <w:t>The Qualitative Report.</w:t>
      </w:r>
      <w:r w:rsidRPr="001C5299">
        <w:rPr>
          <w:rFonts w:ascii="Arial" w:hAnsi="Arial" w:cs="Arial"/>
          <w:sz w:val="22"/>
          <w:szCs w:val="22"/>
        </w:rPr>
        <w:t xml:space="preserve"> Available at: </w:t>
      </w:r>
      <w:hyperlink r:id="rId23" w:tgtFrame="_new" w:history="1">
        <w:r w:rsidRPr="001C5299">
          <w:rPr>
            <w:rStyle w:val="Hyperlink"/>
            <w:rFonts w:ascii="Arial" w:hAnsi="Arial" w:cs="Arial"/>
            <w:sz w:val="22"/>
            <w:szCs w:val="22"/>
          </w:rPr>
          <w:t>https://core.ac.uk/download/pdf/51086672.pdf</w:t>
        </w:r>
      </w:hyperlink>
      <w:r w:rsidRPr="001C5299">
        <w:rPr>
          <w:rFonts w:ascii="Arial" w:hAnsi="Arial" w:cs="Arial"/>
          <w:sz w:val="22"/>
          <w:szCs w:val="22"/>
        </w:rPr>
        <w:t>.</w:t>
      </w:r>
    </w:p>
    <w:p w14:paraId="662F43D7" w14:textId="77777777" w:rsidR="00AA2C11" w:rsidRPr="001C5299" w:rsidRDefault="00AA2C11" w:rsidP="002C6B9C">
      <w:pPr>
        <w:pStyle w:val="NoSpacing"/>
        <w:rPr>
          <w:rFonts w:ascii="Arial" w:hAnsi="Arial" w:cs="Arial"/>
          <w:sz w:val="22"/>
          <w:szCs w:val="22"/>
          <w:lang w:val="bg-BG"/>
        </w:rPr>
      </w:pPr>
    </w:p>
    <w:p w14:paraId="36B693AF" w14:textId="1386B65A" w:rsidR="00524112" w:rsidRPr="001C5299" w:rsidRDefault="00C36DA9" w:rsidP="002C6B9C">
      <w:pPr>
        <w:pStyle w:val="NoSpacing"/>
        <w:rPr>
          <w:rFonts w:ascii="Arial" w:hAnsi="Arial" w:cs="Arial"/>
          <w:sz w:val="22"/>
          <w:szCs w:val="22"/>
          <w:lang w:val="bg-BG"/>
        </w:rPr>
      </w:pPr>
      <w:r w:rsidRPr="001C5299">
        <w:rPr>
          <w:rFonts w:ascii="Arial" w:hAnsi="Arial" w:cs="Arial"/>
          <w:sz w:val="22"/>
          <w:szCs w:val="22"/>
          <w:lang w:val="bg-BG"/>
        </w:rPr>
        <w:t xml:space="preserve">   </w:t>
      </w:r>
    </w:p>
    <w:p w14:paraId="6CD37D62" w14:textId="77777777" w:rsidR="00C36DA9" w:rsidRPr="001C5299" w:rsidRDefault="00C36DA9" w:rsidP="002C6B9C">
      <w:pPr>
        <w:pStyle w:val="NoSpacing"/>
        <w:rPr>
          <w:rFonts w:ascii="Arial" w:hAnsi="Arial" w:cs="Arial"/>
          <w:sz w:val="22"/>
          <w:szCs w:val="22"/>
          <w:lang w:val="bg-BG"/>
        </w:rPr>
      </w:pPr>
    </w:p>
    <w:p w14:paraId="714C7A09" w14:textId="77777777" w:rsidR="005E78BD" w:rsidRPr="001C5299" w:rsidRDefault="005E78BD" w:rsidP="00C36DA9">
      <w:pPr>
        <w:pStyle w:val="NoSpacing"/>
        <w:rPr>
          <w:rFonts w:ascii="Arial" w:hAnsi="Arial" w:cs="Arial"/>
          <w:sz w:val="22"/>
          <w:szCs w:val="22"/>
          <w:lang w:val="en-GB"/>
        </w:rPr>
      </w:pPr>
    </w:p>
    <w:p w14:paraId="13688385" w14:textId="77777777" w:rsidR="00F01792" w:rsidRPr="001C5299" w:rsidRDefault="00F01792" w:rsidP="00C36DA9">
      <w:pPr>
        <w:pStyle w:val="NoSpacing"/>
        <w:rPr>
          <w:rFonts w:ascii="Arial" w:hAnsi="Arial" w:cs="Arial"/>
          <w:sz w:val="22"/>
          <w:szCs w:val="22"/>
          <w:lang w:val="en-GB"/>
        </w:rPr>
      </w:pPr>
    </w:p>
    <w:p w14:paraId="6F922259" w14:textId="77777777" w:rsidR="00F01792" w:rsidRPr="001C5299" w:rsidRDefault="00F01792" w:rsidP="00C36DA9">
      <w:pPr>
        <w:pStyle w:val="NoSpacing"/>
        <w:rPr>
          <w:rFonts w:ascii="Arial" w:hAnsi="Arial" w:cs="Arial"/>
          <w:sz w:val="22"/>
          <w:szCs w:val="22"/>
          <w:lang w:val="en-GB"/>
        </w:rPr>
      </w:pPr>
    </w:p>
    <w:p w14:paraId="7955E42F" w14:textId="77777777" w:rsidR="00F01792" w:rsidRPr="001C5299" w:rsidRDefault="00F01792" w:rsidP="00C36DA9">
      <w:pPr>
        <w:pStyle w:val="NoSpacing"/>
        <w:rPr>
          <w:rFonts w:ascii="Arial" w:hAnsi="Arial" w:cs="Arial"/>
          <w:sz w:val="22"/>
          <w:szCs w:val="22"/>
          <w:lang w:val="en-GB"/>
        </w:rPr>
      </w:pPr>
    </w:p>
    <w:sectPr w:rsidR="00F01792" w:rsidRPr="001C5299">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53690" w14:textId="77777777" w:rsidR="005C6066" w:rsidRDefault="005C6066" w:rsidP="00F82B85">
      <w:pPr>
        <w:spacing w:after="0" w:line="240" w:lineRule="auto"/>
      </w:pPr>
      <w:r>
        <w:separator/>
      </w:r>
    </w:p>
  </w:endnote>
  <w:endnote w:type="continuationSeparator" w:id="0">
    <w:p w14:paraId="3606EBEB" w14:textId="77777777" w:rsidR="005C6066" w:rsidRDefault="005C6066" w:rsidP="00F82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C8DB0" w14:textId="77777777" w:rsidR="00F82B85" w:rsidRDefault="00F82B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720469"/>
      <w:docPartObj>
        <w:docPartGallery w:val="Page Numbers (Bottom of Page)"/>
        <w:docPartUnique/>
      </w:docPartObj>
    </w:sdtPr>
    <w:sdtEndPr>
      <w:rPr>
        <w:noProof/>
      </w:rPr>
    </w:sdtEndPr>
    <w:sdtContent>
      <w:p w14:paraId="7FD190F7" w14:textId="56DA493B" w:rsidR="00F82B85" w:rsidRDefault="00F82B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65BD58" w14:textId="77777777" w:rsidR="00F82B85" w:rsidRDefault="00F82B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A4838" w14:textId="77777777" w:rsidR="00F82B85" w:rsidRDefault="00F82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6A786" w14:textId="77777777" w:rsidR="005C6066" w:rsidRDefault="005C6066" w:rsidP="00F82B85">
      <w:pPr>
        <w:spacing w:after="0" w:line="240" w:lineRule="auto"/>
      </w:pPr>
      <w:r>
        <w:separator/>
      </w:r>
    </w:p>
  </w:footnote>
  <w:footnote w:type="continuationSeparator" w:id="0">
    <w:p w14:paraId="30FE2212" w14:textId="77777777" w:rsidR="005C6066" w:rsidRDefault="005C6066" w:rsidP="00F82B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2D937" w14:textId="77777777" w:rsidR="00F82B85" w:rsidRDefault="00F82B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7991A" w14:textId="77777777" w:rsidR="00F82B85" w:rsidRDefault="00F82B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DD9E8" w14:textId="77777777" w:rsidR="00F82B85" w:rsidRDefault="00F82B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563ED"/>
    <w:multiLevelType w:val="multilevel"/>
    <w:tmpl w:val="976E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14256"/>
    <w:multiLevelType w:val="hybridMultilevel"/>
    <w:tmpl w:val="471E9B1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7C6483"/>
    <w:multiLevelType w:val="multilevel"/>
    <w:tmpl w:val="9F4CC1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0A8B1A22"/>
    <w:multiLevelType w:val="multilevel"/>
    <w:tmpl w:val="A6AC88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134719"/>
    <w:multiLevelType w:val="multilevel"/>
    <w:tmpl w:val="9BD6CB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F50109B"/>
    <w:multiLevelType w:val="hybridMultilevel"/>
    <w:tmpl w:val="3222B33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5033A4"/>
    <w:multiLevelType w:val="multilevel"/>
    <w:tmpl w:val="A8B4A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1C5546"/>
    <w:multiLevelType w:val="multilevel"/>
    <w:tmpl w:val="272AE8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6D6B86"/>
    <w:multiLevelType w:val="multilevel"/>
    <w:tmpl w:val="786C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997DBB"/>
    <w:multiLevelType w:val="multilevel"/>
    <w:tmpl w:val="72DCD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065E7B"/>
    <w:multiLevelType w:val="multilevel"/>
    <w:tmpl w:val="B48CC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64677F"/>
    <w:multiLevelType w:val="multilevel"/>
    <w:tmpl w:val="6030A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AA4B57"/>
    <w:multiLevelType w:val="multilevel"/>
    <w:tmpl w:val="FB9638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F6A4DD0"/>
    <w:multiLevelType w:val="multilevel"/>
    <w:tmpl w:val="B9100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6E558B1"/>
    <w:multiLevelType w:val="multilevel"/>
    <w:tmpl w:val="923A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7564CD"/>
    <w:multiLevelType w:val="multilevel"/>
    <w:tmpl w:val="BB00A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8A2042"/>
    <w:multiLevelType w:val="multilevel"/>
    <w:tmpl w:val="75829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D07317"/>
    <w:multiLevelType w:val="multilevel"/>
    <w:tmpl w:val="2DB27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35332F3"/>
    <w:multiLevelType w:val="multilevel"/>
    <w:tmpl w:val="A14C7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5D26E17"/>
    <w:multiLevelType w:val="multilevel"/>
    <w:tmpl w:val="854A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6DA123A"/>
    <w:multiLevelType w:val="multilevel"/>
    <w:tmpl w:val="E9CE4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2" w15:restartNumberingAfterBreak="0">
    <w:nsid w:val="3B4A53BB"/>
    <w:multiLevelType w:val="multilevel"/>
    <w:tmpl w:val="0896C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CB830BD"/>
    <w:multiLevelType w:val="multilevel"/>
    <w:tmpl w:val="F9D0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6E90E26"/>
    <w:multiLevelType w:val="multilevel"/>
    <w:tmpl w:val="091A9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8214D9F"/>
    <w:multiLevelType w:val="multilevel"/>
    <w:tmpl w:val="0966C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AFE2E1C"/>
    <w:multiLevelType w:val="multilevel"/>
    <w:tmpl w:val="4E429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DAB5308"/>
    <w:multiLevelType w:val="multilevel"/>
    <w:tmpl w:val="5CD82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E12CF8"/>
    <w:multiLevelType w:val="multilevel"/>
    <w:tmpl w:val="E8EAD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5" w15:restartNumberingAfterBreak="0">
    <w:nsid w:val="5B800752"/>
    <w:multiLevelType w:val="multilevel"/>
    <w:tmpl w:val="E4DA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5C822691"/>
    <w:multiLevelType w:val="multilevel"/>
    <w:tmpl w:val="885A9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FFD431C"/>
    <w:multiLevelType w:val="multilevel"/>
    <w:tmpl w:val="9D38E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11773A7"/>
    <w:multiLevelType w:val="multilevel"/>
    <w:tmpl w:val="3BA49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636A2E8C"/>
    <w:multiLevelType w:val="multilevel"/>
    <w:tmpl w:val="E8885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41714AD"/>
    <w:multiLevelType w:val="multilevel"/>
    <w:tmpl w:val="EA348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4362593"/>
    <w:multiLevelType w:val="multilevel"/>
    <w:tmpl w:val="833641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6C308CA"/>
    <w:multiLevelType w:val="multilevel"/>
    <w:tmpl w:val="AADAE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9" w15:restartNumberingAfterBreak="0">
    <w:nsid w:val="6C25236B"/>
    <w:multiLevelType w:val="multilevel"/>
    <w:tmpl w:val="F7646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DB80243"/>
    <w:multiLevelType w:val="multilevel"/>
    <w:tmpl w:val="E53AA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EC13F96"/>
    <w:multiLevelType w:val="multilevel"/>
    <w:tmpl w:val="28BC3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F4335A7"/>
    <w:multiLevelType w:val="hybridMultilevel"/>
    <w:tmpl w:val="05000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5" w15:restartNumberingAfterBreak="0">
    <w:nsid w:val="73944FE5"/>
    <w:multiLevelType w:val="multilevel"/>
    <w:tmpl w:val="B1F6C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3FB29A9"/>
    <w:multiLevelType w:val="multilevel"/>
    <w:tmpl w:val="C3808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48B53B4"/>
    <w:multiLevelType w:val="multilevel"/>
    <w:tmpl w:val="F3B8A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48D10C1"/>
    <w:multiLevelType w:val="multilevel"/>
    <w:tmpl w:val="C868E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56876E6"/>
    <w:multiLevelType w:val="multilevel"/>
    <w:tmpl w:val="391AF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88E3278"/>
    <w:multiLevelType w:val="multilevel"/>
    <w:tmpl w:val="A3C08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ADC301A"/>
    <w:multiLevelType w:val="multilevel"/>
    <w:tmpl w:val="05CC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B571AAE"/>
    <w:multiLevelType w:val="hybridMultilevel"/>
    <w:tmpl w:val="34E235F2"/>
    <w:lvl w:ilvl="0" w:tplc="E07A6DA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7EB36E07"/>
    <w:multiLevelType w:val="multilevel"/>
    <w:tmpl w:val="81F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9862531">
    <w:abstractNumId w:val="38"/>
  </w:num>
  <w:num w:numId="2" w16cid:durableId="853761716">
    <w:abstractNumId w:val="10"/>
  </w:num>
  <w:num w:numId="3" w16cid:durableId="1302928306">
    <w:abstractNumId w:val="50"/>
  </w:num>
  <w:num w:numId="4" w16cid:durableId="476410798">
    <w:abstractNumId w:val="60"/>
  </w:num>
  <w:num w:numId="5" w16cid:durableId="164783597">
    <w:abstractNumId w:val="22"/>
  </w:num>
  <w:num w:numId="6" w16cid:durableId="545458817">
    <w:abstractNumId w:val="3"/>
  </w:num>
  <w:num w:numId="7" w16cid:durableId="272788170">
    <w:abstractNumId w:val="2"/>
  </w:num>
  <w:num w:numId="8" w16cid:durableId="1589652359">
    <w:abstractNumId w:val="15"/>
  </w:num>
  <w:num w:numId="9" w16cid:durableId="76177894">
    <w:abstractNumId w:val="14"/>
  </w:num>
  <w:num w:numId="10" w16cid:durableId="280576736">
    <w:abstractNumId w:val="11"/>
  </w:num>
  <w:num w:numId="11" w16cid:durableId="499589512">
    <w:abstractNumId w:val="42"/>
  </w:num>
  <w:num w:numId="12" w16cid:durableId="1036075742">
    <w:abstractNumId w:val="8"/>
  </w:num>
  <w:num w:numId="13" w16cid:durableId="540359418">
    <w:abstractNumId w:val="69"/>
  </w:num>
  <w:num w:numId="14" w16cid:durableId="1236932411">
    <w:abstractNumId w:val="65"/>
  </w:num>
  <w:num w:numId="15" w16cid:durableId="2059359950">
    <w:abstractNumId w:val="59"/>
  </w:num>
  <w:num w:numId="16" w16cid:durableId="1525826866">
    <w:abstractNumId w:val="72"/>
  </w:num>
  <w:num w:numId="17" w16cid:durableId="911737331">
    <w:abstractNumId w:val="40"/>
  </w:num>
  <w:num w:numId="18" w16cid:durableId="1994214074">
    <w:abstractNumId w:val="52"/>
  </w:num>
  <w:num w:numId="19" w16cid:durableId="1521357646">
    <w:abstractNumId w:val="74"/>
  </w:num>
  <w:num w:numId="20" w16cid:durableId="2081823507">
    <w:abstractNumId w:val="41"/>
  </w:num>
  <w:num w:numId="21" w16cid:durableId="585698951">
    <w:abstractNumId w:val="68"/>
  </w:num>
  <w:num w:numId="22" w16cid:durableId="1971478369">
    <w:abstractNumId w:val="28"/>
  </w:num>
  <w:num w:numId="23" w16cid:durableId="1375276460">
    <w:abstractNumId w:val="54"/>
  </w:num>
  <w:num w:numId="24" w16cid:durableId="850493201">
    <w:abstractNumId w:val="31"/>
  </w:num>
  <w:num w:numId="25" w16cid:durableId="1418014885">
    <w:abstractNumId w:val="51"/>
  </w:num>
  <w:num w:numId="26" w16cid:durableId="1351489909">
    <w:abstractNumId w:val="16"/>
  </w:num>
  <w:num w:numId="27" w16cid:durableId="996802858">
    <w:abstractNumId w:val="64"/>
  </w:num>
  <w:num w:numId="28" w16cid:durableId="20192358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31543148">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349480353">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604271145">
    <w:abstractNumId w:val="17"/>
  </w:num>
  <w:num w:numId="32" w16cid:durableId="465201546">
    <w:abstractNumId w:val="26"/>
  </w:num>
  <w:num w:numId="33" w16cid:durableId="801313199">
    <w:abstractNumId w:val="29"/>
  </w:num>
  <w:num w:numId="34" w16cid:durableId="1932622472">
    <w:abstractNumId w:val="58"/>
  </w:num>
  <w:num w:numId="35" w16cid:durableId="803698313">
    <w:abstractNumId w:val="55"/>
  </w:num>
  <w:num w:numId="36" w16cid:durableId="1870216879">
    <w:abstractNumId w:val="57"/>
  </w:num>
  <w:num w:numId="37" w16cid:durableId="100340676">
    <w:abstractNumId w:val="6"/>
  </w:num>
  <w:num w:numId="38" w16cid:durableId="1557625305">
    <w:abstractNumId w:val="23"/>
  </w:num>
  <w:num w:numId="39" w16cid:durableId="1281380168">
    <w:abstractNumId w:val="24"/>
  </w:num>
  <w:num w:numId="40" w16cid:durableId="1244143853">
    <w:abstractNumId w:val="33"/>
  </w:num>
  <w:num w:numId="41" w16cid:durableId="131824218">
    <w:abstractNumId w:val="36"/>
  </w:num>
  <w:num w:numId="42" w16cid:durableId="395248324">
    <w:abstractNumId w:val="63"/>
  </w:num>
  <w:num w:numId="43" w16cid:durableId="267927197">
    <w:abstractNumId w:val="20"/>
  </w:num>
  <w:num w:numId="44" w16cid:durableId="48654765">
    <w:abstractNumId w:val="39"/>
  </w:num>
  <w:num w:numId="45" w16cid:durableId="1337196786">
    <w:abstractNumId w:val="49"/>
  </w:num>
  <w:num w:numId="46" w16cid:durableId="1755130753">
    <w:abstractNumId w:val="13"/>
  </w:num>
  <w:num w:numId="47" w16cid:durableId="726926220">
    <w:abstractNumId w:val="30"/>
  </w:num>
  <w:num w:numId="48" w16cid:durableId="2083483834">
    <w:abstractNumId w:val="35"/>
  </w:num>
  <w:num w:numId="49" w16cid:durableId="2097245557">
    <w:abstractNumId w:val="70"/>
  </w:num>
  <w:num w:numId="50" w16cid:durableId="475149258">
    <w:abstractNumId w:val="46"/>
  </w:num>
  <w:num w:numId="51" w16cid:durableId="235941149">
    <w:abstractNumId w:val="56"/>
  </w:num>
  <w:num w:numId="52" w16cid:durableId="1641494758">
    <w:abstractNumId w:val="5"/>
  </w:num>
  <w:num w:numId="53" w16cid:durableId="1081567023">
    <w:abstractNumId w:val="4"/>
  </w:num>
  <w:num w:numId="54" w16cid:durableId="480273270">
    <w:abstractNumId w:val="48"/>
  </w:num>
  <w:num w:numId="55" w16cid:durableId="1111046970">
    <w:abstractNumId w:val="37"/>
  </w:num>
  <w:num w:numId="56" w16cid:durableId="1253927948">
    <w:abstractNumId w:val="7"/>
  </w:num>
  <w:num w:numId="57" w16cid:durableId="843740438">
    <w:abstractNumId w:val="45"/>
  </w:num>
  <w:num w:numId="58" w16cid:durableId="10181989">
    <w:abstractNumId w:val="12"/>
  </w:num>
  <w:num w:numId="59" w16cid:durableId="1191605153">
    <w:abstractNumId w:val="18"/>
  </w:num>
  <w:num w:numId="60" w16cid:durableId="2049908993">
    <w:abstractNumId w:val="21"/>
  </w:num>
  <w:num w:numId="61" w16cid:durableId="753941468">
    <w:abstractNumId w:val="61"/>
  </w:num>
  <w:num w:numId="62" w16cid:durableId="1851524936">
    <w:abstractNumId w:val="66"/>
  </w:num>
  <w:num w:numId="63" w16cid:durableId="1549219409">
    <w:abstractNumId w:val="9"/>
  </w:num>
  <w:num w:numId="64" w16cid:durableId="250627726">
    <w:abstractNumId w:val="53"/>
  </w:num>
  <w:num w:numId="65" w16cid:durableId="991519916">
    <w:abstractNumId w:val="67"/>
  </w:num>
  <w:num w:numId="66" w16cid:durableId="812524444">
    <w:abstractNumId w:val="71"/>
  </w:num>
  <w:num w:numId="67" w16cid:durableId="754933994">
    <w:abstractNumId w:val="47"/>
  </w:num>
  <w:num w:numId="68" w16cid:durableId="116685171">
    <w:abstractNumId w:val="34"/>
  </w:num>
  <w:num w:numId="69" w16cid:durableId="158466095">
    <w:abstractNumId w:val="0"/>
  </w:num>
  <w:num w:numId="70" w16cid:durableId="1715231023">
    <w:abstractNumId w:val="32"/>
  </w:num>
  <w:num w:numId="71" w16cid:durableId="1871869366">
    <w:abstractNumId w:val="27"/>
  </w:num>
  <w:num w:numId="72" w16cid:durableId="659384411">
    <w:abstractNumId w:val="19"/>
  </w:num>
  <w:num w:numId="73" w16cid:durableId="1968468506">
    <w:abstractNumId w:val="25"/>
  </w:num>
  <w:num w:numId="74" w16cid:durableId="1906573410">
    <w:abstractNumId w:val="62"/>
  </w:num>
  <w:num w:numId="75" w16cid:durableId="1006517728">
    <w:abstractNumId w:val="1"/>
  </w:num>
  <w:num w:numId="76" w16cid:durableId="654990915">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2DA"/>
    <w:rsid w:val="00004468"/>
    <w:rsid w:val="00010824"/>
    <w:rsid w:val="00016774"/>
    <w:rsid w:val="000219E5"/>
    <w:rsid w:val="00051FF9"/>
    <w:rsid w:val="0005399D"/>
    <w:rsid w:val="000542A7"/>
    <w:rsid w:val="00066A5C"/>
    <w:rsid w:val="000777CC"/>
    <w:rsid w:val="00080584"/>
    <w:rsid w:val="000850B4"/>
    <w:rsid w:val="000933FA"/>
    <w:rsid w:val="00094F0E"/>
    <w:rsid w:val="00097D04"/>
    <w:rsid w:val="000A7D37"/>
    <w:rsid w:val="000B7FD6"/>
    <w:rsid w:val="000C6E4E"/>
    <w:rsid w:val="000D5AA8"/>
    <w:rsid w:val="000D6973"/>
    <w:rsid w:val="000E0C36"/>
    <w:rsid w:val="000E78D0"/>
    <w:rsid w:val="000F6A49"/>
    <w:rsid w:val="00102D7F"/>
    <w:rsid w:val="00105966"/>
    <w:rsid w:val="001145CC"/>
    <w:rsid w:val="0012662B"/>
    <w:rsid w:val="00131268"/>
    <w:rsid w:val="00136145"/>
    <w:rsid w:val="001370D6"/>
    <w:rsid w:val="00145422"/>
    <w:rsid w:val="001535A9"/>
    <w:rsid w:val="001A110C"/>
    <w:rsid w:val="001A21DC"/>
    <w:rsid w:val="001B691E"/>
    <w:rsid w:val="001C036E"/>
    <w:rsid w:val="001C5299"/>
    <w:rsid w:val="001C5A10"/>
    <w:rsid w:val="001D3D85"/>
    <w:rsid w:val="001D3DAD"/>
    <w:rsid w:val="001E5973"/>
    <w:rsid w:val="001E67F7"/>
    <w:rsid w:val="002053CF"/>
    <w:rsid w:val="00207BFB"/>
    <w:rsid w:val="00213425"/>
    <w:rsid w:val="00213613"/>
    <w:rsid w:val="00214AE0"/>
    <w:rsid w:val="00215026"/>
    <w:rsid w:val="00222DDE"/>
    <w:rsid w:val="00224E7C"/>
    <w:rsid w:val="00225F30"/>
    <w:rsid w:val="00231648"/>
    <w:rsid w:val="002447D4"/>
    <w:rsid w:val="00246FA3"/>
    <w:rsid w:val="0027148F"/>
    <w:rsid w:val="002719D3"/>
    <w:rsid w:val="00277FB3"/>
    <w:rsid w:val="00296B60"/>
    <w:rsid w:val="002A22F5"/>
    <w:rsid w:val="002B392E"/>
    <w:rsid w:val="002C003A"/>
    <w:rsid w:val="002C6B9C"/>
    <w:rsid w:val="002D6AF7"/>
    <w:rsid w:val="002E149C"/>
    <w:rsid w:val="002F03AD"/>
    <w:rsid w:val="002F12BF"/>
    <w:rsid w:val="002F57D6"/>
    <w:rsid w:val="00305A7D"/>
    <w:rsid w:val="0030687B"/>
    <w:rsid w:val="00321D4A"/>
    <w:rsid w:val="00322395"/>
    <w:rsid w:val="003332CA"/>
    <w:rsid w:val="00343EE8"/>
    <w:rsid w:val="00356497"/>
    <w:rsid w:val="00361F59"/>
    <w:rsid w:val="003675A7"/>
    <w:rsid w:val="00374D89"/>
    <w:rsid w:val="00375161"/>
    <w:rsid w:val="0039146A"/>
    <w:rsid w:val="003936EA"/>
    <w:rsid w:val="003940C1"/>
    <w:rsid w:val="00394BC3"/>
    <w:rsid w:val="003C7F1A"/>
    <w:rsid w:val="003D3FE1"/>
    <w:rsid w:val="003E7B0B"/>
    <w:rsid w:val="003E7C7C"/>
    <w:rsid w:val="003F2A10"/>
    <w:rsid w:val="00404CBE"/>
    <w:rsid w:val="0041273F"/>
    <w:rsid w:val="004148B6"/>
    <w:rsid w:val="00421AA9"/>
    <w:rsid w:val="004251B9"/>
    <w:rsid w:val="00433EA5"/>
    <w:rsid w:val="00435096"/>
    <w:rsid w:val="00435A79"/>
    <w:rsid w:val="00445279"/>
    <w:rsid w:val="00451195"/>
    <w:rsid w:val="00467602"/>
    <w:rsid w:val="0047551C"/>
    <w:rsid w:val="00485FE1"/>
    <w:rsid w:val="0049026C"/>
    <w:rsid w:val="004A4A73"/>
    <w:rsid w:val="004B7C11"/>
    <w:rsid w:val="004E25D3"/>
    <w:rsid w:val="004E3E1F"/>
    <w:rsid w:val="005064DA"/>
    <w:rsid w:val="00522DA4"/>
    <w:rsid w:val="00524112"/>
    <w:rsid w:val="00524DC9"/>
    <w:rsid w:val="00531173"/>
    <w:rsid w:val="0053422F"/>
    <w:rsid w:val="00545D59"/>
    <w:rsid w:val="0055776B"/>
    <w:rsid w:val="00576319"/>
    <w:rsid w:val="00580044"/>
    <w:rsid w:val="005B1800"/>
    <w:rsid w:val="005B1E8A"/>
    <w:rsid w:val="005B4F1A"/>
    <w:rsid w:val="005C6066"/>
    <w:rsid w:val="005C60D6"/>
    <w:rsid w:val="005D0FFA"/>
    <w:rsid w:val="005E0188"/>
    <w:rsid w:val="005E5984"/>
    <w:rsid w:val="005E78BD"/>
    <w:rsid w:val="005F66BE"/>
    <w:rsid w:val="005F6771"/>
    <w:rsid w:val="00603873"/>
    <w:rsid w:val="006078CF"/>
    <w:rsid w:val="00607DD8"/>
    <w:rsid w:val="00610062"/>
    <w:rsid w:val="006120D6"/>
    <w:rsid w:val="00630C81"/>
    <w:rsid w:val="006337AE"/>
    <w:rsid w:val="00636B27"/>
    <w:rsid w:val="00644517"/>
    <w:rsid w:val="006448B7"/>
    <w:rsid w:val="0067189D"/>
    <w:rsid w:val="00686691"/>
    <w:rsid w:val="00693149"/>
    <w:rsid w:val="006A5645"/>
    <w:rsid w:val="006B105A"/>
    <w:rsid w:val="006B5B45"/>
    <w:rsid w:val="006B63AA"/>
    <w:rsid w:val="006F1449"/>
    <w:rsid w:val="00705767"/>
    <w:rsid w:val="00715E1E"/>
    <w:rsid w:val="0071677B"/>
    <w:rsid w:val="00724E60"/>
    <w:rsid w:val="007275AC"/>
    <w:rsid w:val="00730D7D"/>
    <w:rsid w:val="00736843"/>
    <w:rsid w:val="007440B4"/>
    <w:rsid w:val="007623DB"/>
    <w:rsid w:val="007751B4"/>
    <w:rsid w:val="00792DDE"/>
    <w:rsid w:val="00795E69"/>
    <w:rsid w:val="00797008"/>
    <w:rsid w:val="007A26A5"/>
    <w:rsid w:val="007B65FE"/>
    <w:rsid w:val="007B6923"/>
    <w:rsid w:val="007C1CF9"/>
    <w:rsid w:val="007C5E05"/>
    <w:rsid w:val="007C6293"/>
    <w:rsid w:val="007D4D02"/>
    <w:rsid w:val="007E3003"/>
    <w:rsid w:val="007E349F"/>
    <w:rsid w:val="007E5897"/>
    <w:rsid w:val="007E5D8F"/>
    <w:rsid w:val="00804815"/>
    <w:rsid w:val="00812D4A"/>
    <w:rsid w:val="008201DD"/>
    <w:rsid w:val="0084427C"/>
    <w:rsid w:val="0085429F"/>
    <w:rsid w:val="00897E6E"/>
    <w:rsid w:val="008A6C01"/>
    <w:rsid w:val="008A6E66"/>
    <w:rsid w:val="008A729D"/>
    <w:rsid w:val="008B20E3"/>
    <w:rsid w:val="008B3C58"/>
    <w:rsid w:val="008C22E2"/>
    <w:rsid w:val="008C2CAD"/>
    <w:rsid w:val="008F297E"/>
    <w:rsid w:val="00907ED8"/>
    <w:rsid w:val="00914B34"/>
    <w:rsid w:val="00926904"/>
    <w:rsid w:val="00930040"/>
    <w:rsid w:val="0093535B"/>
    <w:rsid w:val="009374A4"/>
    <w:rsid w:val="00942843"/>
    <w:rsid w:val="0095053F"/>
    <w:rsid w:val="0096614D"/>
    <w:rsid w:val="00974D4F"/>
    <w:rsid w:val="00990E9B"/>
    <w:rsid w:val="009F1658"/>
    <w:rsid w:val="009F332F"/>
    <w:rsid w:val="009F3343"/>
    <w:rsid w:val="00A029B4"/>
    <w:rsid w:val="00A364DF"/>
    <w:rsid w:val="00A403C8"/>
    <w:rsid w:val="00A452EB"/>
    <w:rsid w:val="00A47371"/>
    <w:rsid w:val="00A52219"/>
    <w:rsid w:val="00A569A5"/>
    <w:rsid w:val="00A66762"/>
    <w:rsid w:val="00A83492"/>
    <w:rsid w:val="00A846EC"/>
    <w:rsid w:val="00A931EC"/>
    <w:rsid w:val="00AA0259"/>
    <w:rsid w:val="00AA2C11"/>
    <w:rsid w:val="00AA349C"/>
    <w:rsid w:val="00AA3865"/>
    <w:rsid w:val="00AB15A7"/>
    <w:rsid w:val="00AB3AC1"/>
    <w:rsid w:val="00AC6769"/>
    <w:rsid w:val="00AE003E"/>
    <w:rsid w:val="00AE6116"/>
    <w:rsid w:val="00AE720E"/>
    <w:rsid w:val="00AE7D8A"/>
    <w:rsid w:val="00B028F6"/>
    <w:rsid w:val="00B06680"/>
    <w:rsid w:val="00B075CE"/>
    <w:rsid w:val="00B22D30"/>
    <w:rsid w:val="00B372C9"/>
    <w:rsid w:val="00B4497B"/>
    <w:rsid w:val="00B44F50"/>
    <w:rsid w:val="00B512CC"/>
    <w:rsid w:val="00B570BB"/>
    <w:rsid w:val="00B71BE3"/>
    <w:rsid w:val="00B82D7A"/>
    <w:rsid w:val="00B87882"/>
    <w:rsid w:val="00BA6022"/>
    <w:rsid w:val="00BC6B3C"/>
    <w:rsid w:val="00BE1448"/>
    <w:rsid w:val="00BF1049"/>
    <w:rsid w:val="00BF366D"/>
    <w:rsid w:val="00BF3D04"/>
    <w:rsid w:val="00BF547A"/>
    <w:rsid w:val="00C03357"/>
    <w:rsid w:val="00C05EF6"/>
    <w:rsid w:val="00C23FC4"/>
    <w:rsid w:val="00C31CD3"/>
    <w:rsid w:val="00C3415D"/>
    <w:rsid w:val="00C36DA9"/>
    <w:rsid w:val="00C37D0A"/>
    <w:rsid w:val="00C41AEE"/>
    <w:rsid w:val="00C422DA"/>
    <w:rsid w:val="00C4747C"/>
    <w:rsid w:val="00C51134"/>
    <w:rsid w:val="00C53D8E"/>
    <w:rsid w:val="00C551D8"/>
    <w:rsid w:val="00C56ABE"/>
    <w:rsid w:val="00C62F85"/>
    <w:rsid w:val="00C65D2F"/>
    <w:rsid w:val="00C74774"/>
    <w:rsid w:val="00C903CE"/>
    <w:rsid w:val="00C923D9"/>
    <w:rsid w:val="00C93D3C"/>
    <w:rsid w:val="00CB4879"/>
    <w:rsid w:val="00CB56CF"/>
    <w:rsid w:val="00CD691F"/>
    <w:rsid w:val="00CE0C9D"/>
    <w:rsid w:val="00CE1C5A"/>
    <w:rsid w:val="00CE447E"/>
    <w:rsid w:val="00CE6753"/>
    <w:rsid w:val="00CE7AC6"/>
    <w:rsid w:val="00CF2170"/>
    <w:rsid w:val="00D06B0F"/>
    <w:rsid w:val="00D32574"/>
    <w:rsid w:val="00D32702"/>
    <w:rsid w:val="00D41403"/>
    <w:rsid w:val="00D42512"/>
    <w:rsid w:val="00D5178D"/>
    <w:rsid w:val="00D57FBB"/>
    <w:rsid w:val="00D709D8"/>
    <w:rsid w:val="00D84B5B"/>
    <w:rsid w:val="00D90914"/>
    <w:rsid w:val="00D97F2B"/>
    <w:rsid w:val="00DA6BE5"/>
    <w:rsid w:val="00DC28A9"/>
    <w:rsid w:val="00DF27E6"/>
    <w:rsid w:val="00DF3005"/>
    <w:rsid w:val="00E0408F"/>
    <w:rsid w:val="00E0431B"/>
    <w:rsid w:val="00E077A9"/>
    <w:rsid w:val="00E12833"/>
    <w:rsid w:val="00E1616E"/>
    <w:rsid w:val="00E5449E"/>
    <w:rsid w:val="00E55F6D"/>
    <w:rsid w:val="00E60809"/>
    <w:rsid w:val="00E626CC"/>
    <w:rsid w:val="00E838F8"/>
    <w:rsid w:val="00E9247E"/>
    <w:rsid w:val="00EA4461"/>
    <w:rsid w:val="00EA6D63"/>
    <w:rsid w:val="00EB4227"/>
    <w:rsid w:val="00EC2FE9"/>
    <w:rsid w:val="00EC6490"/>
    <w:rsid w:val="00EC7B64"/>
    <w:rsid w:val="00ED77B0"/>
    <w:rsid w:val="00EE4CB6"/>
    <w:rsid w:val="00F01792"/>
    <w:rsid w:val="00F02BA2"/>
    <w:rsid w:val="00F056D1"/>
    <w:rsid w:val="00F07600"/>
    <w:rsid w:val="00F12290"/>
    <w:rsid w:val="00F24C77"/>
    <w:rsid w:val="00F40B7D"/>
    <w:rsid w:val="00F506EB"/>
    <w:rsid w:val="00F51533"/>
    <w:rsid w:val="00F713D4"/>
    <w:rsid w:val="00F7449E"/>
    <w:rsid w:val="00F75F89"/>
    <w:rsid w:val="00F82B85"/>
    <w:rsid w:val="00F87EB1"/>
    <w:rsid w:val="00F96116"/>
    <w:rsid w:val="00FC1024"/>
    <w:rsid w:val="00FC67F5"/>
    <w:rsid w:val="00FC7C1A"/>
    <w:rsid w:val="00FF09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12F9C"/>
  <w15:chartTrackingRefBased/>
  <w15:docId w15:val="{D205280E-CFA6-4AAC-A88C-05156B83D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332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2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22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422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2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2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2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2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2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istyle">
    <w:name w:val="ani style"/>
    <w:basedOn w:val="Heading1"/>
    <w:link w:val="anistyleChar"/>
    <w:qFormat/>
    <w:rsid w:val="00907ED8"/>
    <w:rPr>
      <w:rFonts w:ascii="Times New Roman" w:hAnsi="Times New Roman"/>
      <w:b/>
      <w:color w:val="000000" w:themeColor="text1"/>
      <w:sz w:val="24"/>
    </w:rPr>
  </w:style>
  <w:style w:type="character" w:customStyle="1" w:styleId="anistyleChar">
    <w:name w:val="ani style Char"/>
    <w:basedOn w:val="Heading1Char"/>
    <w:link w:val="anistyle"/>
    <w:rsid w:val="00907ED8"/>
    <w:rPr>
      <w:rFonts w:ascii="Times New Roman" w:eastAsiaTheme="majorEastAsia" w:hAnsi="Times New Roman" w:cstheme="majorBidi"/>
      <w:b/>
      <w:color w:val="000000" w:themeColor="text1"/>
      <w:sz w:val="40"/>
      <w:szCs w:val="40"/>
    </w:rPr>
  </w:style>
  <w:style w:type="character" w:customStyle="1" w:styleId="Heading1Char">
    <w:name w:val="Heading 1 Char"/>
    <w:basedOn w:val="DefaultParagraphFont"/>
    <w:link w:val="Heading1"/>
    <w:uiPriority w:val="99"/>
    <w:rsid w:val="003332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2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22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422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2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2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2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2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2DA"/>
    <w:rPr>
      <w:rFonts w:eastAsiaTheme="majorEastAsia" w:cstheme="majorBidi"/>
      <w:color w:val="272727" w:themeColor="text1" w:themeTint="D8"/>
    </w:rPr>
  </w:style>
  <w:style w:type="paragraph" w:styleId="Title">
    <w:name w:val="Title"/>
    <w:basedOn w:val="Normal"/>
    <w:next w:val="Normal"/>
    <w:link w:val="TitleChar"/>
    <w:uiPriority w:val="10"/>
    <w:qFormat/>
    <w:rsid w:val="00C422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2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2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2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2DA"/>
    <w:pPr>
      <w:spacing w:before="160"/>
      <w:jc w:val="center"/>
    </w:pPr>
    <w:rPr>
      <w:i/>
      <w:iCs/>
      <w:color w:val="404040" w:themeColor="text1" w:themeTint="BF"/>
    </w:rPr>
  </w:style>
  <w:style w:type="character" w:customStyle="1" w:styleId="QuoteChar">
    <w:name w:val="Quote Char"/>
    <w:basedOn w:val="DefaultParagraphFont"/>
    <w:link w:val="Quote"/>
    <w:uiPriority w:val="29"/>
    <w:rsid w:val="00C422DA"/>
    <w:rPr>
      <w:i/>
      <w:iCs/>
      <w:color w:val="404040" w:themeColor="text1" w:themeTint="BF"/>
    </w:rPr>
  </w:style>
  <w:style w:type="paragraph" w:styleId="ListParagraph">
    <w:name w:val="List Paragraph"/>
    <w:basedOn w:val="Normal"/>
    <w:uiPriority w:val="34"/>
    <w:qFormat/>
    <w:rsid w:val="00C422DA"/>
    <w:pPr>
      <w:ind w:left="720"/>
      <w:contextualSpacing/>
    </w:pPr>
  </w:style>
  <w:style w:type="character" w:styleId="IntenseEmphasis">
    <w:name w:val="Intense Emphasis"/>
    <w:basedOn w:val="DefaultParagraphFont"/>
    <w:uiPriority w:val="21"/>
    <w:qFormat/>
    <w:rsid w:val="00C422DA"/>
    <w:rPr>
      <w:i/>
      <w:iCs/>
      <w:color w:val="0F4761" w:themeColor="accent1" w:themeShade="BF"/>
    </w:rPr>
  </w:style>
  <w:style w:type="paragraph" w:styleId="IntenseQuote">
    <w:name w:val="Intense Quote"/>
    <w:basedOn w:val="Normal"/>
    <w:next w:val="Normal"/>
    <w:link w:val="IntenseQuoteChar"/>
    <w:uiPriority w:val="30"/>
    <w:qFormat/>
    <w:rsid w:val="00C422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2DA"/>
    <w:rPr>
      <w:i/>
      <w:iCs/>
      <w:color w:val="0F4761" w:themeColor="accent1" w:themeShade="BF"/>
    </w:rPr>
  </w:style>
  <w:style w:type="character" w:styleId="IntenseReference">
    <w:name w:val="Intense Reference"/>
    <w:basedOn w:val="DefaultParagraphFont"/>
    <w:uiPriority w:val="32"/>
    <w:qFormat/>
    <w:rsid w:val="00C422DA"/>
    <w:rPr>
      <w:b/>
      <w:bCs/>
      <w:smallCaps/>
      <w:color w:val="0F4761" w:themeColor="accent1" w:themeShade="BF"/>
      <w:spacing w:val="5"/>
    </w:rPr>
  </w:style>
  <w:style w:type="character" w:styleId="Hyperlink">
    <w:name w:val="Hyperlink"/>
    <w:basedOn w:val="DefaultParagraphFont"/>
    <w:uiPriority w:val="99"/>
    <w:unhideWhenUsed/>
    <w:rsid w:val="00ED77B0"/>
    <w:rPr>
      <w:color w:val="467886" w:themeColor="hyperlink"/>
      <w:u w:val="single"/>
    </w:rPr>
  </w:style>
  <w:style w:type="character" w:styleId="UnresolvedMention">
    <w:name w:val="Unresolved Mention"/>
    <w:basedOn w:val="DefaultParagraphFont"/>
    <w:uiPriority w:val="99"/>
    <w:semiHidden/>
    <w:unhideWhenUsed/>
    <w:rsid w:val="00ED77B0"/>
    <w:rPr>
      <w:color w:val="605E5C"/>
      <w:shd w:val="clear" w:color="auto" w:fill="E1DFDD"/>
    </w:rPr>
  </w:style>
  <w:style w:type="character" w:styleId="FollowedHyperlink">
    <w:name w:val="FollowedHyperlink"/>
    <w:basedOn w:val="DefaultParagraphFont"/>
    <w:uiPriority w:val="99"/>
    <w:semiHidden/>
    <w:unhideWhenUsed/>
    <w:rsid w:val="00F056D1"/>
    <w:rPr>
      <w:color w:val="96607D" w:themeColor="followedHyperlink"/>
      <w:u w:val="single"/>
    </w:rPr>
  </w:style>
  <w:style w:type="paragraph" w:styleId="NormalWeb">
    <w:name w:val="Normal (Web)"/>
    <w:basedOn w:val="Normal"/>
    <w:uiPriority w:val="99"/>
    <w:unhideWhenUsed/>
    <w:rsid w:val="00EC6490"/>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rsid w:val="00F87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51195"/>
    <w:rPr>
      <w:sz w:val="16"/>
      <w:szCs w:val="16"/>
    </w:rPr>
  </w:style>
  <w:style w:type="paragraph" w:styleId="CommentText">
    <w:name w:val="annotation text"/>
    <w:basedOn w:val="Normal"/>
    <w:link w:val="CommentTextChar"/>
    <w:uiPriority w:val="99"/>
    <w:unhideWhenUsed/>
    <w:rsid w:val="00451195"/>
    <w:pPr>
      <w:spacing w:line="240" w:lineRule="auto"/>
    </w:pPr>
    <w:rPr>
      <w:sz w:val="20"/>
      <w:szCs w:val="20"/>
    </w:rPr>
  </w:style>
  <w:style w:type="character" w:customStyle="1" w:styleId="CommentTextChar">
    <w:name w:val="Comment Text Char"/>
    <w:basedOn w:val="DefaultParagraphFont"/>
    <w:link w:val="CommentText"/>
    <w:uiPriority w:val="99"/>
    <w:rsid w:val="00451195"/>
    <w:rPr>
      <w:sz w:val="20"/>
      <w:szCs w:val="20"/>
    </w:rPr>
  </w:style>
  <w:style w:type="paragraph" w:styleId="CommentSubject">
    <w:name w:val="annotation subject"/>
    <w:basedOn w:val="CommentText"/>
    <w:next w:val="CommentText"/>
    <w:link w:val="CommentSubjectChar"/>
    <w:uiPriority w:val="99"/>
    <w:semiHidden/>
    <w:unhideWhenUsed/>
    <w:rsid w:val="00451195"/>
    <w:rPr>
      <w:b/>
      <w:bCs/>
    </w:rPr>
  </w:style>
  <w:style w:type="character" w:customStyle="1" w:styleId="CommentSubjectChar">
    <w:name w:val="Comment Subject Char"/>
    <w:basedOn w:val="CommentTextChar"/>
    <w:link w:val="CommentSubject"/>
    <w:uiPriority w:val="99"/>
    <w:semiHidden/>
    <w:rsid w:val="00451195"/>
    <w:rPr>
      <w:b/>
      <w:bCs/>
      <w:sz w:val="20"/>
      <w:szCs w:val="20"/>
    </w:rPr>
  </w:style>
  <w:style w:type="paragraph" w:styleId="NoSpacing">
    <w:name w:val="No Spacing"/>
    <w:uiPriority w:val="1"/>
    <w:qFormat/>
    <w:rsid w:val="00D32702"/>
    <w:pPr>
      <w:spacing w:after="0" w:line="240" w:lineRule="auto"/>
    </w:pPr>
  </w:style>
  <w:style w:type="paragraph" w:styleId="BodyText2">
    <w:name w:val="Body Text 2"/>
    <w:basedOn w:val="Normal"/>
    <w:link w:val="BodyText2Char"/>
    <w:uiPriority w:val="99"/>
    <w:rsid w:val="00C4747C"/>
    <w:pPr>
      <w:spacing w:after="0" w:line="240" w:lineRule="auto"/>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C4747C"/>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C4747C"/>
    <w:pPr>
      <w:keepNext/>
      <w:spacing w:after="240" w:line="240" w:lineRule="auto"/>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C4747C"/>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C4747C"/>
    <w:rPr>
      <w:rFonts w:ascii="Tahoma" w:eastAsia="Times New Roman" w:hAnsi="Tahoma" w:cs="Tahoma"/>
      <w:kern w:val="0"/>
      <w:sz w:val="16"/>
      <w:szCs w:val="16"/>
      <w:lang w:val="en-GB"/>
      <w14:ligatures w14:val="none"/>
    </w:rPr>
  </w:style>
  <w:style w:type="paragraph" w:styleId="Header">
    <w:name w:val="header"/>
    <w:basedOn w:val="Normal"/>
    <w:link w:val="HeaderChar"/>
    <w:uiPriority w:val="99"/>
    <w:semiHidden/>
    <w:rsid w:val="00C4747C"/>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C4747C"/>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rsid w:val="00C4747C"/>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C4747C"/>
    <w:rPr>
      <w:rFonts w:ascii="Times New Roman" w:eastAsia="Times New Roman" w:hAnsi="Times New Roman" w:cs="Times New Roman"/>
      <w:kern w:val="0"/>
      <w:sz w:val="20"/>
      <w:szCs w:val="20"/>
      <w:lang w:val="en-GB"/>
      <w14:ligatures w14:val="none"/>
    </w:rPr>
  </w:style>
  <w:style w:type="character" w:customStyle="1" w:styleId="Hyperlink1">
    <w:name w:val="Hyperlink1"/>
    <w:uiPriority w:val="99"/>
    <w:rsid w:val="00C4747C"/>
    <w:rPr>
      <w:color w:val="535353"/>
      <w:u w:val="single"/>
      <w:effect w:val="none"/>
    </w:rPr>
  </w:style>
  <w:style w:type="paragraph" w:customStyle="1" w:styleId="NormalWeb1">
    <w:name w:val="Normal (Web)1"/>
    <w:basedOn w:val="Normal"/>
    <w:uiPriority w:val="99"/>
    <w:rsid w:val="00C4747C"/>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C4747C"/>
  </w:style>
  <w:style w:type="character" w:styleId="Strong">
    <w:name w:val="Strong"/>
    <w:uiPriority w:val="22"/>
    <w:qFormat/>
    <w:rsid w:val="00C4747C"/>
    <w:rPr>
      <w:b/>
      <w:bCs/>
    </w:rPr>
  </w:style>
  <w:style w:type="paragraph" w:styleId="TOCHeading">
    <w:name w:val="TOC Heading"/>
    <w:basedOn w:val="Heading1"/>
    <w:next w:val="Normal"/>
    <w:uiPriority w:val="39"/>
    <w:unhideWhenUsed/>
    <w:qFormat/>
    <w:rsid w:val="00AE7D8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E7D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85227">
      <w:bodyDiv w:val="1"/>
      <w:marLeft w:val="0"/>
      <w:marRight w:val="0"/>
      <w:marTop w:val="0"/>
      <w:marBottom w:val="0"/>
      <w:divBdr>
        <w:top w:val="none" w:sz="0" w:space="0" w:color="auto"/>
        <w:left w:val="none" w:sz="0" w:space="0" w:color="auto"/>
        <w:bottom w:val="none" w:sz="0" w:space="0" w:color="auto"/>
        <w:right w:val="none" w:sz="0" w:space="0" w:color="auto"/>
      </w:divBdr>
    </w:div>
    <w:div w:id="140733699">
      <w:bodyDiv w:val="1"/>
      <w:marLeft w:val="0"/>
      <w:marRight w:val="0"/>
      <w:marTop w:val="0"/>
      <w:marBottom w:val="0"/>
      <w:divBdr>
        <w:top w:val="none" w:sz="0" w:space="0" w:color="auto"/>
        <w:left w:val="none" w:sz="0" w:space="0" w:color="auto"/>
        <w:bottom w:val="none" w:sz="0" w:space="0" w:color="auto"/>
        <w:right w:val="none" w:sz="0" w:space="0" w:color="auto"/>
      </w:divBdr>
    </w:div>
    <w:div w:id="148449516">
      <w:bodyDiv w:val="1"/>
      <w:marLeft w:val="0"/>
      <w:marRight w:val="0"/>
      <w:marTop w:val="0"/>
      <w:marBottom w:val="0"/>
      <w:divBdr>
        <w:top w:val="none" w:sz="0" w:space="0" w:color="auto"/>
        <w:left w:val="none" w:sz="0" w:space="0" w:color="auto"/>
        <w:bottom w:val="none" w:sz="0" w:space="0" w:color="auto"/>
        <w:right w:val="none" w:sz="0" w:space="0" w:color="auto"/>
      </w:divBdr>
    </w:div>
    <w:div w:id="168302334">
      <w:bodyDiv w:val="1"/>
      <w:marLeft w:val="0"/>
      <w:marRight w:val="0"/>
      <w:marTop w:val="0"/>
      <w:marBottom w:val="0"/>
      <w:divBdr>
        <w:top w:val="none" w:sz="0" w:space="0" w:color="auto"/>
        <w:left w:val="none" w:sz="0" w:space="0" w:color="auto"/>
        <w:bottom w:val="none" w:sz="0" w:space="0" w:color="auto"/>
        <w:right w:val="none" w:sz="0" w:space="0" w:color="auto"/>
      </w:divBdr>
    </w:div>
    <w:div w:id="230964906">
      <w:bodyDiv w:val="1"/>
      <w:marLeft w:val="0"/>
      <w:marRight w:val="0"/>
      <w:marTop w:val="0"/>
      <w:marBottom w:val="0"/>
      <w:divBdr>
        <w:top w:val="none" w:sz="0" w:space="0" w:color="auto"/>
        <w:left w:val="none" w:sz="0" w:space="0" w:color="auto"/>
        <w:bottom w:val="none" w:sz="0" w:space="0" w:color="auto"/>
        <w:right w:val="none" w:sz="0" w:space="0" w:color="auto"/>
      </w:divBdr>
      <w:divsChild>
        <w:div w:id="1597471850">
          <w:marLeft w:val="0"/>
          <w:marRight w:val="0"/>
          <w:marTop w:val="0"/>
          <w:marBottom w:val="0"/>
          <w:divBdr>
            <w:top w:val="none" w:sz="0" w:space="0" w:color="auto"/>
            <w:left w:val="none" w:sz="0" w:space="0" w:color="auto"/>
            <w:bottom w:val="none" w:sz="0" w:space="0" w:color="auto"/>
            <w:right w:val="none" w:sz="0" w:space="0" w:color="auto"/>
          </w:divBdr>
        </w:div>
      </w:divsChild>
    </w:div>
    <w:div w:id="292174450">
      <w:bodyDiv w:val="1"/>
      <w:marLeft w:val="0"/>
      <w:marRight w:val="0"/>
      <w:marTop w:val="0"/>
      <w:marBottom w:val="0"/>
      <w:divBdr>
        <w:top w:val="none" w:sz="0" w:space="0" w:color="auto"/>
        <w:left w:val="none" w:sz="0" w:space="0" w:color="auto"/>
        <w:bottom w:val="none" w:sz="0" w:space="0" w:color="auto"/>
        <w:right w:val="none" w:sz="0" w:space="0" w:color="auto"/>
      </w:divBdr>
      <w:divsChild>
        <w:div w:id="1264025386">
          <w:marLeft w:val="0"/>
          <w:marRight w:val="0"/>
          <w:marTop w:val="0"/>
          <w:marBottom w:val="0"/>
          <w:divBdr>
            <w:top w:val="none" w:sz="0" w:space="0" w:color="auto"/>
            <w:left w:val="none" w:sz="0" w:space="0" w:color="auto"/>
            <w:bottom w:val="none" w:sz="0" w:space="0" w:color="auto"/>
            <w:right w:val="none" w:sz="0" w:space="0" w:color="auto"/>
          </w:divBdr>
        </w:div>
      </w:divsChild>
    </w:div>
    <w:div w:id="293996110">
      <w:bodyDiv w:val="1"/>
      <w:marLeft w:val="0"/>
      <w:marRight w:val="0"/>
      <w:marTop w:val="0"/>
      <w:marBottom w:val="0"/>
      <w:divBdr>
        <w:top w:val="none" w:sz="0" w:space="0" w:color="auto"/>
        <w:left w:val="none" w:sz="0" w:space="0" w:color="auto"/>
        <w:bottom w:val="none" w:sz="0" w:space="0" w:color="auto"/>
        <w:right w:val="none" w:sz="0" w:space="0" w:color="auto"/>
      </w:divBdr>
      <w:divsChild>
        <w:div w:id="1936278853">
          <w:marLeft w:val="0"/>
          <w:marRight w:val="0"/>
          <w:marTop w:val="0"/>
          <w:marBottom w:val="0"/>
          <w:divBdr>
            <w:top w:val="none" w:sz="0" w:space="0" w:color="auto"/>
            <w:left w:val="none" w:sz="0" w:space="0" w:color="auto"/>
            <w:bottom w:val="none" w:sz="0" w:space="0" w:color="auto"/>
            <w:right w:val="none" w:sz="0" w:space="0" w:color="auto"/>
          </w:divBdr>
        </w:div>
      </w:divsChild>
    </w:div>
    <w:div w:id="355272690">
      <w:bodyDiv w:val="1"/>
      <w:marLeft w:val="0"/>
      <w:marRight w:val="0"/>
      <w:marTop w:val="0"/>
      <w:marBottom w:val="0"/>
      <w:divBdr>
        <w:top w:val="none" w:sz="0" w:space="0" w:color="auto"/>
        <w:left w:val="none" w:sz="0" w:space="0" w:color="auto"/>
        <w:bottom w:val="none" w:sz="0" w:space="0" w:color="auto"/>
        <w:right w:val="none" w:sz="0" w:space="0" w:color="auto"/>
      </w:divBdr>
      <w:divsChild>
        <w:div w:id="1684891175">
          <w:marLeft w:val="0"/>
          <w:marRight w:val="0"/>
          <w:marTop w:val="0"/>
          <w:marBottom w:val="0"/>
          <w:divBdr>
            <w:top w:val="none" w:sz="0" w:space="0" w:color="auto"/>
            <w:left w:val="none" w:sz="0" w:space="0" w:color="auto"/>
            <w:bottom w:val="none" w:sz="0" w:space="0" w:color="auto"/>
            <w:right w:val="none" w:sz="0" w:space="0" w:color="auto"/>
          </w:divBdr>
        </w:div>
      </w:divsChild>
    </w:div>
    <w:div w:id="513762664">
      <w:bodyDiv w:val="1"/>
      <w:marLeft w:val="0"/>
      <w:marRight w:val="0"/>
      <w:marTop w:val="0"/>
      <w:marBottom w:val="0"/>
      <w:divBdr>
        <w:top w:val="none" w:sz="0" w:space="0" w:color="auto"/>
        <w:left w:val="none" w:sz="0" w:space="0" w:color="auto"/>
        <w:bottom w:val="none" w:sz="0" w:space="0" w:color="auto"/>
        <w:right w:val="none" w:sz="0" w:space="0" w:color="auto"/>
      </w:divBdr>
      <w:divsChild>
        <w:div w:id="1134326456">
          <w:marLeft w:val="0"/>
          <w:marRight w:val="0"/>
          <w:marTop w:val="0"/>
          <w:marBottom w:val="0"/>
          <w:divBdr>
            <w:top w:val="none" w:sz="0" w:space="0" w:color="auto"/>
            <w:left w:val="none" w:sz="0" w:space="0" w:color="auto"/>
            <w:bottom w:val="none" w:sz="0" w:space="0" w:color="auto"/>
            <w:right w:val="none" w:sz="0" w:space="0" w:color="auto"/>
          </w:divBdr>
        </w:div>
      </w:divsChild>
    </w:div>
    <w:div w:id="569846265">
      <w:bodyDiv w:val="1"/>
      <w:marLeft w:val="0"/>
      <w:marRight w:val="0"/>
      <w:marTop w:val="0"/>
      <w:marBottom w:val="0"/>
      <w:divBdr>
        <w:top w:val="none" w:sz="0" w:space="0" w:color="auto"/>
        <w:left w:val="none" w:sz="0" w:space="0" w:color="auto"/>
        <w:bottom w:val="none" w:sz="0" w:space="0" w:color="auto"/>
        <w:right w:val="none" w:sz="0" w:space="0" w:color="auto"/>
      </w:divBdr>
    </w:div>
    <w:div w:id="603461799">
      <w:bodyDiv w:val="1"/>
      <w:marLeft w:val="0"/>
      <w:marRight w:val="0"/>
      <w:marTop w:val="0"/>
      <w:marBottom w:val="0"/>
      <w:divBdr>
        <w:top w:val="none" w:sz="0" w:space="0" w:color="auto"/>
        <w:left w:val="none" w:sz="0" w:space="0" w:color="auto"/>
        <w:bottom w:val="none" w:sz="0" w:space="0" w:color="auto"/>
        <w:right w:val="none" w:sz="0" w:space="0" w:color="auto"/>
      </w:divBdr>
      <w:divsChild>
        <w:div w:id="2087339127">
          <w:marLeft w:val="0"/>
          <w:marRight w:val="0"/>
          <w:marTop w:val="0"/>
          <w:marBottom w:val="0"/>
          <w:divBdr>
            <w:top w:val="none" w:sz="0" w:space="0" w:color="auto"/>
            <w:left w:val="none" w:sz="0" w:space="0" w:color="auto"/>
            <w:bottom w:val="none" w:sz="0" w:space="0" w:color="auto"/>
            <w:right w:val="none" w:sz="0" w:space="0" w:color="auto"/>
          </w:divBdr>
        </w:div>
      </w:divsChild>
    </w:div>
    <w:div w:id="612127271">
      <w:bodyDiv w:val="1"/>
      <w:marLeft w:val="0"/>
      <w:marRight w:val="0"/>
      <w:marTop w:val="0"/>
      <w:marBottom w:val="0"/>
      <w:divBdr>
        <w:top w:val="none" w:sz="0" w:space="0" w:color="auto"/>
        <w:left w:val="none" w:sz="0" w:space="0" w:color="auto"/>
        <w:bottom w:val="none" w:sz="0" w:space="0" w:color="auto"/>
        <w:right w:val="none" w:sz="0" w:space="0" w:color="auto"/>
      </w:divBdr>
    </w:div>
    <w:div w:id="642202820">
      <w:bodyDiv w:val="1"/>
      <w:marLeft w:val="0"/>
      <w:marRight w:val="0"/>
      <w:marTop w:val="0"/>
      <w:marBottom w:val="0"/>
      <w:divBdr>
        <w:top w:val="none" w:sz="0" w:space="0" w:color="auto"/>
        <w:left w:val="none" w:sz="0" w:space="0" w:color="auto"/>
        <w:bottom w:val="none" w:sz="0" w:space="0" w:color="auto"/>
        <w:right w:val="none" w:sz="0" w:space="0" w:color="auto"/>
      </w:divBdr>
    </w:div>
    <w:div w:id="694842129">
      <w:bodyDiv w:val="1"/>
      <w:marLeft w:val="0"/>
      <w:marRight w:val="0"/>
      <w:marTop w:val="0"/>
      <w:marBottom w:val="0"/>
      <w:divBdr>
        <w:top w:val="none" w:sz="0" w:space="0" w:color="auto"/>
        <w:left w:val="none" w:sz="0" w:space="0" w:color="auto"/>
        <w:bottom w:val="none" w:sz="0" w:space="0" w:color="auto"/>
        <w:right w:val="none" w:sz="0" w:space="0" w:color="auto"/>
      </w:divBdr>
    </w:div>
    <w:div w:id="730232806">
      <w:bodyDiv w:val="1"/>
      <w:marLeft w:val="0"/>
      <w:marRight w:val="0"/>
      <w:marTop w:val="0"/>
      <w:marBottom w:val="0"/>
      <w:divBdr>
        <w:top w:val="none" w:sz="0" w:space="0" w:color="auto"/>
        <w:left w:val="none" w:sz="0" w:space="0" w:color="auto"/>
        <w:bottom w:val="none" w:sz="0" w:space="0" w:color="auto"/>
        <w:right w:val="none" w:sz="0" w:space="0" w:color="auto"/>
      </w:divBdr>
      <w:divsChild>
        <w:div w:id="1569881521">
          <w:marLeft w:val="0"/>
          <w:marRight w:val="0"/>
          <w:marTop w:val="0"/>
          <w:marBottom w:val="0"/>
          <w:divBdr>
            <w:top w:val="none" w:sz="0" w:space="0" w:color="auto"/>
            <w:left w:val="none" w:sz="0" w:space="0" w:color="auto"/>
            <w:bottom w:val="none" w:sz="0" w:space="0" w:color="auto"/>
            <w:right w:val="none" w:sz="0" w:space="0" w:color="auto"/>
          </w:divBdr>
        </w:div>
      </w:divsChild>
    </w:div>
    <w:div w:id="747464129">
      <w:bodyDiv w:val="1"/>
      <w:marLeft w:val="0"/>
      <w:marRight w:val="0"/>
      <w:marTop w:val="0"/>
      <w:marBottom w:val="0"/>
      <w:divBdr>
        <w:top w:val="none" w:sz="0" w:space="0" w:color="auto"/>
        <w:left w:val="none" w:sz="0" w:space="0" w:color="auto"/>
        <w:bottom w:val="none" w:sz="0" w:space="0" w:color="auto"/>
        <w:right w:val="none" w:sz="0" w:space="0" w:color="auto"/>
      </w:divBdr>
    </w:div>
    <w:div w:id="767894768">
      <w:bodyDiv w:val="1"/>
      <w:marLeft w:val="0"/>
      <w:marRight w:val="0"/>
      <w:marTop w:val="0"/>
      <w:marBottom w:val="0"/>
      <w:divBdr>
        <w:top w:val="none" w:sz="0" w:space="0" w:color="auto"/>
        <w:left w:val="none" w:sz="0" w:space="0" w:color="auto"/>
        <w:bottom w:val="none" w:sz="0" w:space="0" w:color="auto"/>
        <w:right w:val="none" w:sz="0" w:space="0" w:color="auto"/>
      </w:divBdr>
    </w:div>
    <w:div w:id="792287485">
      <w:bodyDiv w:val="1"/>
      <w:marLeft w:val="0"/>
      <w:marRight w:val="0"/>
      <w:marTop w:val="0"/>
      <w:marBottom w:val="0"/>
      <w:divBdr>
        <w:top w:val="none" w:sz="0" w:space="0" w:color="auto"/>
        <w:left w:val="none" w:sz="0" w:space="0" w:color="auto"/>
        <w:bottom w:val="none" w:sz="0" w:space="0" w:color="auto"/>
        <w:right w:val="none" w:sz="0" w:space="0" w:color="auto"/>
      </w:divBdr>
    </w:div>
    <w:div w:id="828137338">
      <w:bodyDiv w:val="1"/>
      <w:marLeft w:val="0"/>
      <w:marRight w:val="0"/>
      <w:marTop w:val="0"/>
      <w:marBottom w:val="0"/>
      <w:divBdr>
        <w:top w:val="none" w:sz="0" w:space="0" w:color="auto"/>
        <w:left w:val="none" w:sz="0" w:space="0" w:color="auto"/>
        <w:bottom w:val="none" w:sz="0" w:space="0" w:color="auto"/>
        <w:right w:val="none" w:sz="0" w:space="0" w:color="auto"/>
      </w:divBdr>
      <w:divsChild>
        <w:div w:id="915670191">
          <w:marLeft w:val="0"/>
          <w:marRight w:val="0"/>
          <w:marTop w:val="0"/>
          <w:marBottom w:val="0"/>
          <w:divBdr>
            <w:top w:val="none" w:sz="0" w:space="0" w:color="auto"/>
            <w:left w:val="none" w:sz="0" w:space="0" w:color="auto"/>
            <w:bottom w:val="none" w:sz="0" w:space="0" w:color="auto"/>
            <w:right w:val="none" w:sz="0" w:space="0" w:color="auto"/>
          </w:divBdr>
        </w:div>
      </w:divsChild>
    </w:div>
    <w:div w:id="920484511">
      <w:bodyDiv w:val="1"/>
      <w:marLeft w:val="0"/>
      <w:marRight w:val="0"/>
      <w:marTop w:val="0"/>
      <w:marBottom w:val="0"/>
      <w:divBdr>
        <w:top w:val="none" w:sz="0" w:space="0" w:color="auto"/>
        <w:left w:val="none" w:sz="0" w:space="0" w:color="auto"/>
        <w:bottom w:val="none" w:sz="0" w:space="0" w:color="auto"/>
        <w:right w:val="none" w:sz="0" w:space="0" w:color="auto"/>
      </w:divBdr>
    </w:div>
    <w:div w:id="927155662">
      <w:bodyDiv w:val="1"/>
      <w:marLeft w:val="0"/>
      <w:marRight w:val="0"/>
      <w:marTop w:val="0"/>
      <w:marBottom w:val="0"/>
      <w:divBdr>
        <w:top w:val="none" w:sz="0" w:space="0" w:color="auto"/>
        <w:left w:val="none" w:sz="0" w:space="0" w:color="auto"/>
        <w:bottom w:val="none" w:sz="0" w:space="0" w:color="auto"/>
        <w:right w:val="none" w:sz="0" w:space="0" w:color="auto"/>
      </w:divBdr>
    </w:div>
    <w:div w:id="987243324">
      <w:bodyDiv w:val="1"/>
      <w:marLeft w:val="0"/>
      <w:marRight w:val="0"/>
      <w:marTop w:val="0"/>
      <w:marBottom w:val="0"/>
      <w:divBdr>
        <w:top w:val="none" w:sz="0" w:space="0" w:color="auto"/>
        <w:left w:val="none" w:sz="0" w:space="0" w:color="auto"/>
        <w:bottom w:val="none" w:sz="0" w:space="0" w:color="auto"/>
        <w:right w:val="none" w:sz="0" w:space="0" w:color="auto"/>
      </w:divBdr>
    </w:div>
    <w:div w:id="1055159651">
      <w:bodyDiv w:val="1"/>
      <w:marLeft w:val="0"/>
      <w:marRight w:val="0"/>
      <w:marTop w:val="0"/>
      <w:marBottom w:val="0"/>
      <w:divBdr>
        <w:top w:val="none" w:sz="0" w:space="0" w:color="auto"/>
        <w:left w:val="none" w:sz="0" w:space="0" w:color="auto"/>
        <w:bottom w:val="none" w:sz="0" w:space="0" w:color="auto"/>
        <w:right w:val="none" w:sz="0" w:space="0" w:color="auto"/>
      </w:divBdr>
    </w:div>
    <w:div w:id="1102536021">
      <w:bodyDiv w:val="1"/>
      <w:marLeft w:val="0"/>
      <w:marRight w:val="0"/>
      <w:marTop w:val="0"/>
      <w:marBottom w:val="0"/>
      <w:divBdr>
        <w:top w:val="none" w:sz="0" w:space="0" w:color="auto"/>
        <w:left w:val="none" w:sz="0" w:space="0" w:color="auto"/>
        <w:bottom w:val="none" w:sz="0" w:space="0" w:color="auto"/>
        <w:right w:val="none" w:sz="0" w:space="0" w:color="auto"/>
      </w:divBdr>
    </w:div>
    <w:div w:id="1134181701">
      <w:bodyDiv w:val="1"/>
      <w:marLeft w:val="0"/>
      <w:marRight w:val="0"/>
      <w:marTop w:val="0"/>
      <w:marBottom w:val="0"/>
      <w:divBdr>
        <w:top w:val="none" w:sz="0" w:space="0" w:color="auto"/>
        <w:left w:val="none" w:sz="0" w:space="0" w:color="auto"/>
        <w:bottom w:val="none" w:sz="0" w:space="0" w:color="auto"/>
        <w:right w:val="none" w:sz="0" w:space="0" w:color="auto"/>
      </w:divBdr>
      <w:divsChild>
        <w:div w:id="317077513">
          <w:marLeft w:val="0"/>
          <w:marRight w:val="0"/>
          <w:marTop w:val="0"/>
          <w:marBottom w:val="0"/>
          <w:divBdr>
            <w:top w:val="none" w:sz="0" w:space="0" w:color="auto"/>
            <w:left w:val="none" w:sz="0" w:space="0" w:color="auto"/>
            <w:bottom w:val="none" w:sz="0" w:space="0" w:color="auto"/>
            <w:right w:val="none" w:sz="0" w:space="0" w:color="auto"/>
          </w:divBdr>
        </w:div>
      </w:divsChild>
    </w:div>
    <w:div w:id="1184393713">
      <w:bodyDiv w:val="1"/>
      <w:marLeft w:val="0"/>
      <w:marRight w:val="0"/>
      <w:marTop w:val="0"/>
      <w:marBottom w:val="0"/>
      <w:divBdr>
        <w:top w:val="none" w:sz="0" w:space="0" w:color="auto"/>
        <w:left w:val="none" w:sz="0" w:space="0" w:color="auto"/>
        <w:bottom w:val="none" w:sz="0" w:space="0" w:color="auto"/>
        <w:right w:val="none" w:sz="0" w:space="0" w:color="auto"/>
      </w:divBdr>
      <w:divsChild>
        <w:div w:id="176189907">
          <w:marLeft w:val="0"/>
          <w:marRight w:val="0"/>
          <w:marTop w:val="0"/>
          <w:marBottom w:val="0"/>
          <w:divBdr>
            <w:top w:val="none" w:sz="0" w:space="0" w:color="auto"/>
            <w:left w:val="none" w:sz="0" w:space="0" w:color="auto"/>
            <w:bottom w:val="none" w:sz="0" w:space="0" w:color="auto"/>
            <w:right w:val="none" w:sz="0" w:space="0" w:color="auto"/>
          </w:divBdr>
        </w:div>
      </w:divsChild>
    </w:div>
    <w:div w:id="1202548720">
      <w:bodyDiv w:val="1"/>
      <w:marLeft w:val="0"/>
      <w:marRight w:val="0"/>
      <w:marTop w:val="0"/>
      <w:marBottom w:val="0"/>
      <w:divBdr>
        <w:top w:val="none" w:sz="0" w:space="0" w:color="auto"/>
        <w:left w:val="none" w:sz="0" w:space="0" w:color="auto"/>
        <w:bottom w:val="none" w:sz="0" w:space="0" w:color="auto"/>
        <w:right w:val="none" w:sz="0" w:space="0" w:color="auto"/>
      </w:divBdr>
      <w:divsChild>
        <w:div w:id="205408496">
          <w:marLeft w:val="0"/>
          <w:marRight w:val="0"/>
          <w:marTop w:val="0"/>
          <w:marBottom w:val="0"/>
          <w:divBdr>
            <w:top w:val="none" w:sz="0" w:space="0" w:color="auto"/>
            <w:left w:val="none" w:sz="0" w:space="0" w:color="auto"/>
            <w:bottom w:val="none" w:sz="0" w:space="0" w:color="auto"/>
            <w:right w:val="none" w:sz="0" w:space="0" w:color="auto"/>
          </w:divBdr>
        </w:div>
      </w:divsChild>
    </w:div>
    <w:div w:id="1211578615">
      <w:bodyDiv w:val="1"/>
      <w:marLeft w:val="0"/>
      <w:marRight w:val="0"/>
      <w:marTop w:val="0"/>
      <w:marBottom w:val="0"/>
      <w:divBdr>
        <w:top w:val="none" w:sz="0" w:space="0" w:color="auto"/>
        <w:left w:val="none" w:sz="0" w:space="0" w:color="auto"/>
        <w:bottom w:val="none" w:sz="0" w:space="0" w:color="auto"/>
        <w:right w:val="none" w:sz="0" w:space="0" w:color="auto"/>
      </w:divBdr>
    </w:div>
    <w:div w:id="1246455198">
      <w:bodyDiv w:val="1"/>
      <w:marLeft w:val="0"/>
      <w:marRight w:val="0"/>
      <w:marTop w:val="0"/>
      <w:marBottom w:val="0"/>
      <w:divBdr>
        <w:top w:val="none" w:sz="0" w:space="0" w:color="auto"/>
        <w:left w:val="none" w:sz="0" w:space="0" w:color="auto"/>
        <w:bottom w:val="none" w:sz="0" w:space="0" w:color="auto"/>
        <w:right w:val="none" w:sz="0" w:space="0" w:color="auto"/>
      </w:divBdr>
    </w:div>
    <w:div w:id="1253123512">
      <w:bodyDiv w:val="1"/>
      <w:marLeft w:val="0"/>
      <w:marRight w:val="0"/>
      <w:marTop w:val="0"/>
      <w:marBottom w:val="0"/>
      <w:divBdr>
        <w:top w:val="none" w:sz="0" w:space="0" w:color="auto"/>
        <w:left w:val="none" w:sz="0" w:space="0" w:color="auto"/>
        <w:bottom w:val="none" w:sz="0" w:space="0" w:color="auto"/>
        <w:right w:val="none" w:sz="0" w:space="0" w:color="auto"/>
      </w:divBdr>
      <w:divsChild>
        <w:div w:id="1090468206">
          <w:marLeft w:val="0"/>
          <w:marRight w:val="0"/>
          <w:marTop w:val="0"/>
          <w:marBottom w:val="0"/>
          <w:divBdr>
            <w:top w:val="none" w:sz="0" w:space="0" w:color="auto"/>
            <w:left w:val="none" w:sz="0" w:space="0" w:color="auto"/>
            <w:bottom w:val="none" w:sz="0" w:space="0" w:color="auto"/>
            <w:right w:val="none" w:sz="0" w:space="0" w:color="auto"/>
          </w:divBdr>
        </w:div>
      </w:divsChild>
    </w:div>
    <w:div w:id="1370448212">
      <w:bodyDiv w:val="1"/>
      <w:marLeft w:val="0"/>
      <w:marRight w:val="0"/>
      <w:marTop w:val="0"/>
      <w:marBottom w:val="0"/>
      <w:divBdr>
        <w:top w:val="none" w:sz="0" w:space="0" w:color="auto"/>
        <w:left w:val="none" w:sz="0" w:space="0" w:color="auto"/>
        <w:bottom w:val="none" w:sz="0" w:space="0" w:color="auto"/>
        <w:right w:val="none" w:sz="0" w:space="0" w:color="auto"/>
      </w:divBdr>
    </w:div>
    <w:div w:id="1371111041">
      <w:bodyDiv w:val="1"/>
      <w:marLeft w:val="0"/>
      <w:marRight w:val="0"/>
      <w:marTop w:val="0"/>
      <w:marBottom w:val="0"/>
      <w:divBdr>
        <w:top w:val="none" w:sz="0" w:space="0" w:color="auto"/>
        <w:left w:val="none" w:sz="0" w:space="0" w:color="auto"/>
        <w:bottom w:val="none" w:sz="0" w:space="0" w:color="auto"/>
        <w:right w:val="none" w:sz="0" w:space="0" w:color="auto"/>
      </w:divBdr>
      <w:divsChild>
        <w:div w:id="49117695">
          <w:marLeft w:val="0"/>
          <w:marRight w:val="0"/>
          <w:marTop w:val="0"/>
          <w:marBottom w:val="0"/>
          <w:divBdr>
            <w:top w:val="none" w:sz="0" w:space="0" w:color="auto"/>
            <w:left w:val="none" w:sz="0" w:space="0" w:color="auto"/>
            <w:bottom w:val="none" w:sz="0" w:space="0" w:color="auto"/>
            <w:right w:val="none" w:sz="0" w:space="0" w:color="auto"/>
          </w:divBdr>
        </w:div>
      </w:divsChild>
    </w:div>
    <w:div w:id="1418359435">
      <w:bodyDiv w:val="1"/>
      <w:marLeft w:val="0"/>
      <w:marRight w:val="0"/>
      <w:marTop w:val="0"/>
      <w:marBottom w:val="0"/>
      <w:divBdr>
        <w:top w:val="none" w:sz="0" w:space="0" w:color="auto"/>
        <w:left w:val="none" w:sz="0" w:space="0" w:color="auto"/>
        <w:bottom w:val="none" w:sz="0" w:space="0" w:color="auto"/>
        <w:right w:val="none" w:sz="0" w:space="0" w:color="auto"/>
      </w:divBdr>
      <w:divsChild>
        <w:div w:id="512913528">
          <w:marLeft w:val="0"/>
          <w:marRight w:val="0"/>
          <w:marTop w:val="0"/>
          <w:marBottom w:val="0"/>
          <w:divBdr>
            <w:top w:val="none" w:sz="0" w:space="0" w:color="auto"/>
            <w:left w:val="none" w:sz="0" w:space="0" w:color="auto"/>
            <w:bottom w:val="none" w:sz="0" w:space="0" w:color="auto"/>
            <w:right w:val="none" w:sz="0" w:space="0" w:color="auto"/>
          </w:divBdr>
        </w:div>
      </w:divsChild>
    </w:div>
    <w:div w:id="1466697794">
      <w:bodyDiv w:val="1"/>
      <w:marLeft w:val="0"/>
      <w:marRight w:val="0"/>
      <w:marTop w:val="0"/>
      <w:marBottom w:val="0"/>
      <w:divBdr>
        <w:top w:val="none" w:sz="0" w:space="0" w:color="auto"/>
        <w:left w:val="none" w:sz="0" w:space="0" w:color="auto"/>
        <w:bottom w:val="none" w:sz="0" w:space="0" w:color="auto"/>
        <w:right w:val="none" w:sz="0" w:space="0" w:color="auto"/>
      </w:divBdr>
      <w:divsChild>
        <w:div w:id="1845047642">
          <w:marLeft w:val="0"/>
          <w:marRight w:val="0"/>
          <w:marTop w:val="0"/>
          <w:marBottom w:val="0"/>
          <w:divBdr>
            <w:top w:val="none" w:sz="0" w:space="0" w:color="auto"/>
            <w:left w:val="none" w:sz="0" w:space="0" w:color="auto"/>
            <w:bottom w:val="none" w:sz="0" w:space="0" w:color="auto"/>
            <w:right w:val="none" w:sz="0" w:space="0" w:color="auto"/>
          </w:divBdr>
        </w:div>
      </w:divsChild>
    </w:div>
    <w:div w:id="1473016749">
      <w:bodyDiv w:val="1"/>
      <w:marLeft w:val="0"/>
      <w:marRight w:val="0"/>
      <w:marTop w:val="0"/>
      <w:marBottom w:val="0"/>
      <w:divBdr>
        <w:top w:val="none" w:sz="0" w:space="0" w:color="auto"/>
        <w:left w:val="none" w:sz="0" w:space="0" w:color="auto"/>
        <w:bottom w:val="none" w:sz="0" w:space="0" w:color="auto"/>
        <w:right w:val="none" w:sz="0" w:space="0" w:color="auto"/>
      </w:divBdr>
    </w:div>
    <w:div w:id="1526483174">
      <w:bodyDiv w:val="1"/>
      <w:marLeft w:val="0"/>
      <w:marRight w:val="0"/>
      <w:marTop w:val="0"/>
      <w:marBottom w:val="0"/>
      <w:divBdr>
        <w:top w:val="none" w:sz="0" w:space="0" w:color="auto"/>
        <w:left w:val="none" w:sz="0" w:space="0" w:color="auto"/>
        <w:bottom w:val="none" w:sz="0" w:space="0" w:color="auto"/>
        <w:right w:val="none" w:sz="0" w:space="0" w:color="auto"/>
      </w:divBdr>
    </w:div>
    <w:div w:id="1551381923">
      <w:bodyDiv w:val="1"/>
      <w:marLeft w:val="0"/>
      <w:marRight w:val="0"/>
      <w:marTop w:val="0"/>
      <w:marBottom w:val="0"/>
      <w:divBdr>
        <w:top w:val="none" w:sz="0" w:space="0" w:color="auto"/>
        <w:left w:val="none" w:sz="0" w:space="0" w:color="auto"/>
        <w:bottom w:val="none" w:sz="0" w:space="0" w:color="auto"/>
        <w:right w:val="none" w:sz="0" w:space="0" w:color="auto"/>
      </w:divBdr>
    </w:div>
    <w:div w:id="1554851753">
      <w:bodyDiv w:val="1"/>
      <w:marLeft w:val="0"/>
      <w:marRight w:val="0"/>
      <w:marTop w:val="0"/>
      <w:marBottom w:val="0"/>
      <w:divBdr>
        <w:top w:val="none" w:sz="0" w:space="0" w:color="auto"/>
        <w:left w:val="none" w:sz="0" w:space="0" w:color="auto"/>
        <w:bottom w:val="none" w:sz="0" w:space="0" w:color="auto"/>
        <w:right w:val="none" w:sz="0" w:space="0" w:color="auto"/>
      </w:divBdr>
    </w:div>
    <w:div w:id="1560049946">
      <w:bodyDiv w:val="1"/>
      <w:marLeft w:val="0"/>
      <w:marRight w:val="0"/>
      <w:marTop w:val="0"/>
      <w:marBottom w:val="0"/>
      <w:divBdr>
        <w:top w:val="none" w:sz="0" w:space="0" w:color="auto"/>
        <w:left w:val="none" w:sz="0" w:space="0" w:color="auto"/>
        <w:bottom w:val="none" w:sz="0" w:space="0" w:color="auto"/>
        <w:right w:val="none" w:sz="0" w:space="0" w:color="auto"/>
      </w:divBdr>
    </w:div>
    <w:div w:id="1584334554">
      <w:bodyDiv w:val="1"/>
      <w:marLeft w:val="0"/>
      <w:marRight w:val="0"/>
      <w:marTop w:val="0"/>
      <w:marBottom w:val="0"/>
      <w:divBdr>
        <w:top w:val="none" w:sz="0" w:space="0" w:color="auto"/>
        <w:left w:val="none" w:sz="0" w:space="0" w:color="auto"/>
        <w:bottom w:val="none" w:sz="0" w:space="0" w:color="auto"/>
        <w:right w:val="none" w:sz="0" w:space="0" w:color="auto"/>
      </w:divBdr>
      <w:divsChild>
        <w:div w:id="1381785582">
          <w:marLeft w:val="0"/>
          <w:marRight w:val="0"/>
          <w:marTop w:val="0"/>
          <w:marBottom w:val="0"/>
          <w:divBdr>
            <w:top w:val="none" w:sz="0" w:space="0" w:color="auto"/>
            <w:left w:val="none" w:sz="0" w:space="0" w:color="auto"/>
            <w:bottom w:val="none" w:sz="0" w:space="0" w:color="auto"/>
            <w:right w:val="none" w:sz="0" w:space="0" w:color="auto"/>
          </w:divBdr>
        </w:div>
      </w:divsChild>
    </w:div>
    <w:div w:id="1690372608">
      <w:bodyDiv w:val="1"/>
      <w:marLeft w:val="0"/>
      <w:marRight w:val="0"/>
      <w:marTop w:val="0"/>
      <w:marBottom w:val="0"/>
      <w:divBdr>
        <w:top w:val="none" w:sz="0" w:space="0" w:color="auto"/>
        <w:left w:val="none" w:sz="0" w:space="0" w:color="auto"/>
        <w:bottom w:val="none" w:sz="0" w:space="0" w:color="auto"/>
        <w:right w:val="none" w:sz="0" w:space="0" w:color="auto"/>
      </w:divBdr>
    </w:div>
    <w:div w:id="1694963229">
      <w:bodyDiv w:val="1"/>
      <w:marLeft w:val="0"/>
      <w:marRight w:val="0"/>
      <w:marTop w:val="0"/>
      <w:marBottom w:val="0"/>
      <w:divBdr>
        <w:top w:val="none" w:sz="0" w:space="0" w:color="auto"/>
        <w:left w:val="none" w:sz="0" w:space="0" w:color="auto"/>
        <w:bottom w:val="none" w:sz="0" w:space="0" w:color="auto"/>
        <w:right w:val="none" w:sz="0" w:space="0" w:color="auto"/>
      </w:divBdr>
    </w:div>
    <w:div w:id="1810510386">
      <w:bodyDiv w:val="1"/>
      <w:marLeft w:val="0"/>
      <w:marRight w:val="0"/>
      <w:marTop w:val="0"/>
      <w:marBottom w:val="0"/>
      <w:divBdr>
        <w:top w:val="none" w:sz="0" w:space="0" w:color="auto"/>
        <w:left w:val="none" w:sz="0" w:space="0" w:color="auto"/>
        <w:bottom w:val="none" w:sz="0" w:space="0" w:color="auto"/>
        <w:right w:val="none" w:sz="0" w:space="0" w:color="auto"/>
      </w:divBdr>
    </w:div>
    <w:div w:id="1812867010">
      <w:bodyDiv w:val="1"/>
      <w:marLeft w:val="0"/>
      <w:marRight w:val="0"/>
      <w:marTop w:val="0"/>
      <w:marBottom w:val="0"/>
      <w:divBdr>
        <w:top w:val="none" w:sz="0" w:space="0" w:color="auto"/>
        <w:left w:val="none" w:sz="0" w:space="0" w:color="auto"/>
        <w:bottom w:val="none" w:sz="0" w:space="0" w:color="auto"/>
        <w:right w:val="none" w:sz="0" w:space="0" w:color="auto"/>
      </w:divBdr>
    </w:div>
    <w:div w:id="202743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ksuci.2024.102015" TargetMode="External"/><Relationship Id="rId18" Type="http://schemas.openxmlformats.org/officeDocument/2006/relationships/hyperlink" Target="https://www.ecb.europa.eu/press/financial-stability-publications/fsr/special/html/ecb.fsrart202405_02~58c3ce5246.en.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3390/ijfs13010028" TargetMode="External"/><Relationship Id="rId7" Type="http://schemas.openxmlformats.org/officeDocument/2006/relationships/endnotes" Target="endnotes.xml"/><Relationship Id="rId12" Type="http://schemas.openxmlformats.org/officeDocument/2006/relationships/hyperlink" Target="https://doi.org/10.3390/math10183302" TargetMode="External"/><Relationship Id="rId17" Type="http://schemas.openxmlformats.org/officeDocument/2006/relationships/hyperlink" Target="https://doi.org/10.46743/2160-3715/2003.1870"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fsb.org/uploads/P14112024.pdf" TargetMode="External"/><Relationship Id="rId20" Type="http://schemas.openxmlformats.org/officeDocument/2006/relationships/hyperlink" Target="https://doi.org/10.1016/j.jfineco.2015.01.003"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rray.2025.10039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cb.europa.eu/pub/pdf/fsr/ecb.fsr202311~bfe9d7c565.en.pdf" TargetMode="External"/><Relationship Id="rId23" Type="http://schemas.openxmlformats.org/officeDocument/2006/relationships/hyperlink" Target="https://core.ac.uk/download/pdf/51086672.pdf" TargetMode="External"/><Relationship Id="rId28" Type="http://schemas.openxmlformats.org/officeDocument/2006/relationships/header" Target="header3.xml"/><Relationship Id="rId10" Type="http://schemas.openxmlformats.org/officeDocument/2006/relationships/hyperlink" Target="https://www.bis.org/statistics/rpfx25_fx.htm" TargetMode="External"/><Relationship Id="rId19" Type="http://schemas.openxmlformats.org/officeDocument/2006/relationships/hyperlink" Target="https://doi.org/10.13140/rg.2.2.13022.9120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0574/wjaets.2024.11.1.0054" TargetMode="External"/><Relationship Id="rId14" Type="http://schemas.openxmlformats.org/officeDocument/2006/relationships/hyperlink" Target="https://doi.org/10.3390/jrfm16100434" TargetMode="External"/><Relationship Id="rId22" Type="http://schemas.openxmlformats.org/officeDocument/2006/relationships/hyperlink" Target="https://uksa.statisticsauthority.gov.uk/publication/ethical-considerations-associated-with-qualitative-research-methods/pages/2/"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59B79-B37A-4F90-B562-675739600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17753</TotalTime>
  <Pages>28</Pages>
  <Words>9252</Words>
  <Characters>52737</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177</cp:revision>
  <dcterms:created xsi:type="dcterms:W3CDTF">2025-06-25T11:06:00Z</dcterms:created>
  <dcterms:modified xsi:type="dcterms:W3CDTF">2026-04-26T08:47:00Z</dcterms:modified>
</cp:coreProperties>
</file>