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338642" w14:textId="77777777" w:rsidR="00B54F0C" w:rsidRPr="00FA59B8" w:rsidRDefault="00B54F0C" w:rsidP="00FA59B8">
      <w:pPr>
        <w:widowControl w:val="0"/>
        <w:tabs>
          <w:tab w:val="left" w:pos="940"/>
          <w:tab w:val="left" w:pos="941"/>
        </w:tabs>
        <w:spacing w:after="0" w:line="360" w:lineRule="auto"/>
        <w:jc w:val="center"/>
        <w:rPr>
          <w:rFonts w:ascii="Arial" w:hAnsi="Arial" w:cs="Arial"/>
          <w:color w:val="000000" w:themeColor="text1"/>
          <w:sz w:val="28"/>
          <w:szCs w:val="28"/>
        </w:rPr>
      </w:pPr>
    </w:p>
    <w:p w14:paraId="01B2545E" w14:textId="77777777" w:rsidR="00B54F0C" w:rsidRPr="00FA59B8" w:rsidRDefault="00B54F0C" w:rsidP="00FA59B8">
      <w:pPr>
        <w:widowControl w:val="0"/>
        <w:tabs>
          <w:tab w:val="left" w:pos="940"/>
          <w:tab w:val="left" w:pos="941"/>
        </w:tabs>
        <w:spacing w:after="0" w:line="360" w:lineRule="auto"/>
        <w:jc w:val="center"/>
        <w:rPr>
          <w:rFonts w:ascii="Arial" w:hAnsi="Arial" w:cs="Arial"/>
          <w:color w:val="000000" w:themeColor="text1"/>
          <w:sz w:val="28"/>
          <w:szCs w:val="28"/>
        </w:rPr>
      </w:pPr>
      <w:r w:rsidRPr="00FA59B8">
        <w:rPr>
          <w:rFonts w:ascii="Arial" w:hAnsi="Arial" w:cs="Arial"/>
          <w:noProof/>
          <w:color w:val="000000" w:themeColor="text1"/>
          <w:sz w:val="28"/>
          <w:szCs w:val="28"/>
        </w:rPr>
        <w:drawing>
          <wp:anchor distT="0" distB="0" distL="114300" distR="114300" simplePos="0" relativeHeight="251659264" behindDoc="0" locked="0" layoutInCell="1" allowOverlap="1" wp14:anchorId="6B331A15" wp14:editId="227C7E82">
            <wp:simplePos x="0" y="0"/>
            <wp:positionH relativeFrom="column">
              <wp:posOffset>0</wp:posOffset>
            </wp:positionH>
            <wp:positionV relativeFrom="paragraph">
              <wp:posOffset>242570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15B4B14" w14:textId="77777777" w:rsidR="00B54F0C" w:rsidRPr="00FA59B8" w:rsidRDefault="00B54F0C" w:rsidP="00FA59B8">
      <w:pPr>
        <w:widowControl w:val="0"/>
        <w:tabs>
          <w:tab w:val="left" w:pos="940"/>
          <w:tab w:val="left" w:pos="941"/>
        </w:tabs>
        <w:spacing w:after="0" w:line="360" w:lineRule="auto"/>
        <w:jc w:val="center"/>
        <w:rPr>
          <w:rFonts w:ascii="Arial" w:hAnsi="Arial" w:cs="Arial"/>
          <w:color w:val="000000" w:themeColor="text1"/>
          <w:sz w:val="28"/>
          <w:szCs w:val="28"/>
        </w:rPr>
      </w:pPr>
    </w:p>
    <w:p w14:paraId="165C0933" w14:textId="77777777" w:rsidR="00B54F0C" w:rsidRPr="00FA59B8" w:rsidRDefault="00B54F0C" w:rsidP="00FA59B8">
      <w:pPr>
        <w:widowControl w:val="0"/>
        <w:tabs>
          <w:tab w:val="left" w:pos="940"/>
          <w:tab w:val="left" w:pos="941"/>
        </w:tabs>
        <w:spacing w:after="0" w:line="360" w:lineRule="auto"/>
        <w:jc w:val="center"/>
        <w:rPr>
          <w:rFonts w:ascii="Arial" w:hAnsi="Arial" w:cs="Arial"/>
          <w:color w:val="000000" w:themeColor="text1"/>
          <w:sz w:val="28"/>
          <w:szCs w:val="28"/>
        </w:rPr>
      </w:pPr>
    </w:p>
    <w:p w14:paraId="63D9A638" w14:textId="77777777" w:rsidR="00B54F0C" w:rsidRPr="00FA59B8" w:rsidRDefault="00B54F0C" w:rsidP="00FA59B8">
      <w:pPr>
        <w:widowControl w:val="0"/>
        <w:tabs>
          <w:tab w:val="left" w:pos="940"/>
          <w:tab w:val="left" w:pos="941"/>
        </w:tabs>
        <w:spacing w:after="0" w:line="360" w:lineRule="auto"/>
        <w:jc w:val="center"/>
        <w:rPr>
          <w:rFonts w:ascii="Arial" w:hAnsi="Arial" w:cs="Arial"/>
          <w:color w:val="000000" w:themeColor="text1"/>
          <w:sz w:val="28"/>
          <w:szCs w:val="28"/>
        </w:rPr>
      </w:pPr>
    </w:p>
    <w:p w14:paraId="2FCA9121" w14:textId="77777777" w:rsidR="00B54F0C" w:rsidRPr="00FA59B8" w:rsidRDefault="00B54F0C" w:rsidP="00FA59B8">
      <w:pPr>
        <w:widowControl w:val="0"/>
        <w:tabs>
          <w:tab w:val="left" w:pos="940"/>
          <w:tab w:val="left" w:pos="941"/>
        </w:tabs>
        <w:spacing w:after="0" w:line="360" w:lineRule="auto"/>
        <w:jc w:val="center"/>
        <w:rPr>
          <w:rFonts w:ascii="Arial" w:hAnsi="Arial" w:cs="Arial"/>
          <w:color w:val="000000" w:themeColor="text1"/>
          <w:sz w:val="28"/>
          <w:szCs w:val="28"/>
        </w:rPr>
      </w:pPr>
    </w:p>
    <w:p w14:paraId="092E7037" w14:textId="77777777" w:rsidR="00B54F0C" w:rsidRPr="00FA59B8" w:rsidRDefault="00B54F0C" w:rsidP="00FA59B8">
      <w:pPr>
        <w:widowControl w:val="0"/>
        <w:tabs>
          <w:tab w:val="left" w:pos="940"/>
          <w:tab w:val="left" w:pos="941"/>
        </w:tabs>
        <w:spacing w:after="0" w:line="360" w:lineRule="auto"/>
        <w:jc w:val="center"/>
        <w:rPr>
          <w:rFonts w:ascii="Arial" w:hAnsi="Arial" w:cs="Arial"/>
          <w:color w:val="000000" w:themeColor="text1"/>
          <w:sz w:val="28"/>
          <w:szCs w:val="28"/>
        </w:rPr>
      </w:pPr>
    </w:p>
    <w:p w14:paraId="55939D8F" w14:textId="77777777" w:rsidR="00B54F0C" w:rsidRPr="00FA59B8" w:rsidRDefault="00B54F0C" w:rsidP="00FA59B8">
      <w:pPr>
        <w:widowControl w:val="0"/>
        <w:tabs>
          <w:tab w:val="left" w:pos="940"/>
          <w:tab w:val="left" w:pos="941"/>
        </w:tabs>
        <w:spacing w:after="0" w:line="360" w:lineRule="auto"/>
        <w:jc w:val="center"/>
        <w:rPr>
          <w:rFonts w:ascii="Arial" w:hAnsi="Arial" w:cs="Arial"/>
          <w:color w:val="000000" w:themeColor="text1"/>
          <w:sz w:val="28"/>
          <w:szCs w:val="28"/>
        </w:rPr>
      </w:pPr>
    </w:p>
    <w:p w14:paraId="711DA335" w14:textId="77777777" w:rsidR="005A5C17" w:rsidRPr="005A5C17" w:rsidRDefault="005A5C17" w:rsidP="005A5C17">
      <w:pPr>
        <w:widowControl w:val="0"/>
        <w:tabs>
          <w:tab w:val="left" w:pos="940"/>
          <w:tab w:val="left" w:pos="941"/>
          <w:tab w:val="center" w:pos="4968"/>
          <w:tab w:val="left" w:pos="6810"/>
        </w:tabs>
        <w:spacing w:after="0" w:line="360" w:lineRule="auto"/>
        <w:jc w:val="center"/>
        <w:rPr>
          <w:rFonts w:ascii="Arial" w:hAnsi="Arial" w:cs="Arial"/>
          <w:b/>
          <w:bCs/>
          <w:color w:val="000000" w:themeColor="text1"/>
          <w:sz w:val="24"/>
          <w:szCs w:val="24"/>
        </w:rPr>
      </w:pPr>
      <w:r w:rsidRPr="005A5C17">
        <w:rPr>
          <w:rFonts w:ascii="Arial" w:hAnsi="Arial" w:cs="Arial"/>
          <w:b/>
          <w:bCs/>
          <w:color w:val="000000" w:themeColor="text1"/>
          <w:sz w:val="24"/>
          <w:szCs w:val="24"/>
        </w:rPr>
        <w:t>Programme Name: MBA International business</w:t>
      </w:r>
    </w:p>
    <w:p w14:paraId="190B0D69" w14:textId="77777777" w:rsidR="005A5C17" w:rsidRPr="005A5C17" w:rsidRDefault="005A5C17" w:rsidP="005A5C17">
      <w:pPr>
        <w:widowControl w:val="0"/>
        <w:tabs>
          <w:tab w:val="left" w:pos="940"/>
          <w:tab w:val="left" w:pos="941"/>
        </w:tabs>
        <w:spacing w:after="0" w:line="360" w:lineRule="auto"/>
        <w:jc w:val="center"/>
        <w:rPr>
          <w:rFonts w:ascii="Arial" w:hAnsi="Arial" w:cs="Arial"/>
          <w:b/>
          <w:bCs/>
          <w:color w:val="000000" w:themeColor="text1"/>
          <w:sz w:val="24"/>
          <w:szCs w:val="24"/>
        </w:rPr>
      </w:pPr>
      <w:r w:rsidRPr="005A5C17">
        <w:rPr>
          <w:rFonts w:ascii="Arial" w:hAnsi="Arial" w:cs="Arial"/>
          <w:b/>
          <w:bCs/>
          <w:color w:val="000000" w:themeColor="text1"/>
          <w:sz w:val="24"/>
          <w:szCs w:val="24"/>
        </w:rPr>
        <w:t>Module Name: Human Capital Management</w:t>
      </w:r>
    </w:p>
    <w:p w14:paraId="580E3103" w14:textId="77777777" w:rsidR="005A5C17" w:rsidRPr="005A5C17" w:rsidRDefault="005A5C17" w:rsidP="005A5C17">
      <w:pPr>
        <w:widowControl w:val="0"/>
        <w:tabs>
          <w:tab w:val="left" w:pos="940"/>
          <w:tab w:val="left" w:pos="941"/>
        </w:tabs>
        <w:spacing w:after="0" w:line="360" w:lineRule="auto"/>
        <w:jc w:val="center"/>
        <w:rPr>
          <w:rFonts w:ascii="Arial" w:hAnsi="Arial" w:cs="Arial"/>
          <w:b/>
          <w:bCs/>
          <w:color w:val="000000" w:themeColor="text1"/>
          <w:sz w:val="24"/>
          <w:szCs w:val="24"/>
        </w:rPr>
      </w:pPr>
      <w:r w:rsidRPr="005A5C17">
        <w:rPr>
          <w:rFonts w:ascii="Arial" w:hAnsi="Arial" w:cs="Arial"/>
          <w:b/>
          <w:bCs/>
          <w:color w:val="000000" w:themeColor="text1"/>
          <w:sz w:val="24"/>
          <w:szCs w:val="24"/>
        </w:rPr>
        <w:t>Module Code: LCMB7023</w:t>
      </w:r>
    </w:p>
    <w:p w14:paraId="337B1EF3" w14:textId="77777777" w:rsidR="005A5C17" w:rsidRPr="005A5C17" w:rsidRDefault="005A5C17" w:rsidP="005A5C17">
      <w:pPr>
        <w:widowControl w:val="0"/>
        <w:tabs>
          <w:tab w:val="left" w:pos="940"/>
          <w:tab w:val="left" w:pos="941"/>
        </w:tabs>
        <w:spacing w:after="0" w:line="360" w:lineRule="auto"/>
        <w:jc w:val="center"/>
        <w:rPr>
          <w:rFonts w:ascii="Arial" w:hAnsi="Arial" w:cs="Arial"/>
          <w:b/>
          <w:bCs/>
          <w:color w:val="000000" w:themeColor="text1"/>
          <w:sz w:val="24"/>
          <w:szCs w:val="24"/>
        </w:rPr>
      </w:pPr>
      <w:r w:rsidRPr="005A5C17">
        <w:rPr>
          <w:rFonts w:ascii="Arial" w:hAnsi="Arial" w:cs="Arial"/>
          <w:b/>
          <w:bCs/>
          <w:color w:val="000000" w:themeColor="text1"/>
          <w:sz w:val="24"/>
          <w:szCs w:val="24"/>
        </w:rPr>
        <w:t>Title: Assignment Component 1: Individual Report</w:t>
      </w:r>
    </w:p>
    <w:p w14:paraId="155F2879" w14:textId="77777777" w:rsidR="005A5C17" w:rsidRPr="005A5C17" w:rsidRDefault="005A5C17" w:rsidP="005A5C17">
      <w:pPr>
        <w:widowControl w:val="0"/>
        <w:tabs>
          <w:tab w:val="left" w:pos="940"/>
          <w:tab w:val="left" w:pos="941"/>
        </w:tabs>
        <w:spacing w:after="0" w:line="360" w:lineRule="auto"/>
        <w:jc w:val="center"/>
        <w:rPr>
          <w:rFonts w:ascii="Arial" w:hAnsi="Arial" w:cs="Arial"/>
          <w:b/>
          <w:bCs/>
          <w:color w:val="000000" w:themeColor="text1"/>
          <w:sz w:val="24"/>
          <w:szCs w:val="24"/>
        </w:rPr>
      </w:pPr>
      <w:r w:rsidRPr="005A5C17">
        <w:rPr>
          <w:rFonts w:ascii="Arial" w:hAnsi="Arial" w:cs="Arial"/>
          <w:b/>
          <w:bCs/>
          <w:color w:val="000000" w:themeColor="text1"/>
          <w:sz w:val="24"/>
          <w:szCs w:val="24"/>
        </w:rPr>
        <w:t>Lecturer's Name: Eno Maycock</w:t>
      </w:r>
    </w:p>
    <w:p w14:paraId="7EA05569" w14:textId="133467E7" w:rsidR="005A5C17" w:rsidRPr="005A5C17" w:rsidRDefault="005A5C17" w:rsidP="005A5C17">
      <w:pPr>
        <w:widowControl w:val="0"/>
        <w:tabs>
          <w:tab w:val="left" w:pos="940"/>
          <w:tab w:val="left" w:pos="941"/>
        </w:tabs>
        <w:spacing w:after="0" w:line="360" w:lineRule="auto"/>
        <w:jc w:val="center"/>
        <w:rPr>
          <w:rFonts w:ascii="Arial" w:hAnsi="Arial" w:cs="Arial"/>
          <w:b/>
          <w:bCs/>
          <w:color w:val="000000" w:themeColor="text1"/>
          <w:sz w:val="24"/>
          <w:szCs w:val="24"/>
        </w:rPr>
      </w:pPr>
      <w:r w:rsidRPr="005A5C17">
        <w:rPr>
          <w:rFonts w:ascii="Arial" w:hAnsi="Arial" w:cs="Arial"/>
          <w:b/>
          <w:bCs/>
          <w:color w:val="000000" w:themeColor="text1"/>
          <w:sz w:val="24"/>
          <w:szCs w:val="24"/>
        </w:rPr>
        <w:t xml:space="preserve">Student’s Name: </w:t>
      </w:r>
      <w:r w:rsidR="00556E89" w:rsidRPr="00556E89">
        <w:rPr>
          <w:rFonts w:ascii="Arial" w:hAnsi="Arial" w:cs="Arial"/>
          <w:b/>
          <w:bCs/>
          <w:color w:val="000000" w:themeColor="text1"/>
          <w:sz w:val="24"/>
          <w:szCs w:val="24"/>
        </w:rPr>
        <w:t>Urmila chanabhai Kadegiya</w:t>
      </w:r>
    </w:p>
    <w:p w14:paraId="67F9AAD5" w14:textId="7A142402" w:rsidR="005A5C17" w:rsidRPr="005A5C17" w:rsidRDefault="008570A2" w:rsidP="005A5C17">
      <w:pPr>
        <w:widowControl w:val="0"/>
        <w:tabs>
          <w:tab w:val="left" w:pos="940"/>
          <w:tab w:val="left" w:pos="941"/>
        </w:tabs>
        <w:spacing w:after="0"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Student ID: 261342</w:t>
      </w:r>
      <w:bookmarkStart w:id="0" w:name="_GoBack"/>
      <w:bookmarkEnd w:id="0"/>
      <w:r w:rsidR="005A5C17" w:rsidRPr="005A5C17">
        <w:rPr>
          <w:rFonts w:ascii="Arial" w:hAnsi="Arial" w:cs="Arial"/>
          <w:b/>
          <w:bCs/>
          <w:color w:val="000000" w:themeColor="text1"/>
          <w:sz w:val="24"/>
          <w:szCs w:val="24"/>
        </w:rPr>
        <w:t>3</w:t>
      </w:r>
    </w:p>
    <w:p w14:paraId="701B99CC" w14:textId="48091808" w:rsidR="005A5C17" w:rsidRPr="00363C69" w:rsidRDefault="005A5C17" w:rsidP="005A5C17">
      <w:pPr>
        <w:widowControl w:val="0"/>
        <w:tabs>
          <w:tab w:val="left" w:pos="940"/>
          <w:tab w:val="left" w:pos="941"/>
        </w:tabs>
        <w:spacing w:after="0" w:line="360" w:lineRule="auto"/>
        <w:jc w:val="center"/>
        <w:rPr>
          <w:rFonts w:ascii="Arial" w:hAnsi="Arial" w:cs="Arial"/>
          <w:color w:val="000000" w:themeColor="text1"/>
          <w:sz w:val="24"/>
          <w:szCs w:val="24"/>
        </w:rPr>
      </w:pPr>
      <w:r w:rsidRPr="005A5C17">
        <w:rPr>
          <w:rFonts w:ascii="Arial" w:hAnsi="Arial" w:cs="Arial"/>
          <w:b/>
          <w:bCs/>
          <w:color w:val="000000" w:themeColor="text1"/>
          <w:sz w:val="24"/>
          <w:szCs w:val="24"/>
        </w:rPr>
        <w:t>Final Word Count: 2524</w:t>
      </w:r>
    </w:p>
    <w:p w14:paraId="13635BBD" w14:textId="43CC085B" w:rsidR="00B54F0C" w:rsidRPr="00FA59B8" w:rsidRDefault="00B54F0C" w:rsidP="00FA59B8">
      <w:pPr>
        <w:spacing w:after="200" w:line="360" w:lineRule="auto"/>
        <w:jc w:val="center"/>
        <w:rPr>
          <w:rFonts w:ascii="Arial" w:hAnsi="Arial" w:cs="Arial"/>
          <w:b/>
          <w:bCs/>
          <w:color w:val="000000" w:themeColor="text1"/>
          <w:sz w:val="28"/>
          <w:szCs w:val="28"/>
        </w:rPr>
      </w:pPr>
      <w:r w:rsidRPr="00FA59B8">
        <w:rPr>
          <w:rFonts w:ascii="Arial" w:hAnsi="Arial" w:cs="Arial"/>
          <w:b/>
          <w:bCs/>
          <w:color w:val="000000" w:themeColor="text1"/>
          <w:sz w:val="28"/>
          <w:szCs w:val="28"/>
        </w:rPr>
        <w:br w:type="page"/>
      </w:r>
    </w:p>
    <w:p w14:paraId="05695A7D" w14:textId="70D7E602" w:rsidR="00B54F0C" w:rsidRPr="00005BFE" w:rsidRDefault="00B54F0C" w:rsidP="0098050F">
      <w:pPr>
        <w:widowControl w:val="0"/>
        <w:tabs>
          <w:tab w:val="left" w:pos="940"/>
          <w:tab w:val="left" w:pos="941"/>
        </w:tabs>
        <w:spacing w:after="0" w:line="360" w:lineRule="auto"/>
        <w:jc w:val="both"/>
        <w:rPr>
          <w:rFonts w:ascii="Arial" w:hAnsi="Arial" w:cs="Arial"/>
          <w:b/>
          <w:bCs/>
          <w:color w:val="000000" w:themeColor="text1"/>
          <w:sz w:val="24"/>
          <w:szCs w:val="24"/>
        </w:rPr>
      </w:pPr>
      <w:r w:rsidRPr="00005BFE">
        <w:rPr>
          <w:rFonts w:ascii="Arial" w:hAnsi="Arial" w:cs="Arial"/>
          <w:b/>
          <w:bCs/>
          <w:color w:val="000000" w:themeColor="text1"/>
          <w:sz w:val="24"/>
          <w:szCs w:val="24"/>
        </w:rPr>
        <w:lastRenderedPageBreak/>
        <w:t xml:space="preserve">Table of Contents </w:t>
      </w:r>
    </w:p>
    <w:p w14:paraId="30C9C28D" w14:textId="09382F90" w:rsidR="0098050F" w:rsidRPr="00005BFE" w:rsidRDefault="00B54F0C" w:rsidP="0098050F">
      <w:pPr>
        <w:pStyle w:val="TOC1"/>
        <w:tabs>
          <w:tab w:val="right" w:leader="dot" w:pos="9926"/>
        </w:tabs>
        <w:spacing w:line="360" w:lineRule="auto"/>
        <w:rPr>
          <w:rFonts w:ascii="Arial" w:hAnsi="Arial" w:cs="Arial"/>
          <w:noProof/>
          <w:kern w:val="2"/>
          <w:sz w:val="24"/>
          <w:szCs w:val="24"/>
          <w:lang w:val="en-IN" w:eastAsia="en-GB"/>
          <w14:ligatures w14:val="standardContextual"/>
        </w:rPr>
      </w:pPr>
      <w:r w:rsidRPr="00005BFE">
        <w:rPr>
          <w:rFonts w:ascii="Arial" w:hAnsi="Arial" w:cs="Arial"/>
          <w:b/>
          <w:bCs/>
          <w:color w:val="000000" w:themeColor="text1"/>
          <w:sz w:val="24"/>
          <w:szCs w:val="24"/>
        </w:rPr>
        <w:fldChar w:fldCharType="begin"/>
      </w:r>
      <w:r w:rsidRPr="00005BFE">
        <w:rPr>
          <w:rFonts w:ascii="Arial" w:hAnsi="Arial" w:cs="Arial"/>
          <w:b/>
          <w:bCs/>
          <w:color w:val="000000" w:themeColor="text1"/>
          <w:sz w:val="24"/>
          <w:szCs w:val="24"/>
        </w:rPr>
        <w:instrText xml:space="preserve"> TOC \o "1-2" \h \z \u </w:instrText>
      </w:r>
      <w:r w:rsidRPr="00005BFE">
        <w:rPr>
          <w:rFonts w:ascii="Arial" w:hAnsi="Arial" w:cs="Arial"/>
          <w:b/>
          <w:bCs/>
          <w:color w:val="000000" w:themeColor="text1"/>
          <w:sz w:val="24"/>
          <w:szCs w:val="24"/>
        </w:rPr>
        <w:fldChar w:fldCharType="separate"/>
      </w:r>
      <w:hyperlink w:anchor="_Toc242899472" w:history="1">
        <w:r w:rsidR="0098050F" w:rsidRPr="00005BFE">
          <w:rPr>
            <w:rStyle w:val="Hyperlink"/>
            <w:rFonts w:ascii="Arial" w:hAnsi="Arial" w:cs="Arial"/>
            <w:noProof/>
            <w:sz w:val="24"/>
            <w:szCs w:val="24"/>
          </w:rPr>
          <w:t>Introduction</w:t>
        </w:r>
        <w:r w:rsidR="0098050F" w:rsidRPr="00005BFE">
          <w:rPr>
            <w:rFonts w:ascii="Arial" w:hAnsi="Arial" w:cs="Arial"/>
            <w:noProof/>
            <w:webHidden/>
            <w:sz w:val="24"/>
            <w:szCs w:val="24"/>
          </w:rPr>
          <w:tab/>
        </w:r>
        <w:r w:rsidR="0098050F" w:rsidRPr="00005BFE">
          <w:rPr>
            <w:rFonts w:ascii="Arial" w:hAnsi="Arial" w:cs="Arial"/>
            <w:noProof/>
            <w:webHidden/>
            <w:sz w:val="24"/>
            <w:szCs w:val="24"/>
          </w:rPr>
          <w:fldChar w:fldCharType="begin"/>
        </w:r>
        <w:r w:rsidR="0098050F" w:rsidRPr="00005BFE">
          <w:rPr>
            <w:rFonts w:ascii="Arial" w:hAnsi="Arial" w:cs="Arial"/>
            <w:noProof/>
            <w:webHidden/>
            <w:sz w:val="24"/>
            <w:szCs w:val="24"/>
          </w:rPr>
          <w:instrText xml:space="preserve"> PAGEREF _Toc242899472 \h </w:instrText>
        </w:r>
        <w:r w:rsidR="0098050F" w:rsidRPr="00005BFE">
          <w:rPr>
            <w:rFonts w:ascii="Arial" w:hAnsi="Arial" w:cs="Arial"/>
            <w:noProof/>
            <w:webHidden/>
            <w:sz w:val="24"/>
            <w:szCs w:val="24"/>
          </w:rPr>
        </w:r>
        <w:r w:rsidR="0098050F" w:rsidRPr="00005BFE">
          <w:rPr>
            <w:rFonts w:ascii="Arial" w:hAnsi="Arial" w:cs="Arial"/>
            <w:noProof/>
            <w:webHidden/>
            <w:sz w:val="24"/>
            <w:szCs w:val="24"/>
          </w:rPr>
          <w:fldChar w:fldCharType="separate"/>
        </w:r>
        <w:r w:rsidR="0098050F" w:rsidRPr="00005BFE">
          <w:rPr>
            <w:rFonts w:ascii="Arial" w:hAnsi="Arial" w:cs="Arial"/>
            <w:noProof/>
            <w:webHidden/>
            <w:sz w:val="24"/>
            <w:szCs w:val="24"/>
          </w:rPr>
          <w:t>3</w:t>
        </w:r>
        <w:r w:rsidR="0098050F" w:rsidRPr="00005BFE">
          <w:rPr>
            <w:rFonts w:ascii="Arial" w:hAnsi="Arial" w:cs="Arial"/>
            <w:noProof/>
            <w:webHidden/>
            <w:sz w:val="24"/>
            <w:szCs w:val="24"/>
          </w:rPr>
          <w:fldChar w:fldCharType="end"/>
        </w:r>
      </w:hyperlink>
    </w:p>
    <w:p w14:paraId="47395B23" w14:textId="58BBE93D" w:rsidR="0098050F" w:rsidRPr="00005BFE" w:rsidRDefault="00301C5B" w:rsidP="0098050F">
      <w:pPr>
        <w:pStyle w:val="TOC1"/>
        <w:tabs>
          <w:tab w:val="right" w:leader="dot" w:pos="9926"/>
        </w:tabs>
        <w:spacing w:line="360" w:lineRule="auto"/>
        <w:rPr>
          <w:rFonts w:ascii="Arial" w:hAnsi="Arial" w:cs="Arial"/>
          <w:noProof/>
          <w:kern w:val="2"/>
          <w:sz w:val="24"/>
          <w:szCs w:val="24"/>
          <w:lang w:val="en-IN" w:eastAsia="en-GB"/>
          <w14:ligatures w14:val="standardContextual"/>
        </w:rPr>
      </w:pPr>
      <w:hyperlink w:anchor="_Toc242899473" w:history="1">
        <w:r w:rsidR="0098050F" w:rsidRPr="00005BFE">
          <w:rPr>
            <w:rStyle w:val="Hyperlink"/>
            <w:rFonts w:ascii="Arial" w:hAnsi="Arial" w:cs="Arial"/>
            <w:noProof/>
            <w:sz w:val="24"/>
            <w:szCs w:val="24"/>
          </w:rPr>
          <w:t>Task A: Designing Innovative Working Practices</w:t>
        </w:r>
        <w:r w:rsidR="0098050F" w:rsidRPr="00005BFE">
          <w:rPr>
            <w:rFonts w:ascii="Arial" w:hAnsi="Arial" w:cs="Arial"/>
            <w:noProof/>
            <w:webHidden/>
            <w:sz w:val="24"/>
            <w:szCs w:val="24"/>
          </w:rPr>
          <w:tab/>
        </w:r>
        <w:r w:rsidR="0098050F" w:rsidRPr="00005BFE">
          <w:rPr>
            <w:rFonts w:ascii="Arial" w:hAnsi="Arial" w:cs="Arial"/>
            <w:noProof/>
            <w:webHidden/>
            <w:sz w:val="24"/>
            <w:szCs w:val="24"/>
          </w:rPr>
          <w:fldChar w:fldCharType="begin"/>
        </w:r>
        <w:r w:rsidR="0098050F" w:rsidRPr="00005BFE">
          <w:rPr>
            <w:rFonts w:ascii="Arial" w:hAnsi="Arial" w:cs="Arial"/>
            <w:noProof/>
            <w:webHidden/>
            <w:sz w:val="24"/>
            <w:szCs w:val="24"/>
          </w:rPr>
          <w:instrText xml:space="preserve"> PAGEREF _Toc242899473 \h </w:instrText>
        </w:r>
        <w:r w:rsidR="0098050F" w:rsidRPr="00005BFE">
          <w:rPr>
            <w:rFonts w:ascii="Arial" w:hAnsi="Arial" w:cs="Arial"/>
            <w:noProof/>
            <w:webHidden/>
            <w:sz w:val="24"/>
            <w:szCs w:val="24"/>
          </w:rPr>
        </w:r>
        <w:r w:rsidR="0098050F" w:rsidRPr="00005BFE">
          <w:rPr>
            <w:rFonts w:ascii="Arial" w:hAnsi="Arial" w:cs="Arial"/>
            <w:noProof/>
            <w:webHidden/>
            <w:sz w:val="24"/>
            <w:szCs w:val="24"/>
          </w:rPr>
          <w:fldChar w:fldCharType="separate"/>
        </w:r>
        <w:r w:rsidR="0098050F" w:rsidRPr="00005BFE">
          <w:rPr>
            <w:rFonts w:ascii="Arial" w:hAnsi="Arial" w:cs="Arial"/>
            <w:noProof/>
            <w:webHidden/>
            <w:sz w:val="24"/>
            <w:szCs w:val="24"/>
          </w:rPr>
          <w:t>3</w:t>
        </w:r>
        <w:r w:rsidR="0098050F" w:rsidRPr="00005BFE">
          <w:rPr>
            <w:rFonts w:ascii="Arial" w:hAnsi="Arial" w:cs="Arial"/>
            <w:noProof/>
            <w:webHidden/>
            <w:sz w:val="24"/>
            <w:szCs w:val="24"/>
          </w:rPr>
          <w:fldChar w:fldCharType="end"/>
        </w:r>
      </w:hyperlink>
    </w:p>
    <w:p w14:paraId="7E6A253A" w14:textId="7688E36C" w:rsidR="0098050F" w:rsidRPr="00005BFE" w:rsidRDefault="00301C5B" w:rsidP="0098050F">
      <w:pPr>
        <w:pStyle w:val="TOC2"/>
        <w:tabs>
          <w:tab w:val="right" w:leader="dot" w:pos="9926"/>
        </w:tabs>
        <w:spacing w:line="360" w:lineRule="auto"/>
        <w:rPr>
          <w:rFonts w:ascii="Arial" w:hAnsi="Arial" w:cs="Arial"/>
          <w:noProof/>
          <w:kern w:val="2"/>
          <w:sz w:val="24"/>
          <w:szCs w:val="24"/>
          <w:lang w:val="en-IN" w:eastAsia="en-GB"/>
          <w14:ligatures w14:val="standardContextual"/>
        </w:rPr>
      </w:pPr>
      <w:hyperlink w:anchor="_Toc242899474" w:history="1">
        <w:r w:rsidR="0098050F" w:rsidRPr="00005BFE">
          <w:rPr>
            <w:rStyle w:val="Hyperlink"/>
            <w:rFonts w:ascii="Arial" w:hAnsi="Arial" w:cs="Arial"/>
            <w:noProof/>
            <w:sz w:val="24"/>
            <w:szCs w:val="24"/>
          </w:rPr>
          <w:t>1.1 From administrative control to adaptive work design</w:t>
        </w:r>
        <w:r w:rsidR="0098050F" w:rsidRPr="00005BFE">
          <w:rPr>
            <w:rFonts w:ascii="Arial" w:hAnsi="Arial" w:cs="Arial"/>
            <w:noProof/>
            <w:webHidden/>
            <w:sz w:val="24"/>
            <w:szCs w:val="24"/>
          </w:rPr>
          <w:tab/>
        </w:r>
        <w:r w:rsidR="0098050F" w:rsidRPr="00005BFE">
          <w:rPr>
            <w:rFonts w:ascii="Arial" w:hAnsi="Arial" w:cs="Arial"/>
            <w:noProof/>
            <w:webHidden/>
            <w:sz w:val="24"/>
            <w:szCs w:val="24"/>
          </w:rPr>
          <w:fldChar w:fldCharType="begin"/>
        </w:r>
        <w:r w:rsidR="0098050F" w:rsidRPr="00005BFE">
          <w:rPr>
            <w:rFonts w:ascii="Arial" w:hAnsi="Arial" w:cs="Arial"/>
            <w:noProof/>
            <w:webHidden/>
            <w:sz w:val="24"/>
            <w:szCs w:val="24"/>
          </w:rPr>
          <w:instrText xml:space="preserve"> PAGEREF _Toc242899474 \h </w:instrText>
        </w:r>
        <w:r w:rsidR="0098050F" w:rsidRPr="00005BFE">
          <w:rPr>
            <w:rFonts w:ascii="Arial" w:hAnsi="Arial" w:cs="Arial"/>
            <w:noProof/>
            <w:webHidden/>
            <w:sz w:val="24"/>
            <w:szCs w:val="24"/>
          </w:rPr>
        </w:r>
        <w:r w:rsidR="0098050F" w:rsidRPr="00005BFE">
          <w:rPr>
            <w:rFonts w:ascii="Arial" w:hAnsi="Arial" w:cs="Arial"/>
            <w:noProof/>
            <w:webHidden/>
            <w:sz w:val="24"/>
            <w:szCs w:val="24"/>
          </w:rPr>
          <w:fldChar w:fldCharType="separate"/>
        </w:r>
        <w:r w:rsidR="0098050F" w:rsidRPr="00005BFE">
          <w:rPr>
            <w:rFonts w:ascii="Arial" w:hAnsi="Arial" w:cs="Arial"/>
            <w:noProof/>
            <w:webHidden/>
            <w:sz w:val="24"/>
            <w:szCs w:val="24"/>
          </w:rPr>
          <w:t>3</w:t>
        </w:r>
        <w:r w:rsidR="0098050F" w:rsidRPr="00005BFE">
          <w:rPr>
            <w:rFonts w:ascii="Arial" w:hAnsi="Arial" w:cs="Arial"/>
            <w:noProof/>
            <w:webHidden/>
            <w:sz w:val="24"/>
            <w:szCs w:val="24"/>
          </w:rPr>
          <w:fldChar w:fldCharType="end"/>
        </w:r>
      </w:hyperlink>
    </w:p>
    <w:p w14:paraId="49232844" w14:textId="480DA512" w:rsidR="0098050F" w:rsidRPr="00005BFE" w:rsidRDefault="00301C5B" w:rsidP="0098050F">
      <w:pPr>
        <w:pStyle w:val="TOC2"/>
        <w:tabs>
          <w:tab w:val="right" w:leader="dot" w:pos="9926"/>
        </w:tabs>
        <w:spacing w:line="360" w:lineRule="auto"/>
        <w:rPr>
          <w:rFonts w:ascii="Arial" w:hAnsi="Arial" w:cs="Arial"/>
          <w:noProof/>
          <w:kern w:val="2"/>
          <w:sz w:val="24"/>
          <w:szCs w:val="24"/>
          <w:lang w:val="en-IN" w:eastAsia="en-GB"/>
          <w14:ligatures w14:val="standardContextual"/>
        </w:rPr>
      </w:pPr>
      <w:hyperlink w:anchor="_Toc242899475" w:history="1">
        <w:r w:rsidR="0098050F" w:rsidRPr="00005BFE">
          <w:rPr>
            <w:rStyle w:val="Hyperlink"/>
            <w:rFonts w:ascii="Arial" w:hAnsi="Arial" w:cs="Arial"/>
            <w:noProof/>
            <w:sz w:val="24"/>
            <w:szCs w:val="24"/>
          </w:rPr>
          <w:t>1.2 Proposed NHSX Work Innovation Architecture</w:t>
        </w:r>
        <w:r w:rsidR="0098050F" w:rsidRPr="00005BFE">
          <w:rPr>
            <w:rFonts w:ascii="Arial" w:hAnsi="Arial" w:cs="Arial"/>
            <w:noProof/>
            <w:webHidden/>
            <w:sz w:val="24"/>
            <w:szCs w:val="24"/>
          </w:rPr>
          <w:tab/>
        </w:r>
        <w:r w:rsidR="0098050F" w:rsidRPr="00005BFE">
          <w:rPr>
            <w:rFonts w:ascii="Arial" w:hAnsi="Arial" w:cs="Arial"/>
            <w:noProof/>
            <w:webHidden/>
            <w:sz w:val="24"/>
            <w:szCs w:val="24"/>
          </w:rPr>
          <w:fldChar w:fldCharType="begin"/>
        </w:r>
        <w:r w:rsidR="0098050F" w:rsidRPr="00005BFE">
          <w:rPr>
            <w:rFonts w:ascii="Arial" w:hAnsi="Arial" w:cs="Arial"/>
            <w:noProof/>
            <w:webHidden/>
            <w:sz w:val="24"/>
            <w:szCs w:val="24"/>
          </w:rPr>
          <w:instrText xml:space="preserve"> PAGEREF _Toc242899475 \h </w:instrText>
        </w:r>
        <w:r w:rsidR="0098050F" w:rsidRPr="00005BFE">
          <w:rPr>
            <w:rFonts w:ascii="Arial" w:hAnsi="Arial" w:cs="Arial"/>
            <w:noProof/>
            <w:webHidden/>
            <w:sz w:val="24"/>
            <w:szCs w:val="24"/>
          </w:rPr>
        </w:r>
        <w:r w:rsidR="0098050F" w:rsidRPr="00005BFE">
          <w:rPr>
            <w:rFonts w:ascii="Arial" w:hAnsi="Arial" w:cs="Arial"/>
            <w:noProof/>
            <w:webHidden/>
            <w:sz w:val="24"/>
            <w:szCs w:val="24"/>
          </w:rPr>
          <w:fldChar w:fldCharType="separate"/>
        </w:r>
        <w:r w:rsidR="0098050F" w:rsidRPr="00005BFE">
          <w:rPr>
            <w:rFonts w:ascii="Arial" w:hAnsi="Arial" w:cs="Arial"/>
            <w:noProof/>
            <w:webHidden/>
            <w:sz w:val="24"/>
            <w:szCs w:val="24"/>
          </w:rPr>
          <w:t>4</w:t>
        </w:r>
        <w:r w:rsidR="0098050F" w:rsidRPr="00005BFE">
          <w:rPr>
            <w:rFonts w:ascii="Arial" w:hAnsi="Arial" w:cs="Arial"/>
            <w:noProof/>
            <w:webHidden/>
            <w:sz w:val="24"/>
            <w:szCs w:val="24"/>
          </w:rPr>
          <w:fldChar w:fldCharType="end"/>
        </w:r>
      </w:hyperlink>
    </w:p>
    <w:p w14:paraId="64CC9ED4" w14:textId="013E6AD3" w:rsidR="0098050F" w:rsidRPr="00005BFE" w:rsidRDefault="00301C5B" w:rsidP="0098050F">
      <w:pPr>
        <w:pStyle w:val="TOC1"/>
        <w:tabs>
          <w:tab w:val="right" w:leader="dot" w:pos="9926"/>
        </w:tabs>
        <w:spacing w:line="360" w:lineRule="auto"/>
        <w:rPr>
          <w:rFonts w:ascii="Arial" w:hAnsi="Arial" w:cs="Arial"/>
          <w:noProof/>
          <w:kern w:val="2"/>
          <w:sz w:val="24"/>
          <w:szCs w:val="24"/>
          <w:lang w:val="en-IN" w:eastAsia="en-GB"/>
          <w14:ligatures w14:val="standardContextual"/>
        </w:rPr>
      </w:pPr>
      <w:hyperlink w:anchor="_Toc242899476" w:history="1">
        <w:r w:rsidR="0098050F" w:rsidRPr="00005BFE">
          <w:rPr>
            <w:rStyle w:val="Hyperlink"/>
            <w:rFonts w:ascii="Arial" w:hAnsi="Arial" w:cs="Arial"/>
            <w:noProof/>
            <w:sz w:val="24"/>
            <w:szCs w:val="24"/>
          </w:rPr>
          <w:t>Task B: Breeding an Environment Where Talent Grow</w:t>
        </w:r>
        <w:r w:rsidR="0098050F" w:rsidRPr="00005BFE">
          <w:rPr>
            <w:rFonts w:ascii="Arial" w:hAnsi="Arial" w:cs="Arial"/>
            <w:noProof/>
            <w:webHidden/>
            <w:sz w:val="24"/>
            <w:szCs w:val="24"/>
          </w:rPr>
          <w:tab/>
        </w:r>
        <w:r w:rsidR="0098050F" w:rsidRPr="00005BFE">
          <w:rPr>
            <w:rFonts w:ascii="Arial" w:hAnsi="Arial" w:cs="Arial"/>
            <w:noProof/>
            <w:webHidden/>
            <w:sz w:val="24"/>
            <w:szCs w:val="24"/>
          </w:rPr>
          <w:fldChar w:fldCharType="begin"/>
        </w:r>
        <w:r w:rsidR="0098050F" w:rsidRPr="00005BFE">
          <w:rPr>
            <w:rFonts w:ascii="Arial" w:hAnsi="Arial" w:cs="Arial"/>
            <w:noProof/>
            <w:webHidden/>
            <w:sz w:val="24"/>
            <w:szCs w:val="24"/>
          </w:rPr>
          <w:instrText xml:space="preserve"> PAGEREF _Toc242899476 \h </w:instrText>
        </w:r>
        <w:r w:rsidR="0098050F" w:rsidRPr="00005BFE">
          <w:rPr>
            <w:rFonts w:ascii="Arial" w:hAnsi="Arial" w:cs="Arial"/>
            <w:noProof/>
            <w:webHidden/>
            <w:sz w:val="24"/>
            <w:szCs w:val="24"/>
          </w:rPr>
        </w:r>
        <w:r w:rsidR="0098050F" w:rsidRPr="00005BFE">
          <w:rPr>
            <w:rFonts w:ascii="Arial" w:hAnsi="Arial" w:cs="Arial"/>
            <w:noProof/>
            <w:webHidden/>
            <w:sz w:val="24"/>
            <w:szCs w:val="24"/>
          </w:rPr>
          <w:fldChar w:fldCharType="separate"/>
        </w:r>
        <w:r w:rsidR="0098050F" w:rsidRPr="00005BFE">
          <w:rPr>
            <w:rFonts w:ascii="Arial" w:hAnsi="Arial" w:cs="Arial"/>
            <w:noProof/>
            <w:webHidden/>
            <w:sz w:val="24"/>
            <w:szCs w:val="24"/>
          </w:rPr>
          <w:t>7</w:t>
        </w:r>
        <w:r w:rsidR="0098050F" w:rsidRPr="00005BFE">
          <w:rPr>
            <w:rFonts w:ascii="Arial" w:hAnsi="Arial" w:cs="Arial"/>
            <w:noProof/>
            <w:webHidden/>
            <w:sz w:val="24"/>
            <w:szCs w:val="24"/>
          </w:rPr>
          <w:fldChar w:fldCharType="end"/>
        </w:r>
      </w:hyperlink>
    </w:p>
    <w:p w14:paraId="18F61AF6" w14:textId="33753DD5" w:rsidR="0098050F" w:rsidRPr="00005BFE" w:rsidRDefault="00301C5B" w:rsidP="0098050F">
      <w:pPr>
        <w:pStyle w:val="TOC2"/>
        <w:tabs>
          <w:tab w:val="right" w:leader="dot" w:pos="9926"/>
        </w:tabs>
        <w:spacing w:line="360" w:lineRule="auto"/>
        <w:rPr>
          <w:rFonts w:ascii="Arial" w:hAnsi="Arial" w:cs="Arial"/>
          <w:noProof/>
          <w:kern w:val="2"/>
          <w:sz w:val="24"/>
          <w:szCs w:val="24"/>
          <w:lang w:val="en-IN" w:eastAsia="en-GB"/>
          <w14:ligatures w14:val="standardContextual"/>
        </w:rPr>
      </w:pPr>
      <w:hyperlink w:anchor="_Toc242899477" w:history="1">
        <w:r w:rsidR="0098050F" w:rsidRPr="00005BFE">
          <w:rPr>
            <w:rStyle w:val="Hyperlink"/>
            <w:rFonts w:ascii="Arial" w:hAnsi="Arial" w:cs="Arial"/>
            <w:noProof/>
            <w:sz w:val="24"/>
            <w:szCs w:val="24"/>
          </w:rPr>
          <w:t>2.1 What makes talent flourish?</w:t>
        </w:r>
        <w:r w:rsidR="0098050F" w:rsidRPr="00005BFE">
          <w:rPr>
            <w:rFonts w:ascii="Arial" w:hAnsi="Arial" w:cs="Arial"/>
            <w:noProof/>
            <w:webHidden/>
            <w:sz w:val="24"/>
            <w:szCs w:val="24"/>
          </w:rPr>
          <w:tab/>
        </w:r>
        <w:r w:rsidR="0098050F" w:rsidRPr="00005BFE">
          <w:rPr>
            <w:rFonts w:ascii="Arial" w:hAnsi="Arial" w:cs="Arial"/>
            <w:noProof/>
            <w:webHidden/>
            <w:sz w:val="24"/>
            <w:szCs w:val="24"/>
          </w:rPr>
          <w:fldChar w:fldCharType="begin"/>
        </w:r>
        <w:r w:rsidR="0098050F" w:rsidRPr="00005BFE">
          <w:rPr>
            <w:rFonts w:ascii="Arial" w:hAnsi="Arial" w:cs="Arial"/>
            <w:noProof/>
            <w:webHidden/>
            <w:sz w:val="24"/>
            <w:szCs w:val="24"/>
          </w:rPr>
          <w:instrText xml:space="preserve"> PAGEREF _Toc242899477 \h </w:instrText>
        </w:r>
        <w:r w:rsidR="0098050F" w:rsidRPr="00005BFE">
          <w:rPr>
            <w:rFonts w:ascii="Arial" w:hAnsi="Arial" w:cs="Arial"/>
            <w:noProof/>
            <w:webHidden/>
            <w:sz w:val="24"/>
            <w:szCs w:val="24"/>
          </w:rPr>
        </w:r>
        <w:r w:rsidR="0098050F" w:rsidRPr="00005BFE">
          <w:rPr>
            <w:rFonts w:ascii="Arial" w:hAnsi="Arial" w:cs="Arial"/>
            <w:noProof/>
            <w:webHidden/>
            <w:sz w:val="24"/>
            <w:szCs w:val="24"/>
          </w:rPr>
          <w:fldChar w:fldCharType="separate"/>
        </w:r>
        <w:r w:rsidR="0098050F" w:rsidRPr="00005BFE">
          <w:rPr>
            <w:rFonts w:ascii="Arial" w:hAnsi="Arial" w:cs="Arial"/>
            <w:noProof/>
            <w:webHidden/>
            <w:sz w:val="24"/>
            <w:szCs w:val="24"/>
          </w:rPr>
          <w:t>7</w:t>
        </w:r>
        <w:r w:rsidR="0098050F" w:rsidRPr="00005BFE">
          <w:rPr>
            <w:rFonts w:ascii="Arial" w:hAnsi="Arial" w:cs="Arial"/>
            <w:noProof/>
            <w:webHidden/>
            <w:sz w:val="24"/>
            <w:szCs w:val="24"/>
          </w:rPr>
          <w:fldChar w:fldCharType="end"/>
        </w:r>
      </w:hyperlink>
    </w:p>
    <w:p w14:paraId="34751115" w14:textId="1861C3DF" w:rsidR="0098050F" w:rsidRPr="00005BFE" w:rsidRDefault="00301C5B" w:rsidP="0098050F">
      <w:pPr>
        <w:pStyle w:val="TOC2"/>
        <w:tabs>
          <w:tab w:val="right" w:leader="dot" w:pos="9926"/>
        </w:tabs>
        <w:spacing w:line="360" w:lineRule="auto"/>
        <w:rPr>
          <w:rFonts w:ascii="Arial" w:hAnsi="Arial" w:cs="Arial"/>
          <w:noProof/>
          <w:kern w:val="2"/>
          <w:sz w:val="24"/>
          <w:szCs w:val="24"/>
          <w:lang w:val="en-IN" w:eastAsia="en-GB"/>
          <w14:ligatures w14:val="standardContextual"/>
        </w:rPr>
      </w:pPr>
      <w:hyperlink w:anchor="_Toc242899478" w:history="1">
        <w:r w:rsidR="0098050F" w:rsidRPr="00005BFE">
          <w:rPr>
            <w:rStyle w:val="Hyperlink"/>
            <w:rFonts w:ascii="Arial" w:hAnsi="Arial" w:cs="Arial"/>
            <w:noProof/>
            <w:sz w:val="24"/>
            <w:szCs w:val="24"/>
          </w:rPr>
          <w:t>2.2 NHSX Talent Growth Strategy</w:t>
        </w:r>
        <w:r w:rsidR="0098050F" w:rsidRPr="00005BFE">
          <w:rPr>
            <w:rFonts w:ascii="Arial" w:hAnsi="Arial" w:cs="Arial"/>
            <w:noProof/>
            <w:webHidden/>
            <w:sz w:val="24"/>
            <w:szCs w:val="24"/>
          </w:rPr>
          <w:tab/>
        </w:r>
        <w:r w:rsidR="0098050F" w:rsidRPr="00005BFE">
          <w:rPr>
            <w:rFonts w:ascii="Arial" w:hAnsi="Arial" w:cs="Arial"/>
            <w:noProof/>
            <w:webHidden/>
            <w:sz w:val="24"/>
            <w:szCs w:val="24"/>
          </w:rPr>
          <w:fldChar w:fldCharType="begin"/>
        </w:r>
        <w:r w:rsidR="0098050F" w:rsidRPr="00005BFE">
          <w:rPr>
            <w:rFonts w:ascii="Arial" w:hAnsi="Arial" w:cs="Arial"/>
            <w:noProof/>
            <w:webHidden/>
            <w:sz w:val="24"/>
            <w:szCs w:val="24"/>
          </w:rPr>
          <w:instrText xml:space="preserve"> PAGEREF _Toc242899478 \h </w:instrText>
        </w:r>
        <w:r w:rsidR="0098050F" w:rsidRPr="00005BFE">
          <w:rPr>
            <w:rFonts w:ascii="Arial" w:hAnsi="Arial" w:cs="Arial"/>
            <w:noProof/>
            <w:webHidden/>
            <w:sz w:val="24"/>
            <w:szCs w:val="24"/>
          </w:rPr>
        </w:r>
        <w:r w:rsidR="0098050F" w:rsidRPr="00005BFE">
          <w:rPr>
            <w:rFonts w:ascii="Arial" w:hAnsi="Arial" w:cs="Arial"/>
            <w:noProof/>
            <w:webHidden/>
            <w:sz w:val="24"/>
            <w:szCs w:val="24"/>
          </w:rPr>
          <w:fldChar w:fldCharType="separate"/>
        </w:r>
        <w:r w:rsidR="0098050F" w:rsidRPr="00005BFE">
          <w:rPr>
            <w:rFonts w:ascii="Arial" w:hAnsi="Arial" w:cs="Arial"/>
            <w:noProof/>
            <w:webHidden/>
            <w:sz w:val="24"/>
            <w:szCs w:val="24"/>
          </w:rPr>
          <w:t>8</w:t>
        </w:r>
        <w:r w:rsidR="0098050F" w:rsidRPr="00005BFE">
          <w:rPr>
            <w:rFonts w:ascii="Arial" w:hAnsi="Arial" w:cs="Arial"/>
            <w:noProof/>
            <w:webHidden/>
            <w:sz w:val="24"/>
            <w:szCs w:val="24"/>
          </w:rPr>
          <w:fldChar w:fldCharType="end"/>
        </w:r>
      </w:hyperlink>
    </w:p>
    <w:p w14:paraId="0A1D1193" w14:textId="23525F78" w:rsidR="0098050F" w:rsidRPr="00005BFE" w:rsidRDefault="00301C5B" w:rsidP="0098050F">
      <w:pPr>
        <w:pStyle w:val="TOC2"/>
        <w:tabs>
          <w:tab w:val="right" w:leader="dot" w:pos="9926"/>
        </w:tabs>
        <w:spacing w:line="360" w:lineRule="auto"/>
        <w:rPr>
          <w:rFonts w:ascii="Arial" w:hAnsi="Arial" w:cs="Arial"/>
          <w:noProof/>
          <w:kern w:val="2"/>
          <w:sz w:val="24"/>
          <w:szCs w:val="24"/>
          <w:lang w:val="en-IN" w:eastAsia="en-GB"/>
          <w14:ligatures w14:val="standardContextual"/>
        </w:rPr>
      </w:pPr>
      <w:hyperlink w:anchor="_Toc242899479" w:history="1">
        <w:r w:rsidR="0098050F" w:rsidRPr="00005BFE">
          <w:rPr>
            <w:rStyle w:val="Hyperlink"/>
            <w:rFonts w:ascii="Arial" w:hAnsi="Arial" w:cs="Arial"/>
            <w:noProof/>
            <w:sz w:val="24"/>
            <w:szCs w:val="24"/>
          </w:rPr>
          <w:t>2.3 Implementation and evaluation</w:t>
        </w:r>
        <w:r w:rsidR="0098050F" w:rsidRPr="00005BFE">
          <w:rPr>
            <w:rFonts w:ascii="Arial" w:hAnsi="Arial" w:cs="Arial"/>
            <w:noProof/>
            <w:webHidden/>
            <w:sz w:val="24"/>
            <w:szCs w:val="24"/>
          </w:rPr>
          <w:tab/>
        </w:r>
        <w:r w:rsidR="0098050F" w:rsidRPr="00005BFE">
          <w:rPr>
            <w:rFonts w:ascii="Arial" w:hAnsi="Arial" w:cs="Arial"/>
            <w:noProof/>
            <w:webHidden/>
            <w:sz w:val="24"/>
            <w:szCs w:val="24"/>
          </w:rPr>
          <w:fldChar w:fldCharType="begin"/>
        </w:r>
        <w:r w:rsidR="0098050F" w:rsidRPr="00005BFE">
          <w:rPr>
            <w:rFonts w:ascii="Arial" w:hAnsi="Arial" w:cs="Arial"/>
            <w:noProof/>
            <w:webHidden/>
            <w:sz w:val="24"/>
            <w:szCs w:val="24"/>
          </w:rPr>
          <w:instrText xml:space="preserve"> PAGEREF _Toc242899479 \h </w:instrText>
        </w:r>
        <w:r w:rsidR="0098050F" w:rsidRPr="00005BFE">
          <w:rPr>
            <w:rFonts w:ascii="Arial" w:hAnsi="Arial" w:cs="Arial"/>
            <w:noProof/>
            <w:webHidden/>
            <w:sz w:val="24"/>
            <w:szCs w:val="24"/>
          </w:rPr>
        </w:r>
        <w:r w:rsidR="0098050F" w:rsidRPr="00005BFE">
          <w:rPr>
            <w:rFonts w:ascii="Arial" w:hAnsi="Arial" w:cs="Arial"/>
            <w:noProof/>
            <w:webHidden/>
            <w:sz w:val="24"/>
            <w:szCs w:val="24"/>
          </w:rPr>
          <w:fldChar w:fldCharType="separate"/>
        </w:r>
        <w:r w:rsidR="0098050F" w:rsidRPr="00005BFE">
          <w:rPr>
            <w:rFonts w:ascii="Arial" w:hAnsi="Arial" w:cs="Arial"/>
            <w:noProof/>
            <w:webHidden/>
            <w:sz w:val="24"/>
            <w:szCs w:val="24"/>
          </w:rPr>
          <w:t>8</w:t>
        </w:r>
        <w:r w:rsidR="0098050F" w:rsidRPr="00005BFE">
          <w:rPr>
            <w:rFonts w:ascii="Arial" w:hAnsi="Arial" w:cs="Arial"/>
            <w:noProof/>
            <w:webHidden/>
            <w:sz w:val="24"/>
            <w:szCs w:val="24"/>
          </w:rPr>
          <w:fldChar w:fldCharType="end"/>
        </w:r>
      </w:hyperlink>
    </w:p>
    <w:p w14:paraId="1837D7B2" w14:textId="74E3F5D2" w:rsidR="0098050F" w:rsidRPr="00005BFE" w:rsidRDefault="00301C5B" w:rsidP="0098050F">
      <w:pPr>
        <w:pStyle w:val="TOC1"/>
        <w:tabs>
          <w:tab w:val="right" w:leader="dot" w:pos="9926"/>
        </w:tabs>
        <w:spacing w:line="360" w:lineRule="auto"/>
        <w:rPr>
          <w:rFonts w:ascii="Arial" w:hAnsi="Arial" w:cs="Arial"/>
          <w:noProof/>
          <w:kern w:val="2"/>
          <w:sz w:val="24"/>
          <w:szCs w:val="24"/>
          <w:lang w:val="en-IN" w:eastAsia="en-GB"/>
          <w14:ligatures w14:val="standardContextual"/>
        </w:rPr>
      </w:pPr>
      <w:hyperlink w:anchor="_Toc242899480" w:history="1">
        <w:r w:rsidR="0098050F" w:rsidRPr="00005BFE">
          <w:rPr>
            <w:rStyle w:val="Hyperlink"/>
            <w:rFonts w:ascii="Arial" w:hAnsi="Arial" w:cs="Arial"/>
            <w:noProof/>
            <w:sz w:val="24"/>
            <w:szCs w:val="24"/>
          </w:rPr>
          <w:t>Task C: Reflective Report</w:t>
        </w:r>
        <w:r w:rsidR="0098050F" w:rsidRPr="00005BFE">
          <w:rPr>
            <w:rFonts w:ascii="Arial" w:hAnsi="Arial" w:cs="Arial"/>
            <w:noProof/>
            <w:webHidden/>
            <w:sz w:val="24"/>
            <w:szCs w:val="24"/>
          </w:rPr>
          <w:tab/>
        </w:r>
        <w:r w:rsidR="0098050F" w:rsidRPr="00005BFE">
          <w:rPr>
            <w:rFonts w:ascii="Arial" w:hAnsi="Arial" w:cs="Arial"/>
            <w:noProof/>
            <w:webHidden/>
            <w:sz w:val="24"/>
            <w:szCs w:val="24"/>
          </w:rPr>
          <w:fldChar w:fldCharType="begin"/>
        </w:r>
        <w:r w:rsidR="0098050F" w:rsidRPr="00005BFE">
          <w:rPr>
            <w:rFonts w:ascii="Arial" w:hAnsi="Arial" w:cs="Arial"/>
            <w:noProof/>
            <w:webHidden/>
            <w:sz w:val="24"/>
            <w:szCs w:val="24"/>
          </w:rPr>
          <w:instrText xml:space="preserve"> PAGEREF _Toc242899480 \h </w:instrText>
        </w:r>
        <w:r w:rsidR="0098050F" w:rsidRPr="00005BFE">
          <w:rPr>
            <w:rFonts w:ascii="Arial" w:hAnsi="Arial" w:cs="Arial"/>
            <w:noProof/>
            <w:webHidden/>
            <w:sz w:val="24"/>
            <w:szCs w:val="24"/>
          </w:rPr>
        </w:r>
        <w:r w:rsidR="0098050F" w:rsidRPr="00005BFE">
          <w:rPr>
            <w:rFonts w:ascii="Arial" w:hAnsi="Arial" w:cs="Arial"/>
            <w:noProof/>
            <w:webHidden/>
            <w:sz w:val="24"/>
            <w:szCs w:val="24"/>
          </w:rPr>
          <w:fldChar w:fldCharType="separate"/>
        </w:r>
        <w:r w:rsidR="0098050F" w:rsidRPr="00005BFE">
          <w:rPr>
            <w:rFonts w:ascii="Arial" w:hAnsi="Arial" w:cs="Arial"/>
            <w:noProof/>
            <w:webHidden/>
            <w:sz w:val="24"/>
            <w:szCs w:val="24"/>
          </w:rPr>
          <w:t>10</w:t>
        </w:r>
        <w:r w:rsidR="0098050F" w:rsidRPr="00005BFE">
          <w:rPr>
            <w:rFonts w:ascii="Arial" w:hAnsi="Arial" w:cs="Arial"/>
            <w:noProof/>
            <w:webHidden/>
            <w:sz w:val="24"/>
            <w:szCs w:val="24"/>
          </w:rPr>
          <w:fldChar w:fldCharType="end"/>
        </w:r>
      </w:hyperlink>
    </w:p>
    <w:p w14:paraId="315A9059" w14:textId="72D3DE6E" w:rsidR="0098050F" w:rsidRPr="00005BFE" w:rsidRDefault="00301C5B" w:rsidP="0098050F">
      <w:pPr>
        <w:pStyle w:val="TOC2"/>
        <w:tabs>
          <w:tab w:val="right" w:leader="dot" w:pos="9926"/>
        </w:tabs>
        <w:spacing w:line="360" w:lineRule="auto"/>
        <w:rPr>
          <w:rFonts w:ascii="Arial" w:hAnsi="Arial" w:cs="Arial"/>
          <w:noProof/>
          <w:kern w:val="2"/>
          <w:sz w:val="24"/>
          <w:szCs w:val="24"/>
          <w:lang w:val="en-IN" w:eastAsia="en-GB"/>
          <w14:ligatures w14:val="standardContextual"/>
        </w:rPr>
      </w:pPr>
      <w:hyperlink w:anchor="_Toc242899481" w:history="1">
        <w:r w:rsidR="0098050F" w:rsidRPr="00005BFE">
          <w:rPr>
            <w:rStyle w:val="Hyperlink"/>
            <w:rFonts w:ascii="Arial" w:hAnsi="Arial" w:cs="Arial"/>
            <w:noProof/>
            <w:sz w:val="24"/>
            <w:szCs w:val="24"/>
          </w:rPr>
          <w:t>3.1 AI as a strategic HR capability</w:t>
        </w:r>
        <w:r w:rsidR="0098050F" w:rsidRPr="00005BFE">
          <w:rPr>
            <w:rFonts w:ascii="Arial" w:hAnsi="Arial" w:cs="Arial"/>
            <w:noProof/>
            <w:webHidden/>
            <w:sz w:val="24"/>
            <w:szCs w:val="24"/>
          </w:rPr>
          <w:tab/>
        </w:r>
        <w:r w:rsidR="0098050F" w:rsidRPr="00005BFE">
          <w:rPr>
            <w:rFonts w:ascii="Arial" w:hAnsi="Arial" w:cs="Arial"/>
            <w:noProof/>
            <w:webHidden/>
            <w:sz w:val="24"/>
            <w:szCs w:val="24"/>
          </w:rPr>
          <w:fldChar w:fldCharType="begin"/>
        </w:r>
        <w:r w:rsidR="0098050F" w:rsidRPr="00005BFE">
          <w:rPr>
            <w:rFonts w:ascii="Arial" w:hAnsi="Arial" w:cs="Arial"/>
            <w:noProof/>
            <w:webHidden/>
            <w:sz w:val="24"/>
            <w:szCs w:val="24"/>
          </w:rPr>
          <w:instrText xml:space="preserve"> PAGEREF _Toc242899481 \h </w:instrText>
        </w:r>
        <w:r w:rsidR="0098050F" w:rsidRPr="00005BFE">
          <w:rPr>
            <w:rFonts w:ascii="Arial" w:hAnsi="Arial" w:cs="Arial"/>
            <w:noProof/>
            <w:webHidden/>
            <w:sz w:val="24"/>
            <w:szCs w:val="24"/>
          </w:rPr>
        </w:r>
        <w:r w:rsidR="0098050F" w:rsidRPr="00005BFE">
          <w:rPr>
            <w:rFonts w:ascii="Arial" w:hAnsi="Arial" w:cs="Arial"/>
            <w:noProof/>
            <w:webHidden/>
            <w:sz w:val="24"/>
            <w:szCs w:val="24"/>
          </w:rPr>
          <w:fldChar w:fldCharType="separate"/>
        </w:r>
        <w:r w:rsidR="0098050F" w:rsidRPr="00005BFE">
          <w:rPr>
            <w:rFonts w:ascii="Arial" w:hAnsi="Arial" w:cs="Arial"/>
            <w:noProof/>
            <w:webHidden/>
            <w:sz w:val="24"/>
            <w:szCs w:val="24"/>
          </w:rPr>
          <w:t>10</w:t>
        </w:r>
        <w:r w:rsidR="0098050F" w:rsidRPr="00005BFE">
          <w:rPr>
            <w:rFonts w:ascii="Arial" w:hAnsi="Arial" w:cs="Arial"/>
            <w:noProof/>
            <w:webHidden/>
            <w:sz w:val="24"/>
            <w:szCs w:val="24"/>
          </w:rPr>
          <w:fldChar w:fldCharType="end"/>
        </w:r>
      </w:hyperlink>
    </w:p>
    <w:p w14:paraId="7A606126" w14:textId="093CE4C5" w:rsidR="0098050F" w:rsidRPr="00005BFE" w:rsidRDefault="00301C5B" w:rsidP="0098050F">
      <w:pPr>
        <w:pStyle w:val="TOC2"/>
        <w:tabs>
          <w:tab w:val="right" w:leader="dot" w:pos="9926"/>
        </w:tabs>
        <w:spacing w:line="360" w:lineRule="auto"/>
        <w:rPr>
          <w:rFonts w:ascii="Arial" w:hAnsi="Arial" w:cs="Arial"/>
          <w:noProof/>
          <w:kern w:val="2"/>
          <w:sz w:val="24"/>
          <w:szCs w:val="24"/>
          <w:lang w:val="en-IN" w:eastAsia="en-GB"/>
          <w14:ligatures w14:val="standardContextual"/>
        </w:rPr>
      </w:pPr>
      <w:hyperlink w:anchor="_Toc242899482" w:history="1">
        <w:r w:rsidR="0098050F" w:rsidRPr="00005BFE">
          <w:rPr>
            <w:rStyle w:val="Hyperlink"/>
            <w:rFonts w:ascii="Arial" w:hAnsi="Arial" w:cs="Arial"/>
            <w:noProof/>
            <w:sz w:val="24"/>
            <w:szCs w:val="24"/>
          </w:rPr>
          <w:t>3.2 Reflection on three practical AI uses</w:t>
        </w:r>
        <w:r w:rsidR="0098050F" w:rsidRPr="00005BFE">
          <w:rPr>
            <w:rFonts w:ascii="Arial" w:hAnsi="Arial" w:cs="Arial"/>
            <w:noProof/>
            <w:webHidden/>
            <w:sz w:val="24"/>
            <w:szCs w:val="24"/>
          </w:rPr>
          <w:tab/>
        </w:r>
        <w:r w:rsidR="0098050F" w:rsidRPr="00005BFE">
          <w:rPr>
            <w:rFonts w:ascii="Arial" w:hAnsi="Arial" w:cs="Arial"/>
            <w:noProof/>
            <w:webHidden/>
            <w:sz w:val="24"/>
            <w:szCs w:val="24"/>
          </w:rPr>
          <w:fldChar w:fldCharType="begin"/>
        </w:r>
        <w:r w:rsidR="0098050F" w:rsidRPr="00005BFE">
          <w:rPr>
            <w:rFonts w:ascii="Arial" w:hAnsi="Arial" w:cs="Arial"/>
            <w:noProof/>
            <w:webHidden/>
            <w:sz w:val="24"/>
            <w:szCs w:val="24"/>
          </w:rPr>
          <w:instrText xml:space="preserve"> PAGEREF _Toc242899482 \h </w:instrText>
        </w:r>
        <w:r w:rsidR="0098050F" w:rsidRPr="00005BFE">
          <w:rPr>
            <w:rFonts w:ascii="Arial" w:hAnsi="Arial" w:cs="Arial"/>
            <w:noProof/>
            <w:webHidden/>
            <w:sz w:val="24"/>
            <w:szCs w:val="24"/>
          </w:rPr>
        </w:r>
        <w:r w:rsidR="0098050F" w:rsidRPr="00005BFE">
          <w:rPr>
            <w:rFonts w:ascii="Arial" w:hAnsi="Arial" w:cs="Arial"/>
            <w:noProof/>
            <w:webHidden/>
            <w:sz w:val="24"/>
            <w:szCs w:val="24"/>
          </w:rPr>
          <w:fldChar w:fldCharType="separate"/>
        </w:r>
        <w:r w:rsidR="0098050F" w:rsidRPr="00005BFE">
          <w:rPr>
            <w:rFonts w:ascii="Arial" w:hAnsi="Arial" w:cs="Arial"/>
            <w:noProof/>
            <w:webHidden/>
            <w:sz w:val="24"/>
            <w:szCs w:val="24"/>
          </w:rPr>
          <w:t>10</w:t>
        </w:r>
        <w:r w:rsidR="0098050F" w:rsidRPr="00005BFE">
          <w:rPr>
            <w:rFonts w:ascii="Arial" w:hAnsi="Arial" w:cs="Arial"/>
            <w:noProof/>
            <w:webHidden/>
            <w:sz w:val="24"/>
            <w:szCs w:val="24"/>
          </w:rPr>
          <w:fldChar w:fldCharType="end"/>
        </w:r>
      </w:hyperlink>
    </w:p>
    <w:p w14:paraId="5E7BDF32" w14:textId="11C430BA" w:rsidR="0098050F" w:rsidRPr="00005BFE" w:rsidRDefault="00301C5B" w:rsidP="0098050F">
      <w:pPr>
        <w:pStyle w:val="TOC2"/>
        <w:tabs>
          <w:tab w:val="right" w:leader="dot" w:pos="9926"/>
        </w:tabs>
        <w:spacing w:line="360" w:lineRule="auto"/>
        <w:rPr>
          <w:rFonts w:ascii="Arial" w:hAnsi="Arial" w:cs="Arial"/>
          <w:noProof/>
          <w:kern w:val="2"/>
          <w:sz w:val="24"/>
          <w:szCs w:val="24"/>
          <w:lang w:val="en-IN" w:eastAsia="en-GB"/>
          <w14:ligatures w14:val="standardContextual"/>
        </w:rPr>
      </w:pPr>
      <w:hyperlink w:anchor="_Toc242899483" w:history="1">
        <w:r w:rsidR="0098050F" w:rsidRPr="00005BFE">
          <w:rPr>
            <w:rStyle w:val="Hyperlink"/>
            <w:rFonts w:ascii="Arial" w:hAnsi="Arial" w:cs="Arial"/>
            <w:noProof/>
            <w:sz w:val="24"/>
            <w:szCs w:val="24"/>
          </w:rPr>
          <w:t>3.3 Personal capability action plan</w:t>
        </w:r>
        <w:r w:rsidR="0098050F" w:rsidRPr="00005BFE">
          <w:rPr>
            <w:rFonts w:ascii="Arial" w:hAnsi="Arial" w:cs="Arial"/>
            <w:noProof/>
            <w:webHidden/>
            <w:sz w:val="24"/>
            <w:szCs w:val="24"/>
          </w:rPr>
          <w:tab/>
        </w:r>
        <w:r w:rsidR="0098050F" w:rsidRPr="00005BFE">
          <w:rPr>
            <w:rFonts w:ascii="Arial" w:hAnsi="Arial" w:cs="Arial"/>
            <w:noProof/>
            <w:webHidden/>
            <w:sz w:val="24"/>
            <w:szCs w:val="24"/>
          </w:rPr>
          <w:fldChar w:fldCharType="begin"/>
        </w:r>
        <w:r w:rsidR="0098050F" w:rsidRPr="00005BFE">
          <w:rPr>
            <w:rFonts w:ascii="Arial" w:hAnsi="Arial" w:cs="Arial"/>
            <w:noProof/>
            <w:webHidden/>
            <w:sz w:val="24"/>
            <w:szCs w:val="24"/>
          </w:rPr>
          <w:instrText xml:space="preserve"> PAGEREF _Toc242899483 \h </w:instrText>
        </w:r>
        <w:r w:rsidR="0098050F" w:rsidRPr="00005BFE">
          <w:rPr>
            <w:rFonts w:ascii="Arial" w:hAnsi="Arial" w:cs="Arial"/>
            <w:noProof/>
            <w:webHidden/>
            <w:sz w:val="24"/>
            <w:szCs w:val="24"/>
          </w:rPr>
        </w:r>
        <w:r w:rsidR="0098050F" w:rsidRPr="00005BFE">
          <w:rPr>
            <w:rFonts w:ascii="Arial" w:hAnsi="Arial" w:cs="Arial"/>
            <w:noProof/>
            <w:webHidden/>
            <w:sz w:val="24"/>
            <w:szCs w:val="24"/>
          </w:rPr>
          <w:fldChar w:fldCharType="separate"/>
        </w:r>
        <w:r w:rsidR="0098050F" w:rsidRPr="00005BFE">
          <w:rPr>
            <w:rFonts w:ascii="Arial" w:hAnsi="Arial" w:cs="Arial"/>
            <w:noProof/>
            <w:webHidden/>
            <w:sz w:val="24"/>
            <w:szCs w:val="24"/>
          </w:rPr>
          <w:t>11</w:t>
        </w:r>
        <w:r w:rsidR="0098050F" w:rsidRPr="00005BFE">
          <w:rPr>
            <w:rFonts w:ascii="Arial" w:hAnsi="Arial" w:cs="Arial"/>
            <w:noProof/>
            <w:webHidden/>
            <w:sz w:val="24"/>
            <w:szCs w:val="24"/>
          </w:rPr>
          <w:fldChar w:fldCharType="end"/>
        </w:r>
      </w:hyperlink>
    </w:p>
    <w:p w14:paraId="512E6CAF" w14:textId="1BB58545" w:rsidR="0098050F" w:rsidRPr="00005BFE" w:rsidRDefault="00301C5B" w:rsidP="0098050F">
      <w:pPr>
        <w:pStyle w:val="TOC1"/>
        <w:tabs>
          <w:tab w:val="right" w:leader="dot" w:pos="9926"/>
        </w:tabs>
        <w:spacing w:line="360" w:lineRule="auto"/>
        <w:rPr>
          <w:rFonts w:ascii="Arial" w:hAnsi="Arial" w:cs="Arial"/>
          <w:noProof/>
          <w:kern w:val="2"/>
          <w:sz w:val="24"/>
          <w:szCs w:val="24"/>
          <w:lang w:val="en-IN" w:eastAsia="en-GB"/>
          <w14:ligatures w14:val="standardContextual"/>
        </w:rPr>
      </w:pPr>
      <w:hyperlink w:anchor="_Toc242899484" w:history="1">
        <w:r w:rsidR="0098050F" w:rsidRPr="00005BFE">
          <w:rPr>
            <w:rStyle w:val="Hyperlink"/>
            <w:rFonts w:ascii="Arial" w:hAnsi="Arial" w:cs="Arial"/>
            <w:noProof/>
            <w:sz w:val="24"/>
            <w:szCs w:val="24"/>
          </w:rPr>
          <w:t>Conclusion</w:t>
        </w:r>
        <w:r w:rsidR="0098050F" w:rsidRPr="00005BFE">
          <w:rPr>
            <w:rFonts w:ascii="Arial" w:hAnsi="Arial" w:cs="Arial"/>
            <w:noProof/>
            <w:webHidden/>
            <w:sz w:val="24"/>
            <w:szCs w:val="24"/>
          </w:rPr>
          <w:tab/>
        </w:r>
        <w:r w:rsidR="0098050F" w:rsidRPr="00005BFE">
          <w:rPr>
            <w:rFonts w:ascii="Arial" w:hAnsi="Arial" w:cs="Arial"/>
            <w:noProof/>
            <w:webHidden/>
            <w:sz w:val="24"/>
            <w:szCs w:val="24"/>
          </w:rPr>
          <w:fldChar w:fldCharType="begin"/>
        </w:r>
        <w:r w:rsidR="0098050F" w:rsidRPr="00005BFE">
          <w:rPr>
            <w:rFonts w:ascii="Arial" w:hAnsi="Arial" w:cs="Arial"/>
            <w:noProof/>
            <w:webHidden/>
            <w:sz w:val="24"/>
            <w:szCs w:val="24"/>
          </w:rPr>
          <w:instrText xml:space="preserve"> PAGEREF _Toc242899484 \h </w:instrText>
        </w:r>
        <w:r w:rsidR="0098050F" w:rsidRPr="00005BFE">
          <w:rPr>
            <w:rFonts w:ascii="Arial" w:hAnsi="Arial" w:cs="Arial"/>
            <w:noProof/>
            <w:webHidden/>
            <w:sz w:val="24"/>
            <w:szCs w:val="24"/>
          </w:rPr>
        </w:r>
        <w:r w:rsidR="0098050F" w:rsidRPr="00005BFE">
          <w:rPr>
            <w:rFonts w:ascii="Arial" w:hAnsi="Arial" w:cs="Arial"/>
            <w:noProof/>
            <w:webHidden/>
            <w:sz w:val="24"/>
            <w:szCs w:val="24"/>
          </w:rPr>
          <w:fldChar w:fldCharType="separate"/>
        </w:r>
        <w:r w:rsidR="0098050F" w:rsidRPr="00005BFE">
          <w:rPr>
            <w:rFonts w:ascii="Arial" w:hAnsi="Arial" w:cs="Arial"/>
            <w:noProof/>
            <w:webHidden/>
            <w:sz w:val="24"/>
            <w:szCs w:val="24"/>
          </w:rPr>
          <w:t>12</w:t>
        </w:r>
        <w:r w:rsidR="0098050F" w:rsidRPr="00005BFE">
          <w:rPr>
            <w:rFonts w:ascii="Arial" w:hAnsi="Arial" w:cs="Arial"/>
            <w:noProof/>
            <w:webHidden/>
            <w:sz w:val="24"/>
            <w:szCs w:val="24"/>
          </w:rPr>
          <w:fldChar w:fldCharType="end"/>
        </w:r>
      </w:hyperlink>
    </w:p>
    <w:p w14:paraId="7D0C6883" w14:textId="5DEC3294" w:rsidR="0098050F" w:rsidRPr="00005BFE" w:rsidRDefault="00301C5B" w:rsidP="0098050F">
      <w:pPr>
        <w:pStyle w:val="TOC1"/>
        <w:tabs>
          <w:tab w:val="right" w:leader="dot" w:pos="9926"/>
        </w:tabs>
        <w:spacing w:line="360" w:lineRule="auto"/>
        <w:rPr>
          <w:rFonts w:ascii="Arial" w:hAnsi="Arial" w:cs="Arial"/>
          <w:noProof/>
          <w:kern w:val="2"/>
          <w:sz w:val="24"/>
          <w:szCs w:val="24"/>
          <w:lang w:val="en-IN" w:eastAsia="en-GB"/>
          <w14:ligatures w14:val="standardContextual"/>
        </w:rPr>
      </w:pPr>
      <w:hyperlink w:anchor="_Toc242899485" w:history="1">
        <w:r w:rsidR="0098050F" w:rsidRPr="00005BFE">
          <w:rPr>
            <w:rStyle w:val="Hyperlink"/>
            <w:rFonts w:ascii="Arial" w:hAnsi="Arial" w:cs="Arial"/>
            <w:noProof/>
            <w:sz w:val="24"/>
            <w:szCs w:val="24"/>
          </w:rPr>
          <w:t>References</w:t>
        </w:r>
        <w:r w:rsidR="0098050F" w:rsidRPr="00005BFE">
          <w:rPr>
            <w:rFonts w:ascii="Arial" w:hAnsi="Arial" w:cs="Arial"/>
            <w:noProof/>
            <w:webHidden/>
            <w:sz w:val="24"/>
            <w:szCs w:val="24"/>
          </w:rPr>
          <w:tab/>
        </w:r>
        <w:r w:rsidR="0098050F" w:rsidRPr="00005BFE">
          <w:rPr>
            <w:rFonts w:ascii="Arial" w:hAnsi="Arial" w:cs="Arial"/>
            <w:noProof/>
            <w:webHidden/>
            <w:sz w:val="24"/>
            <w:szCs w:val="24"/>
          </w:rPr>
          <w:fldChar w:fldCharType="begin"/>
        </w:r>
        <w:r w:rsidR="0098050F" w:rsidRPr="00005BFE">
          <w:rPr>
            <w:rFonts w:ascii="Arial" w:hAnsi="Arial" w:cs="Arial"/>
            <w:noProof/>
            <w:webHidden/>
            <w:sz w:val="24"/>
            <w:szCs w:val="24"/>
          </w:rPr>
          <w:instrText xml:space="preserve"> PAGEREF _Toc242899485 \h </w:instrText>
        </w:r>
        <w:r w:rsidR="0098050F" w:rsidRPr="00005BFE">
          <w:rPr>
            <w:rFonts w:ascii="Arial" w:hAnsi="Arial" w:cs="Arial"/>
            <w:noProof/>
            <w:webHidden/>
            <w:sz w:val="24"/>
            <w:szCs w:val="24"/>
          </w:rPr>
        </w:r>
        <w:r w:rsidR="0098050F" w:rsidRPr="00005BFE">
          <w:rPr>
            <w:rFonts w:ascii="Arial" w:hAnsi="Arial" w:cs="Arial"/>
            <w:noProof/>
            <w:webHidden/>
            <w:sz w:val="24"/>
            <w:szCs w:val="24"/>
          </w:rPr>
          <w:fldChar w:fldCharType="separate"/>
        </w:r>
        <w:r w:rsidR="0098050F" w:rsidRPr="00005BFE">
          <w:rPr>
            <w:rFonts w:ascii="Arial" w:hAnsi="Arial" w:cs="Arial"/>
            <w:noProof/>
            <w:webHidden/>
            <w:sz w:val="24"/>
            <w:szCs w:val="24"/>
          </w:rPr>
          <w:t>13</w:t>
        </w:r>
        <w:r w:rsidR="0098050F" w:rsidRPr="00005BFE">
          <w:rPr>
            <w:rFonts w:ascii="Arial" w:hAnsi="Arial" w:cs="Arial"/>
            <w:noProof/>
            <w:webHidden/>
            <w:sz w:val="24"/>
            <w:szCs w:val="24"/>
          </w:rPr>
          <w:fldChar w:fldCharType="end"/>
        </w:r>
      </w:hyperlink>
    </w:p>
    <w:p w14:paraId="013CC706" w14:textId="60125BDB" w:rsidR="00B54F0C" w:rsidRPr="00005BFE" w:rsidRDefault="00B54F0C" w:rsidP="0098050F">
      <w:pPr>
        <w:widowControl w:val="0"/>
        <w:tabs>
          <w:tab w:val="left" w:pos="940"/>
          <w:tab w:val="left" w:pos="941"/>
        </w:tabs>
        <w:spacing w:after="0" w:line="360" w:lineRule="auto"/>
        <w:jc w:val="both"/>
        <w:rPr>
          <w:rFonts w:ascii="Arial" w:hAnsi="Arial" w:cs="Arial"/>
          <w:b/>
          <w:bCs/>
          <w:color w:val="000000" w:themeColor="text1"/>
          <w:sz w:val="24"/>
          <w:szCs w:val="24"/>
        </w:rPr>
      </w:pPr>
      <w:r w:rsidRPr="00005BFE">
        <w:rPr>
          <w:rFonts w:ascii="Arial" w:hAnsi="Arial" w:cs="Arial"/>
          <w:b/>
          <w:bCs/>
          <w:color w:val="000000" w:themeColor="text1"/>
          <w:sz w:val="24"/>
          <w:szCs w:val="24"/>
        </w:rPr>
        <w:fldChar w:fldCharType="end"/>
      </w:r>
    </w:p>
    <w:p w14:paraId="29EC5985" w14:textId="77777777" w:rsidR="00B54F0C" w:rsidRPr="00005BFE" w:rsidRDefault="00B54F0C" w:rsidP="00FA59B8">
      <w:pPr>
        <w:spacing w:after="200" w:line="360" w:lineRule="auto"/>
        <w:jc w:val="both"/>
        <w:rPr>
          <w:rFonts w:ascii="Arial" w:hAnsi="Arial" w:cs="Arial"/>
          <w:b/>
          <w:bCs/>
          <w:color w:val="000000" w:themeColor="text1"/>
          <w:sz w:val="24"/>
          <w:szCs w:val="24"/>
        </w:rPr>
      </w:pPr>
      <w:r w:rsidRPr="00005BFE">
        <w:rPr>
          <w:rFonts w:ascii="Arial" w:hAnsi="Arial" w:cs="Arial"/>
          <w:b/>
          <w:bCs/>
          <w:color w:val="000000" w:themeColor="text1"/>
          <w:sz w:val="24"/>
          <w:szCs w:val="24"/>
        </w:rPr>
        <w:br w:type="page"/>
      </w:r>
    </w:p>
    <w:p w14:paraId="06EA025D" w14:textId="77777777" w:rsidR="00B54F0C" w:rsidRPr="00FA59B8" w:rsidRDefault="00B54F0C" w:rsidP="00FA59B8">
      <w:pPr>
        <w:pStyle w:val="Heading1"/>
        <w:spacing w:line="360" w:lineRule="auto"/>
        <w:jc w:val="both"/>
        <w:rPr>
          <w:rFonts w:ascii="Arial" w:hAnsi="Arial" w:cs="Arial"/>
          <w:color w:val="000000" w:themeColor="text1"/>
          <w:sz w:val="24"/>
          <w:szCs w:val="24"/>
        </w:rPr>
      </w:pPr>
      <w:bookmarkStart w:id="1" w:name="_Toc242899472"/>
      <w:r w:rsidRPr="00FA59B8">
        <w:rPr>
          <w:rFonts w:ascii="Arial" w:hAnsi="Arial" w:cs="Arial"/>
          <w:color w:val="000000" w:themeColor="text1"/>
          <w:sz w:val="24"/>
          <w:szCs w:val="24"/>
        </w:rPr>
        <w:lastRenderedPageBreak/>
        <w:t>Introduction</w:t>
      </w:r>
      <w:bookmarkEnd w:id="1"/>
      <w:r w:rsidRPr="00FA59B8">
        <w:rPr>
          <w:rFonts w:ascii="Arial" w:hAnsi="Arial" w:cs="Arial"/>
          <w:color w:val="000000" w:themeColor="text1"/>
          <w:sz w:val="24"/>
          <w:szCs w:val="24"/>
        </w:rPr>
        <w:t xml:space="preserve"> </w:t>
      </w:r>
    </w:p>
    <w:p w14:paraId="4FC32EE4" w14:textId="74FC455E" w:rsidR="00A12C73" w:rsidRPr="00FA59B8" w:rsidRDefault="00FA59B8"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The following report analyzes the opportunities that NHSX must enhance its organizational performance via creative working approach, talent development and responsible use of AI. The interventions will be analyzed with respect to their influence on the decision making, cooperation, experimentation and knowledge exchange. The relevant theory will be used to develop the approaches towards employees' training and development, as well as an implementation plan with set performance goals will be developed.</w:t>
      </w:r>
    </w:p>
    <w:p w14:paraId="0DEACA25" w14:textId="77777777" w:rsidR="00A12C73" w:rsidRPr="00FA59B8" w:rsidRDefault="00040537" w:rsidP="00FA59B8">
      <w:pPr>
        <w:pStyle w:val="Heading1"/>
        <w:spacing w:line="360" w:lineRule="auto"/>
        <w:jc w:val="both"/>
        <w:rPr>
          <w:rFonts w:ascii="Arial" w:hAnsi="Arial" w:cs="Arial"/>
          <w:color w:val="000000" w:themeColor="text1"/>
          <w:sz w:val="24"/>
          <w:szCs w:val="24"/>
        </w:rPr>
      </w:pPr>
      <w:bookmarkStart w:id="2" w:name="_Toc242899473"/>
      <w:r w:rsidRPr="00FA59B8">
        <w:rPr>
          <w:rFonts w:ascii="Arial" w:hAnsi="Arial" w:cs="Arial"/>
          <w:color w:val="000000" w:themeColor="text1"/>
          <w:sz w:val="24"/>
          <w:szCs w:val="24"/>
        </w:rPr>
        <w:t>Task A: Designing Innovative Working Practices</w:t>
      </w:r>
      <w:bookmarkEnd w:id="2"/>
    </w:p>
    <w:p w14:paraId="03599921" w14:textId="5D619B98" w:rsidR="00A12C73" w:rsidRPr="00FA59B8" w:rsidRDefault="00B54F0C" w:rsidP="00FA59B8">
      <w:pPr>
        <w:pStyle w:val="Heading2"/>
        <w:spacing w:line="360" w:lineRule="auto"/>
        <w:jc w:val="both"/>
        <w:rPr>
          <w:rFonts w:ascii="Arial" w:hAnsi="Arial" w:cs="Arial"/>
          <w:color w:val="000000" w:themeColor="text1"/>
          <w:sz w:val="24"/>
          <w:szCs w:val="24"/>
        </w:rPr>
      </w:pPr>
      <w:bookmarkStart w:id="3" w:name="_Toc242899474"/>
      <w:r w:rsidRPr="00FA59B8">
        <w:rPr>
          <w:rFonts w:ascii="Arial" w:hAnsi="Arial" w:cs="Arial"/>
          <w:color w:val="000000" w:themeColor="text1"/>
          <w:sz w:val="24"/>
          <w:szCs w:val="24"/>
        </w:rPr>
        <w:t>1.1 From administrative control to adaptive work design</w:t>
      </w:r>
      <w:bookmarkEnd w:id="3"/>
    </w:p>
    <w:p w14:paraId="7CBB5FC1" w14:textId="49EB8598" w:rsidR="00A12C73" w:rsidRPr="00FA59B8" w:rsidRDefault="00EB02C1" w:rsidP="00FA59B8">
      <w:pPr>
        <w:spacing w:line="360" w:lineRule="auto"/>
        <w:jc w:val="both"/>
        <w:rPr>
          <w:rFonts w:ascii="Arial" w:hAnsi="Arial" w:cs="Arial"/>
          <w:color w:val="000000" w:themeColor="text1"/>
          <w:sz w:val="24"/>
          <w:szCs w:val="24"/>
        </w:rPr>
      </w:pPr>
      <w:r w:rsidRPr="00EB02C1">
        <w:rPr>
          <w:rFonts w:ascii="Arial" w:hAnsi="Arial" w:cs="Arial"/>
          <w:color w:val="000000" w:themeColor="text1"/>
          <w:sz w:val="24"/>
          <w:szCs w:val="24"/>
        </w:rPr>
        <w:t>A traditional job design is normally described as involving hierarchy, narrow job specialization, stability in the reporting relationships, and decision-making at managerial levels.</w:t>
      </w:r>
      <w:r w:rsidR="0098050F" w:rsidRPr="0098050F">
        <w:t xml:space="preserve"> </w:t>
      </w:r>
      <w:r w:rsidR="0098050F" w:rsidRPr="0098050F">
        <w:rPr>
          <w:rFonts w:ascii="Arial" w:hAnsi="Arial" w:cs="Arial"/>
          <w:color w:val="000000" w:themeColor="text1"/>
          <w:sz w:val="24"/>
          <w:szCs w:val="24"/>
        </w:rPr>
        <w:t>But in NHSX, the very high level of verticality will become a barrier to innovation because the challenges associated with digital healthcare are not always isolated to just one department alone (Urme, 2023). For instance, a remote monitoring software need clinical, cloud, data science, cybersecurity, UX, commercial, and regulatory expertise simultaneously. Each delay that results from completing the task by the expert function will increase the cost of coordination and learning</w:t>
      </w:r>
      <w:r w:rsidRPr="00EB02C1">
        <w:rPr>
          <w:rFonts w:ascii="Arial" w:hAnsi="Arial" w:cs="Arial"/>
          <w:color w:val="000000" w:themeColor="text1"/>
          <w:sz w:val="24"/>
          <w:szCs w:val="24"/>
        </w:rPr>
        <w:t>. An HPWS provides a strategy to solve this issue since recruitment, skills building, participation, performance management, and rewards are considered mutually reinforcing aspects. A HIWS goes beyond this approach by adding more information availability and problem-solving ability</w:t>
      </w:r>
      <w:r w:rsidR="00236703" w:rsidRPr="00FA59B8">
        <w:rPr>
          <w:rFonts w:ascii="Arial" w:hAnsi="Arial" w:cs="Arial"/>
          <w:color w:val="000000" w:themeColor="text1"/>
          <w:sz w:val="24"/>
          <w:szCs w:val="24"/>
        </w:rPr>
        <w:t>. The strength of such strategies is in the recognition that performance depends not just on technology but on the capability and engagement of the employee. The limitation of these strategies is in their implementation</w:t>
      </w:r>
      <w:r>
        <w:rPr>
          <w:rFonts w:ascii="Arial" w:hAnsi="Arial" w:cs="Arial"/>
          <w:color w:val="000000" w:themeColor="text1"/>
          <w:sz w:val="24"/>
          <w:szCs w:val="24"/>
        </w:rPr>
        <w:t xml:space="preserve"> </w:t>
      </w:r>
      <w:r w:rsidR="00B54F0C" w:rsidRPr="00FA59B8">
        <w:rPr>
          <w:rFonts w:ascii="Arial" w:hAnsi="Arial" w:cs="Arial"/>
          <w:color w:val="000000" w:themeColor="text1"/>
          <w:sz w:val="24"/>
          <w:szCs w:val="24"/>
        </w:rPr>
        <w:t>(Weng et al., 2023).</w:t>
      </w:r>
    </w:p>
    <w:p w14:paraId="3B55631A" w14:textId="7AF50539" w:rsidR="00A12C73" w:rsidRPr="00FA59B8" w:rsidRDefault="00236703"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Agile provides NHSX with a more dynamic approach to operating principles.</w:t>
      </w:r>
      <w:r w:rsidR="0098050F" w:rsidRPr="0098050F">
        <w:t xml:space="preserve"> </w:t>
      </w:r>
      <w:r w:rsidR="0098050F" w:rsidRPr="0098050F">
        <w:rPr>
          <w:rFonts w:ascii="Arial" w:hAnsi="Arial" w:cs="Arial"/>
          <w:color w:val="000000" w:themeColor="text1"/>
          <w:sz w:val="24"/>
          <w:szCs w:val="24"/>
        </w:rPr>
        <w:t>The teams can focus on the challenges posed to the customer, iterate, test their hypotheses, and make necessary changes based on the lessons learned. However, Agile is not all about rituals. Although the teams are accountable for results, they have no authority over resources</w:t>
      </w:r>
      <w:r w:rsidR="00EB02C1" w:rsidRPr="00EB02C1">
        <w:rPr>
          <w:rFonts w:ascii="Arial" w:hAnsi="Arial" w:cs="Arial"/>
          <w:color w:val="000000" w:themeColor="text1"/>
          <w:sz w:val="24"/>
          <w:szCs w:val="24"/>
        </w:rPr>
        <w:t>. Here is where Sociotechnical Systems Theory comes to add more diagnostics</w:t>
      </w:r>
      <w:r w:rsidRPr="00FA59B8">
        <w:rPr>
          <w:rFonts w:ascii="Arial" w:hAnsi="Arial" w:cs="Arial"/>
          <w:color w:val="000000" w:themeColor="text1"/>
          <w:sz w:val="24"/>
          <w:szCs w:val="24"/>
        </w:rPr>
        <w:t>. Organizational performance relies on the optimization of four aspects simultaneously.</w:t>
      </w:r>
    </w:p>
    <w:p w14:paraId="55C7BD2D"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b/>
          <w:color w:val="000000" w:themeColor="text1"/>
          <w:sz w:val="24"/>
          <w:szCs w:val="24"/>
        </w:rPr>
        <w:t>Table 1. Comparative assessment of work-design approaches for NHSX</w:t>
      </w:r>
    </w:p>
    <w:tbl>
      <w:tblPr>
        <w:tblStyle w:val="TableGrid"/>
        <w:tblW w:w="0" w:type="auto"/>
        <w:tblLook w:val="04A0" w:firstRow="1" w:lastRow="0" w:firstColumn="1" w:lastColumn="0" w:noHBand="0" w:noVBand="1"/>
      </w:tblPr>
      <w:tblGrid>
        <w:gridCol w:w="2484"/>
        <w:gridCol w:w="2484"/>
        <w:gridCol w:w="2484"/>
        <w:gridCol w:w="2484"/>
      </w:tblGrid>
      <w:tr w:rsidR="00FA59B8" w:rsidRPr="00FA59B8" w14:paraId="647B5DFA" w14:textId="77777777" w:rsidTr="00B54F0C">
        <w:tc>
          <w:tcPr>
            <w:tcW w:w="2484" w:type="dxa"/>
          </w:tcPr>
          <w:p w14:paraId="6AB1544B"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b/>
                <w:color w:val="000000" w:themeColor="text1"/>
                <w:sz w:val="24"/>
                <w:szCs w:val="24"/>
              </w:rPr>
              <w:lastRenderedPageBreak/>
              <w:t>Work-design approach</w:t>
            </w:r>
          </w:p>
        </w:tc>
        <w:tc>
          <w:tcPr>
            <w:tcW w:w="2484" w:type="dxa"/>
          </w:tcPr>
          <w:p w14:paraId="2FFB9F22"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b/>
                <w:color w:val="000000" w:themeColor="text1"/>
                <w:sz w:val="24"/>
                <w:szCs w:val="24"/>
              </w:rPr>
              <w:t>Principal strength</w:t>
            </w:r>
          </w:p>
        </w:tc>
        <w:tc>
          <w:tcPr>
            <w:tcW w:w="2484" w:type="dxa"/>
          </w:tcPr>
          <w:p w14:paraId="6314A5AE"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b/>
                <w:color w:val="000000" w:themeColor="text1"/>
                <w:sz w:val="24"/>
                <w:szCs w:val="24"/>
              </w:rPr>
              <w:t>Potential weakness</w:t>
            </w:r>
          </w:p>
        </w:tc>
        <w:tc>
          <w:tcPr>
            <w:tcW w:w="2484" w:type="dxa"/>
          </w:tcPr>
          <w:p w14:paraId="2A24E53F"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b/>
                <w:color w:val="000000" w:themeColor="text1"/>
                <w:sz w:val="24"/>
                <w:szCs w:val="24"/>
              </w:rPr>
              <w:t>NHSX application</w:t>
            </w:r>
          </w:p>
        </w:tc>
      </w:tr>
      <w:tr w:rsidR="00FA59B8" w:rsidRPr="00FA59B8" w14:paraId="1E605658" w14:textId="77777777" w:rsidTr="00B54F0C">
        <w:tc>
          <w:tcPr>
            <w:tcW w:w="2484" w:type="dxa"/>
          </w:tcPr>
          <w:p w14:paraId="6BD13395"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Traditional hierarchy</w:t>
            </w:r>
          </w:p>
        </w:tc>
        <w:tc>
          <w:tcPr>
            <w:tcW w:w="2484" w:type="dxa"/>
          </w:tcPr>
          <w:p w14:paraId="53B4CD52"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Control, accountability and consistency</w:t>
            </w:r>
          </w:p>
        </w:tc>
        <w:tc>
          <w:tcPr>
            <w:tcW w:w="2484" w:type="dxa"/>
          </w:tcPr>
          <w:p w14:paraId="5A3595BC"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Slow approvals and vertical silos</w:t>
            </w:r>
          </w:p>
        </w:tc>
        <w:tc>
          <w:tcPr>
            <w:tcW w:w="2484" w:type="dxa"/>
          </w:tcPr>
          <w:p w14:paraId="54BE2A0F"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Retain for clinical, legal and safety decisions</w:t>
            </w:r>
          </w:p>
        </w:tc>
      </w:tr>
      <w:tr w:rsidR="00FA59B8" w:rsidRPr="00FA59B8" w14:paraId="59D2DA73" w14:textId="77777777" w:rsidTr="00B54F0C">
        <w:tc>
          <w:tcPr>
            <w:tcW w:w="2484" w:type="dxa"/>
          </w:tcPr>
          <w:p w14:paraId="70DD4016"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HPWS</w:t>
            </w:r>
          </w:p>
        </w:tc>
        <w:tc>
          <w:tcPr>
            <w:tcW w:w="2484" w:type="dxa"/>
          </w:tcPr>
          <w:p w14:paraId="72F08F30"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Aligns capability, motivation and performance systems</w:t>
            </w:r>
          </w:p>
        </w:tc>
        <w:tc>
          <w:tcPr>
            <w:tcW w:w="2484" w:type="dxa"/>
          </w:tcPr>
          <w:p w14:paraId="11B226BE"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Can intensify work if poorly designed</w:t>
            </w:r>
          </w:p>
        </w:tc>
        <w:tc>
          <w:tcPr>
            <w:tcW w:w="2484" w:type="dxa"/>
          </w:tcPr>
          <w:p w14:paraId="7A84F5B3"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Use for integrated people-performance architecture</w:t>
            </w:r>
          </w:p>
        </w:tc>
      </w:tr>
      <w:tr w:rsidR="00FA59B8" w:rsidRPr="00FA59B8" w14:paraId="0DA774DD" w14:textId="77777777" w:rsidTr="00B54F0C">
        <w:tc>
          <w:tcPr>
            <w:tcW w:w="2484" w:type="dxa"/>
          </w:tcPr>
          <w:p w14:paraId="09134260"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HIWS</w:t>
            </w:r>
          </w:p>
        </w:tc>
        <w:tc>
          <w:tcPr>
            <w:tcW w:w="2484" w:type="dxa"/>
          </w:tcPr>
          <w:p w14:paraId="42E61320"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Employee voice and problem-solving</w:t>
            </w:r>
          </w:p>
        </w:tc>
        <w:tc>
          <w:tcPr>
            <w:tcW w:w="2484" w:type="dxa"/>
          </w:tcPr>
          <w:p w14:paraId="0F787996" w14:textId="6B70EE16"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Participation become symbolic</w:t>
            </w:r>
          </w:p>
        </w:tc>
        <w:tc>
          <w:tcPr>
            <w:tcW w:w="2484" w:type="dxa"/>
          </w:tcPr>
          <w:p w14:paraId="1BDD237F"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Give teams real information and decision authority</w:t>
            </w:r>
          </w:p>
        </w:tc>
      </w:tr>
      <w:tr w:rsidR="00FA59B8" w:rsidRPr="00FA59B8" w14:paraId="27849D70" w14:textId="77777777" w:rsidTr="00B54F0C">
        <w:tc>
          <w:tcPr>
            <w:tcW w:w="2484" w:type="dxa"/>
          </w:tcPr>
          <w:p w14:paraId="6C3AFED3"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Agile</w:t>
            </w:r>
          </w:p>
        </w:tc>
        <w:tc>
          <w:tcPr>
            <w:tcW w:w="2484" w:type="dxa"/>
          </w:tcPr>
          <w:p w14:paraId="2E4EDBDD"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Rapid feedback and adaptation</w:t>
            </w:r>
          </w:p>
        </w:tc>
        <w:tc>
          <w:tcPr>
            <w:tcW w:w="2484" w:type="dxa"/>
          </w:tcPr>
          <w:p w14:paraId="225586D4"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Can become ritualistic</w:t>
            </w:r>
          </w:p>
        </w:tc>
        <w:tc>
          <w:tcPr>
            <w:tcW w:w="2484" w:type="dxa"/>
          </w:tcPr>
          <w:p w14:paraId="462228D0"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Use outcome-owned product/mission teams</w:t>
            </w:r>
          </w:p>
        </w:tc>
      </w:tr>
      <w:tr w:rsidR="00FA59B8" w:rsidRPr="00FA59B8" w14:paraId="13686F57" w14:textId="77777777" w:rsidTr="00B54F0C">
        <w:tc>
          <w:tcPr>
            <w:tcW w:w="2484" w:type="dxa"/>
          </w:tcPr>
          <w:p w14:paraId="25989E6A"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Hybrid/flexible work</w:t>
            </w:r>
          </w:p>
        </w:tc>
        <w:tc>
          <w:tcPr>
            <w:tcW w:w="2484" w:type="dxa"/>
          </w:tcPr>
          <w:p w14:paraId="6B022258"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Access to talent and autonomy</w:t>
            </w:r>
          </w:p>
        </w:tc>
        <w:tc>
          <w:tcPr>
            <w:tcW w:w="2484" w:type="dxa"/>
          </w:tcPr>
          <w:p w14:paraId="4BEC8201"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Coordination and visibility risks</w:t>
            </w:r>
          </w:p>
        </w:tc>
        <w:tc>
          <w:tcPr>
            <w:tcW w:w="2484" w:type="dxa"/>
          </w:tcPr>
          <w:p w14:paraId="4B4439C1"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Use task-based location rules</w:t>
            </w:r>
          </w:p>
        </w:tc>
      </w:tr>
      <w:tr w:rsidR="00F552CC" w:rsidRPr="00FA59B8" w14:paraId="3F515645" w14:textId="77777777" w:rsidTr="00B54F0C">
        <w:tc>
          <w:tcPr>
            <w:tcW w:w="2484" w:type="dxa"/>
          </w:tcPr>
          <w:p w14:paraId="2884285C"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Sociotechnical design</w:t>
            </w:r>
          </w:p>
        </w:tc>
        <w:tc>
          <w:tcPr>
            <w:tcW w:w="2484" w:type="dxa"/>
          </w:tcPr>
          <w:p w14:paraId="710D1D66"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Balances technology and human systems</w:t>
            </w:r>
          </w:p>
        </w:tc>
        <w:tc>
          <w:tcPr>
            <w:tcW w:w="2484" w:type="dxa"/>
          </w:tcPr>
          <w:p w14:paraId="1F2DB2F0"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Requires organisation-wide redesign</w:t>
            </w:r>
          </w:p>
        </w:tc>
        <w:tc>
          <w:tcPr>
            <w:tcW w:w="2484" w:type="dxa"/>
          </w:tcPr>
          <w:p w14:paraId="373675C8" w14:textId="7777777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Use as the overarching design principle</w:t>
            </w:r>
          </w:p>
        </w:tc>
      </w:tr>
    </w:tbl>
    <w:p w14:paraId="4E422C8B" w14:textId="7CF3863D"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Consequently, NHSX should not eliminate hierarchy.</w:t>
      </w:r>
      <w:r w:rsidR="00EB02C1" w:rsidRPr="00EB02C1">
        <w:t xml:space="preserve"> </w:t>
      </w:r>
      <w:r w:rsidR="00EB02C1" w:rsidRPr="00EB02C1">
        <w:rPr>
          <w:rFonts w:ascii="Arial" w:hAnsi="Arial" w:cs="Arial"/>
          <w:color w:val="000000" w:themeColor="text1"/>
          <w:sz w:val="24"/>
          <w:szCs w:val="24"/>
        </w:rPr>
        <w:t>It will allow hierarchy to be selective.</w:t>
      </w:r>
      <w:r w:rsidR="0098050F" w:rsidRPr="0098050F">
        <w:t xml:space="preserve"> </w:t>
      </w:r>
      <w:r w:rsidR="0098050F" w:rsidRPr="0098050F">
        <w:rPr>
          <w:rFonts w:ascii="Arial" w:hAnsi="Arial" w:cs="Arial"/>
          <w:color w:val="000000" w:themeColor="text1"/>
          <w:sz w:val="24"/>
          <w:szCs w:val="24"/>
        </w:rPr>
        <w:t>There ought to be vertical control where the requirements of patient safety, security and compliance demand it, whereas decision-making involving products and processes ought to be decentralized to the relevant level of expertise. The paradox ensures that autonomy can be exercised safely in defined areas</w:t>
      </w:r>
      <w:r w:rsidRPr="00FA59B8">
        <w:rPr>
          <w:rFonts w:ascii="Arial" w:hAnsi="Arial" w:cs="Arial"/>
          <w:color w:val="000000" w:themeColor="text1"/>
          <w:sz w:val="24"/>
          <w:szCs w:val="24"/>
        </w:rPr>
        <w:t>.</w:t>
      </w:r>
    </w:p>
    <w:p w14:paraId="5BB3AC95" w14:textId="284784A1" w:rsidR="00A12C73" w:rsidRPr="00FA59B8" w:rsidRDefault="00B54F0C" w:rsidP="00FA59B8">
      <w:pPr>
        <w:pStyle w:val="Heading2"/>
        <w:spacing w:line="360" w:lineRule="auto"/>
        <w:jc w:val="both"/>
        <w:rPr>
          <w:rFonts w:ascii="Arial" w:hAnsi="Arial" w:cs="Arial"/>
          <w:color w:val="000000" w:themeColor="text1"/>
          <w:sz w:val="24"/>
          <w:szCs w:val="24"/>
        </w:rPr>
      </w:pPr>
      <w:bookmarkStart w:id="4" w:name="_Toc242899475"/>
      <w:r w:rsidRPr="00FA59B8">
        <w:rPr>
          <w:rFonts w:ascii="Arial" w:hAnsi="Arial" w:cs="Arial"/>
          <w:color w:val="000000" w:themeColor="text1"/>
          <w:sz w:val="24"/>
          <w:szCs w:val="24"/>
        </w:rPr>
        <w:t>1.2 Proposed NHSX Work Innovation Architecture</w:t>
      </w:r>
      <w:bookmarkEnd w:id="4"/>
    </w:p>
    <w:p w14:paraId="43923341" w14:textId="3F8149AD" w:rsidR="0098050F" w:rsidRPr="0098050F" w:rsidRDefault="0098050F" w:rsidP="0098050F">
      <w:pPr>
        <w:spacing w:line="360" w:lineRule="auto"/>
        <w:jc w:val="both"/>
        <w:rPr>
          <w:rFonts w:ascii="Arial" w:hAnsi="Arial" w:cs="Arial"/>
          <w:color w:val="000000" w:themeColor="text1"/>
          <w:sz w:val="24"/>
          <w:szCs w:val="24"/>
        </w:rPr>
      </w:pPr>
      <w:r w:rsidRPr="0098050F">
        <w:rPr>
          <w:rFonts w:ascii="Arial" w:hAnsi="Arial" w:cs="Arial"/>
          <w:color w:val="000000" w:themeColor="text1"/>
          <w:sz w:val="24"/>
          <w:szCs w:val="24"/>
        </w:rPr>
        <w:t xml:space="preserve">The first intervention would be the formation of mission teams. Apart from departmentalization of all initiatives, NHSX should departmentalize its initiatives by forming teams based on the achievement of certain goals such as reducing the probability of readmissions, usability and compliance in remote monitoring. These teams should have members ranging from 7 to 10 persons with all the necessary capabilities. The teams will </w:t>
      </w:r>
      <w:r w:rsidRPr="0098050F">
        <w:rPr>
          <w:rFonts w:ascii="Arial" w:hAnsi="Arial" w:cs="Arial"/>
          <w:color w:val="000000" w:themeColor="text1"/>
          <w:sz w:val="24"/>
          <w:szCs w:val="24"/>
        </w:rPr>
        <w:lastRenderedPageBreak/>
        <w:t>have an objective that can be quantified and have defined budgets or resources envelopes (Anjani and Prabavathi, 2025). The second intervention would be the decision rights architecture. All major decisions must be categorized into team, specialist or executive ownership</w:t>
      </w:r>
      <w:r w:rsidR="00EB02C1" w:rsidRPr="00EB02C1">
        <w:rPr>
          <w:rFonts w:ascii="Arial" w:hAnsi="Arial" w:cs="Arial"/>
          <w:color w:val="000000" w:themeColor="text1"/>
          <w:sz w:val="24"/>
          <w:szCs w:val="24"/>
        </w:rPr>
        <w:t xml:space="preserve">. This will solve the problem of telling employees to be innovative yet asking for many approvals. An example is the fact that a team can make decisions regarding development and experiments but any changes that relate to clinical risks must be approved by specialists. The third intervention is ‘Collaboration by Purpose’ blended approach. NHSX should steer clear of either one of the following </w:t>
      </w:r>
      <w:r w:rsidRPr="00EB02C1">
        <w:rPr>
          <w:rFonts w:ascii="Arial" w:hAnsi="Arial" w:cs="Arial"/>
          <w:color w:val="000000" w:themeColor="text1"/>
          <w:sz w:val="24"/>
          <w:szCs w:val="24"/>
        </w:rPr>
        <w:t>extremes:</w:t>
      </w:r>
      <w:r w:rsidR="00EB02C1" w:rsidRPr="00EB02C1">
        <w:rPr>
          <w:rFonts w:ascii="Arial" w:hAnsi="Arial" w:cs="Arial"/>
          <w:color w:val="000000" w:themeColor="text1"/>
          <w:sz w:val="24"/>
          <w:szCs w:val="24"/>
        </w:rPr>
        <w:t xml:space="preserve"> forcing employees to come into the office or making employees work asynchronously. Remote working by default is recommended in </w:t>
      </w:r>
      <w:r w:rsidRPr="00EB02C1">
        <w:rPr>
          <w:rFonts w:ascii="Arial" w:hAnsi="Arial" w:cs="Arial"/>
          <w:color w:val="000000" w:themeColor="text1"/>
          <w:sz w:val="24"/>
          <w:szCs w:val="24"/>
        </w:rPr>
        <w:t>concentration</w:t>
      </w:r>
      <w:r>
        <w:rPr>
          <w:rFonts w:ascii="Arial" w:hAnsi="Arial" w:cs="Arial"/>
          <w:color w:val="000000" w:themeColor="text1"/>
          <w:sz w:val="24"/>
          <w:szCs w:val="24"/>
        </w:rPr>
        <w:t>-based</w:t>
      </w:r>
      <w:r w:rsidR="00EB02C1" w:rsidRPr="00EB02C1">
        <w:rPr>
          <w:rFonts w:ascii="Arial" w:hAnsi="Arial" w:cs="Arial"/>
          <w:color w:val="000000" w:themeColor="text1"/>
          <w:sz w:val="24"/>
          <w:szCs w:val="24"/>
        </w:rPr>
        <w:t xml:space="preserve"> tasks</w:t>
      </w:r>
      <w:r w:rsidRPr="00FA59B8">
        <w:rPr>
          <w:rFonts w:ascii="Arial" w:hAnsi="Arial" w:cs="Arial"/>
          <w:color w:val="000000" w:themeColor="text1"/>
          <w:sz w:val="24"/>
          <w:szCs w:val="24"/>
        </w:rPr>
        <w:t>.</w:t>
      </w:r>
      <w:r w:rsidRPr="0098050F">
        <w:t xml:space="preserve"> </w:t>
      </w:r>
      <w:r w:rsidRPr="0098050F">
        <w:rPr>
          <w:rFonts w:ascii="Arial" w:hAnsi="Arial" w:cs="Arial"/>
          <w:color w:val="000000" w:themeColor="text1"/>
          <w:sz w:val="24"/>
          <w:szCs w:val="24"/>
        </w:rPr>
        <w:t xml:space="preserve">The first recommendation is the sharing of collaboration windows and usage of asynchronous documentation for all those matters which don’t require live discussions between UK-India-UAE teams (Lane et al., 2023). </w:t>
      </w:r>
    </w:p>
    <w:p w14:paraId="4C37A5D1" w14:textId="44E43229" w:rsidR="00A12C73" w:rsidRPr="00FA59B8" w:rsidRDefault="0098050F" w:rsidP="00FA59B8">
      <w:pPr>
        <w:spacing w:line="360" w:lineRule="auto"/>
        <w:jc w:val="both"/>
        <w:rPr>
          <w:rFonts w:ascii="Arial" w:hAnsi="Arial" w:cs="Arial"/>
          <w:color w:val="000000" w:themeColor="text1"/>
          <w:sz w:val="24"/>
          <w:szCs w:val="24"/>
        </w:rPr>
      </w:pPr>
      <w:r w:rsidRPr="0098050F">
        <w:rPr>
          <w:rFonts w:ascii="Arial" w:hAnsi="Arial" w:cs="Arial"/>
          <w:color w:val="000000" w:themeColor="text1"/>
          <w:sz w:val="24"/>
          <w:szCs w:val="24"/>
        </w:rPr>
        <w:t>The fourth recommendation is the development of digital knowledge operating system. All decisions taken, technical information, lessons learnt, experiments conducted, responsibilities assigned, and meeting outputs should be incorporated in one search engine. The purpose of doing this is not to communicate more but to stop repetitive communication</w:t>
      </w:r>
      <w:r w:rsidRPr="00FA59B8">
        <w:rPr>
          <w:rFonts w:ascii="Arial" w:hAnsi="Arial" w:cs="Arial"/>
          <w:color w:val="000000" w:themeColor="text1"/>
          <w:sz w:val="24"/>
          <w:szCs w:val="24"/>
        </w:rPr>
        <w:t>. Employees should be able to understand what was decided, why it was decided and who owns the next action without attending every meeting</w:t>
      </w:r>
      <w:r w:rsidR="00B54F0C" w:rsidRPr="00FA59B8">
        <w:rPr>
          <w:rFonts w:ascii="Arial" w:hAnsi="Arial" w:cs="Arial"/>
          <w:color w:val="000000" w:themeColor="text1"/>
          <w:sz w:val="24"/>
          <w:szCs w:val="24"/>
        </w:rPr>
        <w:t xml:space="preserve"> (</w:t>
      </w:r>
      <w:r w:rsidR="00B54F0C" w:rsidRPr="00FA59B8">
        <w:rPr>
          <w:rFonts w:ascii="Arial" w:hAnsi="Arial" w:cs="Arial"/>
          <w:color w:val="000000" w:themeColor="text1"/>
          <w:sz w:val="24"/>
          <w:szCs w:val="24"/>
          <w:shd w:val="clear" w:color="auto" w:fill="FFFFFF"/>
        </w:rPr>
        <w:t>Callari and Puppione, 2025).</w:t>
      </w:r>
      <w:r w:rsidR="00B54F0C" w:rsidRPr="00FA59B8">
        <w:rPr>
          <w:rFonts w:ascii="Arial" w:hAnsi="Arial" w:cs="Arial"/>
          <w:color w:val="000000" w:themeColor="text1"/>
          <w:sz w:val="24"/>
          <w:szCs w:val="24"/>
        </w:rPr>
        <w:t xml:space="preserve"> </w:t>
      </w:r>
    </w:p>
    <w:p w14:paraId="70BE5120" w14:textId="3FDF705C" w:rsidR="005459BD" w:rsidRPr="00FA59B8" w:rsidRDefault="005459BD" w:rsidP="00FA59B8">
      <w:pPr>
        <w:spacing w:line="360" w:lineRule="auto"/>
        <w:jc w:val="both"/>
        <w:rPr>
          <w:rFonts w:ascii="Arial" w:hAnsi="Arial" w:cs="Arial"/>
          <w:b/>
          <w:bCs/>
          <w:color w:val="000000" w:themeColor="text1"/>
          <w:sz w:val="24"/>
          <w:szCs w:val="24"/>
        </w:rPr>
      </w:pPr>
      <w:r w:rsidRPr="00FA59B8">
        <w:rPr>
          <w:rFonts w:ascii="Arial" w:hAnsi="Arial" w:cs="Arial"/>
          <w:b/>
          <w:bCs/>
          <w:color w:val="000000" w:themeColor="text1"/>
          <w:sz w:val="24"/>
          <w:szCs w:val="24"/>
        </w:rPr>
        <w:t>Table 2: Problem–intervention–theory–outcome alignment</w:t>
      </w:r>
    </w:p>
    <w:tbl>
      <w:tblPr>
        <w:tblStyle w:val="TableGrid"/>
        <w:tblW w:w="0" w:type="auto"/>
        <w:tblLook w:val="04A0" w:firstRow="1" w:lastRow="0" w:firstColumn="1" w:lastColumn="0" w:noHBand="0" w:noVBand="1"/>
      </w:tblPr>
      <w:tblGrid>
        <w:gridCol w:w="2017"/>
        <w:gridCol w:w="2153"/>
        <w:gridCol w:w="2008"/>
        <w:gridCol w:w="1982"/>
        <w:gridCol w:w="1992"/>
      </w:tblGrid>
      <w:tr w:rsidR="00FA59B8" w:rsidRPr="00FA59B8" w14:paraId="47680DAC" w14:textId="77777777" w:rsidTr="005459BD">
        <w:tc>
          <w:tcPr>
            <w:tcW w:w="0" w:type="auto"/>
            <w:hideMark/>
          </w:tcPr>
          <w:p w14:paraId="503B1F93" w14:textId="77777777" w:rsidR="005459BD" w:rsidRPr="00FA59B8" w:rsidRDefault="005459BD" w:rsidP="00FA59B8">
            <w:pPr>
              <w:pStyle w:val="NormalWeb"/>
              <w:spacing w:line="360" w:lineRule="auto"/>
              <w:jc w:val="both"/>
              <w:rPr>
                <w:rFonts w:ascii="Arial" w:hAnsi="Arial" w:cs="Arial"/>
                <w:b/>
                <w:bCs/>
                <w:color w:val="000000" w:themeColor="text1"/>
              </w:rPr>
            </w:pPr>
            <w:r w:rsidRPr="00FA59B8">
              <w:rPr>
                <w:rFonts w:ascii="Arial" w:hAnsi="Arial" w:cs="Arial"/>
                <w:b/>
                <w:bCs/>
                <w:color w:val="000000" w:themeColor="text1"/>
              </w:rPr>
              <w:t>NHSX problem</w:t>
            </w:r>
          </w:p>
        </w:tc>
        <w:tc>
          <w:tcPr>
            <w:tcW w:w="0" w:type="auto"/>
            <w:hideMark/>
          </w:tcPr>
          <w:p w14:paraId="07373A46" w14:textId="77777777" w:rsidR="005459BD" w:rsidRPr="00FA59B8" w:rsidRDefault="005459BD" w:rsidP="00FA59B8">
            <w:pPr>
              <w:pStyle w:val="NormalWeb"/>
              <w:spacing w:line="360" w:lineRule="auto"/>
              <w:jc w:val="both"/>
              <w:rPr>
                <w:rFonts w:ascii="Arial" w:hAnsi="Arial" w:cs="Arial"/>
                <w:b/>
                <w:bCs/>
                <w:color w:val="000000" w:themeColor="text1"/>
              </w:rPr>
            </w:pPr>
            <w:r w:rsidRPr="00FA59B8">
              <w:rPr>
                <w:rFonts w:ascii="Arial" w:hAnsi="Arial" w:cs="Arial"/>
                <w:b/>
                <w:bCs/>
                <w:color w:val="000000" w:themeColor="text1"/>
              </w:rPr>
              <w:t>Proposed intervention</w:t>
            </w:r>
          </w:p>
        </w:tc>
        <w:tc>
          <w:tcPr>
            <w:tcW w:w="0" w:type="auto"/>
            <w:hideMark/>
          </w:tcPr>
          <w:p w14:paraId="6CC34A2C" w14:textId="77777777" w:rsidR="005459BD" w:rsidRPr="00FA59B8" w:rsidRDefault="005459BD" w:rsidP="00FA59B8">
            <w:pPr>
              <w:pStyle w:val="NormalWeb"/>
              <w:spacing w:line="360" w:lineRule="auto"/>
              <w:jc w:val="both"/>
              <w:rPr>
                <w:rFonts w:ascii="Arial" w:hAnsi="Arial" w:cs="Arial"/>
                <w:b/>
                <w:bCs/>
                <w:color w:val="000000" w:themeColor="text1"/>
              </w:rPr>
            </w:pPr>
            <w:r w:rsidRPr="00FA59B8">
              <w:rPr>
                <w:rFonts w:ascii="Arial" w:hAnsi="Arial" w:cs="Arial"/>
                <w:b/>
                <w:bCs/>
                <w:color w:val="000000" w:themeColor="text1"/>
              </w:rPr>
              <w:t>Supporting theory or framework</w:t>
            </w:r>
          </w:p>
        </w:tc>
        <w:tc>
          <w:tcPr>
            <w:tcW w:w="0" w:type="auto"/>
            <w:hideMark/>
          </w:tcPr>
          <w:p w14:paraId="1B016369" w14:textId="77777777" w:rsidR="005459BD" w:rsidRPr="00FA59B8" w:rsidRDefault="005459BD" w:rsidP="00FA59B8">
            <w:pPr>
              <w:pStyle w:val="NormalWeb"/>
              <w:spacing w:line="360" w:lineRule="auto"/>
              <w:jc w:val="both"/>
              <w:rPr>
                <w:rFonts w:ascii="Arial" w:hAnsi="Arial" w:cs="Arial"/>
                <w:b/>
                <w:bCs/>
                <w:color w:val="000000" w:themeColor="text1"/>
              </w:rPr>
            </w:pPr>
            <w:r w:rsidRPr="00FA59B8">
              <w:rPr>
                <w:rFonts w:ascii="Arial" w:hAnsi="Arial" w:cs="Arial"/>
                <w:b/>
                <w:bCs/>
                <w:color w:val="000000" w:themeColor="text1"/>
              </w:rPr>
              <w:t>Expected outcome</w:t>
            </w:r>
          </w:p>
        </w:tc>
        <w:tc>
          <w:tcPr>
            <w:tcW w:w="0" w:type="auto"/>
            <w:hideMark/>
          </w:tcPr>
          <w:p w14:paraId="1F4F7C80" w14:textId="77777777" w:rsidR="005459BD" w:rsidRPr="00FA59B8" w:rsidRDefault="005459BD" w:rsidP="00FA59B8">
            <w:pPr>
              <w:pStyle w:val="NormalWeb"/>
              <w:spacing w:line="360" w:lineRule="auto"/>
              <w:jc w:val="both"/>
              <w:rPr>
                <w:rFonts w:ascii="Arial" w:hAnsi="Arial" w:cs="Arial"/>
                <w:b/>
                <w:bCs/>
                <w:color w:val="000000" w:themeColor="text1"/>
              </w:rPr>
            </w:pPr>
            <w:r w:rsidRPr="00FA59B8">
              <w:rPr>
                <w:rFonts w:ascii="Arial" w:hAnsi="Arial" w:cs="Arial"/>
                <w:b/>
                <w:bCs/>
                <w:color w:val="000000" w:themeColor="text1"/>
              </w:rPr>
              <w:t>Performance indicator</w:t>
            </w:r>
          </w:p>
        </w:tc>
      </w:tr>
      <w:tr w:rsidR="00FA59B8" w:rsidRPr="00FA59B8" w14:paraId="507FE6FF" w14:textId="77777777" w:rsidTr="005459BD">
        <w:tc>
          <w:tcPr>
            <w:tcW w:w="0" w:type="auto"/>
            <w:hideMark/>
          </w:tcPr>
          <w:p w14:paraId="7DE14AC9"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Limited innovation and creativity</w:t>
            </w:r>
          </w:p>
        </w:tc>
        <w:tc>
          <w:tcPr>
            <w:tcW w:w="0" w:type="auto"/>
            <w:hideMark/>
          </w:tcPr>
          <w:p w14:paraId="46FEEFEA"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Multidisciplinary Mission Teams</w:t>
            </w:r>
          </w:p>
        </w:tc>
        <w:tc>
          <w:tcPr>
            <w:tcW w:w="0" w:type="auto"/>
            <w:hideMark/>
          </w:tcPr>
          <w:p w14:paraId="3D46B741"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Agile working and Sociotechnical Systems Theory</w:t>
            </w:r>
          </w:p>
        </w:tc>
        <w:tc>
          <w:tcPr>
            <w:tcW w:w="0" w:type="auto"/>
            <w:hideMark/>
          </w:tcPr>
          <w:p w14:paraId="5CF10AE2"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Different professional perspectives generate more useful solutions</w:t>
            </w:r>
          </w:p>
        </w:tc>
        <w:tc>
          <w:tcPr>
            <w:tcW w:w="0" w:type="auto"/>
            <w:hideMark/>
          </w:tcPr>
          <w:p w14:paraId="263B6AE0"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Percentage of priority initiatives delivered cross-functionally</w:t>
            </w:r>
          </w:p>
        </w:tc>
      </w:tr>
      <w:tr w:rsidR="00FA59B8" w:rsidRPr="00FA59B8" w14:paraId="22E695CC" w14:textId="77777777" w:rsidTr="005459BD">
        <w:tc>
          <w:tcPr>
            <w:tcW w:w="0" w:type="auto"/>
            <w:hideMark/>
          </w:tcPr>
          <w:p w14:paraId="55CD9363"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Slow decision-making</w:t>
            </w:r>
          </w:p>
        </w:tc>
        <w:tc>
          <w:tcPr>
            <w:tcW w:w="0" w:type="auto"/>
            <w:hideMark/>
          </w:tcPr>
          <w:p w14:paraId="4A9C1322"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Delegated Decision Rights</w:t>
            </w:r>
          </w:p>
        </w:tc>
        <w:tc>
          <w:tcPr>
            <w:tcW w:w="0" w:type="auto"/>
            <w:hideMark/>
          </w:tcPr>
          <w:p w14:paraId="6096D4D8"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High-Involvement Work Systems (HIWS)</w:t>
            </w:r>
          </w:p>
        </w:tc>
        <w:tc>
          <w:tcPr>
            <w:tcW w:w="0" w:type="auto"/>
            <w:hideMark/>
          </w:tcPr>
          <w:p w14:paraId="157045FA"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 xml:space="preserve">Employees make routine decisions without unnecessary </w:t>
            </w:r>
            <w:r w:rsidRPr="00FA59B8">
              <w:rPr>
                <w:rFonts w:ascii="Arial" w:hAnsi="Arial" w:cs="Arial"/>
                <w:color w:val="000000" w:themeColor="text1"/>
              </w:rPr>
              <w:lastRenderedPageBreak/>
              <w:t>managerial approvals</w:t>
            </w:r>
          </w:p>
        </w:tc>
        <w:tc>
          <w:tcPr>
            <w:tcW w:w="0" w:type="auto"/>
            <w:hideMark/>
          </w:tcPr>
          <w:p w14:paraId="0F3943B1"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lastRenderedPageBreak/>
              <w:t>25% reduction in decision cycle time</w:t>
            </w:r>
          </w:p>
        </w:tc>
      </w:tr>
      <w:tr w:rsidR="00FA59B8" w:rsidRPr="00FA59B8" w14:paraId="2A3B2277" w14:textId="77777777" w:rsidTr="005459BD">
        <w:tc>
          <w:tcPr>
            <w:tcW w:w="0" w:type="auto"/>
            <w:hideMark/>
          </w:tcPr>
          <w:p w14:paraId="030D8B4E"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lastRenderedPageBreak/>
              <w:t>Limited experimentation</w:t>
            </w:r>
          </w:p>
        </w:tc>
        <w:tc>
          <w:tcPr>
            <w:tcW w:w="0" w:type="auto"/>
            <w:hideMark/>
          </w:tcPr>
          <w:p w14:paraId="39A5DACC"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Innovation Sandbox</w:t>
            </w:r>
          </w:p>
        </w:tc>
        <w:tc>
          <w:tcPr>
            <w:tcW w:w="0" w:type="auto"/>
            <w:hideMark/>
          </w:tcPr>
          <w:p w14:paraId="2AC78513"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Agile iterative learning and psychological safety</w:t>
            </w:r>
          </w:p>
        </w:tc>
        <w:tc>
          <w:tcPr>
            <w:tcW w:w="0" w:type="auto"/>
            <w:hideMark/>
          </w:tcPr>
          <w:p w14:paraId="434906E3"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Teams test ideas through controlled experiments and learn from failure</w:t>
            </w:r>
          </w:p>
        </w:tc>
        <w:tc>
          <w:tcPr>
            <w:tcW w:w="0" w:type="auto"/>
            <w:hideMark/>
          </w:tcPr>
          <w:p w14:paraId="639A1C43"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At least 18 documented experiments in 12 months</w:t>
            </w:r>
          </w:p>
        </w:tc>
      </w:tr>
      <w:tr w:rsidR="00FA59B8" w:rsidRPr="00FA59B8" w14:paraId="286D024C" w14:textId="77777777" w:rsidTr="005459BD">
        <w:tc>
          <w:tcPr>
            <w:tcW w:w="0" w:type="auto"/>
            <w:hideMark/>
          </w:tcPr>
          <w:p w14:paraId="39A5E6D4"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Weak collaboration</w:t>
            </w:r>
          </w:p>
        </w:tc>
        <w:tc>
          <w:tcPr>
            <w:tcW w:w="0" w:type="auto"/>
            <w:hideMark/>
          </w:tcPr>
          <w:p w14:paraId="2C952450"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Purpose-based hybrid working</w:t>
            </w:r>
          </w:p>
        </w:tc>
        <w:tc>
          <w:tcPr>
            <w:tcW w:w="0" w:type="auto"/>
            <w:hideMark/>
          </w:tcPr>
          <w:p w14:paraId="709EEDF9"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Sociotechnical Systems Theory</w:t>
            </w:r>
          </w:p>
        </w:tc>
        <w:tc>
          <w:tcPr>
            <w:tcW w:w="0" w:type="auto"/>
            <w:hideMark/>
          </w:tcPr>
          <w:p w14:paraId="1C1C4C4A"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Better coordination between employees in the UK, India and UAE</w:t>
            </w:r>
          </w:p>
        </w:tc>
        <w:tc>
          <w:tcPr>
            <w:tcW w:w="0" w:type="auto"/>
            <w:hideMark/>
          </w:tcPr>
          <w:p w14:paraId="04A77CD7"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15% reduction in avoidable coordination delays</w:t>
            </w:r>
          </w:p>
        </w:tc>
      </w:tr>
      <w:tr w:rsidR="00FA59B8" w:rsidRPr="00FA59B8" w14:paraId="44A09BE2" w14:textId="77777777" w:rsidTr="005459BD">
        <w:tc>
          <w:tcPr>
            <w:tcW w:w="0" w:type="auto"/>
            <w:hideMark/>
          </w:tcPr>
          <w:p w14:paraId="78FDEE4E"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Poor knowledge sharing</w:t>
            </w:r>
          </w:p>
        </w:tc>
        <w:tc>
          <w:tcPr>
            <w:tcW w:w="0" w:type="auto"/>
            <w:hideMark/>
          </w:tcPr>
          <w:p w14:paraId="40AC183A"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Digital Knowledge Operating System</w:t>
            </w:r>
          </w:p>
        </w:tc>
        <w:tc>
          <w:tcPr>
            <w:tcW w:w="0" w:type="auto"/>
            <w:hideMark/>
          </w:tcPr>
          <w:p w14:paraId="252A4682"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Senge’s Learning Organisation</w:t>
            </w:r>
          </w:p>
        </w:tc>
        <w:tc>
          <w:tcPr>
            <w:tcW w:w="0" w:type="auto"/>
            <w:hideMark/>
          </w:tcPr>
          <w:p w14:paraId="61DFB01B"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Lessons, decisions and expertise become accessible across teams</w:t>
            </w:r>
          </w:p>
        </w:tc>
        <w:tc>
          <w:tcPr>
            <w:tcW w:w="0" w:type="auto"/>
            <w:hideMark/>
          </w:tcPr>
          <w:p w14:paraId="5D73F591"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90% of priority decisions documented</w:t>
            </w:r>
          </w:p>
        </w:tc>
      </w:tr>
      <w:tr w:rsidR="00FA59B8" w:rsidRPr="00FA59B8" w14:paraId="1474AF45" w14:textId="77777777" w:rsidTr="005459BD">
        <w:tc>
          <w:tcPr>
            <w:tcW w:w="0" w:type="auto"/>
            <w:hideMark/>
          </w:tcPr>
          <w:p w14:paraId="60890FA1"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Limited employee development</w:t>
            </w:r>
          </w:p>
        </w:tc>
        <w:tc>
          <w:tcPr>
            <w:tcW w:w="0" w:type="auto"/>
            <w:hideMark/>
          </w:tcPr>
          <w:p w14:paraId="05298E3A"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Capability passports and internal opportunity marketplace</w:t>
            </w:r>
          </w:p>
        </w:tc>
        <w:tc>
          <w:tcPr>
            <w:tcW w:w="0" w:type="auto"/>
            <w:hideMark/>
          </w:tcPr>
          <w:p w14:paraId="2641E86A"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Dweck’s Growth Mindset and Self-Determination Theory</w:t>
            </w:r>
          </w:p>
        </w:tc>
        <w:tc>
          <w:tcPr>
            <w:tcW w:w="0" w:type="auto"/>
            <w:hideMark/>
          </w:tcPr>
          <w:p w14:paraId="497DFDD4"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Employees identify skill gaps and access meaningful development opportunities</w:t>
            </w:r>
          </w:p>
        </w:tc>
        <w:tc>
          <w:tcPr>
            <w:tcW w:w="0" w:type="auto"/>
            <w:hideMark/>
          </w:tcPr>
          <w:p w14:paraId="017F8742" w14:textId="77777777" w:rsidR="005459BD" w:rsidRPr="00FA59B8" w:rsidRDefault="005459BD"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At least 85% learning participation and 20% internal vacancy filling</w:t>
            </w:r>
          </w:p>
        </w:tc>
      </w:tr>
    </w:tbl>
    <w:p w14:paraId="493BF714" w14:textId="5DE664E0" w:rsidR="00A12C73" w:rsidRPr="00FA59B8" w:rsidRDefault="005459BD"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 xml:space="preserve">While the proposed interventions focus on tackling different issues, each one is related to others. Mission Teams would help tackle the issues of silos within departments as well as lack of creativity by bringing together experts from clinical, technical, and commercial backgrounds. Decision Rights would be able to solve the issue of delayed decision-making as it will delegate routine decision-making to those employees who have the closest access to the relevant information. The Innovation Sandbox intervention will resolve the problem of </w:t>
      </w:r>
      <w:r w:rsidRPr="00FA59B8">
        <w:rPr>
          <w:rFonts w:ascii="Arial" w:hAnsi="Arial" w:cs="Arial"/>
          <w:color w:val="000000" w:themeColor="text1"/>
          <w:sz w:val="24"/>
          <w:szCs w:val="24"/>
        </w:rPr>
        <w:lastRenderedPageBreak/>
        <w:t>lack of experimentation, as it allows experimenting with new ideas within certain risk limits.</w:t>
      </w:r>
      <w:r w:rsidR="00EB02C1" w:rsidRPr="00EB02C1">
        <w:t xml:space="preserve"> </w:t>
      </w:r>
      <w:r w:rsidR="00EB02C1">
        <w:rPr>
          <w:rFonts w:ascii="Arial" w:hAnsi="Arial" w:cs="Arial"/>
          <w:color w:val="000000" w:themeColor="text1"/>
          <w:sz w:val="24"/>
          <w:szCs w:val="24"/>
        </w:rPr>
        <w:t>The g</w:t>
      </w:r>
      <w:r w:rsidR="00EB02C1" w:rsidRPr="00EB02C1">
        <w:rPr>
          <w:rFonts w:ascii="Arial" w:hAnsi="Arial" w:cs="Arial"/>
          <w:color w:val="000000" w:themeColor="text1"/>
          <w:sz w:val="24"/>
          <w:szCs w:val="24"/>
        </w:rPr>
        <w:t>oal</w:t>
      </w:r>
      <w:r w:rsidR="00EB02C1">
        <w:rPr>
          <w:rFonts w:ascii="Arial" w:hAnsi="Arial" w:cs="Arial"/>
          <w:color w:val="000000" w:themeColor="text1"/>
          <w:sz w:val="24"/>
          <w:szCs w:val="24"/>
        </w:rPr>
        <w:t xml:space="preserve"> </w:t>
      </w:r>
      <w:r w:rsidR="00EB02C1" w:rsidRPr="00EB02C1">
        <w:rPr>
          <w:rFonts w:ascii="Arial" w:hAnsi="Arial" w:cs="Arial"/>
          <w:color w:val="000000" w:themeColor="text1"/>
          <w:sz w:val="24"/>
          <w:szCs w:val="24"/>
        </w:rPr>
        <w:t>oriented hybrid work will ensure better cooperation between individuals who are positioned in different geographical locations, whereas Digital Knowledge Operating System will facilitate sharing of information due to documentation of experience. Finally, capability passports and internal opportunity market will provide a solution to the problem of inadequate career development opportunities for workers.</w:t>
      </w:r>
      <w:r w:rsidR="0098050F" w:rsidRPr="0098050F">
        <w:t xml:space="preserve"> </w:t>
      </w:r>
      <w:r w:rsidR="0098050F" w:rsidRPr="0098050F">
        <w:rPr>
          <w:rFonts w:ascii="Arial" w:hAnsi="Arial" w:cs="Arial"/>
          <w:color w:val="000000" w:themeColor="text1"/>
          <w:sz w:val="24"/>
          <w:szCs w:val="24"/>
        </w:rPr>
        <w:t>All the above performance benefits need to be looked at alongside the results achieved by the employees, for example, learning experience, psychological safety, and appropriate workload, since streamlining of processes does not necessarily mean that NHSX has developed a sustainable high-performing culture</w:t>
      </w:r>
      <w:r w:rsidRPr="00FA59B8">
        <w:rPr>
          <w:rFonts w:ascii="Arial" w:hAnsi="Arial" w:cs="Arial"/>
          <w:color w:val="000000" w:themeColor="text1"/>
          <w:sz w:val="24"/>
          <w:szCs w:val="24"/>
        </w:rPr>
        <w:t>.</w:t>
      </w:r>
    </w:p>
    <w:p w14:paraId="1C82A497" w14:textId="335BBB28" w:rsidR="00A12C73" w:rsidRPr="00FA59B8" w:rsidRDefault="00040537" w:rsidP="00FA59B8">
      <w:pPr>
        <w:pStyle w:val="Heading1"/>
        <w:spacing w:line="360" w:lineRule="auto"/>
        <w:jc w:val="both"/>
        <w:rPr>
          <w:rFonts w:ascii="Arial" w:hAnsi="Arial" w:cs="Arial"/>
          <w:color w:val="000000" w:themeColor="text1"/>
          <w:sz w:val="24"/>
          <w:szCs w:val="24"/>
        </w:rPr>
      </w:pPr>
      <w:bookmarkStart w:id="5" w:name="_Toc242899476"/>
      <w:r w:rsidRPr="00FA59B8">
        <w:rPr>
          <w:rFonts w:ascii="Arial" w:hAnsi="Arial" w:cs="Arial"/>
          <w:color w:val="000000" w:themeColor="text1"/>
          <w:sz w:val="24"/>
          <w:szCs w:val="24"/>
        </w:rPr>
        <w:t>Task B: Breeding an Environment Where Talent Grow</w:t>
      </w:r>
      <w:bookmarkEnd w:id="5"/>
    </w:p>
    <w:p w14:paraId="5AF10507" w14:textId="711D905D" w:rsidR="00A12C73" w:rsidRPr="00FA59B8" w:rsidRDefault="00B54F0C" w:rsidP="00FA59B8">
      <w:pPr>
        <w:pStyle w:val="Heading2"/>
        <w:spacing w:line="360" w:lineRule="auto"/>
        <w:jc w:val="both"/>
        <w:rPr>
          <w:rFonts w:ascii="Arial" w:hAnsi="Arial" w:cs="Arial"/>
          <w:color w:val="000000" w:themeColor="text1"/>
          <w:sz w:val="24"/>
          <w:szCs w:val="24"/>
        </w:rPr>
      </w:pPr>
      <w:bookmarkStart w:id="6" w:name="_Toc242899477"/>
      <w:r w:rsidRPr="00FA59B8">
        <w:rPr>
          <w:rFonts w:ascii="Arial" w:hAnsi="Arial" w:cs="Arial"/>
          <w:color w:val="000000" w:themeColor="text1"/>
          <w:sz w:val="24"/>
          <w:szCs w:val="24"/>
        </w:rPr>
        <w:t>2.1 What makes talent flourish?</w:t>
      </w:r>
      <w:bookmarkEnd w:id="6"/>
    </w:p>
    <w:p w14:paraId="48C590DD" w14:textId="105E4877" w:rsidR="00A12C73" w:rsidRPr="00FA59B8" w:rsidRDefault="0098050F" w:rsidP="00FA59B8">
      <w:pPr>
        <w:spacing w:line="360" w:lineRule="auto"/>
        <w:jc w:val="both"/>
        <w:rPr>
          <w:rFonts w:ascii="Arial" w:hAnsi="Arial" w:cs="Arial"/>
          <w:color w:val="000000" w:themeColor="text1"/>
          <w:sz w:val="24"/>
          <w:szCs w:val="24"/>
        </w:rPr>
      </w:pPr>
      <w:r w:rsidRPr="0098050F">
        <w:rPr>
          <w:rFonts w:ascii="Arial" w:hAnsi="Arial" w:cs="Arial"/>
          <w:color w:val="000000" w:themeColor="text1"/>
          <w:sz w:val="24"/>
          <w:szCs w:val="24"/>
        </w:rPr>
        <w:t>Talent thrives in an environment where there is a genuine link between hard work, learning, contribution, and opportunities. It’s not simply a matter of hiring. It</w:t>
      </w:r>
      <w:r>
        <w:rPr>
          <w:rFonts w:ascii="Arial" w:hAnsi="Arial" w:cs="Arial"/>
          <w:color w:val="000000" w:themeColor="text1"/>
          <w:sz w:val="24"/>
          <w:szCs w:val="24"/>
        </w:rPr>
        <w:t xml:space="preserve"> </w:t>
      </w:r>
      <w:r w:rsidRPr="0098050F">
        <w:rPr>
          <w:rFonts w:ascii="Arial" w:hAnsi="Arial" w:cs="Arial"/>
          <w:color w:val="000000" w:themeColor="text1"/>
          <w:sz w:val="24"/>
          <w:szCs w:val="24"/>
        </w:rPr>
        <w:t>be that an organization is able to hire exceptionally skilled individuals, but they still lose them on account of lack of control in the organization, lack of feedback from management, or lack of career development opportunities through networking</w:t>
      </w:r>
      <w:r w:rsidR="00EB02C1" w:rsidRPr="00EB02C1">
        <w:rPr>
          <w:rFonts w:ascii="Arial" w:hAnsi="Arial" w:cs="Arial"/>
          <w:color w:val="000000" w:themeColor="text1"/>
          <w:sz w:val="24"/>
          <w:szCs w:val="24"/>
        </w:rPr>
        <w:t xml:space="preserve"> (OECD, 2023). According to the learning organization concept by Senge, the organization needs to constantly challenge its assumptions, create common purposes and organize team learning</w:t>
      </w:r>
      <w:r w:rsidR="00236703" w:rsidRPr="00FA59B8">
        <w:rPr>
          <w:rFonts w:ascii="Arial" w:hAnsi="Arial" w:cs="Arial"/>
          <w:color w:val="000000" w:themeColor="text1"/>
          <w:sz w:val="24"/>
          <w:szCs w:val="24"/>
        </w:rPr>
        <w:t>. It is especially important for NHSX since there are rapid changes in AI capabilities and healthcare regulations. However, learning should not only be dependent on voluntary interest. Otherwise, it is the first thing to be sacrificed under pressure</w:t>
      </w:r>
      <w:r w:rsidR="00B54F0C" w:rsidRPr="00FA59B8">
        <w:rPr>
          <w:rFonts w:ascii="Arial" w:hAnsi="Arial" w:cs="Arial"/>
          <w:color w:val="000000" w:themeColor="text1"/>
          <w:sz w:val="24"/>
          <w:szCs w:val="24"/>
        </w:rPr>
        <w:t xml:space="preserve"> (</w:t>
      </w:r>
      <w:r w:rsidR="00B54F0C" w:rsidRPr="00FA59B8">
        <w:rPr>
          <w:rStyle w:val="Strong"/>
          <w:rFonts w:ascii="Arial" w:hAnsi="Arial" w:cs="Arial"/>
          <w:b w:val="0"/>
          <w:bCs w:val="0"/>
          <w:color w:val="000000" w:themeColor="text1"/>
          <w:sz w:val="24"/>
          <w:szCs w:val="24"/>
        </w:rPr>
        <w:t>Green and Lamby, 2023).</w:t>
      </w:r>
      <w:r w:rsidR="00CB704E" w:rsidRPr="00FA59B8">
        <w:rPr>
          <w:rFonts w:ascii="Arial" w:hAnsi="Arial" w:cs="Arial"/>
          <w:color w:val="000000" w:themeColor="text1"/>
          <w:sz w:val="24"/>
          <w:szCs w:val="24"/>
        </w:rPr>
        <w:t xml:space="preserve"> </w:t>
      </w:r>
      <w:r w:rsidR="00236703" w:rsidRPr="00FA59B8">
        <w:rPr>
          <w:rFonts w:ascii="Arial" w:hAnsi="Arial" w:cs="Arial"/>
          <w:color w:val="000000" w:themeColor="text1"/>
          <w:sz w:val="24"/>
          <w:szCs w:val="24"/>
        </w:rPr>
        <w:t>Growth Mindset by Dweck is also an interesting cultural theory which would be very useful for our company. The danger of the growth mindset concept is its transformation into an individual narrative of success. Therefore, NHSX should provide learning time, coaching and application chances for people to develop skills. Psychological safety, which belongs to Edmondson's theories, is important as well. In an organization using artificial intelligence in health care, psychological safety means that people will have a chance to ask questions to algorithms, criticize senior management, share design flaws and speak about their doubts</w:t>
      </w:r>
      <w:r w:rsidR="00CB704E" w:rsidRPr="00FA59B8">
        <w:rPr>
          <w:rFonts w:ascii="Arial" w:hAnsi="Arial" w:cs="Arial"/>
          <w:color w:val="000000" w:themeColor="text1"/>
          <w:sz w:val="24"/>
          <w:szCs w:val="24"/>
        </w:rPr>
        <w:t xml:space="preserve"> </w:t>
      </w:r>
      <w:r w:rsidR="00236703" w:rsidRPr="00FA59B8">
        <w:rPr>
          <w:rFonts w:ascii="Arial" w:hAnsi="Arial" w:cs="Arial"/>
          <w:color w:val="000000" w:themeColor="text1"/>
          <w:sz w:val="24"/>
          <w:szCs w:val="24"/>
        </w:rPr>
        <w:t>(World Economic Forum, 2023)</w:t>
      </w:r>
      <w:r>
        <w:rPr>
          <w:rFonts w:ascii="Arial" w:hAnsi="Arial" w:cs="Arial"/>
          <w:color w:val="000000" w:themeColor="text1"/>
          <w:sz w:val="24"/>
          <w:szCs w:val="24"/>
        </w:rPr>
        <w:t xml:space="preserve">. </w:t>
      </w:r>
      <w:r w:rsidRPr="0098050F">
        <w:rPr>
          <w:rFonts w:ascii="Arial" w:hAnsi="Arial" w:cs="Arial"/>
          <w:color w:val="000000" w:themeColor="text1"/>
          <w:sz w:val="24"/>
          <w:szCs w:val="24"/>
        </w:rPr>
        <w:t xml:space="preserve">Self-Determination Theory involves autonomy, competence, and relatedness. Autonomy can be achieved through structured choices, competence through development, and relatedness through community and collaboration. Similarly, the theory of job crafting is </w:t>
      </w:r>
      <w:r w:rsidRPr="0098050F">
        <w:rPr>
          <w:rFonts w:ascii="Arial" w:hAnsi="Arial" w:cs="Arial"/>
          <w:color w:val="000000" w:themeColor="text1"/>
          <w:sz w:val="24"/>
          <w:szCs w:val="24"/>
        </w:rPr>
        <w:lastRenderedPageBreak/>
        <w:t>based on the premise that people have the capacity to transform some elements of their jobs to make them interesting and relevant</w:t>
      </w:r>
      <w:r w:rsidR="00236703" w:rsidRPr="00FA59B8">
        <w:rPr>
          <w:rFonts w:ascii="Arial" w:hAnsi="Arial" w:cs="Arial"/>
          <w:color w:val="000000" w:themeColor="text1"/>
          <w:sz w:val="24"/>
          <w:szCs w:val="24"/>
        </w:rPr>
        <w:t xml:space="preserve">. </w:t>
      </w:r>
    </w:p>
    <w:p w14:paraId="2C9899EF" w14:textId="7AD8CF56" w:rsidR="00CB704E" w:rsidRPr="00FA59B8" w:rsidRDefault="00CB704E" w:rsidP="00FA59B8">
      <w:pPr>
        <w:pStyle w:val="Heading2"/>
        <w:spacing w:line="360" w:lineRule="auto"/>
        <w:jc w:val="both"/>
        <w:rPr>
          <w:rStyle w:val="Strong"/>
          <w:rFonts w:ascii="Arial" w:hAnsi="Arial" w:cs="Arial"/>
          <w:b/>
          <w:bCs/>
          <w:color w:val="000000" w:themeColor="text1"/>
          <w:sz w:val="24"/>
          <w:szCs w:val="24"/>
        </w:rPr>
      </w:pPr>
      <w:bookmarkStart w:id="7" w:name="_Toc242899478"/>
      <w:r w:rsidRPr="00FA59B8">
        <w:rPr>
          <w:rStyle w:val="Strong"/>
          <w:rFonts w:ascii="Arial" w:hAnsi="Arial" w:cs="Arial"/>
          <w:b/>
          <w:bCs/>
          <w:color w:val="000000" w:themeColor="text1"/>
          <w:sz w:val="24"/>
          <w:szCs w:val="24"/>
        </w:rPr>
        <w:t>2.2 NHSX Talent Growth Strategy</w:t>
      </w:r>
      <w:bookmarkEnd w:id="7"/>
    </w:p>
    <w:p w14:paraId="29892CFB" w14:textId="67317C01" w:rsidR="00CB704E" w:rsidRPr="00FA59B8" w:rsidRDefault="0098050F" w:rsidP="0098050F">
      <w:pPr>
        <w:spacing w:line="360" w:lineRule="auto"/>
        <w:jc w:val="both"/>
        <w:rPr>
          <w:rFonts w:ascii="Arial" w:hAnsi="Arial" w:cs="Arial"/>
          <w:color w:val="000000" w:themeColor="text1"/>
          <w:sz w:val="24"/>
          <w:szCs w:val="24"/>
        </w:rPr>
      </w:pPr>
      <w:r w:rsidRPr="0098050F">
        <w:rPr>
          <w:rStyle w:val="Strong"/>
          <w:rFonts w:ascii="Arial" w:hAnsi="Arial" w:cs="Arial"/>
          <w:b w:val="0"/>
          <w:bCs w:val="0"/>
          <w:color w:val="000000" w:themeColor="text1"/>
          <w:sz w:val="24"/>
          <w:szCs w:val="24"/>
        </w:rPr>
        <w:t>NHSX should come up with an integrated Talent Growth Architecture which includes developing the employees, learning within the organisation, wellbeing and high performance. First, the skill set, experiences and ambitions of the employees need to be captured in a capability passport and then evaluated on a quarterly basis to determine the needs of the employee in terms of their development within the organisation. NHSX must make sure that adequate resources and opportunities for learning are provided for the development of the skills. This is due to the growth mindset theory by Dweck, which emphasizes feedback and practice as key elements. Second, protected learning opportunities need to be included through organisational training, role based academies and future skills training in areas such as patient safety, data protection, cybersecurity and responsible AI. Continuous learning can be facilitated by cross functional projects, peer conversations and after-action review, using Senge’s model of a learning organisation</w:t>
      </w:r>
      <w:r w:rsidR="00EB02C1" w:rsidRPr="00EB02C1">
        <w:rPr>
          <w:rStyle w:val="Strong"/>
          <w:rFonts w:ascii="Arial" w:hAnsi="Arial" w:cs="Arial"/>
          <w:b w:val="0"/>
          <w:bCs w:val="0"/>
          <w:color w:val="000000" w:themeColor="text1"/>
          <w:sz w:val="24"/>
          <w:szCs w:val="24"/>
        </w:rPr>
        <w:t>. Thirdly, an opportunity marketplace should advertise Mentoring opportunities, Temporary assignment opportunities, international project opportunities and open positions in the organisation. Lastly, coaching and psychological safety should help the employees in voicing out their problems and sharing lessons learnt without the fear of retaliation</w:t>
      </w:r>
      <w:r w:rsidR="00EB02C1">
        <w:rPr>
          <w:rStyle w:val="Strong"/>
          <w:rFonts w:ascii="Arial" w:hAnsi="Arial" w:cs="Arial"/>
          <w:b w:val="0"/>
          <w:bCs w:val="0"/>
          <w:color w:val="000000" w:themeColor="text1"/>
          <w:sz w:val="24"/>
          <w:szCs w:val="24"/>
        </w:rPr>
        <w:t xml:space="preserve"> </w:t>
      </w:r>
      <w:r w:rsidR="00CB704E" w:rsidRPr="00FA59B8">
        <w:rPr>
          <w:rStyle w:val="Strong"/>
          <w:rFonts w:ascii="Arial" w:hAnsi="Arial" w:cs="Arial"/>
          <w:b w:val="0"/>
          <w:bCs w:val="0"/>
          <w:color w:val="000000" w:themeColor="text1"/>
          <w:sz w:val="24"/>
          <w:szCs w:val="24"/>
        </w:rPr>
        <w:t>(American Psychological Association, 2024).</w:t>
      </w:r>
      <w:r w:rsidR="00EB02C1">
        <w:rPr>
          <w:rStyle w:val="Strong"/>
          <w:rFonts w:ascii="Arial" w:hAnsi="Arial" w:cs="Arial"/>
          <w:b w:val="0"/>
          <w:bCs w:val="0"/>
          <w:color w:val="000000" w:themeColor="text1"/>
          <w:sz w:val="24"/>
          <w:szCs w:val="24"/>
        </w:rPr>
        <w:t xml:space="preserve"> </w:t>
      </w:r>
      <w:r w:rsidR="00EB02C1" w:rsidRPr="00EB02C1">
        <w:rPr>
          <w:rStyle w:val="Strong"/>
          <w:rFonts w:ascii="Arial" w:hAnsi="Arial" w:cs="Arial"/>
          <w:b w:val="0"/>
          <w:bCs w:val="0"/>
          <w:color w:val="000000" w:themeColor="text1"/>
          <w:sz w:val="24"/>
          <w:szCs w:val="24"/>
        </w:rPr>
        <w:t xml:space="preserve">Fifth, there is a need to recognize quality of delivery, teamwork, knowledge transfer, mentoring, and responsible behavior, rather than working long hours. Sixth, workload, staff levels, work-life balance, and the experience of employees are vital elements in wellness that need consideration. </w:t>
      </w:r>
      <w:r w:rsidRPr="0098050F">
        <w:rPr>
          <w:rStyle w:val="Strong"/>
          <w:rFonts w:ascii="Arial" w:hAnsi="Arial" w:cs="Arial"/>
          <w:b w:val="0"/>
          <w:bCs w:val="0"/>
          <w:color w:val="000000" w:themeColor="text1"/>
          <w:sz w:val="24"/>
          <w:szCs w:val="24"/>
        </w:rPr>
        <w:t>Motivational needs that should be considered through the lens of SDT would include autonomy, competence, and relatedness. Interventions that can be considered by NHSX include:</w:t>
      </w:r>
      <w:r>
        <w:rPr>
          <w:rStyle w:val="Strong"/>
          <w:rFonts w:ascii="Arial" w:hAnsi="Arial" w:cs="Arial"/>
          <w:b w:val="0"/>
          <w:bCs w:val="0"/>
          <w:color w:val="000000" w:themeColor="text1"/>
          <w:sz w:val="24"/>
          <w:szCs w:val="24"/>
        </w:rPr>
        <w:t xml:space="preserve"> </w:t>
      </w:r>
      <w:r w:rsidRPr="0098050F">
        <w:rPr>
          <w:rStyle w:val="Strong"/>
          <w:rFonts w:ascii="Arial" w:hAnsi="Arial" w:cs="Arial"/>
          <w:b w:val="0"/>
          <w:bCs w:val="0"/>
          <w:color w:val="000000" w:themeColor="text1"/>
          <w:sz w:val="24"/>
          <w:szCs w:val="24"/>
        </w:rPr>
        <w:t>Learning engagement;</w:t>
      </w:r>
      <w:r>
        <w:rPr>
          <w:rStyle w:val="Strong"/>
          <w:rFonts w:ascii="Arial" w:hAnsi="Arial" w:cs="Arial"/>
          <w:b w:val="0"/>
          <w:bCs w:val="0"/>
          <w:color w:val="000000" w:themeColor="text1"/>
          <w:sz w:val="24"/>
          <w:szCs w:val="24"/>
        </w:rPr>
        <w:t xml:space="preserve"> </w:t>
      </w:r>
      <w:r w:rsidRPr="0098050F">
        <w:rPr>
          <w:rStyle w:val="Strong"/>
          <w:rFonts w:ascii="Arial" w:hAnsi="Arial" w:cs="Arial"/>
          <w:b w:val="0"/>
          <w:bCs w:val="0"/>
          <w:color w:val="000000" w:themeColor="text1"/>
          <w:sz w:val="24"/>
          <w:szCs w:val="24"/>
        </w:rPr>
        <w:t>Skill demonstration;</w:t>
      </w:r>
      <w:r>
        <w:rPr>
          <w:rStyle w:val="Strong"/>
          <w:rFonts w:ascii="Arial" w:hAnsi="Arial" w:cs="Arial"/>
          <w:b w:val="0"/>
          <w:bCs w:val="0"/>
          <w:color w:val="000000" w:themeColor="text1"/>
          <w:sz w:val="24"/>
          <w:szCs w:val="24"/>
        </w:rPr>
        <w:t xml:space="preserve"> </w:t>
      </w:r>
      <w:r w:rsidRPr="0098050F">
        <w:rPr>
          <w:rStyle w:val="Strong"/>
          <w:rFonts w:ascii="Arial" w:hAnsi="Arial" w:cs="Arial"/>
          <w:b w:val="0"/>
          <w:bCs w:val="0"/>
          <w:color w:val="000000" w:themeColor="text1"/>
          <w:sz w:val="24"/>
          <w:szCs w:val="24"/>
        </w:rPr>
        <w:t>Psychological safety;</w:t>
      </w:r>
      <w:r>
        <w:rPr>
          <w:rStyle w:val="Strong"/>
          <w:rFonts w:ascii="Arial" w:hAnsi="Arial" w:cs="Arial"/>
          <w:b w:val="0"/>
          <w:bCs w:val="0"/>
          <w:color w:val="000000" w:themeColor="text1"/>
          <w:sz w:val="24"/>
          <w:szCs w:val="24"/>
        </w:rPr>
        <w:t xml:space="preserve"> </w:t>
      </w:r>
      <w:r w:rsidRPr="0098050F">
        <w:rPr>
          <w:rStyle w:val="Strong"/>
          <w:rFonts w:ascii="Arial" w:hAnsi="Arial" w:cs="Arial"/>
          <w:b w:val="0"/>
          <w:bCs w:val="0"/>
          <w:color w:val="000000" w:themeColor="text1"/>
          <w:sz w:val="24"/>
          <w:szCs w:val="24"/>
        </w:rPr>
        <w:t>Wellness;</w:t>
      </w:r>
      <w:r>
        <w:rPr>
          <w:rStyle w:val="Strong"/>
          <w:rFonts w:ascii="Arial" w:hAnsi="Arial" w:cs="Arial"/>
          <w:b w:val="0"/>
          <w:bCs w:val="0"/>
          <w:color w:val="000000" w:themeColor="text1"/>
          <w:sz w:val="24"/>
          <w:szCs w:val="24"/>
        </w:rPr>
        <w:t xml:space="preserve"> </w:t>
      </w:r>
      <w:r w:rsidRPr="0098050F">
        <w:rPr>
          <w:rStyle w:val="Strong"/>
          <w:rFonts w:ascii="Arial" w:hAnsi="Arial" w:cs="Arial"/>
          <w:b w:val="0"/>
          <w:bCs w:val="0"/>
          <w:color w:val="000000" w:themeColor="text1"/>
          <w:sz w:val="24"/>
          <w:szCs w:val="24"/>
        </w:rPr>
        <w:t>Internal mobility; and</w:t>
      </w:r>
      <w:r>
        <w:rPr>
          <w:rStyle w:val="Strong"/>
          <w:rFonts w:ascii="Arial" w:hAnsi="Arial" w:cs="Arial"/>
          <w:b w:val="0"/>
          <w:bCs w:val="0"/>
          <w:color w:val="000000" w:themeColor="text1"/>
          <w:sz w:val="24"/>
          <w:szCs w:val="24"/>
        </w:rPr>
        <w:t xml:space="preserve"> </w:t>
      </w:r>
      <w:r w:rsidRPr="0098050F">
        <w:rPr>
          <w:rStyle w:val="Strong"/>
          <w:rFonts w:ascii="Arial" w:hAnsi="Arial" w:cs="Arial"/>
          <w:b w:val="0"/>
          <w:bCs w:val="0"/>
          <w:color w:val="000000" w:themeColor="text1"/>
          <w:sz w:val="24"/>
          <w:szCs w:val="24"/>
        </w:rPr>
        <w:t>Critical talent retention.</w:t>
      </w:r>
      <w:r>
        <w:rPr>
          <w:rStyle w:val="Strong"/>
          <w:rFonts w:ascii="Arial" w:hAnsi="Arial" w:cs="Arial"/>
          <w:b w:val="0"/>
          <w:bCs w:val="0"/>
          <w:color w:val="000000" w:themeColor="text1"/>
          <w:sz w:val="24"/>
          <w:szCs w:val="24"/>
        </w:rPr>
        <w:t xml:space="preserve"> </w:t>
      </w:r>
      <w:r w:rsidRPr="0098050F">
        <w:rPr>
          <w:rStyle w:val="Strong"/>
          <w:rFonts w:ascii="Arial" w:hAnsi="Arial" w:cs="Arial"/>
          <w:b w:val="0"/>
          <w:bCs w:val="0"/>
          <w:color w:val="000000" w:themeColor="text1"/>
          <w:sz w:val="24"/>
          <w:szCs w:val="24"/>
        </w:rPr>
        <w:t>In general, these interventions are based on learning, the Growth Mindset of Dweck, psychological safety, S.D.T., and Job Crafting Theory, ensuring high performance sustainably while not sacrificing employee wellbeing or patient safety</w:t>
      </w:r>
      <w:r>
        <w:rPr>
          <w:rStyle w:val="Strong"/>
          <w:rFonts w:ascii="Arial" w:hAnsi="Arial" w:cs="Arial"/>
          <w:b w:val="0"/>
          <w:bCs w:val="0"/>
          <w:color w:val="000000" w:themeColor="text1"/>
          <w:sz w:val="24"/>
          <w:szCs w:val="24"/>
        </w:rPr>
        <w:t xml:space="preserve"> </w:t>
      </w:r>
      <w:r w:rsidR="00CB704E" w:rsidRPr="00FA59B8">
        <w:rPr>
          <w:rStyle w:val="Strong"/>
          <w:rFonts w:ascii="Arial" w:hAnsi="Arial" w:cs="Arial"/>
          <w:b w:val="0"/>
          <w:bCs w:val="0"/>
          <w:color w:val="000000" w:themeColor="text1"/>
          <w:sz w:val="24"/>
          <w:szCs w:val="24"/>
        </w:rPr>
        <w:t>(World Health Organization, 2024).</w:t>
      </w:r>
    </w:p>
    <w:p w14:paraId="26F730CB" w14:textId="28CD949E" w:rsidR="00A12C73" w:rsidRPr="00FA59B8" w:rsidRDefault="00B54F0C" w:rsidP="00FA59B8">
      <w:pPr>
        <w:pStyle w:val="Heading2"/>
        <w:spacing w:line="360" w:lineRule="auto"/>
        <w:jc w:val="both"/>
        <w:rPr>
          <w:rFonts w:ascii="Arial" w:hAnsi="Arial" w:cs="Arial"/>
          <w:color w:val="000000" w:themeColor="text1"/>
          <w:sz w:val="24"/>
          <w:szCs w:val="24"/>
        </w:rPr>
      </w:pPr>
      <w:bookmarkStart w:id="8" w:name="_Toc242899479"/>
      <w:r w:rsidRPr="00FA59B8">
        <w:rPr>
          <w:rFonts w:ascii="Arial" w:hAnsi="Arial" w:cs="Arial"/>
          <w:color w:val="000000" w:themeColor="text1"/>
          <w:sz w:val="24"/>
          <w:szCs w:val="24"/>
        </w:rPr>
        <w:t>2.3 Implementation and evaluation</w:t>
      </w:r>
      <w:bookmarkEnd w:id="8"/>
    </w:p>
    <w:p w14:paraId="1CAD7D7E" w14:textId="77777777" w:rsidR="0098050F" w:rsidRPr="0098050F" w:rsidRDefault="0098050F" w:rsidP="0098050F">
      <w:pPr>
        <w:spacing w:line="360" w:lineRule="auto"/>
        <w:jc w:val="both"/>
        <w:rPr>
          <w:rFonts w:ascii="Arial" w:hAnsi="Arial" w:cs="Arial"/>
          <w:color w:val="000000" w:themeColor="text1"/>
          <w:sz w:val="24"/>
          <w:szCs w:val="24"/>
        </w:rPr>
      </w:pPr>
      <w:r w:rsidRPr="0098050F">
        <w:rPr>
          <w:rFonts w:ascii="Arial" w:hAnsi="Arial" w:cs="Arial"/>
          <w:color w:val="000000" w:themeColor="text1"/>
          <w:sz w:val="24"/>
          <w:szCs w:val="24"/>
        </w:rPr>
        <w:t xml:space="preserve">NHSX should adopt the Talent Growth Architecture on a phased approach over a period of 12 months to take advantage of the opportunities of learning opportunities creation, wellbeing </w:t>
      </w:r>
      <w:r w:rsidRPr="0098050F">
        <w:rPr>
          <w:rFonts w:ascii="Arial" w:hAnsi="Arial" w:cs="Arial"/>
          <w:color w:val="000000" w:themeColor="text1"/>
          <w:sz w:val="24"/>
          <w:szCs w:val="24"/>
        </w:rPr>
        <w:lastRenderedPageBreak/>
        <w:t>enhancement and improved organizational performance. The adoption should be managed through HR with the help of managers, learning specialists and any other required clinical and data protection experts.</w:t>
      </w:r>
    </w:p>
    <w:p w14:paraId="46B418EC" w14:textId="3B2C27B4" w:rsidR="0098050F" w:rsidRPr="0098050F" w:rsidRDefault="0098050F" w:rsidP="0098050F">
      <w:pPr>
        <w:spacing w:line="360" w:lineRule="auto"/>
        <w:jc w:val="both"/>
        <w:rPr>
          <w:rFonts w:ascii="Arial" w:hAnsi="Arial" w:cs="Arial"/>
          <w:color w:val="000000" w:themeColor="text1"/>
          <w:sz w:val="24"/>
          <w:szCs w:val="24"/>
        </w:rPr>
      </w:pPr>
      <w:r w:rsidRPr="0098050F">
        <w:rPr>
          <w:rFonts w:ascii="Arial" w:hAnsi="Arial" w:cs="Arial"/>
          <w:color w:val="000000" w:themeColor="text1"/>
          <w:sz w:val="24"/>
          <w:szCs w:val="24"/>
        </w:rPr>
        <w:t xml:space="preserve">Phase 1 (Week 1 </w:t>
      </w:r>
      <w:r>
        <w:rPr>
          <w:rFonts w:ascii="Arial" w:hAnsi="Arial" w:cs="Arial"/>
          <w:color w:val="000000" w:themeColor="text1"/>
          <w:sz w:val="24"/>
          <w:szCs w:val="24"/>
        </w:rPr>
        <w:t xml:space="preserve">- </w:t>
      </w:r>
      <w:r w:rsidRPr="0098050F">
        <w:rPr>
          <w:rFonts w:ascii="Arial" w:hAnsi="Arial" w:cs="Arial"/>
          <w:color w:val="000000" w:themeColor="text1"/>
          <w:sz w:val="24"/>
          <w:szCs w:val="24"/>
        </w:rPr>
        <w:t>Week 8) - HR should undertake the collection of baseline data in regards to learning, internal mobility, retention, wellbeing, psychological safety, workload and employee engagement.</w:t>
      </w:r>
    </w:p>
    <w:p w14:paraId="062D00E3" w14:textId="3E6A6106" w:rsidR="0098050F" w:rsidRPr="0098050F" w:rsidRDefault="0098050F" w:rsidP="0098050F">
      <w:pPr>
        <w:spacing w:line="360" w:lineRule="auto"/>
        <w:jc w:val="both"/>
        <w:rPr>
          <w:rFonts w:ascii="Arial" w:hAnsi="Arial" w:cs="Arial"/>
          <w:color w:val="000000" w:themeColor="text1"/>
          <w:sz w:val="24"/>
          <w:szCs w:val="24"/>
        </w:rPr>
      </w:pPr>
      <w:r w:rsidRPr="0098050F">
        <w:rPr>
          <w:rFonts w:ascii="Arial" w:hAnsi="Arial" w:cs="Arial"/>
          <w:color w:val="000000" w:themeColor="text1"/>
          <w:sz w:val="24"/>
          <w:szCs w:val="24"/>
        </w:rPr>
        <w:t xml:space="preserve">Phase 2 (Month 3 </w:t>
      </w:r>
      <w:r>
        <w:rPr>
          <w:rFonts w:ascii="Arial" w:hAnsi="Arial" w:cs="Arial"/>
          <w:color w:val="000000" w:themeColor="text1"/>
          <w:sz w:val="24"/>
          <w:szCs w:val="24"/>
        </w:rPr>
        <w:t>-</w:t>
      </w:r>
      <w:r w:rsidRPr="0098050F">
        <w:rPr>
          <w:rFonts w:ascii="Arial" w:hAnsi="Arial" w:cs="Arial"/>
          <w:color w:val="000000" w:themeColor="text1"/>
          <w:sz w:val="24"/>
          <w:szCs w:val="24"/>
        </w:rPr>
        <w:t xml:space="preserve"> Month 6) - NHSX should consider adoption of capability passports, protected learning time, manager coaching and internal project opportunities in 2 or 3 product areas. Learning and collaboration issues can be dealt with in the form of employee feedback and team retrospectives.</w:t>
      </w:r>
    </w:p>
    <w:p w14:paraId="6F55D59F" w14:textId="623CAB2B" w:rsidR="003D09FF" w:rsidRPr="00FA59B8" w:rsidRDefault="0098050F" w:rsidP="0098050F">
      <w:pPr>
        <w:spacing w:line="360" w:lineRule="auto"/>
        <w:jc w:val="both"/>
        <w:rPr>
          <w:rFonts w:ascii="Arial" w:hAnsi="Arial" w:cs="Arial"/>
          <w:color w:val="000000" w:themeColor="text1"/>
          <w:sz w:val="24"/>
          <w:szCs w:val="24"/>
        </w:rPr>
      </w:pPr>
      <w:r w:rsidRPr="0098050F">
        <w:rPr>
          <w:rFonts w:ascii="Arial" w:hAnsi="Arial" w:cs="Arial"/>
          <w:color w:val="000000" w:themeColor="text1"/>
          <w:sz w:val="24"/>
          <w:szCs w:val="24"/>
        </w:rPr>
        <w:t xml:space="preserve">Phase 3 (Month 6 </w:t>
      </w:r>
      <w:r>
        <w:rPr>
          <w:rFonts w:ascii="Arial" w:hAnsi="Arial" w:cs="Arial"/>
          <w:color w:val="000000" w:themeColor="text1"/>
          <w:sz w:val="24"/>
          <w:szCs w:val="24"/>
        </w:rPr>
        <w:t>-</w:t>
      </w:r>
      <w:r w:rsidRPr="0098050F">
        <w:rPr>
          <w:rFonts w:ascii="Arial" w:hAnsi="Arial" w:cs="Arial"/>
          <w:color w:val="000000" w:themeColor="text1"/>
          <w:sz w:val="24"/>
          <w:szCs w:val="24"/>
        </w:rPr>
        <w:t xml:space="preserve"> Month 9) - HR should conduct a comparison between the results of the pilot and the baseline data as well as possibly other similar team</w:t>
      </w:r>
      <w:r w:rsidR="003D09FF" w:rsidRPr="00FA59B8">
        <w:rPr>
          <w:rFonts w:ascii="Arial" w:hAnsi="Arial" w:cs="Arial"/>
          <w:color w:val="000000" w:themeColor="text1"/>
          <w:sz w:val="24"/>
          <w:szCs w:val="24"/>
        </w:rPr>
        <w:t>. The assessment of learning application, productivity, workload and wellbeing should be done concurrently. For interventions to be effective they should be modified prior to being implemented on a broader scale.</w:t>
      </w:r>
    </w:p>
    <w:p w14:paraId="1F1D00D9" w14:textId="0748BF56" w:rsidR="003D09FF" w:rsidRPr="00FA59B8" w:rsidRDefault="003D09FF" w:rsidP="00FA59B8">
      <w:pPr>
        <w:spacing w:line="360" w:lineRule="auto"/>
        <w:jc w:val="both"/>
        <w:rPr>
          <w:rFonts w:ascii="Arial" w:hAnsi="Arial" w:cs="Arial"/>
          <w:color w:val="000000" w:themeColor="text1"/>
          <w:sz w:val="24"/>
          <w:szCs w:val="24"/>
        </w:rPr>
      </w:pPr>
      <w:r w:rsidRPr="00FA59B8">
        <w:rPr>
          <w:rFonts w:ascii="Arial" w:hAnsi="Arial" w:cs="Arial"/>
          <w:color w:val="000000" w:themeColor="text1"/>
          <w:sz w:val="24"/>
          <w:szCs w:val="24"/>
        </w:rPr>
        <w:t>Phase 4 (Months 10 -12): Ideally, successful practices should be incorporated into the workforce planning, performance management and leadership development processes. Executives need to consider a harmonisation of a learning, mobility, wellbeing, retention and performance balanced scorecard.</w:t>
      </w:r>
    </w:p>
    <w:p w14:paraId="48D8389E" w14:textId="4DA577A7" w:rsidR="00A12C73"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b/>
          <w:color w:val="000000" w:themeColor="text1"/>
          <w:sz w:val="24"/>
          <w:szCs w:val="24"/>
        </w:rPr>
        <w:t xml:space="preserve">Table </w:t>
      </w:r>
      <w:r w:rsidR="00FA59B8">
        <w:rPr>
          <w:rFonts w:ascii="Arial" w:hAnsi="Arial" w:cs="Arial"/>
          <w:b/>
          <w:color w:val="000000" w:themeColor="text1"/>
          <w:sz w:val="24"/>
          <w:szCs w:val="24"/>
        </w:rPr>
        <w:t>3</w:t>
      </w:r>
      <w:r w:rsidRPr="00FA59B8">
        <w:rPr>
          <w:rFonts w:ascii="Arial" w:hAnsi="Arial" w:cs="Arial"/>
          <w:b/>
          <w:color w:val="000000" w:themeColor="text1"/>
          <w:sz w:val="24"/>
          <w:szCs w:val="24"/>
        </w:rPr>
        <w:t>. Twelve-month implementation scorecard</w:t>
      </w:r>
    </w:p>
    <w:tbl>
      <w:tblPr>
        <w:tblStyle w:val="TableGrid"/>
        <w:tblW w:w="0" w:type="auto"/>
        <w:tblLook w:val="04A0" w:firstRow="1" w:lastRow="0" w:firstColumn="1" w:lastColumn="0" w:noHBand="0" w:noVBand="1"/>
      </w:tblPr>
      <w:tblGrid>
        <w:gridCol w:w="1320"/>
        <w:gridCol w:w="3135"/>
        <w:gridCol w:w="2789"/>
        <w:gridCol w:w="2908"/>
      </w:tblGrid>
      <w:tr w:rsidR="00FA59B8" w:rsidRPr="003D09FF" w14:paraId="7F52CC30" w14:textId="77777777" w:rsidTr="003D09FF">
        <w:tc>
          <w:tcPr>
            <w:tcW w:w="0" w:type="auto"/>
            <w:hideMark/>
          </w:tcPr>
          <w:p w14:paraId="02F2AE89" w14:textId="77777777" w:rsidR="003D09FF" w:rsidRPr="003D09FF" w:rsidRDefault="003D09FF" w:rsidP="00FA59B8">
            <w:pPr>
              <w:spacing w:before="100" w:beforeAutospacing="1" w:afterAutospacing="1" w:line="360" w:lineRule="auto"/>
              <w:jc w:val="both"/>
              <w:rPr>
                <w:rFonts w:ascii="Arial" w:eastAsia="Times New Roman" w:hAnsi="Arial" w:cs="Arial"/>
                <w:b/>
                <w:bCs/>
                <w:color w:val="000000" w:themeColor="text1"/>
                <w:sz w:val="24"/>
                <w:szCs w:val="24"/>
                <w:lang w:val="en-IN" w:eastAsia="en-GB"/>
              </w:rPr>
            </w:pPr>
            <w:r w:rsidRPr="003D09FF">
              <w:rPr>
                <w:rFonts w:ascii="Arial" w:eastAsia="Times New Roman" w:hAnsi="Arial" w:cs="Arial"/>
                <w:b/>
                <w:bCs/>
                <w:color w:val="000000" w:themeColor="text1"/>
                <w:sz w:val="24"/>
                <w:szCs w:val="24"/>
                <w:lang w:val="en-IN" w:eastAsia="en-GB"/>
              </w:rPr>
              <w:t>Timeline</w:t>
            </w:r>
          </w:p>
        </w:tc>
        <w:tc>
          <w:tcPr>
            <w:tcW w:w="0" w:type="auto"/>
            <w:hideMark/>
          </w:tcPr>
          <w:p w14:paraId="331E5D51" w14:textId="77777777" w:rsidR="003D09FF" w:rsidRPr="003D09FF" w:rsidRDefault="003D09FF" w:rsidP="00FA59B8">
            <w:pPr>
              <w:spacing w:before="100" w:beforeAutospacing="1" w:afterAutospacing="1" w:line="360" w:lineRule="auto"/>
              <w:jc w:val="both"/>
              <w:rPr>
                <w:rFonts w:ascii="Arial" w:eastAsia="Times New Roman" w:hAnsi="Arial" w:cs="Arial"/>
                <w:b/>
                <w:bCs/>
                <w:color w:val="000000" w:themeColor="text1"/>
                <w:sz w:val="24"/>
                <w:szCs w:val="24"/>
                <w:lang w:val="en-IN" w:eastAsia="en-GB"/>
              </w:rPr>
            </w:pPr>
            <w:r w:rsidRPr="003D09FF">
              <w:rPr>
                <w:rFonts w:ascii="Arial" w:eastAsia="Times New Roman" w:hAnsi="Arial" w:cs="Arial"/>
                <w:b/>
                <w:bCs/>
                <w:color w:val="000000" w:themeColor="text1"/>
                <w:sz w:val="24"/>
                <w:szCs w:val="24"/>
                <w:lang w:val="en-IN" w:eastAsia="en-GB"/>
              </w:rPr>
              <w:t>Main activities</w:t>
            </w:r>
          </w:p>
        </w:tc>
        <w:tc>
          <w:tcPr>
            <w:tcW w:w="0" w:type="auto"/>
            <w:hideMark/>
          </w:tcPr>
          <w:p w14:paraId="2EEEB1F7" w14:textId="77777777" w:rsidR="003D09FF" w:rsidRPr="003D09FF" w:rsidRDefault="003D09FF" w:rsidP="00FA59B8">
            <w:pPr>
              <w:spacing w:before="100" w:beforeAutospacing="1" w:afterAutospacing="1" w:line="360" w:lineRule="auto"/>
              <w:jc w:val="both"/>
              <w:rPr>
                <w:rFonts w:ascii="Arial" w:eastAsia="Times New Roman" w:hAnsi="Arial" w:cs="Arial"/>
                <w:b/>
                <w:bCs/>
                <w:color w:val="000000" w:themeColor="text1"/>
                <w:sz w:val="24"/>
                <w:szCs w:val="24"/>
                <w:lang w:val="en-IN" w:eastAsia="en-GB"/>
              </w:rPr>
            </w:pPr>
            <w:r w:rsidRPr="003D09FF">
              <w:rPr>
                <w:rFonts w:ascii="Arial" w:eastAsia="Times New Roman" w:hAnsi="Arial" w:cs="Arial"/>
                <w:b/>
                <w:bCs/>
                <w:color w:val="000000" w:themeColor="text1"/>
                <w:sz w:val="24"/>
                <w:szCs w:val="24"/>
                <w:lang w:val="en-IN" w:eastAsia="en-GB"/>
              </w:rPr>
              <w:t>Responsible owners</w:t>
            </w:r>
          </w:p>
        </w:tc>
        <w:tc>
          <w:tcPr>
            <w:tcW w:w="0" w:type="auto"/>
            <w:hideMark/>
          </w:tcPr>
          <w:p w14:paraId="162E0A6E" w14:textId="77777777" w:rsidR="003D09FF" w:rsidRPr="003D09FF" w:rsidRDefault="003D09FF" w:rsidP="00FA59B8">
            <w:pPr>
              <w:spacing w:before="100" w:beforeAutospacing="1" w:afterAutospacing="1" w:line="360" w:lineRule="auto"/>
              <w:jc w:val="both"/>
              <w:rPr>
                <w:rFonts w:ascii="Arial" w:eastAsia="Times New Roman" w:hAnsi="Arial" w:cs="Arial"/>
                <w:b/>
                <w:bCs/>
                <w:color w:val="000000" w:themeColor="text1"/>
                <w:sz w:val="24"/>
                <w:szCs w:val="24"/>
                <w:lang w:val="en-IN" w:eastAsia="en-GB"/>
              </w:rPr>
            </w:pPr>
            <w:r w:rsidRPr="003D09FF">
              <w:rPr>
                <w:rFonts w:ascii="Arial" w:eastAsia="Times New Roman" w:hAnsi="Arial" w:cs="Arial"/>
                <w:b/>
                <w:bCs/>
                <w:color w:val="000000" w:themeColor="text1"/>
                <w:sz w:val="24"/>
                <w:szCs w:val="24"/>
                <w:lang w:val="en-IN" w:eastAsia="en-GB"/>
              </w:rPr>
              <w:t>Evaluation evidence</w:t>
            </w:r>
          </w:p>
        </w:tc>
      </w:tr>
      <w:tr w:rsidR="00FA59B8" w:rsidRPr="003D09FF" w14:paraId="0CFFCE52" w14:textId="77777777" w:rsidTr="003D09FF">
        <w:tc>
          <w:tcPr>
            <w:tcW w:w="0" w:type="auto"/>
            <w:hideMark/>
          </w:tcPr>
          <w:p w14:paraId="2670506A" w14:textId="7CCE20D3" w:rsidR="003D09FF" w:rsidRPr="003D09FF" w:rsidRDefault="003D09FF" w:rsidP="00FA59B8">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D09FF">
              <w:rPr>
                <w:rFonts w:ascii="Arial" w:eastAsia="Times New Roman" w:hAnsi="Arial" w:cs="Arial"/>
                <w:color w:val="000000" w:themeColor="text1"/>
                <w:sz w:val="24"/>
                <w:szCs w:val="24"/>
                <w:lang w:val="en-IN" w:eastAsia="en-GB"/>
              </w:rPr>
              <w:t>Weeks 1</w:t>
            </w:r>
            <w:r w:rsidRPr="00FA59B8">
              <w:rPr>
                <w:rFonts w:ascii="Arial" w:eastAsia="Times New Roman" w:hAnsi="Arial" w:cs="Arial"/>
                <w:color w:val="000000" w:themeColor="text1"/>
                <w:sz w:val="24"/>
                <w:szCs w:val="24"/>
                <w:lang w:val="en-IN" w:eastAsia="en-GB"/>
              </w:rPr>
              <w:t xml:space="preserve"> - </w:t>
            </w:r>
            <w:r w:rsidRPr="003D09FF">
              <w:rPr>
                <w:rFonts w:ascii="Arial" w:eastAsia="Times New Roman" w:hAnsi="Arial" w:cs="Arial"/>
                <w:color w:val="000000" w:themeColor="text1"/>
                <w:sz w:val="24"/>
                <w:szCs w:val="24"/>
                <w:lang w:val="en-IN" w:eastAsia="en-GB"/>
              </w:rPr>
              <w:t>8</w:t>
            </w:r>
          </w:p>
        </w:tc>
        <w:tc>
          <w:tcPr>
            <w:tcW w:w="0" w:type="auto"/>
            <w:hideMark/>
          </w:tcPr>
          <w:p w14:paraId="3DC9B977" w14:textId="77777777" w:rsidR="003D09FF" w:rsidRPr="003D09FF" w:rsidRDefault="003D09FF" w:rsidP="00FA59B8">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D09FF">
              <w:rPr>
                <w:rFonts w:ascii="Arial" w:eastAsia="Times New Roman" w:hAnsi="Arial" w:cs="Arial"/>
                <w:color w:val="000000" w:themeColor="text1"/>
                <w:sz w:val="24"/>
                <w:szCs w:val="24"/>
                <w:lang w:val="en-IN" w:eastAsia="en-GB"/>
              </w:rPr>
              <w:t>Workforce diagnostic, skills audit, workload assessment and employee consultation</w:t>
            </w:r>
          </w:p>
        </w:tc>
        <w:tc>
          <w:tcPr>
            <w:tcW w:w="0" w:type="auto"/>
            <w:hideMark/>
          </w:tcPr>
          <w:p w14:paraId="7EDCE497" w14:textId="77777777" w:rsidR="003D09FF" w:rsidRPr="003D09FF" w:rsidRDefault="003D09FF" w:rsidP="00FA59B8">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D09FF">
              <w:rPr>
                <w:rFonts w:ascii="Arial" w:eastAsia="Times New Roman" w:hAnsi="Arial" w:cs="Arial"/>
                <w:color w:val="000000" w:themeColor="text1"/>
                <w:sz w:val="24"/>
                <w:szCs w:val="24"/>
                <w:lang w:val="en-IN" w:eastAsia="en-GB"/>
              </w:rPr>
              <w:t>HR, people analytics and operational managers</w:t>
            </w:r>
          </w:p>
        </w:tc>
        <w:tc>
          <w:tcPr>
            <w:tcW w:w="0" w:type="auto"/>
            <w:hideMark/>
          </w:tcPr>
          <w:p w14:paraId="7B3A774D" w14:textId="77777777" w:rsidR="003D09FF" w:rsidRPr="003D09FF" w:rsidRDefault="003D09FF" w:rsidP="00FA59B8">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D09FF">
              <w:rPr>
                <w:rFonts w:ascii="Arial" w:eastAsia="Times New Roman" w:hAnsi="Arial" w:cs="Arial"/>
                <w:color w:val="000000" w:themeColor="text1"/>
                <w:sz w:val="24"/>
                <w:szCs w:val="24"/>
                <w:lang w:val="en-IN" w:eastAsia="en-GB"/>
              </w:rPr>
              <w:t>Baseline dashboard, skills-gap analysis and employee feedback</w:t>
            </w:r>
          </w:p>
        </w:tc>
      </w:tr>
      <w:tr w:rsidR="00FA59B8" w:rsidRPr="003D09FF" w14:paraId="33E5459F" w14:textId="77777777" w:rsidTr="003D09FF">
        <w:tc>
          <w:tcPr>
            <w:tcW w:w="0" w:type="auto"/>
            <w:hideMark/>
          </w:tcPr>
          <w:p w14:paraId="4C9AD151" w14:textId="0D470E68" w:rsidR="003D09FF" w:rsidRPr="003D09FF" w:rsidRDefault="003D09FF" w:rsidP="00FA59B8">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D09FF">
              <w:rPr>
                <w:rFonts w:ascii="Arial" w:eastAsia="Times New Roman" w:hAnsi="Arial" w:cs="Arial"/>
                <w:color w:val="000000" w:themeColor="text1"/>
                <w:sz w:val="24"/>
                <w:szCs w:val="24"/>
                <w:lang w:val="en-IN" w:eastAsia="en-GB"/>
              </w:rPr>
              <w:t>Months 3</w:t>
            </w:r>
            <w:r w:rsidRPr="00FA59B8">
              <w:rPr>
                <w:rFonts w:ascii="Arial" w:eastAsia="Times New Roman" w:hAnsi="Arial" w:cs="Arial"/>
                <w:color w:val="000000" w:themeColor="text1"/>
                <w:sz w:val="24"/>
                <w:szCs w:val="24"/>
                <w:lang w:val="en-IN" w:eastAsia="en-GB"/>
              </w:rPr>
              <w:t xml:space="preserve"> - </w:t>
            </w:r>
            <w:r w:rsidRPr="003D09FF">
              <w:rPr>
                <w:rFonts w:ascii="Arial" w:eastAsia="Times New Roman" w:hAnsi="Arial" w:cs="Arial"/>
                <w:color w:val="000000" w:themeColor="text1"/>
                <w:sz w:val="24"/>
                <w:szCs w:val="24"/>
                <w:lang w:val="en-IN" w:eastAsia="en-GB"/>
              </w:rPr>
              <w:t>6</w:t>
            </w:r>
          </w:p>
        </w:tc>
        <w:tc>
          <w:tcPr>
            <w:tcW w:w="0" w:type="auto"/>
            <w:hideMark/>
          </w:tcPr>
          <w:p w14:paraId="6A5CECBC" w14:textId="77777777" w:rsidR="003D09FF" w:rsidRPr="003D09FF" w:rsidRDefault="003D09FF" w:rsidP="00FA59B8">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D09FF">
              <w:rPr>
                <w:rFonts w:ascii="Arial" w:eastAsia="Times New Roman" w:hAnsi="Arial" w:cs="Arial"/>
                <w:color w:val="000000" w:themeColor="text1"/>
                <w:sz w:val="24"/>
                <w:szCs w:val="24"/>
                <w:lang w:val="en-IN" w:eastAsia="en-GB"/>
              </w:rPr>
              <w:t>Pilot capability passports, protected learning, coaching and internal opportunities</w:t>
            </w:r>
          </w:p>
        </w:tc>
        <w:tc>
          <w:tcPr>
            <w:tcW w:w="0" w:type="auto"/>
            <w:hideMark/>
          </w:tcPr>
          <w:p w14:paraId="09F2E01C" w14:textId="77777777" w:rsidR="003D09FF" w:rsidRPr="003D09FF" w:rsidRDefault="003D09FF" w:rsidP="00FA59B8">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D09FF">
              <w:rPr>
                <w:rFonts w:ascii="Arial" w:eastAsia="Times New Roman" w:hAnsi="Arial" w:cs="Arial"/>
                <w:color w:val="000000" w:themeColor="text1"/>
                <w:sz w:val="24"/>
                <w:szCs w:val="24"/>
                <w:lang w:val="en-IN" w:eastAsia="en-GB"/>
              </w:rPr>
              <w:t>HR, learning and development, pilot managers</w:t>
            </w:r>
          </w:p>
        </w:tc>
        <w:tc>
          <w:tcPr>
            <w:tcW w:w="0" w:type="auto"/>
            <w:hideMark/>
          </w:tcPr>
          <w:p w14:paraId="458C56A8" w14:textId="77777777" w:rsidR="003D09FF" w:rsidRPr="003D09FF" w:rsidRDefault="003D09FF" w:rsidP="00FA59B8">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D09FF">
              <w:rPr>
                <w:rFonts w:ascii="Arial" w:eastAsia="Times New Roman" w:hAnsi="Arial" w:cs="Arial"/>
                <w:color w:val="000000" w:themeColor="text1"/>
                <w:sz w:val="24"/>
                <w:szCs w:val="24"/>
                <w:lang w:val="en-IN" w:eastAsia="en-GB"/>
              </w:rPr>
              <w:t>Participation, skill application, coaching feedback and workload trends</w:t>
            </w:r>
          </w:p>
        </w:tc>
      </w:tr>
      <w:tr w:rsidR="00FA59B8" w:rsidRPr="003D09FF" w14:paraId="78078268" w14:textId="77777777" w:rsidTr="003D09FF">
        <w:tc>
          <w:tcPr>
            <w:tcW w:w="0" w:type="auto"/>
            <w:hideMark/>
          </w:tcPr>
          <w:p w14:paraId="7DACAF63" w14:textId="0D5ABE29" w:rsidR="003D09FF" w:rsidRPr="003D09FF" w:rsidRDefault="003D09FF" w:rsidP="00FA59B8">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D09FF">
              <w:rPr>
                <w:rFonts w:ascii="Arial" w:eastAsia="Times New Roman" w:hAnsi="Arial" w:cs="Arial"/>
                <w:color w:val="000000" w:themeColor="text1"/>
                <w:sz w:val="24"/>
                <w:szCs w:val="24"/>
                <w:lang w:val="en-IN" w:eastAsia="en-GB"/>
              </w:rPr>
              <w:t>Months 7</w:t>
            </w:r>
            <w:r w:rsidRPr="00FA59B8">
              <w:rPr>
                <w:rFonts w:ascii="Arial" w:eastAsia="Times New Roman" w:hAnsi="Arial" w:cs="Arial"/>
                <w:color w:val="000000" w:themeColor="text1"/>
                <w:sz w:val="24"/>
                <w:szCs w:val="24"/>
                <w:lang w:val="en-IN" w:eastAsia="en-GB"/>
              </w:rPr>
              <w:t xml:space="preserve"> - </w:t>
            </w:r>
            <w:r w:rsidRPr="003D09FF">
              <w:rPr>
                <w:rFonts w:ascii="Arial" w:eastAsia="Times New Roman" w:hAnsi="Arial" w:cs="Arial"/>
                <w:color w:val="000000" w:themeColor="text1"/>
                <w:sz w:val="24"/>
                <w:szCs w:val="24"/>
                <w:lang w:val="en-IN" w:eastAsia="en-GB"/>
              </w:rPr>
              <w:t>9</w:t>
            </w:r>
          </w:p>
        </w:tc>
        <w:tc>
          <w:tcPr>
            <w:tcW w:w="0" w:type="auto"/>
            <w:hideMark/>
          </w:tcPr>
          <w:p w14:paraId="64D165DE" w14:textId="77777777" w:rsidR="003D09FF" w:rsidRPr="003D09FF" w:rsidRDefault="003D09FF" w:rsidP="00FA59B8">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D09FF">
              <w:rPr>
                <w:rFonts w:ascii="Arial" w:eastAsia="Times New Roman" w:hAnsi="Arial" w:cs="Arial"/>
                <w:color w:val="000000" w:themeColor="text1"/>
                <w:sz w:val="24"/>
                <w:szCs w:val="24"/>
                <w:lang w:val="en-IN" w:eastAsia="en-GB"/>
              </w:rPr>
              <w:t xml:space="preserve">Compare pilot outcomes, investigate gaps and refine </w:t>
            </w:r>
            <w:r w:rsidRPr="003D09FF">
              <w:rPr>
                <w:rFonts w:ascii="Arial" w:eastAsia="Times New Roman" w:hAnsi="Arial" w:cs="Arial"/>
                <w:color w:val="000000" w:themeColor="text1"/>
                <w:sz w:val="24"/>
                <w:szCs w:val="24"/>
                <w:lang w:val="en-IN" w:eastAsia="en-GB"/>
              </w:rPr>
              <w:lastRenderedPageBreak/>
              <w:t>interventions</w:t>
            </w:r>
          </w:p>
        </w:tc>
        <w:tc>
          <w:tcPr>
            <w:tcW w:w="0" w:type="auto"/>
            <w:hideMark/>
          </w:tcPr>
          <w:p w14:paraId="503DEE0F" w14:textId="77777777" w:rsidR="003D09FF" w:rsidRPr="003D09FF" w:rsidRDefault="003D09FF" w:rsidP="00FA59B8">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D09FF">
              <w:rPr>
                <w:rFonts w:ascii="Arial" w:eastAsia="Times New Roman" w:hAnsi="Arial" w:cs="Arial"/>
                <w:color w:val="000000" w:themeColor="text1"/>
                <w:sz w:val="24"/>
                <w:szCs w:val="24"/>
                <w:lang w:val="en-IN" w:eastAsia="en-GB"/>
              </w:rPr>
              <w:lastRenderedPageBreak/>
              <w:t xml:space="preserve">HR analytics, team leaders and employee </w:t>
            </w:r>
            <w:r w:rsidRPr="003D09FF">
              <w:rPr>
                <w:rFonts w:ascii="Arial" w:eastAsia="Times New Roman" w:hAnsi="Arial" w:cs="Arial"/>
                <w:color w:val="000000" w:themeColor="text1"/>
                <w:sz w:val="24"/>
                <w:szCs w:val="24"/>
                <w:lang w:val="en-IN" w:eastAsia="en-GB"/>
              </w:rPr>
              <w:lastRenderedPageBreak/>
              <w:t>representatives</w:t>
            </w:r>
          </w:p>
        </w:tc>
        <w:tc>
          <w:tcPr>
            <w:tcW w:w="0" w:type="auto"/>
            <w:hideMark/>
          </w:tcPr>
          <w:p w14:paraId="72E28B50" w14:textId="77777777" w:rsidR="003D09FF" w:rsidRPr="003D09FF" w:rsidRDefault="003D09FF" w:rsidP="00FA59B8">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D09FF">
              <w:rPr>
                <w:rFonts w:ascii="Arial" w:eastAsia="Times New Roman" w:hAnsi="Arial" w:cs="Arial"/>
                <w:color w:val="000000" w:themeColor="text1"/>
                <w:sz w:val="24"/>
                <w:szCs w:val="24"/>
                <w:lang w:val="en-IN" w:eastAsia="en-GB"/>
              </w:rPr>
              <w:lastRenderedPageBreak/>
              <w:t xml:space="preserve">KPI comparison, survey results and documented </w:t>
            </w:r>
            <w:r w:rsidRPr="003D09FF">
              <w:rPr>
                <w:rFonts w:ascii="Arial" w:eastAsia="Times New Roman" w:hAnsi="Arial" w:cs="Arial"/>
                <w:color w:val="000000" w:themeColor="text1"/>
                <w:sz w:val="24"/>
                <w:szCs w:val="24"/>
                <w:lang w:val="en-IN" w:eastAsia="en-GB"/>
              </w:rPr>
              <w:lastRenderedPageBreak/>
              <w:t>corrective actions</w:t>
            </w:r>
          </w:p>
        </w:tc>
      </w:tr>
      <w:tr w:rsidR="00FA59B8" w:rsidRPr="003D09FF" w14:paraId="707285DB" w14:textId="77777777" w:rsidTr="003D09FF">
        <w:tc>
          <w:tcPr>
            <w:tcW w:w="0" w:type="auto"/>
            <w:hideMark/>
          </w:tcPr>
          <w:p w14:paraId="5322C3D8" w14:textId="65FA0081" w:rsidR="003D09FF" w:rsidRPr="003D09FF" w:rsidRDefault="003D09FF" w:rsidP="00FA59B8">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D09FF">
              <w:rPr>
                <w:rFonts w:ascii="Arial" w:eastAsia="Times New Roman" w:hAnsi="Arial" w:cs="Arial"/>
                <w:color w:val="000000" w:themeColor="text1"/>
                <w:sz w:val="24"/>
                <w:szCs w:val="24"/>
                <w:lang w:val="en-IN" w:eastAsia="en-GB"/>
              </w:rPr>
              <w:lastRenderedPageBreak/>
              <w:t>Months 10</w:t>
            </w:r>
            <w:r w:rsidRPr="00FA59B8">
              <w:rPr>
                <w:rFonts w:ascii="Arial" w:eastAsia="Times New Roman" w:hAnsi="Arial" w:cs="Arial"/>
                <w:color w:val="000000" w:themeColor="text1"/>
                <w:sz w:val="24"/>
                <w:szCs w:val="24"/>
                <w:lang w:val="en-IN" w:eastAsia="en-GB"/>
              </w:rPr>
              <w:t xml:space="preserve"> - </w:t>
            </w:r>
            <w:r w:rsidRPr="003D09FF">
              <w:rPr>
                <w:rFonts w:ascii="Arial" w:eastAsia="Times New Roman" w:hAnsi="Arial" w:cs="Arial"/>
                <w:color w:val="000000" w:themeColor="text1"/>
                <w:sz w:val="24"/>
                <w:szCs w:val="24"/>
                <w:lang w:val="en-IN" w:eastAsia="en-GB"/>
              </w:rPr>
              <w:t>12</w:t>
            </w:r>
          </w:p>
        </w:tc>
        <w:tc>
          <w:tcPr>
            <w:tcW w:w="0" w:type="auto"/>
            <w:hideMark/>
          </w:tcPr>
          <w:p w14:paraId="77C01D3E" w14:textId="77777777" w:rsidR="003D09FF" w:rsidRPr="003D09FF" w:rsidRDefault="003D09FF" w:rsidP="00FA59B8">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D09FF">
              <w:rPr>
                <w:rFonts w:ascii="Arial" w:eastAsia="Times New Roman" w:hAnsi="Arial" w:cs="Arial"/>
                <w:color w:val="000000" w:themeColor="text1"/>
                <w:sz w:val="24"/>
                <w:szCs w:val="24"/>
                <w:lang w:val="en-IN" w:eastAsia="en-GB"/>
              </w:rPr>
              <w:t>Expand successful interventions and integrate them into workforce planning</w:t>
            </w:r>
          </w:p>
        </w:tc>
        <w:tc>
          <w:tcPr>
            <w:tcW w:w="0" w:type="auto"/>
            <w:hideMark/>
          </w:tcPr>
          <w:p w14:paraId="202EC352" w14:textId="77777777" w:rsidR="003D09FF" w:rsidRPr="003D09FF" w:rsidRDefault="003D09FF" w:rsidP="00FA59B8">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D09FF">
              <w:rPr>
                <w:rFonts w:ascii="Arial" w:eastAsia="Times New Roman" w:hAnsi="Arial" w:cs="Arial"/>
                <w:color w:val="000000" w:themeColor="text1"/>
                <w:sz w:val="24"/>
                <w:szCs w:val="24"/>
                <w:lang w:val="en-IN" w:eastAsia="en-GB"/>
              </w:rPr>
              <w:t>HR leadership and executive team</w:t>
            </w:r>
          </w:p>
        </w:tc>
        <w:tc>
          <w:tcPr>
            <w:tcW w:w="0" w:type="auto"/>
            <w:hideMark/>
          </w:tcPr>
          <w:p w14:paraId="3D07D491" w14:textId="77777777" w:rsidR="003D09FF" w:rsidRPr="003D09FF" w:rsidRDefault="003D09FF" w:rsidP="00FA59B8">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D09FF">
              <w:rPr>
                <w:rFonts w:ascii="Arial" w:eastAsia="Times New Roman" w:hAnsi="Arial" w:cs="Arial"/>
                <w:color w:val="000000" w:themeColor="text1"/>
                <w:sz w:val="24"/>
                <w:szCs w:val="24"/>
                <w:lang w:val="en-IN" w:eastAsia="en-GB"/>
              </w:rPr>
              <w:t>Annual scorecard, retention and wellbeing trends, and year-two priorities</w:t>
            </w:r>
          </w:p>
        </w:tc>
      </w:tr>
    </w:tbl>
    <w:p w14:paraId="7D5123E4" w14:textId="77777777" w:rsidR="00A12C73" w:rsidRPr="00FA59B8" w:rsidRDefault="00040537" w:rsidP="00FA59B8">
      <w:pPr>
        <w:pStyle w:val="Heading1"/>
        <w:spacing w:line="360" w:lineRule="auto"/>
        <w:jc w:val="both"/>
        <w:rPr>
          <w:rFonts w:ascii="Arial" w:hAnsi="Arial" w:cs="Arial"/>
          <w:color w:val="000000" w:themeColor="text1"/>
          <w:sz w:val="24"/>
          <w:szCs w:val="24"/>
        </w:rPr>
      </w:pPr>
      <w:bookmarkStart w:id="9" w:name="_Toc242899480"/>
      <w:r w:rsidRPr="00FA59B8">
        <w:rPr>
          <w:rFonts w:ascii="Arial" w:hAnsi="Arial" w:cs="Arial"/>
          <w:color w:val="000000" w:themeColor="text1"/>
          <w:sz w:val="24"/>
          <w:szCs w:val="24"/>
        </w:rPr>
        <w:t>Task C: Reflective Report</w:t>
      </w:r>
      <w:bookmarkEnd w:id="9"/>
    </w:p>
    <w:p w14:paraId="2CDAD49F" w14:textId="3CFD1D15" w:rsidR="00A12C73" w:rsidRPr="00FA59B8" w:rsidRDefault="00B54F0C" w:rsidP="00FA59B8">
      <w:pPr>
        <w:pStyle w:val="Heading2"/>
        <w:spacing w:line="360" w:lineRule="auto"/>
        <w:jc w:val="both"/>
        <w:rPr>
          <w:rFonts w:ascii="Arial" w:hAnsi="Arial" w:cs="Arial"/>
          <w:color w:val="000000" w:themeColor="text1"/>
          <w:sz w:val="24"/>
          <w:szCs w:val="24"/>
        </w:rPr>
      </w:pPr>
      <w:bookmarkStart w:id="10" w:name="_Toc242899481"/>
      <w:r w:rsidRPr="00FA59B8">
        <w:rPr>
          <w:rFonts w:ascii="Arial" w:hAnsi="Arial" w:cs="Arial"/>
          <w:color w:val="000000" w:themeColor="text1"/>
          <w:sz w:val="24"/>
          <w:szCs w:val="24"/>
        </w:rPr>
        <w:t>3.1 AI as a strategic HR capability</w:t>
      </w:r>
      <w:bookmarkEnd w:id="10"/>
    </w:p>
    <w:p w14:paraId="5ABB7B27" w14:textId="455C80FD" w:rsidR="00A12C73" w:rsidRPr="00FA59B8" w:rsidRDefault="00EB02C1" w:rsidP="00FA59B8">
      <w:pPr>
        <w:spacing w:line="360" w:lineRule="auto"/>
        <w:jc w:val="both"/>
        <w:rPr>
          <w:rFonts w:ascii="Arial" w:hAnsi="Arial" w:cs="Arial"/>
          <w:color w:val="000000" w:themeColor="text1"/>
          <w:sz w:val="24"/>
          <w:szCs w:val="24"/>
        </w:rPr>
      </w:pPr>
      <w:r w:rsidRPr="00EB02C1">
        <w:rPr>
          <w:rFonts w:ascii="Arial" w:hAnsi="Arial" w:cs="Arial"/>
          <w:color w:val="000000" w:themeColor="text1"/>
          <w:sz w:val="24"/>
          <w:szCs w:val="24"/>
        </w:rPr>
        <w:t>AI could be implemented within HRM strategy in terms of analyzing workforce information, identifying skills that will be needed soon, helping with recruitment procedure and enabling organizations to evaluate feedback from employees. For the purposes of NHSX, for example, AI could be used by the HRM department to identify the gaps in the capability of employees, offer learning opportunities and predict the future labor force needs for healthcare technologies. However, such an approach would be better to use as a decision support system rather than substituting the decision-making process because of possible errors in the workforce databases caused by biases of the past, incomplete and unrelated information and assumptions made</w:t>
      </w:r>
      <w:r w:rsidR="003D09FF" w:rsidRPr="00FA59B8">
        <w:rPr>
          <w:rFonts w:ascii="Arial" w:hAnsi="Arial" w:cs="Arial"/>
          <w:color w:val="000000" w:themeColor="text1"/>
          <w:sz w:val="24"/>
          <w:szCs w:val="24"/>
        </w:rPr>
        <w:t xml:space="preserve">. </w:t>
      </w:r>
    </w:p>
    <w:p w14:paraId="65706401" w14:textId="6D657E4D" w:rsidR="00A12C73" w:rsidRPr="00FA59B8" w:rsidRDefault="00B54F0C" w:rsidP="00FA59B8">
      <w:pPr>
        <w:pStyle w:val="Heading2"/>
        <w:spacing w:line="360" w:lineRule="auto"/>
        <w:jc w:val="both"/>
        <w:rPr>
          <w:rFonts w:ascii="Arial" w:hAnsi="Arial" w:cs="Arial"/>
          <w:color w:val="000000" w:themeColor="text1"/>
          <w:sz w:val="24"/>
          <w:szCs w:val="24"/>
        </w:rPr>
      </w:pPr>
      <w:bookmarkStart w:id="11" w:name="_Toc242899482"/>
      <w:r w:rsidRPr="00FA59B8">
        <w:rPr>
          <w:rFonts w:ascii="Arial" w:hAnsi="Arial" w:cs="Arial"/>
          <w:color w:val="000000" w:themeColor="text1"/>
          <w:sz w:val="24"/>
          <w:szCs w:val="24"/>
        </w:rPr>
        <w:t>3.2 Reflection on three practical AI uses</w:t>
      </w:r>
      <w:bookmarkEnd w:id="11"/>
    </w:p>
    <w:p w14:paraId="4BC604C5" w14:textId="7FFF1ADC" w:rsidR="003D09FF"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b/>
          <w:color w:val="000000" w:themeColor="text1"/>
          <w:sz w:val="24"/>
          <w:szCs w:val="24"/>
        </w:rPr>
        <w:t xml:space="preserve">Table </w:t>
      </w:r>
      <w:r w:rsidR="00FA59B8">
        <w:rPr>
          <w:rFonts w:ascii="Arial" w:hAnsi="Arial" w:cs="Arial"/>
          <w:b/>
          <w:color w:val="000000" w:themeColor="text1"/>
          <w:sz w:val="24"/>
          <w:szCs w:val="24"/>
        </w:rPr>
        <w:t>4</w:t>
      </w:r>
      <w:r w:rsidRPr="00FA59B8">
        <w:rPr>
          <w:rFonts w:ascii="Arial" w:hAnsi="Arial" w:cs="Arial"/>
          <w:b/>
          <w:color w:val="000000" w:themeColor="text1"/>
          <w:sz w:val="24"/>
          <w:szCs w:val="24"/>
        </w:rPr>
        <w:t>. Reflective assessment of AI-supported professional development</w:t>
      </w:r>
    </w:p>
    <w:tbl>
      <w:tblPr>
        <w:tblStyle w:val="TableGrid"/>
        <w:tblW w:w="0" w:type="auto"/>
        <w:tblLook w:val="04A0" w:firstRow="1" w:lastRow="0" w:firstColumn="1" w:lastColumn="0" w:noHBand="0" w:noVBand="1"/>
      </w:tblPr>
      <w:tblGrid>
        <w:gridCol w:w="1970"/>
        <w:gridCol w:w="2645"/>
        <w:gridCol w:w="2480"/>
        <w:gridCol w:w="3057"/>
      </w:tblGrid>
      <w:tr w:rsidR="00FA59B8" w:rsidRPr="00FA59B8" w14:paraId="6DBF7D93" w14:textId="77777777" w:rsidTr="003D09FF">
        <w:tc>
          <w:tcPr>
            <w:tcW w:w="0" w:type="auto"/>
            <w:hideMark/>
          </w:tcPr>
          <w:p w14:paraId="06B1CBEB" w14:textId="77777777" w:rsidR="003D09FF" w:rsidRPr="00FA59B8" w:rsidRDefault="003D09FF" w:rsidP="00FA59B8">
            <w:pPr>
              <w:pStyle w:val="NormalWeb"/>
              <w:spacing w:line="360" w:lineRule="auto"/>
              <w:jc w:val="both"/>
              <w:rPr>
                <w:rFonts w:ascii="Arial" w:hAnsi="Arial" w:cs="Arial"/>
                <w:b/>
                <w:bCs/>
                <w:color w:val="000000" w:themeColor="text1"/>
              </w:rPr>
            </w:pPr>
            <w:r w:rsidRPr="00FA59B8">
              <w:rPr>
                <w:rFonts w:ascii="Arial" w:hAnsi="Arial" w:cs="Arial"/>
                <w:b/>
                <w:bCs/>
                <w:color w:val="000000" w:themeColor="text1"/>
              </w:rPr>
              <w:t>AI application</w:t>
            </w:r>
          </w:p>
        </w:tc>
        <w:tc>
          <w:tcPr>
            <w:tcW w:w="0" w:type="auto"/>
            <w:hideMark/>
          </w:tcPr>
          <w:p w14:paraId="6DE89B62" w14:textId="77777777" w:rsidR="003D09FF" w:rsidRPr="00FA59B8" w:rsidRDefault="003D09FF" w:rsidP="00FA59B8">
            <w:pPr>
              <w:pStyle w:val="NormalWeb"/>
              <w:spacing w:line="360" w:lineRule="auto"/>
              <w:jc w:val="both"/>
              <w:rPr>
                <w:rFonts w:ascii="Arial" w:hAnsi="Arial" w:cs="Arial"/>
                <w:b/>
                <w:bCs/>
                <w:color w:val="000000" w:themeColor="text1"/>
              </w:rPr>
            </w:pPr>
            <w:r w:rsidRPr="00FA59B8">
              <w:rPr>
                <w:rFonts w:ascii="Arial" w:hAnsi="Arial" w:cs="Arial"/>
                <w:b/>
                <w:bCs/>
                <w:color w:val="000000" w:themeColor="text1"/>
              </w:rPr>
              <w:t>Benefit</w:t>
            </w:r>
          </w:p>
        </w:tc>
        <w:tc>
          <w:tcPr>
            <w:tcW w:w="0" w:type="auto"/>
            <w:hideMark/>
          </w:tcPr>
          <w:p w14:paraId="0F9DF478" w14:textId="77777777" w:rsidR="003D09FF" w:rsidRPr="00FA59B8" w:rsidRDefault="003D09FF" w:rsidP="00FA59B8">
            <w:pPr>
              <w:pStyle w:val="NormalWeb"/>
              <w:spacing w:line="360" w:lineRule="auto"/>
              <w:jc w:val="both"/>
              <w:rPr>
                <w:rFonts w:ascii="Arial" w:hAnsi="Arial" w:cs="Arial"/>
                <w:b/>
                <w:bCs/>
                <w:color w:val="000000" w:themeColor="text1"/>
              </w:rPr>
            </w:pPr>
            <w:r w:rsidRPr="00FA59B8">
              <w:rPr>
                <w:rFonts w:ascii="Arial" w:hAnsi="Arial" w:cs="Arial"/>
                <w:b/>
                <w:bCs/>
                <w:color w:val="000000" w:themeColor="text1"/>
              </w:rPr>
              <w:t>Limitation and risk</w:t>
            </w:r>
          </w:p>
        </w:tc>
        <w:tc>
          <w:tcPr>
            <w:tcW w:w="0" w:type="auto"/>
            <w:hideMark/>
          </w:tcPr>
          <w:p w14:paraId="39B8486E" w14:textId="77777777" w:rsidR="003D09FF" w:rsidRPr="00FA59B8" w:rsidRDefault="003D09FF" w:rsidP="00FA59B8">
            <w:pPr>
              <w:pStyle w:val="NormalWeb"/>
              <w:spacing w:line="360" w:lineRule="auto"/>
              <w:jc w:val="both"/>
              <w:rPr>
                <w:rFonts w:ascii="Arial" w:hAnsi="Arial" w:cs="Arial"/>
                <w:b/>
                <w:bCs/>
                <w:color w:val="000000" w:themeColor="text1"/>
              </w:rPr>
            </w:pPr>
            <w:r w:rsidRPr="00FA59B8">
              <w:rPr>
                <w:rFonts w:ascii="Arial" w:hAnsi="Arial" w:cs="Arial"/>
                <w:b/>
                <w:bCs/>
                <w:color w:val="000000" w:themeColor="text1"/>
              </w:rPr>
              <w:t>Personal learning and future action</w:t>
            </w:r>
          </w:p>
        </w:tc>
      </w:tr>
      <w:tr w:rsidR="00FA59B8" w:rsidRPr="00FA59B8" w14:paraId="50757F46" w14:textId="77777777" w:rsidTr="003D09FF">
        <w:tc>
          <w:tcPr>
            <w:tcW w:w="0" w:type="auto"/>
            <w:hideMark/>
          </w:tcPr>
          <w:p w14:paraId="66415388"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Research synthesis</w:t>
            </w:r>
          </w:p>
        </w:tc>
        <w:tc>
          <w:tcPr>
            <w:tcW w:w="0" w:type="auto"/>
            <w:hideMark/>
          </w:tcPr>
          <w:p w14:paraId="732E6E3B"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Organises information and identifies themes efficiently</w:t>
            </w:r>
          </w:p>
        </w:tc>
        <w:tc>
          <w:tcPr>
            <w:tcW w:w="0" w:type="auto"/>
            <w:hideMark/>
          </w:tcPr>
          <w:p w14:paraId="5747C7DE" w14:textId="3A08CAD0"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Misrepresent sources or generate unsupported claims</w:t>
            </w:r>
          </w:p>
        </w:tc>
        <w:tc>
          <w:tcPr>
            <w:tcW w:w="0" w:type="auto"/>
            <w:hideMark/>
          </w:tcPr>
          <w:p w14:paraId="77CB61D7"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Verify original publications and distinguish evidence from interpretation</w:t>
            </w:r>
          </w:p>
        </w:tc>
      </w:tr>
      <w:tr w:rsidR="00FA59B8" w:rsidRPr="00FA59B8" w14:paraId="041255B4" w14:textId="77777777" w:rsidTr="003D09FF">
        <w:tc>
          <w:tcPr>
            <w:tcW w:w="0" w:type="auto"/>
            <w:hideMark/>
          </w:tcPr>
          <w:p w14:paraId="46A0782C"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Quantitative analysis</w:t>
            </w:r>
          </w:p>
        </w:tc>
        <w:tc>
          <w:tcPr>
            <w:tcW w:w="0" w:type="auto"/>
            <w:hideMark/>
          </w:tcPr>
          <w:p w14:paraId="152EFE5D"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Supports exploration of workforce indicators and analytical questions</w:t>
            </w:r>
          </w:p>
        </w:tc>
        <w:tc>
          <w:tcPr>
            <w:tcW w:w="0" w:type="auto"/>
            <w:hideMark/>
          </w:tcPr>
          <w:p w14:paraId="46E0E91C" w14:textId="71D25EC0"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Errors, bias and correlation causation problems distort findings</w:t>
            </w:r>
          </w:p>
        </w:tc>
        <w:tc>
          <w:tcPr>
            <w:tcW w:w="0" w:type="auto"/>
            <w:hideMark/>
          </w:tcPr>
          <w:p w14:paraId="3D5BC145"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Validate calculations, examine assumptions and seek human review</w:t>
            </w:r>
          </w:p>
        </w:tc>
      </w:tr>
      <w:tr w:rsidR="00FA59B8" w:rsidRPr="00FA59B8" w14:paraId="58BFAE8E" w14:textId="77777777" w:rsidTr="003D09FF">
        <w:tc>
          <w:tcPr>
            <w:tcW w:w="0" w:type="auto"/>
            <w:hideMark/>
          </w:tcPr>
          <w:p w14:paraId="4E6E8181"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Report and presentation development</w:t>
            </w:r>
          </w:p>
        </w:tc>
        <w:tc>
          <w:tcPr>
            <w:tcW w:w="0" w:type="auto"/>
            <w:hideMark/>
          </w:tcPr>
          <w:p w14:paraId="006B04AA"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 xml:space="preserve">Improves structure, clarity and audience-focused </w:t>
            </w:r>
            <w:r w:rsidRPr="00FA59B8">
              <w:rPr>
                <w:rFonts w:ascii="Arial" w:hAnsi="Arial" w:cs="Arial"/>
                <w:color w:val="000000" w:themeColor="text1"/>
              </w:rPr>
              <w:lastRenderedPageBreak/>
              <w:t>communication</w:t>
            </w:r>
          </w:p>
        </w:tc>
        <w:tc>
          <w:tcPr>
            <w:tcW w:w="0" w:type="auto"/>
            <w:hideMark/>
          </w:tcPr>
          <w:p w14:paraId="249E9639"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lastRenderedPageBreak/>
              <w:t xml:space="preserve">Can produce generic language or weaken originality if used </w:t>
            </w:r>
            <w:r w:rsidRPr="00FA59B8">
              <w:rPr>
                <w:rFonts w:ascii="Arial" w:hAnsi="Arial" w:cs="Arial"/>
                <w:color w:val="000000" w:themeColor="text1"/>
              </w:rPr>
              <w:lastRenderedPageBreak/>
              <w:t>uncritically</w:t>
            </w:r>
          </w:p>
        </w:tc>
        <w:tc>
          <w:tcPr>
            <w:tcW w:w="0" w:type="auto"/>
            <w:hideMark/>
          </w:tcPr>
          <w:p w14:paraId="72F5BF7A"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lastRenderedPageBreak/>
              <w:t xml:space="preserve">Revise outputs independently and take responsibility for final </w:t>
            </w:r>
            <w:r w:rsidRPr="00FA59B8">
              <w:rPr>
                <w:rFonts w:ascii="Arial" w:hAnsi="Arial" w:cs="Arial"/>
                <w:color w:val="000000" w:themeColor="text1"/>
              </w:rPr>
              <w:lastRenderedPageBreak/>
              <w:t>recommendations</w:t>
            </w:r>
          </w:p>
        </w:tc>
      </w:tr>
    </w:tbl>
    <w:p w14:paraId="474458A0" w14:textId="6B3E3398" w:rsidR="00A12C73" w:rsidRPr="00FA59B8" w:rsidRDefault="00EB02C1" w:rsidP="00FA59B8">
      <w:pPr>
        <w:spacing w:line="360" w:lineRule="auto"/>
        <w:jc w:val="both"/>
        <w:rPr>
          <w:rFonts w:ascii="Arial" w:hAnsi="Arial" w:cs="Arial"/>
          <w:color w:val="000000" w:themeColor="text1"/>
          <w:sz w:val="24"/>
          <w:szCs w:val="24"/>
        </w:rPr>
      </w:pPr>
      <w:r w:rsidRPr="00EB02C1">
        <w:rPr>
          <w:rFonts w:ascii="Arial" w:hAnsi="Arial" w:cs="Arial"/>
          <w:color w:val="000000" w:themeColor="text1"/>
          <w:sz w:val="24"/>
          <w:szCs w:val="24"/>
        </w:rPr>
        <w:lastRenderedPageBreak/>
        <w:t>These instances have definitely altered my view about professional competence. It is for this reason that my HR practice in the future needs to incorporate analytical skills, empathy, and professionalism</w:t>
      </w:r>
      <w:r w:rsidRPr="00FA59B8">
        <w:rPr>
          <w:rFonts w:ascii="Arial" w:hAnsi="Arial" w:cs="Arial"/>
          <w:color w:val="000000" w:themeColor="text1"/>
          <w:sz w:val="24"/>
          <w:szCs w:val="24"/>
        </w:rPr>
        <w:t>.</w:t>
      </w:r>
    </w:p>
    <w:p w14:paraId="2408CC31" w14:textId="4A6EA310" w:rsidR="00A12C73" w:rsidRPr="00FA59B8" w:rsidRDefault="00B54F0C" w:rsidP="00FA59B8">
      <w:pPr>
        <w:pStyle w:val="Heading2"/>
        <w:spacing w:line="360" w:lineRule="auto"/>
        <w:jc w:val="both"/>
        <w:rPr>
          <w:rFonts w:ascii="Arial" w:hAnsi="Arial" w:cs="Arial"/>
          <w:color w:val="000000" w:themeColor="text1"/>
          <w:sz w:val="24"/>
          <w:szCs w:val="24"/>
        </w:rPr>
      </w:pPr>
      <w:bookmarkStart w:id="12" w:name="_Toc242899483"/>
      <w:r w:rsidRPr="00FA59B8">
        <w:rPr>
          <w:rFonts w:ascii="Arial" w:hAnsi="Arial" w:cs="Arial"/>
          <w:color w:val="000000" w:themeColor="text1"/>
          <w:sz w:val="24"/>
          <w:szCs w:val="24"/>
        </w:rPr>
        <w:t>3.3 Personal capability action plan</w:t>
      </w:r>
      <w:bookmarkEnd w:id="12"/>
    </w:p>
    <w:p w14:paraId="7DDA7C26" w14:textId="09CFD6D7" w:rsidR="003D09FF" w:rsidRPr="00FA59B8" w:rsidRDefault="00040537" w:rsidP="00FA59B8">
      <w:pPr>
        <w:spacing w:line="360" w:lineRule="auto"/>
        <w:jc w:val="both"/>
        <w:rPr>
          <w:rFonts w:ascii="Arial" w:hAnsi="Arial" w:cs="Arial"/>
          <w:color w:val="000000" w:themeColor="text1"/>
          <w:sz w:val="24"/>
          <w:szCs w:val="24"/>
        </w:rPr>
      </w:pPr>
      <w:r w:rsidRPr="00FA59B8">
        <w:rPr>
          <w:rFonts w:ascii="Arial" w:hAnsi="Arial" w:cs="Arial"/>
          <w:b/>
          <w:color w:val="000000" w:themeColor="text1"/>
          <w:sz w:val="24"/>
          <w:szCs w:val="24"/>
        </w:rPr>
        <w:t xml:space="preserve">Table </w:t>
      </w:r>
      <w:r w:rsidR="00FA59B8">
        <w:rPr>
          <w:rFonts w:ascii="Arial" w:hAnsi="Arial" w:cs="Arial"/>
          <w:b/>
          <w:color w:val="000000" w:themeColor="text1"/>
          <w:sz w:val="24"/>
          <w:szCs w:val="24"/>
        </w:rPr>
        <w:t>5</w:t>
      </w:r>
      <w:r w:rsidRPr="00FA59B8">
        <w:rPr>
          <w:rFonts w:ascii="Arial" w:hAnsi="Arial" w:cs="Arial"/>
          <w:b/>
          <w:color w:val="000000" w:themeColor="text1"/>
          <w:sz w:val="24"/>
          <w:szCs w:val="24"/>
        </w:rPr>
        <w:t>. Personal HRM capability development plan</w:t>
      </w:r>
    </w:p>
    <w:tbl>
      <w:tblPr>
        <w:tblStyle w:val="TableGrid"/>
        <w:tblW w:w="0" w:type="auto"/>
        <w:tblLook w:val="04A0" w:firstRow="1" w:lastRow="0" w:firstColumn="1" w:lastColumn="0" w:noHBand="0" w:noVBand="1"/>
      </w:tblPr>
      <w:tblGrid>
        <w:gridCol w:w="2141"/>
        <w:gridCol w:w="3752"/>
        <w:gridCol w:w="3013"/>
        <w:gridCol w:w="1246"/>
      </w:tblGrid>
      <w:tr w:rsidR="00FA59B8" w:rsidRPr="00FA59B8" w14:paraId="70E39386" w14:textId="77777777" w:rsidTr="003D09FF">
        <w:tc>
          <w:tcPr>
            <w:tcW w:w="0" w:type="auto"/>
            <w:hideMark/>
          </w:tcPr>
          <w:p w14:paraId="41D9A847" w14:textId="77777777" w:rsidR="003D09FF" w:rsidRPr="00FA59B8" w:rsidRDefault="003D09FF" w:rsidP="00FA59B8">
            <w:pPr>
              <w:pStyle w:val="NormalWeb"/>
              <w:spacing w:line="360" w:lineRule="auto"/>
              <w:jc w:val="both"/>
              <w:rPr>
                <w:rFonts w:ascii="Arial" w:hAnsi="Arial" w:cs="Arial"/>
                <w:b/>
                <w:bCs/>
                <w:color w:val="000000" w:themeColor="text1"/>
              </w:rPr>
            </w:pPr>
            <w:r w:rsidRPr="00FA59B8">
              <w:rPr>
                <w:rFonts w:ascii="Arial" w:hAnsi="Arial" w:cs="Arial"/>
                <w:b/>
                <w:bCs/>
                <w:color w:val="000000" w:themeColor="text1"/>
              </w:rPr>
              <w:t>Capability</w:t>
            </w:r>
          </w:p>
        </w:tc>
        <w:tc>
          <w:tcPr>
            <w:tcW w:w="0" w:type="auto"/>
            <w:hideMark/>
          </w:tcPr>
          <w:p w14:paraId="561989FA" w14:textId="77777777" w:rsidR="003D09FF" w:rsidRPr="00FA59B8" w:rsidRDefault="003D09FF" w:rsidP="00FA59B8">
            <w:pPr>
              <w:pStyle w:val="NormalWeb"/>
              <w:spacing w:line="360" w:lineRule="auto"/>
              <w:jc w:val="both"/>
              <w:rPr>
                <w:rFonts w:ascii="Arial" w:hAnsi="Arial" w:cs="Arial"/>
                <w:b/>
                <w:bCs/>
                <w:color w:val="000000" w:themeColor="text1"/>
              </w:rPr>
            </w:pPr>
            <w:r w:rsidRPr="00FA59B8">
              <w:rPr>
                <w:rFonts w:ascii="Arial" w:hAnsi="Arial" w:cs="Arial"/>
                <w:b/>
                <w:bCs/>
                <w:color w:val="000000" w:themeColor="text1"/>
              </w:rPr>
              <w:t>Development activity</w:t>
            </w:r>
          </w:p>
        </w:tc>
        <w:tc>
          <w:tcPr>
            <w:tcW w:w="0" w:type="auto"/>
            <w:hideMark/>
          </w:tcPr>
          <w:p w14:paraId="2CCF2206" w14:textId="77777777" w:rsidR="003D09FF" w:rsidRPr="00FA59B8" w:rsidRDefault="003D09FF" w:rsidP="00FA59B8">
            <w:pPr>
              <w:pStyle w:val="NormalWeb"/>
              <w:spacing w:line="360" w:lineRule="auto"/>
              <w:jc w:val="both"/>
              <w:rPr>
                <w:rFonts w:ascii="Arial" w:hAnsi="Arial" w:cs="Arial"/>
                <w:b/>
                <w:bCs/>
                <w:color w:val="000000" w:themeColor="text1"/>
              </w:rPr>
            </w:pPr>
            <w:r w:rsidRPr="00FA59B8">
              <w:rPr>
                <w:rFonts w:ascii="Arial" w:hAnsi="Arial" w:cs="Arial"/>
                <w:b/>
                <w:bCs/>
                <w:color w:val="000000" w:themeColor="text1"/>
              </w:rPr>
              <w:t>Evidence of progress</w:t>
            </w:r>
          </w:p>
        </w:tc>
        <w:tc>
          <w:tcPr>
            <w:tcW w:w="0" w:type="auto"/>
            <w:hideMark/>
          </w:tcPr>
          <w:p w14:paraId="215910BB" w14:textId="77777777" w:rsidR="003D09FF" w:rsidRPr="00FA59B8" w:rsidRDefault="003D09FF" w:rsidP="00FA59B8">
            <w:pPr>
              <w:pStyle w:val="NormalWeb"/>
              <w:spacing w:line="360" w:lineRule="auto"/>
              <w:jc w:val="both"/>
              <w:rPr>
                <w:rFonts w:ascii="Arial" w:hAnsi="Arial" w:cs="Arial"/>
                <w:b/>
                <w:bCs/>
                <w:color w:val="000000" w:themeColor="text1"/>
              </w:rPr>
            </w:pPr>
            <w:r w:rsidRPr="00FA59B8">
              <w:rPr>
                <w:rFonts w:ascii="Arial" w:hAnsi="Arial" w:cs="Arial"/>
                <w:b/>
                <w:bCs/>
                <w:color w:val="000000" w:themeColor="text1"/>
              </w:rPr>
              <w:t>Deadline</w:t>
            </w:r>
          </w:p>
        </w:tc>
      </w:tr>
      <w:tr w:rsidR="00FA59B8" w:rsidRPr="00FA59B8" w14:paraId="3882DFC9" w14:textId="77777777" w:rsidTr="003D09FF">
        <w:tc>
          <w:tcPr>
            <w:tcW w:w="0" w:type="auto"/>
            <w:hideMark/>
          </w:tcPr>
          <w:p w14:paraId="659F615B"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People analytics</w:t>
            </w:r>
          </w:p>
        </w:tc>
        <w:tc>
          <w:tcPr>
            <w:tcW w:w="0" w:type="auto"/>
            <w:hideMark/>
          </w:tcPr>
          <w:p w14:paraId="2E66CCA2"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Complete practical projects using HR datasets and appropriate analytical tools</w:t>
            </w:r>
          </w:p>
        </w:tc>
        <w:tc>
          <w:tcPr>
            <w:tcW w:w="0" w:type="auto"/>
            <w:hideMark/>
          </w:tcPr>
          <w:p w14:paraId="38C51DE5"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Two documented portfolio projects with validated methods</w:t>
            </w:r>
          </w:p>
        </w:tc>
        <w:tc>
          <w:tcPr>
            <w:tcW w:w="0" w:type="auto"/>
            <w:hideMark/>
          </w:tcPr>
          <w:p w14:paraId="7D18B91F"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6 months</w:t>
            </w:r>
          </w:p>
        </w:tc>
      </w:tr>
      <w:tr w:rsidR="00FA59B8" w:rsidRPr="00FA59B8" w14:paraId="0F2E2789" w14:textId="77777777" w:rsidTr="003D09FF">
        <w:tc>
          <w:tcPr>
            <w:tcW w:w="0" w:type="auto"/>
            <w:hideMark/>
          </w:tcPr>
          <w:p w14:paraId="0FCFEFB9"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Strategic HR management</w:t>
            </w:r>
          </w:p>
        </w:tc>
        <w:tc>
          <w:tcPr>
            <w:tcW w:w="0" w:type="auto"/>
            <w:hideMark/>
          </w:tcPr>
          <w:p w14:paraId="372C4D8C"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Apply talent-management and high-performance working frameworks to organisational cases</w:t>
            </w:r>
          </w:p>
        </w:tc>
        <w:tc>
          <w:tcPr>
            <w:tcW w:w="0" w:type="auto"/>
            <w:hideMark/>
          </w:tcPr>
          <w:p w14:paraId="39A7B652"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Three case studies linking HR interventions to outcomes</w:t>
            </w:r>
          </w:p>
        </w:tc>
        <w:tc>
          <w:tcPr>
            <w:tcW w:w="0" w:type="auto"/>
            <w:hideMark/>
          </w:tcPr>
          <w:p w14:paraId="720A460C"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9 months</w:t>
            </w:r>
          </w:p>
        </w:tc>
      </w:tr>
      <w:tr w:rsidR="00FA59B8" w:rsidRPr="00FA59B8" w14:paraId="6D374165" w14:textId="77777777" w:rsidTr="003D09FF">
        <w:tc>
          <w:tcPr>
            <w:tcW w:w="0" w:type="auto"/>
            <w:hideMark/>
          </w:tcPr>
          <w:p w14:paraId="78AF58E8"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Responsible AI</w:t>
            </w:r>
          </w:p>
        </w:tc>
        <w:tc>
          <w:tcPr>
            <w:tcW w:w="0" w:type="auto"/>
            <w:hideMark/>
          </w:tcPr>
          <w:p w14:paraId="79F2A793"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Develop knowledge of bias, privacy, explainability and AI governance</w:t>
            </w:r>
          </w:p>
        </w:tc>
        <w:tc>
          <w:tcPr>
            <w:tcW w:w="0" w:type="auto"/>
            <w:hideMark/>
          </w:tcPr>
          <w:p w14:paraId="6D13B6CC"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A documented responsible-AI checklist applied to a relevant project</w:t>
            </w:r>
          </w:p>
        </w:tc>
        <w:tc>
          <w:tcPr>
            <w:tcW w:w="0" w:type="auto"/>
            <w:hideMark/>
          </w:tcPr>
          <w:p w14:paraId="2858AED1"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Ongoing</w:t>
            </w:r>
          </w:p>
        </w:tc>
      </w:tr>
      <w:tr w:rsidR="00FA59B8" w:rsidRPr="00FA59B8" w14:paraId="1E5AE9C5" w14:textId="77777777" w:rsidTr="003D09FF">
        <w:tc>
          <w:tcPr>
            <w:tcW w:w="0" w:type="auto"/>
            <w:hideMark/>
          </w:tcPr>
          <w:p w14:paraId="7BD4A5BE"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Executive communication</w:t>
            </w:r>
          </w:p>
        </w:tc>
        <w:tc>
          <w:tcPr>
            <w:tcW w:w="0" w:type="auto"/>
            <w:hideMark/>
          </w:tcPr>
          <w:p w14:paraId="27E75300"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Practise presenting workforce findings to non-technical audiences</w:t>
            </w:r>
          </w:p>
        </w:tc>
        <w:tc>
          <w:tcPr>
            <w:tcW w:w="0" w:type="auto"/>
            <w:hideMark/>
          </w:tcPr>
          <w:p w14:paraId="7067ECE8"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Four assessed presentations or briefing notes</w:t>
            </w:r>
          </w:p>
        </w:tc>
        <w:tc>
          <w:tcPr>
            <w:tcW w:w="0" w:type="auto"/>
            <w:hideMark/>
          </w:tcPr>
          <w:p w14:paraId="5DF86C2D"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9 months</w:t>
            </w:r>
          </w:p>
        </w:tc>
      </w:tr>
      <w:tr w:rsidR="00FA59B8" w:rsidRPr="00FA59B8" w14:paraId="06F0EA80" w14:textId="77777777" w:rsidTr="003D09FF">
        <w:tc>
          <w:tcPr>
            <w:tcW w:w="0" w:type="auto"/>
            <w:hideMark/>
          </w:tcPr>
          <w:p w14:paraId="20C6E1DE"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Coaching and feedback</w:t>
            </w:r>
          </w:p>
        </w:tc>
        <w:tc>
          <w:tcPr>
            <w:tcW w:w="0" w:type="auto"/>
            <w:hideMark/>
          </w:tcPr>
          <w:p w14:paraId="08D3B713"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Develop coaching skills and practise structured developmental conversations</w:t>
            </w:r>
          </w:p>
        </w:tc>
        <w:tc>
          <w:tcPr>
            <w:tcW w:w="0" w:type="auto"/>
            <w:hideMark/>
          </w:tcPr>
          <w:p w14:paraId="3D231AEF"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Feedback from practice sessions and evidence of improvement</w:t>
            </w:r>
          </w:p>
        </w:tc>
        <w:tc>
          <w:tcPr>
            <w:tcW w:w="0" w:type="auto"/>
            <w:hideMark/>
          </w:tcPr>
          <w:p w14:paraId="06CD2429"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12 months</w:t>
            </w:r>
          </w:p>
        </w:tc>
      </w:tr>
      <w:tr w:rsidR="00FA59B8" w:rsidRPr="00FA59B8" w14:paraId="6D92044A" w14:textId="77777777" w:rsidTr="003D09FF">
        <w:tc>
          <w:tcPr>
            <w:tcW w:w="0" w:type="auto"/>
            <w:hideMark/>
          </w:tcPr>
          <w:p w14:paraId="6360ED6A"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Critical research judgement</w:t>
            </w:r>
          </w:p>
        </w:tc>
        <w:tc>
          <w:tcPr>
            <w:tcW w:w="0" w:type="auto"/>
            <w:hideMark/>
          </w:tcPr>
          <w:p w14:paraId="1880EF33"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Evaluate source quality and compare evidence across publications</w:t>
            </w:r>
          </w:p>
        </w:tc>
        <w:tc>
          <w:tcPr>
            <w:tcW w:w="0" w:type="auto"/>
            <w:hideMark/>
          </w:tcPr>
          <w:p w14:paraId="25653C63"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Documented source-quality assessment in major projects</w:t>
            </w:r>
          </w:p>
        </w:tc>
        <w:tc>
          <w:tcPr>
            <w:tcW w:w="0" w:type="auto"/>
            <w:hideMark/>
          </w:tcPr>
          <w:p w14:paraId="37CA7908" w14:textId="77777777" w:rsidR="003D09FF" w:rsidRPr="00FA59B8" w:rsidRDefault="003D09FF"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Ongoing</w:t>
            </w:r>
          </w:p>
        </w:tc>
      </w:tr>
    </w:tbl>
    <w:p w14:paraId="1ADDE651" w14:textId="49412085" w:rsidR="00A12C73" w:rsidRPr="00FA59B8" w:rsidRDefault="0098050F" w:rsidP="00FA59B8">
      <w:pPr>
        <w:spacing w:line="360" w:lineRule="auto"/>
        <w:jc w:val="both"/>
        <w:rPr>
          <w:rFonts w:ascii="Arial" w:hAnsi="Arial" w:cs="Arial"/>
          <w:color w:val="000000" w:themeColor="text1"/>
          <w:sz w:val="24"/>
          <w:szCs w:val="24"/>
        </w:rPr>
      </w:pPr>
      <w:r w:rsidRPr="0098050F">
        <w:rPr>
          <w:rFonts w:ascii="Arial" w:hAnsi="Arial" w:cs="Arial"/>
          <w:color w:val="000000" w:themeColor="text1"/>
          <w:sz w:val="24"/>
          <w:szCs w:val="24"/>
        </w:rPr>
        <w:t xml:space="preserve">Moreover, I know how to find the advantages and disadvantages of AI application in research synthesis, quantitative analysis, and report/presentation development. Firstly, research synthesis is necessary in order to define the themes and compare viewpoints. But the summary and citations need to be compared with the original sources. Secondly, quantitative analysis will help me interpret the workforce data and investigate the relationship between the </w:t>
      </w:r>
      <w:r w:rsidRPr="0098050F">
        <w:rPr>
          <w:rFonts w:ascii="Arial" w:hAnsi="Arial" w:cs="Arial"/>
          <w:color w:val="000000" w:themeColor="text1"/>
          <w:sz w:val="24"/>
          <w:szCs w:val="24"/>
        </w:rPr>
        <w:lastRenderedPageBreak/>
        <w:t>variables. But the mistakes in calculations, data bias, and misunderstanding of correlation and causation can affect decision-making. All my results gained by AI will be verified and considered with people. Thirdly, report/presentation development will help me prepare structured, clear and audience-centered content. However, general information can affect the originality and assessment of experts. All my results gained by AI will be verified and tailored to the organizational requirements</w:t>
      </w:r>
      <w:r w:rsidR="003D09FF" w:rsidRPr="00FA59B8">
        <w:rPr>
          <w:rFonts w:ascii="Arial" w:hAnsi="Arial" w:cs="Arial"/>
          <w:color w:val="000000" w:themeColor="text1"/>
          <w:sz w:val="24"/>
          <w:szCs w:val="24"/>
        </w:rPr>
        <w:t xml:space="preserve">. </w:t>
      </w:r>
    </w:p>
    <w:p w14:paraId="4DD96DF8" w14:textId="77777777" w:rsidR="00A12C73" w:rsidRPr="00FA59B8" w:rsidRDefault="00040537" w:rsidP="00FA59B8">
      <w:pPr>
        <w:pStyle w:val="Heading1"/>
        <w:spacing w:line="360" w:lineRule="auto"/>
        <w:jc w:val="both"/>
        <w:rPr>
          <w:rFonts w:ascii="Arial" w:hAnsi="Arial" w:cs="Arial"/>
          <w:color w:val="000000" w:themeColor="text1"/>
          <w:sz w:val="24"/>
          <w:szCs w:val="24"/>
        </w:rPr>
      </w:pPr>
      <w:bookmarkStart w:id="13" w:name="_Toc242899484"/>
      <w:r w:rsidRPr="00FA59B8">
        <w:rPr>
          <w:rFonts w:ascii="Arial" w:hAnsi="Arial" w:cs="Arial"/>
          <w:color w:val="000000" w:themeColor="text1"/>
          <w:sz w:val="24"/>
          <w:szCs w:val="24"/>
        </w:rPr>
        <w:t>Conclusion</w:t>
      </w:r>
      <w:bookmarkEnd w:id="13"/>
    </w:p>
    <w:p w14:paraId="5FA45E03" w14:textId="3A273251" w:rsidR="00A12C73" w:rsidRPr="00FA59B8" w:rsidRDefault="0098050F" w:rsidP="00FA59B8">
      <w:pPr>
        <w:spacing w:line="360" w:lineRule="auto"/>
        <w:jc w:val="both"/>
        <w:rPr>
          <w:rFonts w:ascii="Arial" w:hAnsi="Arial" w:cs="Arial"/>
          <w:color w:val="000000" w:themeColor="text1"/>
          <w:sz w:val="24"/>
          <w:szCs w:val="24"/>
        </w:rPr>
      </w:pPr>
      <w:r w:rsidRPr="0098050F">
        <w:rPr>
          <w:rFonts w:ascii="Arial" w:hAnsi="Arial" w:cs="Arial"/>
          <w:color w:val="000000" w:themeColor="text1"/>
          <w:sz w:val="24"/>
          <w:szCs w:val="24"/>
        </w:rPr>
        <w:t>In general, NHSX needs a strategy that involves innovation in work design, talent management, and responsible AI. Mission Teams, delegation of decisions, learning time protection, coaching, and internal mobility might help develop collaboration, wellbeing of employees, and performance sustainability. The incremental implementation of changes and measures of measurement will enable continuous improvement. The real challenge is about balancing the objectives of the organization and its employees’ development</w:t>
      </w:r>
      <w:r w:rsidR="00FA59B8" w:rsidRPr="00FA59B8">
        <w:rPr>
          <w:rFonts w:ascii="Arial" w:hAnsi="Arial" w:cs="Arial"/>
          <w:color w:val="000000" w:themeColor="text1"/>
          <w:sz w:val="24"/>
          <w:szCs w:val="24"/>
        </w:rPr>
        <w:t>.</w:t>
      </w:r>
    </w:p>
    <w:p w14:paraId="137F85C9" w14:textId="77777777" w:rsidR="00B54F0C" w:rsidRPr="00FA59B8" w:rsidRDefault="00B54F0C" w:rsidP="00FA59B8">
      <w:pPr>
        <w:spacing w:after="200" w:line="360" w:lineRule="auto"/>
        <w:jc w:val="both"/>
        <w:rPr>
          <w:rFonts w:ascii="Arial" w:eastAsiaTheme="majorEastAsia" w:hAnsi="Arial" w:cs="Arial"/>
          <w:b/>
          <w:bCs/>
          <w:color w:val="000000" w:themeColor="text1"/>
          <w:sz w:val="24"/>
          <w:szCs w:val="24"/>
        </w:rPr>
      </w:pPr>
      <w:r w:rsidRPr="00FA59B8">
        <w:rPr>
          <w:rFonts w:ascii="Arial" w:hAnsi="Arial" w:cs="Arial"/>
          <w:color w:val="000000" w:themeColor="text1"/>
          <w:sz w:val="24"/>
          <w:szCs w:val="24"/>
        </w:rPr>
        <w:br w:type="page"/>
      </w:r>
    </w:p>
    <w:p w14:paraId="345AD719" w14:textId="2B9879A5" w:rsidR="00B54F0C" w:rsidRPr="00FA59B8" w:rsidRDefault="00040537" w:rsidP="00FA59B8">
      <w:pPr>
        <w:pStyle w:val="Heading1"/>
        <w:spacing w:line="360" w:lineRule="auto"/>
        <w:jc w:val="both"/>
        <w:rPr>
          <w:rFonts w:ascii="Arial" w:hAnsi="Arial" w:cs="Arial"/>
          <w:color w:val="000000" w:themeColor="text1"/>
          <w:sz w:val="24"/>
          <w:szCs w:val="24"/>
        </w:rPr>
      </w:pPr>
      <w:bookmarkStart w:id="14" w:name="_Toc242899485"/>
      <w:r w:rsidRPr="00FA59B8">
        <w:rPr>
          <w:rFonts w:ascii="Arial" w:hAnsi="Arial" w:cs="Arial"/>
          <w:color w:val="000000" w:themeColor="text1"/>
          <w:sz w:val="24"/>
          <w:szCs w:val="24"/>
        </w:rPr>
        <w:lastRenderedPageBreak/>
        <w:t>References</w:t>
      </w:r>
      <w:bookmarkEnd w:id="14"/>
    </w:p>
    <w:p w14:paraId="0337BEAE" w14:textId="1293F585" w:rsidR="00F552CC" w:rsidRPr="00FA59B8" w:rsidRDefault="00F552CC"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 xml:space="preserve">American Psychological Association (2024) </w:t>
      </w:r>
      <w:r w:rsidRPr="00FA59B8">
        <w:rPr>
          <w:rStyle w:val="Emphasis"/>
          <w:rFonts w:ascii="Arial" w:hAnsi="Arial" w:cs="Arial"/>
          <w:color w:val="000000" w:themeColor="text1"/>
        </w:rPr>
        <w:t>Work in America 2024: Psychological Safety in the Changing Workplace</w:t>
      </w:r>
      <w:r w:rsidRPr="00FA59B8">
        <w:rPr>
          <w:rFonts w:ascii="Arial" w:hAnsi="Arial" w:cs="Arial"/>
          <w:color w:val="000000" w:themeColor="text1"/>
        </w:rPr>
        <w:t xml:space="preserve">. Washington, DC: American Psychological Association. </w:t>
      </w:r>
      <w:hyperlink r:id="rId10" w:history="1">
        <w:r w:rsidRPr="00FA59B8">
          <w:rPr>
            <w:rStyle w:val="Hyperlink"/>
            <w:rFonts w:ascii="Arial" w:hAnsi="Arial" w:cs="Arial"/>
            <w:color w:val="000000" w:themeColor="text1"/>
          </w:rPr>
          <w:t>https://www.apa.org/pubs/reports/work-in-america/2024/psychological-safety</w:t>
        </w:r>
      </w:hyperlink>
      <w:r w:rsidRPr="00FA59B8">
        <w:rPr>
          <w:rFonts w:ascii="Arial" w:hAnsi="Arial" w:cs="Arial"/>
          <w:color w:val="000000" w:themeColor="text1"/>
        </w:rPr>
        <w:t xml:space="preserve"> </w:t>
      </w:r>
    </w:p>
    <w:p w14:paraId="0C9AD169" w14:textId="39BC9F60" w:rsidR="00F552CC" w:rsidRPr="00FA59B8" w:rsidRDefault="00F552CC"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 xml:space="preserve">Anjani, P.K. and Prabavathi, D. (2025) ‘How does talent management influence organizational performance? The role of a healthy workplace environment in ITES firms in Bengaluru’, </w:t>
      </w:r>
      <w:r w:rsidRPr="00FA59B8">
        <w:rPr>
          <w:rStyle w:val="Emphasis"/>
          <w:rFonts w:ascii="Arial" w:hAnsi="Arial" w:cs="Arial"/>
          <w:color w:val="000000" w:themeColor="text1"/>
        </w:rPr>
        <w:t>Revista de Cercetare si Interventie Sociala</w:t>
      </w:r>
      <w:r w:rsidRPr="00FA59B8">
        <w:rPr>
          <w:rFonts w:ascii="Arial" w:hAnsi="Arial" w:cs="Arial"/>
          <w:color w:val="000000" w:themeColor="text1"/>
        </w:rPr>
        <w:t xml:space="preserve">, 88, pp. 187–208. doi: 10.33788/rcis.88.12. </w:t>
      </w:r>
      <w:hyperlink r:id="rId11" w:history="1">
        <w:r w:rsidRPr="00FA59B8">
          <w:rPr>
            <w:rStyle w:val="Hyperlink"/>
            <w:rFonts w:ascii="Arial" w:hAnsi="Arial" w:cs="Arial"/>
            <w:color w:val="000000" w:themeColor="text1"/>
          </w:rPr>
          <w:t>https://www.semanticscholar.org/paper/How-Does-Talent-Management-Influence-Organizational-Anjani-Prabavathi/4e86b6b4450ae6c1da55cf985816a99eba839ca8</w:t>
        </w:r>
      </w:hyperlink>
      <w:r w:rsidRPr="00FA59B8">
        <w:rPr>
          <w:rFonts w:ascii="Arial" w:hAnsi="Arial" w:cs="Arial"/>
          <w:color w:val="000000" w:themeColor="text1"/>
        </w:rPr>
        <w:t xml:space="preserve"> </w:t>
      </w:r>
    </w:p>
    <w:p w14:paraId="2A606577" w14:textId="43300D54" w:rsidR="00F552CC" w:rsidRPr="00FA59B8" w:rsidRDefault="00F552CC"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 xml:space="preserve">Callari, T.C. and Puppione, L. (2025) ‘Can generative artificial intelligence productivity tools support workplace learning? A qualitative study on employee perceptions in a multinational corporation’, </w:t>
      </w:r>
      <w:r w:rsidRPr="00FA59B8">
        <w:rPr>
          <w:rStyle w:val="Emphasis"/>
          <w:rFonts w:ascii="Arial" w:hAnsi="Arial" w:cs="Arial"/>
          <w:color w:val="000000" w:themeColor="text1"/>
        </w:rPr>
        <w:t>Journal of Workplace Learning</w:t>
      </w:r>
      <w:r w:rsidRPr="00FA59B8">
        <w:rPr>
          <w:rFonts w:ascii="Arial" w:hAnsi="Arial" w:cs="Arial"/>
          <w:color w:val="000000" w:themeColor="text1"/>
        </w:rPr>
        <w:t xml:space="preserve">, 37(3), pp. 266–283. doi: 10.1108/JWL-11-2024-0258. </w:t>
      </w:r>
      <w:hyperlink r:id="rId12" w:history="1">
        <w:r w:rsidRPr="00FA59B8">
          <w:rPr>
            <w:rStyle w:val="Hyperlink"/>
            <w:rFonts w:ascii="Arial" w:hAnsi="Arial" w:cs="Arial"/>
            <w:color w:val="000000" w:themeColor="text1"/>
          </w:rPr>
          <w:t>https://www.emerald.com/jwl/article-abstract/37/3/266/1245670/Can-generative-artificial-intelligence?redirectedFrom=fulltext</w:t>
        </w:r>
      </w:hyperlink>
      <w:r w:rsidRPr="00FA59B8">
        <w:rPr>
          <w:rFonts w:ascii="Arial" w:hAnsi="Arial" w:cs="Arial"/>
          <w:color w:val="000000" w:themeColor="text1"/>
        </w:rPr>
        <w:t xml:space="preserve">  </w:t>
      </w:r>
    </w:p>
    <w:p w14:paraId="4F21592B" w14:textId="07B94AA3" w:rsidR="00F552CC" w:rsidRPr="00FA59B8" w:rsidRDefault="00F552CC"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 xml:space="preserve">Green, A. and Lamby, L. (2023) ‘The supply, demand and characteristics of the AI workforce across OECD countries’, </w:t>
      </w:r>
      <w:r w:rsidRPr="00FA59B8">
        <w:rPr>
          <w:rStyle w:val="Emphasis"/>
          <w:rFonts w:ascii="Arial" w:hAnsi="Arial" w:cs="Arial"/>
          <w:color w:val="000000" w:themeColor="text1"/>
        </w:rPr>
        <w:t>OECD Social, Employment and Migration Working Papers</w:t>
      </w:r>
      <w:r w:rsidRPr="00FA59B8">
        <w:rPr>
          <w:rFonts w:ascii="Arial" w:hAnsi="Arial" w:cs="Arial"/>
          <w:color w:val="000000" w:themeColor="text1"/>
        </w:rPr>
        <w:t xml:space="preserve">, No. 287. Paris: OECD Publishing. doi: 10.1787/bb17314a-en. </w:t>
      </w:r>
      <w:hyperlink r:id="rId13" w:history="1">
        <w:r w:rsidRPr="00FA59B8">
          <w:rPr>
            <w:rStyle w:val="Hyperlink"/>
            <w:rFonts w:ascii="Arial" w:hAnsi="Arial" w:cs="Arial"/>
            <w:color w:val="000000" w:themeColor="text1"/>
          </w:rPr>
          <w:t>https://www.oecd.org/en/publications/the-supply-demand-and-characteristics-of-the-ai-workforce-across-oecd-countries_bb17314a-en.html</w:t>
        </w:r>
      </w:hyperlink>
      <w:r w:rsidRPr="00FA59B8">
        <w:rPr>
          <w:rFonts w:ascii="Arial" w:hAnsi="Arial" w:cs="Arial"/>
          <w:color w:val="000000" w:themeColor="text1"/>
        </w:rPr>
        <w:t xml:space="preserve"> </w:t>
      </w:r>
    </w:p>
    <w:p w14:paraId="4D669422" w14:textId="5040762F" w:rsidR="00F552CC" w:rsidRPr="00FA59B8" w:rsidRDefault="00F552CC"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 xml:space="preserve">Lane, M. and Williams, M. (2023) ‘Defining and classifying AI in the workplace’, </w:t>
      </w:r>
      <w:r w:rsidRPr="00FA59B8">
        <w:rPr>
          <w:rStyle w:val="Emphasis"/>
          <w:rFonts w:ascii="Arial" w:hAnsi="Arial" w:cs="Arial"/>
          <w:color w:val="000000" w:themeColor="text1"/>
        </w:rPr>
        <w:t>OECD Social, Employment and Migration Working Papers</w:t>
      </w:r>
      <w:r w:rsidRPr="00FA59B8">
        <w:rPr>
          <w:rFonts w:ascii="Arial" w:hAnsi="Arial" w:cs="Arial"/>
          <w:color w:val="000000" w:themeColor="text1"/>
        </w:rPr>
        <w:t xml:space="preserve">, No. 290. Paris: OECD Publishing. doi: 10.1787/59e89d7f-en. </w:t>
      </w:r>
      <w:hyperlink r:id="rId14" w:history="1">
        <w:r w:rsidRPr="00FA59B8">
          <w:rPr>
            <w:rStyle w:val="Hyperlink"/>
            <w:rFonts w:ascii="Arial" w:hAnsi="Arial" w:cs="Arial"/>
            <w:color w:val="000000" w:themeColor="text1"/>
          </w:rPr>
          <w:t>https://www.oecd.org/en/publications/defining-and-classifying-ai-in-the-workplace_59e89d7f-en.html</w:t>
        </w:r>
      </w:hyperlink>
      <w:r w:rsidRPr="00FA59B8">
        <w:rPr>
          <w:rFonts w:ascii="Arial" w:hAnsi="Arial" w:cs="Arial"/>
          <w:color w:val="000000" w:themeColor="text1"/>
        </w:rPr>
        <w:t xml:space="preserve"> </w:t>
      </w:r>
    </w:p>
    <w:p w14:paraId="734DC5D9" w14:textId="7D9853F2" w:rsidR="00F552CC" w:rsidRPr="00FA59B8" w:rsidRDefault="00F552CC"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 xml:space="preserve">Lane, M., Williams, M. and Broecke, S. (2023) ‘The impact of AI on the workplace: Main findings from the OECD AI surveys of employers and workers’, </w:t>
      </w:r>
      <w:r w:rsidRPr="00FA59B8">
        <w:rPr>
          <w:rStyle w:val="Emphasis"/>
          <w:rFonts w:ascii="Arial" w:hAnsi="Arial" w:cs="Arial"/>
          <w:color w:val="000000" w:themeColor="text1"/>
        </w:rPr>
        <w:t>OECD Social, Employment and Migration Working Papers</w:t>
      </w:r>
      <w:r w:rsidRPr="00FA59B8">
        <w:rPr>
          <w:rFonts w:ascii="Arial" w:hAnsi="Arial" w:cs="Arial"/>
          <w:color w:val="000000" w:themeColor="text1"/>
        </w:rPr>
        <w:t xml:space="preserve">, No. 288. Paris: OECD Publishing. doi: 10.1787/ea0a0fe1-en. </w:t>
      </w:r>
      <w:hyperlink r:id="rId15" w:history="1">
        <w:r w:rsidRPr="00FA59B8">
          <w:rPr>
            <w:rStyle w:val="Hyperlink"/>
            <w:rFonts w:ascii="Arial" w:hAnsi="Arial" w:cs="Arial"/>
            <w:color w:val="000000" w:themeColor="text1"/>
          </w:rPr>
          <w:t>https://www.oecd.org/content/dam/oecd/en/publications/reports/2023/03/the-impact-of-ai-on-the-workplace-main-findings-from-the-oecd-ai-surveys-of-employers-and-workers_ad686e91/ea0a0fe1-en.pdf</w:t>
        </w:r>
      </w:hyperlink>
      <w:r w:rsidRPr="00FA59B8">
        <w:rPr>
          <w:rFonts w:ascii="Arial" w:hAnsi="Arial" w:cs="Arial"/>
          <w:color w:val="000000" w:themeColor="text1"/>
        </w:rPr>
        <w:t xml:space="preserve"> </w:t>
      </w:r>
    </w:p>
    <w:p w14:paraId="09AC0C72" w14:textId="61D988B9" w:rsidR="00F552CC" w:rsidRPr="00FA59B8" w:rsidRDefault="00F552CC"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lastRenderedPageBreak/>
        <w:t xml:space="preserve">OECD (2023) </w:t>
      </w:r>
      <w:r w:rsidRPr="00FA59B8">
        <w:rPr>
          <w:rStyle w:val="Emphasis"/>
          <w:rFonts w:ascii="Arial" w:hAnsi="Arial" w:cs="Arial"/>
          <w:color w:val="000000" w:themeColor="text1"/>
        </w:rPr>
        <w:t>OECD Employment Outlook 2023: Artificial Intelligence and the Labour Market</w:t>
      </w:r>
      <w:r w:rsidRPr="00FA59B8">
        <w:rPr>
          <w:rFonts w:ascii="Arial" w:hAnsi="Arial" w:cs="Arial"/>
          <w:color w:val="000000" w:themeColor="text1"/>
        </w:rPr>
        <w:t xml:space="preserve">. Paris: OECD Publishing. doi: 10.1787/08785bba-en. </w:t>
      </w:r>
      <w:hyperlink r:id="rId16" w:history="1">
        <w:r w:rsidRPr="00FA59B8">
          <w:rPr>
            <w:rStyle w:val="Hyperlink"/>
            <w:rFonts w:ascii="Arial" w:hAnsi="Arial" w:cs="Arial"/>
            <w:color w:val="000000" w:themeColor="text1"/>
          </w:rPr>
          <w:t>https://www.oecd.org/en/publications/oecd-employment-outlook-2023_08785bba-en.html</w:t>
        </w:r>
      </w:hyperlink>
      <w:r w:rsidRPr="00FA59B8">
        <w:rPr>
          <w:rFonts w:ascii="Arial" w:hAnsi="Arial" w:cs="Arial"/>
          <w:color w:val="000000" w:themeColor="text1"/>
        </w:rPr>
        <w:t xml:space="preserve"> </w:t>
      </w:r>
    </w:p>
    <w:p w14:paraId="28663992" w14:textId="35DEE1B0" w:rsidR="00F552CC" w:rsidRPr="00FA59B8" w:rsidRDefault="00F552CC"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 xml:space="preserve">Shan, Z. and Wang, Y. (2024) ‘Strategic talent development in the knowledge economy: A comparative analysis of global practices’, </w:t>
      </w:r>
      <w:r w:rsidRPr="00FA59B8">
        <w:rPr>
          <w:rStyle w:val="Emphasis"/>
          <w:rFonts w:ascii="Arial" w:hAnsi="Arial" w:cs="Arial"/>
          <w:color w:val="000000" w:themeColor="text1"/>
        </w:rPr>
        <w:t>Journal of the Knowledge Economy</w:t>
      </w:r>
      <w:r w:rsidRPr="00FA59B8">
        <w:rPr>
          <w:rFonts w:ascii="Arial" w:hAnsi="Arial" w:cs="Arial"/>
          <w:color w:val="000000" w:themeColor="text1"/>
        </w:rPr>
        <w:t xml:space="preserve">, 15(4), pp. 19570–19596. doi: 10.1007/s13132-024-01933-w. </w:t>
      </w:r>
      <w:hyperlink r:id="rId17" w:history="1">
        <w:r w:rsidRPr="00FA59B8">
          <w:rPr>
            <w:rStyle w:val="Hyperlink"/>
            <w:rFonts w:ascii="Arial" w:hAnsi="Arial" w:cs="Arial"/>
            <w:color w:val="000000" w:themeColor="text1"/>
          </w:rPr>
          <w:t>https://www.researchgate.net/publication/379479406_Strategic_Talent_Development_in_the_Knowledge_Economy_A_Comparative_Analysis_of_Global_Practices</w:t>
        </w:r>
      </w:hyperlink>
      <w:r w:rsidRPr="00FA59B8">
        <w:rPr>
          <w:rFonts w:ascii="Arial" w:hAnsi="Arial" w:cs="Arial"/>
          <w:color w:val="000000" w:themeColor="text1"/>
        </w:rPr>
        <w:t xml:space="preserve"> </w:t>
      </w:r>
    </w:p>
    <w:p w14:paraId="74BB6CCE" w14:textId="1DD3EAB3" w:rsidR="00F552CC" w:rsidRPr="00FA59B8" w:rsidRDefault="00F552CC"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 xml:space="preserve">UK Government (2024) </w:t>
      </w:r>
      <w:r w:rsidRPr="00FA59B8">
        <w:rPr>
          <w:rStyle w:val="Emphasis"/>
          <w:rFonts w:ascii="Arial" w:hAnsi="Arial" w:cs="Arial"/>
          <w:color w:val="000000" w:themeColor="text1"/>
        </w:rPr>
        <w:t>The Employment Relations (Flexible Working) Act 2023 (Commencement) Regulations 2024</w:t>
      </w:r>
      <w:r w:rsidRPr="00FA59B8">
        <w:rPr>
          <w:rFonts w:ascii="Arial" w:hAnsi="Arial" w:cs="Arial"/>
          <w:color w:val="000000" w:themeColor="text1"/>
        </w:rPr>
        <w:t xml:space="preserve">, SI 2024/438. London: The Stationery Office. </w:t>
      </w:r>
      <w:hyperlink r:id="rId18" w:history="1">
        <w:r w:rsidRPr="00FA59B8">
          <w:rPr>
            <w:rStyle w:val="Hyperlink"/>
            <w:rFonts w:ascii="Arial" w:hAnsi="Arial" w:cs="Arial"/>
            <w:color w:val="000000" w:themeColor="text1"/>
          </w:rPr>
          <w:t>https://www.legislation.gov.uk/uksi/2024/438/contents/made</w:t>
        </w:r>
      </w:hyperlink>
      <w:r w:rsidRPr="00FA59B8">
        <w:rPr>
          <w:rFonts w:ascii="Arial" w:hAnsi="Arial" w:cs="Arial"/>
          <w:color w:val="000000" w:themeColor="text1"/>
        </w:rPr>
        <w:t xml:space="preserve"> </w:t>
      </w:r>
    </w:p>
    <w:p w14:paraId="554A01B6" w14:textId="738CB874" w:rsidR="00F552CC" w:rsidRPr="00FA59B8" w:rsidRDefault="00F552CC"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 xml:space="preserve">Urme, U.N. (2023) ‘The impact of talent management strategies on employee retention’, </w:t>
      </w:r>
      <w:r w:rsidRPr="00FA59B8">
        <w:rPr>
          <w:rStyle w:val="Emphasis"/>
          <w:rFonts w:ascii="Arial" w:hAnsi="Arial" w:cs="Arial"/>
          <w:color w:val="000000" w:themeColor="text1"/>
        </w:rPr>
        <w:t>International Journal of Science and Business</w:t>
      </w:r>
      <w:r w:rsidRPr="00FA59B8">
        <w:rPr>
          <w:rFonts w:ascii="Arial" w:hAnsi="Arial" w:cs="Arial"/>
          <w:color w:val="000000" w:themeColor="text1"/>
        </w:rPr>
        <w:t xml:space="preserve">, 28(1), pp. 127–146. doi: 10.58970/IJSB.2209. </w:t>
      </w:r>
      <w:hyperlink r:id="rId19" w:history="1">
        <w:r w:rsidRPr="00FA59B8">
          <w:rPr>
            <w:rStyle w:val="Hyperlink"/>
            <w:rFonts w:ascii="Arial" w:hAnsi="Arial" w:cs="Arial"/>
            <w:color w:val="000000" w:themeColor="text1"/>
          </w:rPr>
          <w:t>https://www.researchgate.net/publication/374147805_The_Impact_of_Talent_Management_Strategies_on_Employee_Retention</w:t>
        </w:r>
      </w:hyperlink>
      <w:r w:rsidRPr="00FA59B8">
        <w:rPr>
          <w:rFonts w:ascii="Arial" w:hAnsi="Arial" w:cs="Arial"/>
          <w:color w:val="000000" w:themeColor="text1"/>
        </w:rPr>
        <w:t xml:space="preserve"> </w:t>
      </w:r>
    </w:p>
    <w:p w14:paraId="13308C18" w14:textId="00E09A0F" w:rsidR="00F552CC" w:rsidRPr="00FA59B8" w:rsidRDefault="00F552CC"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 xml:space="preserve">Weng, T.C., Shen, Y.H. and Kan, T.T. (2023) ‘Talent sustainability and development: How talent management affects employees’ intention to stay through work engagement and perceived organizational support with the moderating role of work–life balance’, </w:t>
      </w:r>
      <w:r w:rsidRPr="00FA59B8">
        <w:rPr>
          <w:rStyle w:val="Emphasis"/>
          <w:rFonts w:ascii="Arial" w:hAnsi="Arial" w:cs="Arial"/>
          <w:color w:val="000000" w:themeColor="text1"/>
        </w:rPr>
        <w:t>Sustainability</w:t>
      </w:r>
      <w:r w:rsidRPr="00FA59B8">
        <w:rPr>
          <w:rFonts w:ascii="Arial" w:hAnsi="Arial" w:cs="Arial"/>
          <w:color w:val="000000" w:themeColor="text1"/>
        </w:rPr>
        <w:t xml:space="preserve">, 15(18), 13508. doi: 10.3390/su151813508. </w:t>
      </w:r>
      <w:hyperlink r:id="rId20" w:history="1">
        <w:r w:rsidRPr="00FA59B8">
          <w:rPr>
            <w:rStyle w:val="Hyperlink"/>
            <w:rFonts w:ascii="Arial" w:hAnsi="Arial" w:cs="Arial"/>
            <w:color w:val="000000" w:themeColor="text1"/>
          </w:rPr>
          <w:t>https://www.mdpi.com/2071-1050/15/18/13508</w:t>
        </w:r>
      </w:hyperlink>
      <w:r w:rsidRPr="00FA59B8">
        <w:rPr>
          <w:rFonts w:ascii="Arial" w:hAnsi="Arial" w:cs="Arial"/>
          <w:color w:val="000000" w:themeColor="text1"/>
        </w:rPr>
        <w:t xml:space="preserve"> </w:t>
      </w:r>
    </w:p>
    <w:p w14:paraId="487B3A8D" w14:textId="45DD61C3" w:rsidR="00F552CC" w:rsidRPr="00FA59B8" w:rsidRDefault="00F552CC"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 xml:space="preserve">World Economic Forum (2023) </w:t>
      </w:r>
      <w:r w:rsidRPr="00FA59B8">
        <w:rPr>
          <w:rStyle w:val="Emphasis"/>
          <w:rFonts w:ascii="Arial" w:hAnsi="Arial" w:cs="Arial"/>
          <w:color w:val="000000" w:themeColor="text1"/>
        </w:rPr>
        <w:t>The Future of Jobs Report 2023</w:t>
      </w:r>
      <w:r w:rsidRPr="00FA59B8">
        <w:rPr>
          <w:rFonts w:ascii="Arial" w:hAnsi="Arial" w:cs="Arial"/>
          <w:color w:val="000000" w:themeColor="text1"/>
        </w:rPr>
        <w:t xml:space="preserve">. Geneva: World Economic Forum. </w:t>
      </w:r>
      <w:hyperlink r:id="rId21" w:history="1">
        <w:r w:rsidRPr="00FA59B8">
          <w:rPr>
            <w:rStyle w:val="Hyperlink"/>
            <w:rFonts w:ascii="Arial" w:hAnsi="Arial" w:cs="Arial"/>
            <w:color w:val="000000" w:themeColor="text1"/>
          </w:rPr>
          <w:t>https://www.weforum.org/publications/the-future-of-jobs-report-2023/</w:t>
        </w:r>
      </w:hyperlink>
      <w:r w:rsidRPr="00FA59B8">
        <w:rPr>
          <w:rFonts w:ascii="Arial" w:hAnsi="Arial" w:cs="Arial"/>
          <w:color w:val="000000" w:themeColor="text1"/>
        </w:rPr>
        <w:t xml:space="preserve"> </w:t>
      </w:r>
    </w:p>
    <w:p w14:paraId="3A821827" w14:textId="5F7BA19E" w:rsidR="00F552CC" w:rsidRPr="00FA59B8" w:rsidRDefault="00F552CC" w:rsidP="00FA59B8">
      <w:pPr>
        <w:pStyle w:val="NormalWeb"/>
        <w:spacing w:line="360" w:lineRule="auto"/>
        <w:jc w:val="both"/>
        <w:rPr>
          <w:rFonts w:ascii="Arial" w:hAnsi="Arial" w:cs="Arial"/>
          <w:color w:val="000000" w:themeColor="text1"/>
        </w:rPr>
      </w:pPr>
      <w:r w:rsidRPr="00FA59B8">
        <w:rPr>
          <w:rFonts w:ascii="Arial" w:hAnsi="Arial" w:cs="Arial"/>
          <w:color w:val="000000" w:themeColor="text1"/>
        </w:rPr>
        <w:t xml:space="preserve">World Economic Forum (2025) </w:t>
      </w:r>
      <w:r w:rsidRPr="00FA59B8">
        <w:rPr>
          <w:rStyle w:val="Emphasis"/>
          <w:rFonts w:ascii="Arial" w:hAnsi="Arial" w:cs="Arial"/>
          <w:color w:val="000000" w:themeColor="text1"/>
        </w:rPr>
        <w:t>The Future of Jobs Report 2025</w:t>
      </w:r>
      <w:r w:rsidRPr="00FA59B8">
        <w:rPr>
          <w:rFonts w:ascii="Arial" w:hAnsi="Arial" w:cs="Arial"/>
          <w:color w:val="000000" w:themeColor="text1"/>
        </w:rPr>
        <w:t xml:space="preserve">. Geneva: World Economic Forum. </w:t>
      </w:r>
      <w:hyperlink r:id="rId22" w:history="1">
        <w:r w:rsidRPr="00FA59B8">
          <w:rPr>
            <w:rStyle w:val="Hyperlink"/>
            <w:rFonts w:ascii="Arial" w:hAnsi="Arial" w:cs="Arial"/>
            <w:color w:val="000000" w:themeColor="text1"/>
          </w:rPr>
          <w:t>https://www.weforum.org/publications/the-future-of-jobs-report-2025/</w:t>
        </w:r>
      </w:hyperlink>
      <w:r w:rsidRPr="00FA59B8">
        <w:rPr>
          <w:rFonts w:ascii="Arial" w:hAnsi="Arial" w:cs="Arial"/>
          <w:color w:val="000000" w:themeColor="text1"/>
        </w:rPr>
        <w:t xml:space="preserve"> </w:t>
      </w:r>
    </w:p>
    <w:p w14:paraId="38D0507C" w14:textId="0C0EB32F" w:rsidR="00A12C73" w:rsidRPr="00FA59B8" w:rsidRDefault="00F552CC" w:rsidP="0098050F">
      <w:pPr>
        <w:pStyle w:val="NormalWeb"/>
        <w:spacing w:line="360" w:lineRule="auto"/>
        <w:jc w:val="both"/>
        <w:rPr>
          <w:rFonts w:ascii="Arial" w:hAnsi="Arial" w:cs="Arial"/>
          <w:color w:val="000000" w:themeColor="text1"/>
        </w:rPr>
      </w:pPr>
      <w:r w:rsidRPr="00FA59B8">
        <w:rPr>
          <w:rFonts w:ascii="Arial" w:hAnsi="Arial" w:cs="Arial"/>
          <w:color w:val="000000" w:themeColor="text1"/>
        </w:rPr>
        <w:t xml:space="preserve">World Health Organization (2024) </w:t>
      </w:r>
      <w:r w:rsidRPr="00FA59B8">
        <w:rPr>
          <w:rStyle w:val="Emphasis"/>
          <w:rFonts w:ascii="Arial" w:hAnsi="Arial" w:cs="Arial"/>
          <w:color w:val="000000" w:themeColor="text1"/>
        </w:rPr>
        <w:t>Leading the Future of Global Health with Responsible Artificial Intelligence</w:t>
      </w:r>
      <w:r w:rsidRPr="00FA59B8">
        <w:rPr>
          <w:rFonts w:ascii="Arial" w:hAnsi="Arial" w:cs="Arial"/>
          <w:color w:val="000000" w:themeColor="text1"/>
        </w:rPr>
        <w:t xml:space="preserve">. Geneva: World Health Organization, 27 May. </w:t>
      </w:r>
      <w:hyperlink r:id="rId23" w:history="1">
        <w:r w:rsidRPr="00FA59B8">
          <w:rPr>
            <w:rStyle w:val="Hyperlink"/>
            <w:rFonts w:ascii="Arial" w:hAnsi="Arial" w:cs="Arial"/>
            <w:color w:val="000000" w:themeColor="text1"/>
          </w:rPr>
          <w:t>https://www.who.int/publications/m/item/leading-the-future-of-global-health-with-responsible-artificial-intelligence</w:t>
        </w:r>
      </w:hyperlink>
      <w:r w:rsidRPr="00FA59B8">
        <w:rPr>
          <w:rFonts w:ascii="Arial" w:hAnsi="Arial" w:cs="Arial"/>
          <w:color w:val="000000" w:themeColor="text1"/>
        </w:rPr>
        <w:t xml:space="preserve"> </w:t>
      </w:r>
    </w:p>
    <w:sectPr w:rsidR="00A12C73" w:rsidRPr="00FA59B8" w:rsidSect="00034616">
      <w:headerReference w:type="default" r:id="rId24"/>
      <w:footerReference w:type="even" r:id="rId25"/>
      <w:footerReference w:type="default" r:id="rId26"/>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0CAF2B" w14:textId="77777777" w:rsidR="00301C5B" w:rsidRDefault="00301C5B">
      <w:pPr>
        <w:spacing w:after="0" w:line="240" w:lineRule="auto"/>
      </w:pPr>
      <w:r>
        <w:separator/>
      </w:r>
    </w:p>
  </w:endnote>
  <w:endnote w:type="continuationSeparator" w:id="0">
    <w:p w14:paraId="2AA8DFE8" w14:textId="77777777" w:rsidR="00301C5B" w:rsidRDefault="00301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17932251"/>
      <w:docPartObj>
        <w:docPartGallery w:val="Page Numbers (Bottom of Page)"/>
        <w:docPartUnique/>
      </w:docPartObj>
    </w:sdtPr>
    <w:sdtEndPr>
      <w:rPr>
        <w:rStyle w:val="PageNumber"/>
      </w:rPr>
    </w:sdtEndPr>
    <w:sdtContent>
      <w:p w14:paraId="4B13D9E7" w14:textId="078923E7" w:rsidR="00B54F0C" w:rsidRDefault="00B54F0C" w:rsidP="00B12C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EC29FE" w14:textId="77777777" w:rsidR="00B54F0C" w:rsidRDefault="00B54F0C" w:rsidP="00B54F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90875594"/>
      <w:docPartObj>
        <w:docPartGallery w:val="Page Numbers (Bottom of Page)"/>
        <w:docPartUnique/>
      </w:docPartObj>
    </w:sdtPr>
    <w:sdtEndPr>
      <w:rPr>
        <w:rStyle w:val="PageNumber"/>
      </w:rPr>
    </w:sdtEndPr>
    <w:sdtContent>
      <w:p w14:paraId="4707A161" w14:textId="2ED706AB" w:rsidR="00B54F0C" w:rsidRDefault="00B54F0C" w:rsidP="00B12C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570A2">
          <w:rPr>
            <w:rStyle w:val="PageNumber"/>
            <w:noProof/>
          </w:rPr>
          <w:t>1</w:t>
        </w:r>
        <w:r>
          <w:rPr>
            <w:rStyle w:val="PageNumber"/>
          </w:rPr>
          <w:fldChar w:fldCharType="end"/>
        </w:r>
      </w:p>
    </w:sdtContent>
  </w:sdt>
  <w:p w14:paraId="3F31F5EC" w14:textId="490562E1" w:rsidR="00A12C73" w:rsidRDefault="00A12C73" w:rsidP="00B54F0C">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3827BB" w14:textId="77777777" w:rsidR="00301C5B" w:rsidRDefault="00301C5B">
      <w:pPr>
        <w:spacing w:after="0" w:line="240" w:lineRule="auto"/>
      </w:pPr>
      <w:r>
        <w:separator/>
      </w:r>
    </w:p>
  </w:footnote>
  <w:footnote w:type="continuationSeparator" w:id="0">
    <w:p w14:paraId="185329E5" w14:textId="77777777" w:rsidR="00301C5B" w:rsidRDefault="00301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C18D4" w14:textId="42701993" w:rsidR="00A12C73" w:rsidRDefault="00A12C7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05BFE"/>
    <w:rsid w:val="00034616"/>
    <w:rsid w:val="000377D4"/>
    <w:rsid w:val="00040537"/>
    <w:rsid w:val="0006063C"/>
    <w:rsid w:val="000F45B9"/>
    <w:rsid w:val="0015074B"/>
    <w:rsid w:val="001B4EF8"/>
    <w:rsid w:val="00236703"/>
    <w:rsid w:val="0026198B"/>
    <w:rsid w:val="002915D1"/>
    <w:rsid w:val="0029639D"/>
    <w:rsid w:val="002E1B75"/>
    <w:rsid w:val="00301C5B"/>
    <w:rsid w:val="00326F90"/>
    <w:rsid w:val="003D09FF"/>
    <w:rsid w:val="00467C41"/>
    <w:rsid w:val="004C3285"/>
    <w:rsid w:val="005459BD"/>
    <w:rsid w:val="00556E89"/>
    <w:rsid w:val="005A5C17"/>
    <w:rsid w:val="006157AD"/>
    <w:rsid w:val="008570A2"/>
    <w:rsid w:val="00866CF5"/>
    <w:rsid w:val="00977573"/>
    <w:rsid w:val="0098050F"/>
    <w:rsid w:val="00A12C73"/>
    <w:rsid w:val="00AA1D8D"/>
    <w:rsid w:val="00B47730"/>
    <w:rsid w:val="00B54F0C"/>
    <w:rsid w:val="00CB0664"/>
    <w:rsid w:val="00CB704E"/>
    <w:rsid w:val="00EB02C1"/>
    <w:rsid w:val="00F552CC"/>
    <w:rsid w:val="00FA59B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E260CC"/>
  <w14:defaultImageDpi w14:val="300"/>
  <w15:docId w15:val="{B7475A81-74D8-8F43-AEEC-DF9D8E434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0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B54F0C"/>
    <w:pPr>
      <w:spacing w:before="100" w:beforeAutospacing="1" w:afterAutospacing="1" w:line="240" w:lineRule="auto"/>
    </w:pPr>
    <w:rPr>
      <w:rFonts w:ascii="Times New Roman" w:eastAsia="Times New Roman" w:hAnsi="Times New Roman" w:cs="Times New Roman"/>
      <w:sz w:val="24"/>
      <w:szCs w:val="24"/>
      <w:lang w:val="en-IN" w:eastAsia="en-GB"/>
    </w:rPr>
  </w:style>
  <w:style w:type="character" w:styleId="PageNumber">
    <w:name w:val="page number"/>
    <w:basedOn w:val="DefaultParagraphFont"/>
    <w:uiPriority w:val="99"/>
    <w:semiHidden/>
    <w:unhideWhenUsed/>
    <w:rsid w:val="00B54F0C"/>
  </w:style>
  <w:style w:type="paragraph" w:styleId="TOC1">
    <w:name w:val="toc 1"/>
    <w:basedOn w:val="Normal"/>
    <w:next w:val="Normal"/>
    <w:autoRedefine/>
    <w:uiPriority w:val="39"/>
    <w:unhideWhenUsed/>
    <w:rsid w:val="00B54F0C"/>
  </w:style>
  <w:style w:type="paragraph" w:styleId="TOC2">
    <w:name w:val="toc 2"/>
    <w:basedOn w:val="Normal"/>
    <w:next w:val="Normal"/>
    <w:autoRedefine/>
    <w:uiPriority w:val="39"/>
    <w:unhideWhenUsed/>
    <w:rsid w:val="00B54F0C"/>
    <w:pPr>
      <w:ind w:left="210"/>
    </w:pPr>
  </w:style>
  <w:style w:type="character" w:styleId="Hyperlink">
    <w:name w:val="Hyperlink"/>
    <w:basedOn w:val="DefaultParagraphFont"/>
    <w:uiPriority w:val="99"/>
    <w:unhideWhenUsed/>
    <w:rsid w:val="00B54F0C"/>
    <w:rPr>
      <w:color w:val="0000FF" w:themeColor="hyperlink"/>
      <w:u w:val="single"/>
    </w:rPr>
  </w:style>
  <w:style w:type="character" w:styleId="FollowedHyperlink">
    <w:name w:val="FollowedHyperlink"/>
    <w:basedOn w:val="DefaultParagraphFont"/>
    <w:uiPriority w:val="99"/>
    <w:semiHidden/>
    <w:unhideWhenUsed/>
    <w:rsid w:val="00F552CC"/>
    <w:rPr>
      <w:color w:val="800080" w:themeColor="followedHyperlink"/>
      <w:u w:val="single"/>
    </w:rPr>
  </w:style>
  <w:style w:type="character" w:customStyle="1" w:styleId="UnresolvedMention">
    <w:name w:val="Unresolved Mention"/>
    <w:basedOn w:val="DefaultParagraphFont"/>
    <w:uiPriority w:val="99"/>
    <w:semiHidden/>
    <w:unhideWhenUsed/>
    <w:rsid w:val="00F55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ecd.org/en/publications/the-supply-demand-and-characteristics-of-the-ai-workforce-across-oecd-countries_bb17314a-en.html" TargetMode="External"/><Relationship Id="rId18" Type="http://schemas.openxmlformats.org/officeDocument/2006/relationships/hyperlink" Target="https://www.legislation.gov.uk/uksi/2024/438/contents/made"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weforum.org/publications/the-future-of-jobs-report-2023/" TargetMode="External"/><Relationship Id="rId7" Type="http://schemas.openxmlformats.org/officeDocument/2006/relationships/endnotes" Target="endnotes.xml"/><Relationship Id="rId12" Type="http://schemas.openxmlformats.org/officeDocument/2006/relationships/hyperlink" Target="https://www.emerald.com/jwl/article-abstract/37/3/266/1245670/Can-generative-artificial-intelligence?redirectedFrom=fulltext" TargetMode="External"/><Relationship Id="rId17" Type="http://schemas.openxmlformats.org/officeDocument/2006/relationships/hyperlink" Target="https://www.researchgate.net/publication/379479406_Strategic_Talent_Development_in_the_Knowledge_Economy_A_Comparative_Analysis_of_Global_Practice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oecd.org/en/publications/oecd-employment-outlook-2023_08785bba-en.html" TargetMode="External"/><Relationship Id="rId20" Type="http://schemas.openxmlformats.org/officeDocument/2006/relationships/hyperlink" Target="https://www.mdpi.com/2071-1050/15/18/135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manticscholar.org/paper/How-Does-Talent-Management-Influence-Organizational-Anjani-Prabavathi/4e86b6b4450ae6c1da55cf985816a99eba839ca8"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oecd.org/content/dam/oecd/en/publications/reports/2023/03/the-impact-of-ai-on-the-workplace-main-findings-from-the-oecd-ai-surveys-of-employers-and-workers_ad686e91/ea0a0fe1-en.pdf" TargetMode="External"/><Relationship Id="rId23" Type="http://schemas.openxmlformats.org/officeDocument/2006/relationships/hyperlink" Target="https://www.who.int/publications/m/item/leading-the-future-of-global-health-with-responsible-artificial-intelligence" TargetMode="External"/><Relationship Id="rId28" Type="http://schemas.openxmlformats.org/officeDocument/2006/relationships/theme" Target="theme/theme1.xml"/><Relationship Id="rId10" Type="http://schemas.openxmlformats.org/officeDocument/2006/relationships/hyperlink" Target="https://www.apa.org/pubs/reports/work-in-america/2024/psychological-safety" TargetMode="External"/><Relationship Id="rId19" Type="http://schemas.openxmlformats.org/officeDocument/2006/relationships/hyperlink" Target="https://www.researchgate.net/publication/374147805_The_Impact_of_Talent_Management_Strategies_on_Employee_Retention"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oecd.org/en/publications/defining-and-classifying-ai-in-the-workplace_59e89d7f-en.html" TargetMode="External"/><Relationship Id="rId22" Type="http://schemas.openxmlformats.org/officeDocument/2006/relationships/hyperlink" Target="https://www.weforum.org/publications/the-future-of-jobs-report-202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685ED-6096-462C-B69B-BD778F42B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4101</Words>
  <Characters>23377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27424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HP</cp:lastModifiedBy>
  <cp:revision>9</cp:revision>
  <dcterms:created xsi:type="dcterms:W3CDTF">2026-10-14T14:14:00Z</dcterms:created>
  <dcterms:modified xsi:type="dcterms:W3CDTF">2026-10-14T17:26:00Z</dcterms:modified>
  <cp:category/>
</cp:coreProperties>
</file>