
<file path=[Content_Types].xml><?xml version="1.0" encoding="utf-8"?>
<Types xmlns="http://schemas.openxmlformats.org/package/2006/content-types">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174B3" w14:textId="77777777" w:rsidR="00393455" w:rsidRDefault="00BC616B">
      <w:pPr>
        <w:pStyle w:val="NormalWeb"/>
        <w:spacing w:before="0" w:beforeAutospacing="0" w:after="0" w:afterAutospacing="0" w:line="360" w:lineRule="auto"/>
        <w:jc w:val="center"/>
        <w:rPr>
          <w:b/>
          <w:lang w:val="en-GB"/>
        </w:rPr>
      </w:pPr>
      <w:r>
        <w:rPr>
          <w:b/>
          <w:noProof/>
          <w:lang w:val="en-GB"/>
        </w:rPr>
        <w:drawing>
          <wp:anchor distT="0" distB="0" distL="114300" distR="114300" simplePos="0" relativeHeight="2" behindDoc="0" locked="0" layoutInCell="1" allowOverlap="1" wp14:anchorId="6F90C292" wp14:editId="1F8555D0">
            <wp:simplePos x="0" y="0"/>
            <wp:positionH relativeFrom="column">
              <wp:align>left</wp:align>
            </wp:positionH>
            <wp:positionV relativeFrom="paragraph">
              <wp:align>top</wp:align>
            </wp:positionV>
            <wp:extent cx="1807029" cy="729343"/>
            <wp:effectExtent l="0" t="0" r="0" b="0"/>
            <wp:wrapSquare wrapText="bothSides"/>
            <wp:docPr id="1026" name="Picture 1"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1807029" cy="729343"/>
                    </a:xfrm>
                    <a:prstGeom prst="rect">
                      <a:avLst/>
                    </a:prstGeom>
                    <a:ln>
                      <a:noFill/>
                    </a:ln>
                  </pic:spPr>
                </pic:pic>
              </a:graphicData>
            </a:graphic>
          </wp:anchor>
        </w:drawing>
      </w:r>
    </w:p>
    <w:p w14:paraId="20F6BA2A" w14:textId="77777777" w:rsidR="00393455" w:rsidRDefault="00393455">
      <w:pPr>
        <w:pStyle w:val="NormalWeb"/>
        <w:spacing w:before="0" w:beforeAutospacing="0" w:after="0" w:afterAutospacing="0" w:line="360" w:lineRule="auto"/>
        <w:jc w:val="center"/>
        <w:rPr>
          <w:b/>
          <w:lang w:val="en-GB"/>
        </w:rPr>
      </w:pPr>
    </w:p>
    <w:p w14:paraId="3450AD82" w14:textId="77777777" w:rsidR="00393455" w:rsidRDefault="00393455">
      <w:pPr>
        <w:pStyle w:val="NormalWeb"/>
        <w:spacing w:before="0" w:beforeAutospacing="0" w:after="0" w:afterAutospacing="0" w:line="360" w:lineRule="auto"/>
        <w:jc w:val="center"/>
        <w:rPr>
          <w:b/>
          <w:lang w:val="en-GB"/>
        </w:rPr>
      </w:pPr>
    </w:p>
    <w:p w14:paraId="161D1C4F" w14:textId="77777777" w:rsidR="00393455" w:rsidRDefault="00393455">
      <w:pPr>
        <w:pStyle w:val="NormalWeb"/>
        <w:spacing w:before="0" w:beforeAutospacing="0" w:after="0" w:afterAutospacing="0" w:line="360" w:lineRule="auto"/>
        <w:jc w:val="center"/>
        <w:rPr>
          <w:b/>
          <w:lang w:val="en-GB"/>
        </w:rPr>
      </w:pPr>
    </w:p>
    <w:p w14:paraId="75D3D27F" w14:textId="77777777" w:rsidR="00393455" w:rsidRDefault="00393455">
      <w:pPr>
        <w:pStyle w:val="NormalWeb"/>
        <w:spacing w:before="0" w:beforeAutospacing="0" w:after="0" w:afterAutospacing="0" w:line="360" w:lineRule="auto"/>
        <w:jc w:val="center"/>
        <w:rPr>
          <w:b/>
          <w:lang w:val="en-GB"/>
        </w:rPr>
      </w:pPr>
    </w:p>
    <w:p w14:paraId="5A3F3D22" w14:textId="77777777" w:rsidR="00393455" w:rsidRDefault="00393455">
      <w:pPr>
        <w:spacing w:line="360" w:lineRule="auto"/>
        <w:jc w:val="center"/>
        <w:rPr>
          <w:rFonts w:ascii="Times New Roman" w:eastAsia="Times New Roman" w:hAnsi="Times New Roman" w:cs="Times New Roman"/>
          <w:b/>
          <w:sz w:val="32"/>
          <w:szCs w:val="24"/>
          <w:lang w:val="en-GB" w:eastAsia="en-US"/>
        </w:rPr>
      </w:pPr>
    </w:p>
    <w:p w14:paraId="471929E0" w14:textId="77777777" w:rsidR="00393455" w:rsidRDefault="00393455">
      <w:pPr>
        <w:spacing w:line="360" w:lineRule="auto"/>
        <w:jc w:val="center"/>
        <w:rPr>
          <w:rFonts w:ascii="Times New Roman" w:eastAsia="Times New Roman" w:hAnsi="Times New Roman" w:cs="Times New Roman"/>
          <w:b/>
          <w:sz w:val="32"/>
          <w:szCs w:val="24"/>
          <w:lang w:val="en-GB" w:eastAsia="en-US"/>
        </w:rPr>
      </w:pPr>
    </w:p>
    <w:p w14:paraId="5E1625EA" w14:textId="676A7F5B" w:rsidR="00393455" w:rsidRDefault="0083036D" w:rsidP="00D144DE">
      <w:pPr>
        <w:spacing w:line="360" w:lineRule="auto"/>
        <w:rPr>
          <w:rFonts w:ascii="Times New Roman" w:eastAsia="Times New Roman" w:hAnsi="Times New Roman" w:cs="Times New Roman"/>
          <w:b/>
          <w:sz w:val="32"/>
          <w:szCs w:val="24"/>
          <w:lang w:val="en-GB" w:eastAsia="en-US"/>
        </w:rPr>
      </w:pPr>
      <w:r>
        <w:rPr>
          <w:rFonts w:ascii="Times New Roman" w:eastAsia="Times New Roman" w:hAnsi="Times New Roman" w:cs="Times New Roman"/>
          <w:b/>
          <w:sz w:val="32"/>
          <w:szCs w:val="24"/>
          <w:lang w:val="en-GB" w:eastAsia="en-US"/>
        </w:rPr>
        <w:br/>
      </w:r>
    </w:p>
    <w:p w14:paraId="34B676EF" w14:textId="77777777" w:rsidR="0083036D" w:rsidRDefault="0083036D" w:rsidP="00D144DE">
      <w:pPr>
        <w:spacing w:line="360" w:lineRule="auto"/>
        <w:rPr>
          <w:rFonts w:ascii="Times New Roman" w:eastAsia="Times New Roman" w:hAnsi="Times New Roman" w:cs="Times New Roman"/>
          <w:b/>
          <w:sz w:val="32"/>
          <w:szCs w:val="24"/>
          <w:lang w:val="en-GB" w:eastAsia="en-US"/>
        </w:rPr>
      </w:pPr>
    </w:p>
    <w:p w14:paraId="12B9734D" w14:textId="77777777" w:rsidR="00393455" w:rsidRDefault="00393455">
      <w:pPr>
        <w:spacing w:line="360" w:lineRule="auto"/>
        <w:jc w:val="center"/>
        <w:rPr>
          <w:rFonts w:ascii="Times New Roman" w:eastAsia="Times New Roman" w:hAnsi="Times New Roman" w:cs="Times New Roman"/>
          <w:b/>
          <w:sz w:val="32"/>
          <w:szCs w:val="24"/>
          <w:lang w:val="en-GB" w:eastAsia="en-US"/>
        </w:rPr>
      </w:pPr>
    </w:p>
    <w:p w14:paraId="6F891D06" w14:textId="77777777" w:rsidR="00393455" w:rsidRDefault="00BC616B">
      <w:pPr>
        <w:spacing w:line="360" w:lineRule="auto"/>
        <w:jc w:val="center"/>
        <w:rPr>
          <w:rFonts w:ascii="Times New Roman" w:eastAsia="Times New Roman" w:hAnsi="Times New Roman" w:cs="Times New Roman"/>
          <w:b/>
          <w:sz w:val="32"/>
          <w:szCs w:val="24"/>
          <w:lang w:val="en-GB" w:eastAsia="en-US"/>
        </w:rPr>
      </w:pPr>
      <w:r>
        <w:rPr>
          <w:rFonts w:ascii="Times New Roman" w:eastAsia="Times New Roman" w:hAnsi="Times New Roman" w:cs="Times New Roman"/>
          <w:b/>
          <w:sz w:val="32"/>
          <w:szCs w:val="24"/>
          <w:lang w:val="en-GB" w:eastAsia="en-US"/>
        </w:rPr>
        <w:t>PROGRAMME: MASTER OF BUSINESS ADMINISTRATION</w:t>
      </w:r>
    </w:p>
    <w:p w14:paraId="7A2B5707" w14:textId="77777777" w:rsidR="00393455" w:rsidRDefault="00BC616B">
      <w:pPr>
        <w:spacing w:line="360" w:lineRule="auto"/>
        <w:jc w:val="center"/>
        <w:rPr>
          <w:rFonts w:ascii="Times New Roman" w:eastAsia="Times New Roman" w:hAnsi="Times New Roman" w:cs="Times New Roman"/>
          <w:b/>
          <w:sz w:val="32"/>
          <w:szCs w:val="24"/>
          <w:lang w:val="en-GB" w:eastAsia="en-US"/>
        </w:rPr>
      </w:pPr>
      <w:r>
        <w:rPr>
          <w:rFonts w:ascii="Times New Roman" w:eastAsia="Times New Roman" w:hAnsi="Times New Roman" w:cs="Times New Roman"/>
          <w:b/>
          <w:sz w:val="32"/>
          <w:szCs w:val="24"/>
          <w:lang w:val="en-GB" w:eastAsia="en-US"/>
        </w:rPr>
        <w:t>MODULE: FINANCIAL MANAGEMENT</w:t>
      </w:r>
    </w:p>
    <w:p w14:paraId="6BB69E74" w14:textId="620D629A" w:rsidR="00393455" w:rsidRDefault="00BC616B" w:rsidP="00341BAC">
      <w:pPr>
        <w:spacing w:line="360" w:lineRule="auto"/>
        <w:jc w:val="center"/>
        <w:rPr>
          <w:rFonts w:ascii="Times New Roman" w:eastAsia="Times New Roman" w:hAnsi="Times New Roman" w:cs="Times New Roman"/>
          <w:b/>
          <w:sz w:val="32"/>
          <w:szCs w:val="24"/>
          <w:lang w:val="en-GB" w:eastAsia="en-US"/>
        </w:rPr>
      </w:pPr>
      <w:r>
        <w:rPr>
          <w:rFonts w:ascii="Times New Roman" w:eastAsia="Times New Roman" w:hAnsi="Times New Roman" w:cs="Times New Roman"/>
          <w:b/>
          <w:sz w:val="32"/>
          <w:szCs w:val="24"/>
          <w:lang w:val="en-GB" w:eastAsia="en-US"/>
        </w:rPr>
        <w:t>MODULE CODE: LCMB7002</w:t>
      </w:r>
      <w:r w:rsidR="00E558BC">
        <w:rPr>
          <w:rFonts w:ascii="Times New Roman" w:eastAsia="Times New Roman" w:hAnsi="Times New Roman" w:cs="Times New Roman"/>
          <w:b/>
          <w:sz w:val="32"/>
          <w:szCs w:val="24"/>
          <w:lang w:val="en-GB" w:eastAsia="en-US"/>
        </w:rPr>
        <w:br/>
        <w:t>ASSE</w:t>
      </w:r>
      <w:r w:rsidR="00AA1E5F">
        <w:rPr>
          <w:rFonts w:ascii="Times New Roman" w:eastAsia="Times New Roman" w:hAnsi="Times New Roman" w:cs="Times New Roman"/>
          <w:b/>
          <w:sz w:val="32"/>
          <w:szCs w:val="24"/>
          <w:lang w:val="en-GB" w:eastAsia="en-US"/>
        </w:rPr>
        <w:t xml:space="preserve">SSMENT </w:t>
      </w:r>
      <w:r w:rsidR="00AE1963">
        <w:rPr>
          <w:rFonts w:ascii="Times New Roman" w:eastAsia="Times New Roman" w:hAnsi="Times New Roman" w:cs="Times New Roman"/>
          <w:b/>
          <w:sz w:val="32"/>
          <w:szCs w:val="24"/>
          <w:lang w:val="en-GB" w:eastAsia="en-US"/>
        </w:rPr>
        <w:t>TITLE:</w:t>
      </w:r>
      <w:r w:rsidR="00AA1E5F">
        <w:rPr>
          <w:rFonts w:ascii="Times New Roman" w:eastAsia="Times New Roman" w:hAnsi="Times New Roman" w:cs="Times New Roman"/>
          <w:b/>
          <w:sz w:val="32"/>
          <w:szCs w:val="24"/>
          <w:lang w:val="en-GB" w:eastAsia="en-US"/>
        </w:rPr>
        <w:t xml:space="preserve"> </w:t>
      </w:r>
      <w:r w:rsidR="00341BAC">
        <w:rPr>
          <w:rFonts w:ascii="Times New Roman" w:eastAsia="Times New Roman" w:hAnsi="Times New Roman" w:cs="Times New Roman"/>
          <w:b/>
          <w:sz w:val="32"/>
          <w:szCs w:val="24"/>
          <w:lang w:val="en-GB" w:eastAsia="en-US"/>
        </w:rPr>
        <w:t xml:space="preserve">FINANCIAL PERFORMANCE AND MANAGEMENT </w:t>
      </w:r>
      <w:r w:rsidR="00341BAC">
        <w:rPr>
          <w:rFonts w:ascii="Times New Roman" w:eastAsia="Times New Roman" w:hAnsi="Times New Roman" w:cs="Times New Roman"/>
          <w:b/>
          <w:sz w:val="32"/>
          <w:szCs w:val="24"/>
          <w:lang w:val="en-GB" w:eastAsia="en-US"/>
        </w:rPr>
        <w:br/>
      </w:r>
      <w:r w:rsidR="00D206E7">
        <w:rPr>
          <w:rFonts w:ascii="Times New Roman" w:eastAsia="Times New Roman" w:hAnsi="Times New Roman" w:cs="Times New Roman"/>
          <w:b/>
          <w:sz w:val="32"/>
          <w:szCs w:val="24"/>
          <w:lang w:val="en-GB" w:eastAsia="en-US"/>
        </w:rPr>
        <w:t xml:space="preserve">STUDENT </w:t>
      </w:r>
      <w:proofErr w:type="gramStart"/>
      <w:r w:rsidR="00D206E7">
        <w:rPr>
          <w:rFonts w:ascii="Times New Roman" w:eastAsia="Times New Roman" w:hAnsi="Times New Roman" w:cs="Times New Roman"/>
          <w:b/>
          <w:sz w:val="32"/>
          <w:szCs w:val="24"/>
          <w:lang w:val="en-GB" w:eastAsia="en-US"/>
        </w:rPr>
        <w:t>NAME :</w:t>
      </w:r>
      <w:proofErr w:type="gramEnd"/>
      <w:r w:rsidR="00D206E7">
        <w:rPr>
          <w:rFonts w:ascii="Times New Roman" w:eastAsia="Times New Roman" w:hAnsi="Times New Roman" w:cs="Times New Roman"/>
          <w:b/>
          <w:sz w:val="32"/>
          <w:szCs w:val="24"/>
          <w:lang w:val="en-GB" w:eastAsia="en-US"/>
        </w:rPr>
        <w:t xml:space="preserve"> VAISHAK KALRIKKAL </w:t>
      </w:r>
      <w:r w:rsidR="00D206E7">
        <w:rPr>
          <w:rFonts w:ascii="Times New Roman" w:eastAsia="Times New Roman" w:hAnsi="Times New Roman" w:cs="Times New Roman"/>
          <w:b/>
          <w:sz w:val="32"/>
          <w:szCs w:val="24"/>
          <w:lang w:val="en-GB" w:eastAsia="en-US"/>
        </w:rPr>
        <w:br/>
        <w:t xml:space="preserve">STUDENT ID </w:t>
      </w:r>
      <w:proofErr w:type="gramStart"/>
      <w:r w:rsidR="00D206E7">
        <w:rPr>
          <w:rFonts w:ascii="Times New Roman" w:eastAsia="Times New Roman" w:hAnsi="Times New Roman" w:cs="Times New Roman"/>
          <w:b/>
          <w:sz w:val="32"/>
          <w:szCs w:val="24"/>
          <w:lang w:val="en-GB" w:eastAsia="en-US"/>
        </w:rPr>
        <w:t>NUMBER :</w:t>
      </w:r>
      <w:proofErr w:type="gramEnd"/>
      <w:r w:rsidR="00D206E7">
        <w:rPr>
          <w:rFonts w:ascii="Times New Roman" w:eastAsia="Times New Roman" w:hAnsi="Times New Roman" w:cs="Times New Roman"/>
          <w:b/>
          <w:sz w:val="32"/>
          <w:szCs w:val="24"/>
          <w:lang w:val="en-GB" w:eastAsia="en-US"/>
        </w:rPr>
        <w:t xml:space="preserve"> </w:t>
      </w:r>
      <w:r w:rsidR="00D00FE3">
        <w:rPr>
          <w:rFonts w:ascii="Times New Roman" w:eastAsia="Times New Roman" w:hAnsi="Times New Roman" w:cs="Times New Roman"/>
          <w:b/>
          <w:sz w:val="32"/>
          <w:szCs w:val="24"/>
          <w:lang w:val="en-GB" w:eastAsia="en-US"/>
        </w:rPr>
        <w:t>2532155</w:t>
      </w:r>
      <w:r w:rsidR="00D00FE3">
        <w:rPr>
          <w:rFonts w:ascii="Times New Roman" w:eastAsia="Times New Roman" w:hAnsi="Times New Roman" w:cs="Times New Roman"/>
          <w:b/>
          <w:sz w:val="32"/>
          <w:szCs w:val="24"/>
          <w:lang w:val="en-GB" w:eastAsia="en-US"/>
        </w:rPr>
        <w:br/>
        <w:t xml:space="preserve">LECTURER’S </w:t>
      </w:r>
      <w:proofErr w:type="gramStart"/>
      <w:r w:rsidR="00D00FE3">
        <w:rPr>
          <w:rFonts w:ascii="Times New Roman" w:eastAsia="Times New Roman" w:hAnsi="Times New Roman" w:cs="Times New Roman"/>
          <w:b/>
          <w:sz w:val="32"/>
          <w:szCs w:val="24"/>
          <w:lang w:val="en-GB" w:eastAsia="en-US"/>
        </w:rPr>
        <w:t>NAME :</w:t>
      </w:r>
      <w:proofErr w:type="gramEnd"/>
      <w:r w:rsidR="00D00FE3">
        <w:rPr>
          <w:rFonts w:ascii="Times New Roman" w:eastAsia="Times New Roman" w:hAnsi="Times New Roman" w:cs="Times New Roman"/>
          <w:b/>
          <w:sz w:val="32"/>
          <w:szCs w:val="24"/>
          <w:lang w:val="en-GB" w:eastAsia="en-US"/>
        </w:rPr>
        <w:t xml:space="preserve"> </w:t>
      </w:r>
      <w:r w:rsidR="00F10AE0">
        <w:rPr>
          <w:rFonts w:ascii="Times New Roman" w:eastAsia="Times New Roman" w:hAnsi="Times New Roman" w:cs="Times New Roman"/>
          <w:b/>
          <w:sz w:val="32"/>
          <w:szCs w:val="24"/>
          <w:lang w:val="en-GB" w:eastAsia="en-US"/>
        </w:rPr>
        <w:t xml:space="preserve">SHENGFENG MEI </w:t>
      </w:r>
      <w:r w:rsidR="00F10AE0">
        <w:rPr>
          <w:rFonts w:ascii="Times New Roman" w:eastAsia="Times New Roman" w:hAnsi="Times New Roman" w:cs="Times New Roman"/>
          <w:b/>
          <w:sz w:val="32"/>
          <w:szCs w:val="24"/>
          <w:lang w:val="en-GB" w:eastAsia="en-US"/>
        </w:rPr>
        <w:br/>
        <w:t xml:space="preserve">SUBMISSION </w:t>
      </w:r>
      <w:proofErr w:type="gramStart"/>
      <w:r w:rsidR="00F10AE0">
        <w:rPr>
          <w:rFonts w:ascii="Times New Roman" w:eastAsia="Times New Roman" w:hAnsi="Times New Roman" w:cs="Times New Roman"/>
          <w:b/>
          <w:sz w:val="32"/>
          <w:szCs w:val="24"/>
          <w:lang w:val="en-GB" w:eastAsia="en-US"/>
        </w:rPr>
        <w:t>DATE :</w:t>
      </w:r>
      <w:proofErr w:type="gramEnd"/>
      <w:r w:rsidR="00F10AE0">
        <w:rPr>
          <w:rFonts w:ascii="Times New Roman" w:eastAsia="Times New Roman" w:hAnsi="Times New Roman" w:cs="Times New Roman"/>
          <w:b/>
          <w:sz w:val="32"/>
          <w:szCs w:val="24"/>
          <w:lang w:val="en-GB" w:eastAsia="en-US"/>
        </w:rPr>
        <w:t xml:space="preserve"> 13-08-2026</w:t>
      </w:r>
      <w:r w:rsidR="00341BAC">
        <w:rPr>
          <w:rFonts w:ascii="Times New Roman" w:eastAsia="Times New Roman" w:hAnsi="Times New Roman" w:cs="Times New Roman"/>
          <w:b/>
          <w:sz w:val="32"/>
          <w:szCs w:val="24"/>
          <w:lang w:val="en-GB" w:eastAsia="en-US"/>
        </w:rPr>
        <w:br/>
      </w:r>
      <w:r w:rsidR="00E558BC">
        <w:rPr>
          <w:rFonts w:ascii="Times New Roman" w:eastAsia="Times New Roman" w:hAnsi="Times New Roman" w:cs="Times New Roman"/>
          <w:b/>
          <w:sz w:val="32"/>
          <w:szCs w:val="24"/>
          <w:lang w:val="en-GB" w:eastAsia="en-US"/>
        </w:rPr>
        <w:br/>
      </w:r>
      <w:r w:rsidR="00E558BC">
        <w:rPr>
          <w:rFonts w:ascii="Times New Roman" w:eastAsia="Times New Roman" w:hAnsi="Times New Roman" w:cs="Times New Roman"/>
          <w:b/>
          <w:sz w:val="32"/>
          <w:szCs w:val="24"/>
          <w:lang w:val="en-GB" w:eastAsia="en-US"/>
        </w:rPr>
        <w:br/>
      </w:r>
    </w:p>
    <w:p w14:paraId="57E9AC2B" w14:textId="77777777" w:rsidR="00393455" w:rsidRDefault="00393455">
      <w:pPr>
        <w:pStyle w:val="NormalWeb"/>
        <w:spacing w:before="0" w:beforeAutospacing="0" w:after="0" w:afterAutospacing="0" w:line="360" w:lineRule="auto"/>
        <w:jc w:val="center"/>
        <w:rPr>
          <w:b/>
          <w:lang w:val="en-GB"/>
        </w:rPr>
      </w:pPr>
    </w:p>
    <w:p w14:paraId="3A7EDA58" w14:textId="77777777" w:rsidR="00393455" w:rsidRDefault="00393455">
      <w:pPr>
        <w:pStyle w:val="NormalWeb"/>
        <w:spacing w:before="0" w:beforeAutospacing="0" w:after="0" w:afterAutospacing="0" w:line="360" w:lineRule="auto"/>
        <w:jc w:val="center"/>
        <w:rPr>
          <w:b/>
          <w:lang w:val="en-GB"/>
        </w:rPr>
      </w:pPr>
    </w:p>
    <w:p w14:paraId="2F8B2AF3" w14:textId="77777777" w:rsidR="00393455" w:rsidRDefault="00393455">
      <w:pPr>
        <w:pStyle w:val="NormalWeb"/>
        <w:spacing w:before="0" w:beforeAutospacing="0" w:after="0" w:afterAutospacing="0" w:line="360" w:lineRule="auto"/>
        <w:jc w:val="center"/>
        <w:rPr>
          <w:b/>
          <w:lang w:val="en-GB"/>
        </w:rPr>
      </w:pPr>
    </w:p>
    <w:p w14:paraId="08FB82F9" w14:textId="77777777" w:rsidR="00393455" w:rsidRDefault="00393455">
      <w:pPr>
        <w:pStyle w:val="NormalWeb"/>
        <w:spacing w:before="0" w:beforeAutospacing="0" w:after="0" w:afterAutospacing="0" w:line="360" w:lineRule="auto"/>
        <w:jc w:val="both"/>
        <w:rPr>
          <w:b/>
          <w:lang w:val="en-GB"/>
        </w:rPr>
      </w:pPr>
    </w:p>
    <w:p w14:paraId="33DC4401" w14:textId="77777777" w:rsidR="00393455" w:rsidRDefault="00393455">
      <w:pPr>
        <w:pStyle w:val="NormalWeb"/>
        <w:spacing w:before="0" w:beforeAutospacing="0" w:after="0" w:afterAutospacing="0" w:line="360" w:lineRule="auto"/>
        <w:jc w:val="both"/>
        <w:rPr>
          <w:b/>
          <w:lang w:val="en-GB"/>
        </w:rPr>
      </w:pPr>
    </w:p>
    <w:p w14:paraId="2429A106" w14:textId="77777777" w:rsidR="00393455" w:rsidRDefault="00393455">
      <w:pPr>
        <w:pStyle w:val="NormalWeb"/>
        <w:spacing w:before="0" w:beforeAutospacing="0" w:after="0" w:afterAutospacing="0" w:line="360" w:lineRule="auto"/>
        <w:jc w:val="both"/>
        <w:rPr>
          <w:b/>
          <w:lang w:val="en-GB"/>
        </w:rPr>
      </w:pPr>
    </w:p>
    <w:p w14:paraId="6C1321AB" w14:textId="77777777" w:rsidR="00393455" w:rsidRDefault="00BC616B">
      <w:pPr>
        <w:spacing w:line="360" w:lineRule="auto"/>
        <w:jc w:val="center"/>
        <w:rPr>
          <w:rFonts w:ascii="Times New Roman" w:hAnsi="Times New Roman" w:cs="Times New Roman"/>
          <w:b/>
          <w:sz w:val="24"/>
          <w:szCs w:val="24"/>
          <w:lang w:val="en-GB"/>
        </w:rPr>
      </w:pPr>
      <w:r>
        <w:rPr>
          <w:rFonts w:ascii="Times New Roman" w:hAnsi="Times New Roman" w:cs="Times New Roman"/>
          <w:bCs/>
          <w:sz w:val="24"/>
          <w:szCs w:val="24"/>
          <w:lang w:val="en-GB"/>
        </w:rPr>
        <w:br w:type="page"/>
      </w:r>
      <w:r>
        <w:rPr>
          <w:rFonts w:ascii="Times New Roman" w:hAnsi="Times New Roman" w:cs="Times New Roman"/>
          <w:b/>
          <w:sz w:val="24"/>
          <w:szCs w:val="24"/>
          <w:lang w:val="en-GB"/>
        </w:rPr>
        <w:lastRenderedPageBreak/>
        <w:t>Executive Summary</w:t>
      </w:r>
    </w:p>
    <w:p w14:paraId="34FF89B1" w14:textId="77777777" w:rsidR="00393455" w:rsidRDefault="00BC616B">
      <w:pPr>
        <w:spacing w:line="360" w:lineRule="auto"/>
        <w:jc w:val="both"/>
        <w:rPr>
          <w:rFonts w:ascii="Times New Roman" w:hAnsi="Times New Roman" w:cs="Times New Roman"/>
          <w:bCs/>
          <w:sz w:val="24"/>
          <w:szCs w:val="24"/>
        </w:rPr>
      </w:pPr>
      <w:r>
        <w:rPr>
          <w:rFonts w:ascii="Times New Roman" w:hAnsi="Times New Roman" w:cs="Times New Roman"/>
          <w:bCs/>
          <w:color w:val="FF0000"/>
          <w:sz w:val="24"/>
          <w:szCs w:val="24"/>
        </w:rPr>
        <w:t xml:space="preserve">In the present report, the evaluation of the financial performance of Marriott International during the years 2020-2024 will be assessed and based on this, a strategic recommendation will be made to promote financial sustainability in the long-run. </w:t>
      </w:r>
      <w:r>
        <w:rPr>
          <w:rFonts w:ascii="Times New Roman" w:hAnsi="Times New Roman" w:cs="Times New Roman"/>
          <w:bCs/>
          <w:sz w:val="24"/>
          <w:szCs w:val="24"/>
        </w:rPr>
        <w:t>Both financial statements</w:t>
      </w:r>
      <w:r>
        <w:rPr>
          <w:rFonts w:ascii="Times New Roman" w:hAnsi="Times New Roman" w:cs="Times New Roman"/>
          <w:bCs/>
          <w:sz w:val="24"/>
          <w:szCs w:val="24"/>
        </w:rPr>
        <w:t xml:space="preserve"> and ratio analysis demonstrate that Marriott has registered a high recovery of revenue post-pandemic, an increased level of profitability, improvement of operating cash flows, and operational efficiency. Still, the fact that the company is still grappling with dire issues like weak liquidity, increasing financial leverage, negative shareholder equity and increasing debt highlights the need to do reasonable financial reorganisation and working capital management. </w:t>
      </w:r>
    </w:p>
    <w:p w14:paraId="4A522CC8" w14:textId="77777777" w:rsidR="00393455" w:rsidRDefault="00BC616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This report recommends how to enhance liquidity through enhanced cash flow forecasting, the online payment system, and balanced financing models without altering the asset-light operating model of Marriott. Some of the options for financial restructuring to increase operational flexibility and to boost shareholder value proposed are selective asset divestiture, debt optimisation and strategic acquisitions. </w:t>
      </w:r>
    </w:p>
    <w:p w14:paraId="4D8CDA8F" w14:textId="77777777" w:rsidR="00393455" w:rsidRDefault="00BC616B">
      <w:pPr>
        <w:spacing w:line="360" w:lineRule="auto"/>
        <w:jc w:val="both"/>
        <w:rPr>
          <w:rFonts w:ascii="Times New Roman" w:hAnsi="Times New Roman" w:cs="Times New Roman"/>
          <w:bCs/>
          <w:sz w:val="24"/>
          <w:szCs w:val="24"/>
          <w:lang w:val="en-IN"/>
        </w:rPr>
      </w:pPr>
      <w:r>
        <w:rPr>
          <w:rFonts w:ascii="Times New Roman" w:hAnsi="Times New Roman" w:cs="Times New Roman"/>
          <w:bCs/>
          <w:sz w:val="24"/>
          <w:szCs w:val="24"/>
        </w:rPr>
        <w:t>Capital budgeting techniques identified Project C as the preferred investment since it produced only positive Net Present Value, a Profitability Index greater than that required, which was an 8% discount rate and an Internal Rate of Return greater than the required discount rate. With capital rationing, it is suggested to invest only in Project C to maximise the shareholders'</w:t>
      </w:r>
      <w:r>
        <w:rPr>
          <w:rFonts w:ascii="Times New Roman" w:hAnsi="Times New Roman" w:cs="Times New Roman"/>
          <w:bCs/>
          <w:sz w:val="24"/>
          <w:szCs w:val="24"/>
        </w:rPr>
        <w:t xml:space="preserve"> wealth and maintain financial flexibility. In general, suggested strategies will aid the long-term profitability, financial strength, ethical governance, and globally viable expansion of Marriott</w:t>
      </w:r>
      <w:r>
        <w:rPr>
          <w:rFonts w:ascii="Times New Roman" w:hAnsi="Times New Roman" w:cs="Times New Roman"/>
          <w:bCs/>
          <w:sz w:val="24"/>
          <w:szCs w:val="24"/>
          <w:lang w:val="en-IN"/>
        </w:rPr>
        <w:t xml:space="preserve">. </w:t>
      </w:r>
    </w:p>
    <w:p w14:paraId="2FA97AFD" w14:textId="77777777" w:rsidR="00393455" w:rsidRDefault="00BC616B">
      <w:pPr>
        <w:spacing w:line="360" w:lineRule="auto"/>
        <w:jc w:val="both"/>
        <w:rPr>
          <w:rFonts w:ascii="Times New Roman" w:hAnsi="Times New Roman" w:cs="Times New Roman"/>
          <w:bCs/>
          <w:sz w:val="24"/>
          <w:szCs w:val="24"/>
          <w:lang w:val="en-GB"/>
        </w:rPr>
      </w:pPr>
      <w:r>
        <w:rPr>
          <w:rFonts w:ascii="Times New Roman" w:hAnsi="Times New Roman" w:cs="Times New Roman"/>
          <w:bCs/>
          <w:sz w:val="24"/>
          <w:szCs w:val="24"/>
          <w:lang w:val="en-GB"/>
        </w:rPr>
        <w:br w:type="page"/>
      </w:r>
    </w:p>
    <w:p w14:paraId="13E009FD" w14:textId="77777777" w:rsidR="00393455" w:rsidRDefault="00BC616B">
      <w:pPr>
        <w:pStyle w:val="TOCHeading"/>
        <w:spacing w:before="0" w:line="360" w:lineRule="auto"/>
        <w:jc w:val="center"/>
        <w:rPr>
          <w:rFonts w:cs="Times New Roman"/>
          <w:b/>
          <w:bCs/>
          <w:color w:val="auto"/>
          <w:sz w:val="28"/>
          <w:szCs w:val="24"/>
          <w:lang w:val="en-GB"/>
        </w:rPr>
      </w:pPr>
      <w:r>
        <w:rPr>
          <w:rFonts w:cs="Times New Roman"/>
          <w:b/>
          <w:bCs/>
          <w:color w:val="auto"/>
          <w:sz w:val="28"/>
          <w:szCs w:val="24"/>
          <w:lang w:val="en-GB"/>
        </w:rPr>
        <w:lastRenderedPageBreak/>
        <w:t>Table of Contents</w:t>
      </w:r>
    </w:p>
    <w:p w14:paraId="14EBECBB" w14:textId="77777777" w:rsidR="00393455" w:rsidRDefault="00BC616B">
      <w:pPr>
        <w:pStyle w:val="TOC1"/>
        <w:tabs>
          <w:tab w:val="left" w:pos="440"/>
        </w:tabs>
        <w:spacing w:line="360" w:lineRule="auto"/>
        <w:jc w:val="both"/>
        <w:rPr>
          <w:rFonts w:ascii="Times New Roman" w:eastAsia="SimSun" w:hAnsi="Times New Roman" w:cs="Times New Roman"/>
          <w:noProof/>
          <w:kern w:val="2"/>
          <w:sz w:val="24"/>
          <w:szCs w:val="24"/>
          <w:lang w:val="en-IN"/>
          <w14:ligatures w14:val="standardContextual"/>
        </w:rPr>
      </w:pPr>
      <w:r>
        <w:rPr>
          <w:rFonts w:ascii="Times New Roman" w:hAnsi="Times New Roman" w:cs="Times New Roman"/>
          <w:sz w:val="28"/>
          <w:szCs w:val="24"/>
          <w:lang w:val="en-GB"/>
        </w:rPr>
        <w:fldChar w:fldCharType="begin"/>
      </w:r>
      <w:r>
        <w:rPr>
          <w:rFonts w:ascii="Times New Roman" w:hAnsi="Times New Roman" w:cs="Times New Roman"/>
          <w:sz w:val="28"/>
          <w:szCs w:val="24"/>
          <w:lang w:val="en-GB"/>
        </w:rPr>
        <w:instrText xml:space="preserve"> TOC \o "1-3" \h \z \u </w:instrText>
      </w:r>
      <w:r>
        <w:rPr>
          <w:rFonts w:ascii="Times New Roman" w:hAnsi="Times New Roman" w:cs="Times New Roman"/>
          <w:sz w:val="28"/>
          <w:szCs w:val="24"/>
          <w:lang w:val="en-GB"/>
        </w:rPr>
        <w:fldChar w:fldCharType="separate"/>
      </w:r>
      <w:hyperlink w:anchor="_Toc236912225" w:history="1">
        <w:r>
          <w:rPr>
            <w:rStyle w:val="Hyperlink"/>
            <w:rFonts w:ascii="Times New Roman" w:hAnsi="Times New Roman" w:cs="Times New Roman"/>
            <w:noProof/>
            <w:sz w:val="24"/>
            <w:szCs w:val="24"/>
            <w:lang w:val="en-GB"/>
          </w:rPr>
          <w:t>1.</w:t>
        </w:r>
        <w:r>
          <w:rPr>
            <w:rFonts w:ascii="Times New Roman" w:eastAsia="SimSun" w:hAnsi="Times New Roman" w:cs="Times New Roman"/>
            <w:noProof/>
            <w:kern w:val="2"/>
            <w:sz w:val="24"/>
            <w:szCs w:val="24"/>
            <w:lang w:val="en-IN"/>
            <w14:ligatures w14:val="standardContextual"/>
          </w:rPr>
          <w:tab/>
        </w:r>
        <w:r>
          <w:rPr>
            <w:rStyle w:val="Hyperlink"/>
            <w:rFonts w:ascii="Times New Roman" w:hAnsi="Times New Roman" w:cs="Times New Roman"/>
            <w:noProof/>
            <w:sz w:val="24"/>
            <w:szCs w:val="24"/>
            <w:lang w:val="en-GB"/>
          </w:rPr>
          <w:t>Financial Health Check</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_Toc236912225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Pr>
            <w:rFonts w:ascii="Times New Roman" w:hAnsi="Times New Roman" w:cs="Times New Roman"/>
            <w:noProof/>
            <w:webHidden/>
            <w:sz w:val="24"/>
            <w:szCs w:val="24"/>
          </w:rPr>
          <w:fldChar w:fldCharType="end"/>
        </w:r>
      </w:hyperlink>
    </w:p>
    <w:p w14:paraId="39E56FCA" w14:textId="77777777" w:rsidR="00393455" w:rsidRDefault="00BC616B">
      <w:pPr>
        <w:pStyle w:val="TOC2"/>
        <w:tabs>
          <w:tab w:val="right" w:leader="dot" w:pos="9350"/>
        </w:tabs>
        <w:spacing w:line="360" w:lineRule="auto"/>
        <w:jc w:val="both"/>
        <w:rPr>
          <w:rFonts w:ascii="Times New Roman" w:eastAsia="SimSun" w:hAnsi="Times New Roman" w:cs="Times New Roman"/>
          <w:noProof/>
          <w:kern w:val="2"/>
          <w:sz w:val="24"/>
          <w:szCs w:val="24"/>
          <w:lang w:val="en-IN"/>
          <w14:ligatures w14:val="standardContextual"/>
        </w:rPr>
      </w:pPr>
      <w:hyperlink w:anchor="_Toc236912226" w:history="1">
        <w:r>
          <w:rPr>
            <w:rStyle w:val="Hyperlink"/>
            <w:rFonts w:ascii="Times New Roman" w:hAnsi="Times New Roman" w:cs="Times New Roman"/>
            <w:noProof/>
            <w:sz w:val="24"/>
            <w:szCs w:val="24"/>
            <w:lang w:val="en-GB"/>
          </w:rPr>
          <w:t>a. Financial Statement Analysis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_Toc236912226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Pr>
            <w:rFonts w:ascii="Times New Roman" w:hAnsi="Times New Roman" w:cs="Times New Roman"/>
            <w:noProof/>
            <w:webHidden/>
            <w:sz w:val="24"/>
            <w:szCs w:val="24"/>
          </w:rPr>
          <w:fldChar w:fldCharType="end"/>
        </w:r>
      </w:hyperlink>
    </w:p>
    <w:p w14:paraId="31FE7884" w14:textId="77777777" w:rsidR="00393455" w:rsidRDefault="00BC616B">
      <w:pPr>
        <w:pStyle w:val="TOC2"/>
        <w:tabs>
          <w:tab w:val="right" w:leader="dot" w:pos="9350"/>
        </w:tabs>
        <w:spacing w:line="360" w:lineRule="auto"/>
        <w:jc w:val="both"/>
        <w:rPr>
          <w:rFonts w:ascii="Times New Roman" w:eastAsia="SimSun" w:hAnsi="Times New Roman" w:cs="Times New Roman"/>
          <w:noProof/>
          <w:kern w:val="2"/>
          <w:sz w:val="24"/>
          <w:szCs w:val="24"/>
          <w:lang w:val="en-IN"/>
          <w14:ligatures w14:val="standardContextual"/>
        </w:rPr>
      </w:pPr>
      <w:hyperlink w:anchor="_Toc236912227" w:history="1">
        <w:r>
          <w:rPr>
            <w:rStyle w:val="Hyperlink"/>
            <w:rFonts w:ascii="Times New Roman" w:hAnsi="Times New Roman" w:cs="Times New Roman"/>
            <w:noProof/>
            <w:sz w:val="24"/>
            <w:szCs w:val="24"/>
            <w:lang w:val="en-GB"/>
          </w:rPr>
          <w:t>b. Ratio Analysis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_Toc236912227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Pr>
            <w:rFonts w:ascii="Times New Roman" w:hAnsi="Times New Roman" w:cs="Times New Roman"/>
            <w:noProof/>
            <w:webHidden/>
            <w:sz w:val="24"/>
            <w:szCs w:val="24"/>
          </w:rPr>
          <w:fldChar w:fldCharType="end"/>
        </w:r>
      </w:hyperlink>
    </w:p>
    <w:p w14:paraId="0A623B85" w14:textId="77777777" w:rsidR="00393455" w:rsidRDefault="00BC616B">
      <w:pPr>
        <w:pStyle w:val="TOC2"/>
        <w:tabs>
          <w:tab w:val="right" w:leader="dot" w:pos="9350"/>
        </w:tabs>
        <w:spacing w:line="360" w:lineRule="auto"/>
        <w:jc w:val="both"/>
        <w:rPr>
          <w:rFonts w:ascii="Times New Roman" w:eastAsia="SimSun" w:hAnsi="Times New Roman" w:cs="Times New Roman"/>
          <w:noProof/>
          <w:kern w:val="2"/>
          <w:sz w:val="24"/>
          <w:szCs w:val="24"/>
          <w:lang w:val="en-IN"/>
          <w14:ligatures w14:val="standardContextual"/>
        </w:rPr>
      </w:pPr>
      <w:hyperlink w:anchor="_Toc236912228" w:history="1">
        <w:r>
          <w:rPr>
            <w:rStyle w:val="Hyperlink"/>
            <w:rFonts w:ascii="Times New Roman" w:hAnsi="Times New Roman" w:cs="Times New Roman"/>
            <w:noProof/>
            <w:sz w:val="24"/>
            <w:szCs w:val="24"/>
            <w:lang w:val="en-GB"/>
          </w:rPr>
          <w:t>c. Trends, strengths, and potential threats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_Toc236912228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13</w:t>
        </w:r>
        <w:r>
          <w:rPr>
            <w:rFonts w:ascii="Times New Roman" w:hAnsi="Times New Roman" w:cs="Times New Roman"/>
            <w:noProof/>
            <w:webHidden/>
            <w:sz w:val="24"/>
            <w:szCs w:val="24"/>
          </w:rPr>
          <w:fldChar w:fldCharType="end"/>
        </w:r>
      </w:hyperlink>
    </w:p>
    <w:p w14:paraId="75920F71" w14:textId="77777777" w:rsidR="00393455" w:rsidRDefault="00BC616B">
      <w:pPr>
        <w:pStyle w:val="TOC2"/>
        <w:tabs>
          <w:tab w:val="right" w:leader="dot" w:pos="9350"/>
        </w:tabs>
        <w:spacing w:line="360" w:lineRule="auto"/>
        <w:jc w:val="both"/>
        <w:rPr>
          <w:rFonts w:ascii="Times New Roman" w:eastAsia="SimSun" w:hAnsi="Times New Roman" w:cs="Times New Roman"/>
          <w:noProof/>
          <w:kern w:val="2"/>
          <w:sz w:val="24"/>
          <w:szCs w:val="24"/>
          <w:lang w:val="en-IN"/>
          <w14:ligatures w14:val="standardContextual"/>
        </w:rPr>
      </w:pPr>
      <w:hyperlink w:anchor="_Toc236912229" w:history="1">
        <w:r>
          <w:rPr>
            <w:rStyle w:val="Hyperlink"/>
            <w:rFonts w:ascii="Times New Roman" w:hAnsi="Times New Roman" w:cs="Times New Roman"/>
            <w:noProof/>
            <w:sz w:val="24"/>
            <w:szCs w:val="24"/>
            <w:lang w:val="en-GB"/>
          </w:rPr>
          <w:t>d. Comparison of liquidity ratios with industry benchmark</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_Toc236912229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Pr>
            <w:rFonts w:ascii="Times New Roman" w:hAnsi="Times New Roman" w:cs="Times New Roman"/>
            <w:noProof/>
            <w:webHidden/>
            <w:sz w:val="24"/>
            <w:szCs w:val="24"/>
          </w:rPr>
          <w:fldChar w:fldCharType="end"/>
        </w:r>
      </w:hyperlink>
    </w:p>
    <w:p w14:paraId="7F674FBE" w14:textId="77777777" w:rsidR="00393455" w:rsidRDefault="00BC616B">
      <w:pPr>
        <w:pStyle w:val="TOC1"/>
        <w:spacing w:line="360" w:lineRule="auto"/>
        <w:jc w:val="both"/>
        <w:rPr>
          <w:rFonts w:ascii="Times New Roman" w:eastAsia="SimSun" w:hAnsi="Times New Roman" w:cs="Times New Roman"/>
          <w:noProof/>
          <w:kern w:val="2"/>
          <w:sz w:val="24"/>
          <w:szCs w:val="24"/>
          <w:lang w:val="en-IN"/>
          <w14:ligatures w14:val="standardContextual"/>
        </w:rPr>
      </w:pPr>
      <w:hyperlink w:anchor="_Toc236912230" w:history="1">
        <w:r>
          <w:rPr>
            <w:rStyle w:val="Hyperlink"/>
            <w:rFonts w:ascii="Times New Roman" w:hAnsi="Times New Roman" w:cs="Times New Roman"/>
            <w:noProof/>
            <w:sz w:val="24"/>
            <w:szCs w:val="24"/>
            <w:lang w:val="en-GB"/>
          </w:rPr>
          <w:t>2. Working Capital Management Analysis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_Toc236912230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Pr>
            <w:rFonts w:ascii="Times New Roman" w:hAnsi="Times New Roman" w:cs="Times New Roman"/>
            <w:noProof/>
            <w:webHidden/>
            <w:sz w:val="24"/>
            <w:szCs w:val="24"/>
          </w:rPr>
          <w:fldChar w:fldCharType="end"/>
        </w:r>
      </w:hyperlink>
    </w:p>
    <w:p w14:paraId="396B293B" w14:textId="77777777" w:rsidR="00393455" w:rsidRDefault="00BC616B">
      <w:pPr>
        <w:pStyle w:val="TOC2"/>
        <w:tabs>
          <w:tab w:val="right" w:leader="dot" w:pos="9350"/>
        </w:tabs>
        <w:spacing w:line="360" w:lineRule="auto"/>
        <w:jc w:val="both"/>
        <w:rPr>
          <w:rFonts w:ascii="Times New Roman" w:eastAsia="SimSun" w:hAnsi="Times New Roman" w:cs="Times New Roman"/>
          <w:noProof/>
          <w:kern w:val="2"/>
          <w:sz w:val="24"/>
          <w:szCs w:val="24"/>
          <w:lang w:val="en-IN"/>
          <w14:ligatures w14:val="standardContextual"/>
        </w:rPr>
      </w:pPr>
      <w:hyperlink w:anchor="_Toc236912231" w:history="1">
        <w:r>
          <w:rPr>
            <w:rStyle w:val="Hyperlink"/>
            <w:rFonts w:ascii="Times New Roman" w:hAnsi="Times New Roman" w:cs="Times New Roman"/>
            <w:noProof/>
            <w:sz w:val="24"/>
            <w:szCs w:val="24"/>
            <w:lang w:val="en-GB"/>
          </w:rPr>
          <w:t>a. Cash operating cycle</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_Toc236912231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Pr>
            <w:rFonts w:ascii="Times New Roman" w:hAnsi="Times New Roman" w:cs="Times New Roman"/>
            <w:noProof/>
            <w:webHidden/>
            <w:sz w:val="24"/>
            <w:szCs w:val="24"/>
          </w:rPr>
          <w:fldChar w:fldCharType="end"/>
        </w:r>
      </w:hyperlink>
    </w:p>
    <w:p w14:paraId="5F1983FD" w14:textId="77777777" w:rsidR="00393455" w:rsidRDefault="00BC616B">
      <w:pPr>
        <w:pStyle w:val="TOC2"/>
        <w:tabs>
          <w:tab w:val="right" w:leader="dot" w:pos="9350"/>
        </w:tabs>
        <w:spacing w:line="360" w:lineRule="auto"/>
        <w:jc w:val="both"/>
        <w:rPr>
          <w:rFonts w:ascii="Times New Roman" w:eastAsia="SimSun" w:hAnsi="Times New Roman" w:cs="Times New Roman"/>
          <w:noProof/>
          <w:kern w:val="2"/>
          <w:sz w:val="24"/>
          <w:szCs w:val="24"/>
          <w:lang w:val="en-IN"/>
          <w14:ligatures w14:val="standardContextual"/>
        </w:rPr>
      </w:pPr>
      <w:hyperlink w:anchor="_Toc236912232" w:history="1">
        <w:r>
          <w:rPr>
            <w:rStyle w:val="Hyperlink"/>
            <w:rFonts w:ascii="Times New Roman" w:hAnsi="Times New Roman" w:cs="Times New Roman"/>
            <w:noProof/>
            <w:sz w:val="24"/>
            <w:szCs w:val="24"/>
            <w:lang w:val="en-GB"/>
          </w:rPr>
          <w:t>b. Recommend strategies to improve liquidity</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_Toc236912232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w:t>
        </w:r>
        <w:r>
          <w:rPr>
            <w:rFonts w:ascii="Times New Roman" w:hAnsi="Times New Roman" w:cs="Times New Roman"/>
            <w:noProof/>
            <w:webHidden/>
            <w:sz w:val="24"/>
            <w:szCs w:val="24"/>
          </w:rPr>
          <w:fldChar w:fldCharType="end"/>
        </w:r>
      </w:hyperlink>
    </w:p>
    <w:p w14:paraId="70E96CA8" w14:textId="77777777" w:rsidR="00393455" w:rsidRDefault="00BC616B">
      <w:pPr>
        <w:pStyle w:val="TOC2"/>
        <w:tabs>
          <w:tab w:val="right" w:leader="dot" w:pos="9350"/>
        </w:tabs>
        <w:spacing w:line="360" w:lineRule="auto"/>
        <w:jc w:val="both"/>
        <w:rPr>
          <w:rFonts w:ascii="Times New Roman" w:eastAsia="SimSun" w:hAnsi="Times New Roman" w:cs="Times New Roman"/>
          <w:noProof/>
          <w:kern w:val="2"/>
          <w:sz w:val="24"/>
          <w:szCs w:val="24"/>
          <w:lang w:val="en-IN"/>
          <w14:ligatures w14:val="standardContextual"/>
        </w:rPr>
      </w:pPr>
      <w:hyperlink w:anchor="_Toc236912233" w:history="1">
        <w:r>
          <w:rPr>
            <w:rStyle w:val="Hyperlink"/>
            <w:rFonts w:ascii="Times New Roman" w:hAnsi="Times New Roman" w:cs="Times New Roman"/>
            <w:noProof/>
            <w:sz w:val="24"/>
            <w:szCs w:val="24"/>
            <w:lang w:val="en-GB"/>
          </w:rPr>
          <w:t>c. Compare short-term vs long-term financing options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_Toc236912233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w:t>
        </w:r>
        <w:r>
          <w:rPr>
            <w:rFonts w:ascii="Times New Roman" w:hAnsi="Times New Roman" w:cs="Times New Roman"/>
            <w:noProof/>
            <w:webHidden/>
            <w:sz w:val="24"/>
            <w:szCs w:val="24"/>
          </w:rPr>
          <w:fldChar w:fldCharType="end"/>
        </w:r>
      </w:hyperlink>
    </w:p>
    <w:p w14:paraId="45FA4A83" w14:textId="77777777" w:rsidR="00393455" w:rsidRDefault="00BC616B">
      <w:pPr>
        <w:pStyle w:val="TOC1"/>
        <w:spacing w:line="360" w:lineRule="auto"/>
        <w:jc w:val="both"/>
        <w:rPr>
          <w:rFonts w:ascii="Times New Roman" w:eastAsia="SimSun" w:hAnsi="Times New Roman" w:cs="Times New Roman"/>
          <w:noProof/>
          <w:kern w:val="2"/>
          <w:sz w:val="24"/>
          <w:szCs w:val="24"/>
          <w:lang w:val="en-IN"/>
          <w14:ligatures w14:val="standardContextual"/>
        </w:rPr>
      </w:pPr>
      <w:hyperlink w:anchor="_Toc236912234" w:history="1">
        <w:r>
          <w:rPr>
            <w:rStyle w:val="Hyperlink"/>
            <w:rFonts w:ascii="Times New Roman" w:hAnsi="Times New Roman" w:cs="Times New Roman"/>
            <w:noProof/>
            <w:sz w:val="24"/>
            <w:szCs w:val="24"/>
            <w:lang w:val="en-GB"/>
          </w:rPr>
          <w:t>3. Strategic Financial Restructuring Plan</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_Toc236912234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17</w:t>
        </w:r>
        <w:r>
          <w:rPr>
            <w:rFonts w:ascii="Times New Roman" w:hAnsi="Times New Roman" w:cs="Times New Roman"/>
            <w:noProof/>
            <w:webHidden/>
            <w:sz w:val="24"/>
            <w:szCs w:val="24"/>
          </w:rPr>
          <w:fldChar w:fldCharType="end"/>
        </w:r>
      </w:hyperlink>
    </w:p>
    <w:p w14:paraId="2E096992" w14:textId="77777777" w:rsidR="00393455" w:rsidRDefault="00BC616B">
      <w:pPr>
        <w:pStyle w:val="TOC2"/>
        <w:tabs>
          <w:tab w:val="right" w:leader="dot" w:pos="9350"/>
        </w:tabs>
        <w:spacing w:line="360" w:lineRule="auto"/>
        <w:jc w:val="both"/>
        <w:rPr>
          <w:rFonts w:ascii="Times New Roman" w:eastAsia="SimSun" w:hAnsi="Times New Roman" w:cs="Times New Roman"/>
          <w:noProof/>
          <w:kern w:val="2"/>
          <w:sz w:val="24"/>
          <w:szCs w:val="24"/>
          <w:lang w:val="en-IN"/>
          <w14:ligatures w14:val="standardContextual"/>
        </w:rPr>
      </w:pPr>
      <w:hyperlink w:anchor="_Toc236912235" w:history="1">
        <w:r>
          <w:rPr>
            <w:rStyle w:val="Hyperlink"/>
            <w:rFonts w:ascii="Times New Roman" w:hAnsi="Times New Roman" w:cs="Times New Roman"/>
            <w:noProof/>
            <w:sz w:val="24"/>
            <w:szCs w:val="24"/>
            <w:lang w:val="en-GB"/>
          </w:rPr>
          <w:t>a. Recommend financial restructuring options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_Toc236912235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17</w:t>
        </w:r>
        <w:r>
          <w:rPr>
            <w:rFonts w:ascii="Times New Roman" w:hAnsi="Times New Roman" w:cs="Times New Roman"/>
            <w:noProof/>
            <w:webHidden/>
            <w:sz w:val="24"/>
            <w:szCs w:val="24"/>
          </w:rPr>
          <w:fldChar w:fldCharType="end"/>
        </w:r>
      </w:hyperlink>
    </w:p>
    <w:p w14:paraId="3A23C1AF" w14:textId="77777777" w:rsidR="00393455" w:rsidRDefault="00BC616B">
      <w:pPr>
        <w:pStyle w:val="TOC2"/>
        <w:tabs>
          <w:tab w:val="right" w:leader="dot" w:pos="9350"/>
        </w:tabs>
        <w:spacing w:line="360" w:lineRule="auto"/>
        <w:jc w:val="both"/>
        <w:rPr>
          <w:rFonts w:ascii="Times New Roman" w:eastAsia="SimSun" w:hAnsi="Times New Roman" w:cs="Times New Roman"/>
          <w:noProof/>
          <w:kern w:val="2"/>
          <w:sz w:val="24"/>
          <w:szCs w:val="24"/>
          <w:lang w:val="en-IN"/>
          <w14:ligatures w14:val="standardContextual"/>
        </w:rPr>
      </w:pPr>
      <w:hyperlink w:anchor="_Toc236912236" w:history="1">
        <w:r>
          <w:rPr>
            <w:rStyle w:val="Hyperlink"/>
            <w:rFonts w:ascii="Times New Roman" w:hAnsi="Times New Roman" w:cs="Times New Roman"/>
            <w:noProof/>
            <w:sz w:val="24"/>
            <w:szCs w:val="24"/>
            <w:lang w:val="en-GB"/>
          </w:rPr>
          <w:t>b. Evaluate impact on shareholder value, debt structure, and operational flexibility</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_Toc236912236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w:t>
        </w:r>
        <w:r>
          <w:rPr>
            <w:rFonts w:ascii="Times New Roman" w:hAnsi="Times New Roman" w:cs="Times New Roman"/>
            <w:noProof/>
            <w:webHidden/>
            <w:sz w:val="24"/>
            <w:szCs w:val="24"/>
          </w:rPr>
          <w:fldChar w:fldCharType="end"/>
        </w:r>
      </w:hyperlink>
    </w:p>
    <w:p w14:paraId="08CA2088" w14:textId="77777777" w:rsidR="00393455" w:rsidRDefault="00BC616B">
      <w:pPr>
        <w:pStyle w:val="TOC2"/>
        <w:tabs>
          <w:tab w:val="right" w:leader="dot" w:pos="9350"/>
        </w:tabs>
        <w:spacing w:line="360" w:lineRule="auto"/>
        <w:jc w:val="both"/>
        <w:rPr>
          <w:rFonts w:ascii="Times New Roman" w:eastAsia="SimSun" w:hAnsi="Times New Roman" w:cs="Times New Roman"/>
          <w:noProof/>
          <w:kern w:val="2"/>
          <w:sz w:val="24"/>
          <w:szCs w:val="24"/>
          <w:lang w:val="en-IN"/>
          <w14:ligatures w14:val="standardContextual"/>
        </w:rPr>
      </w:pPr>
      <w:hyperlink w:anchor="_Toc236912237" w:history="1">
        <w:r>
          <w:rPr>
            <w:rStyle w:val="Hyperlink"/>
            <w:rFonts w:ascii="Times New Roman" w:hAnsi="Times New Roman" w:cs="Times New Roman"/>
            <w:noProof/>
            <w:sz w:val="24"/>
            <w:szCs w:val="24"/>
            <w:lang w:val="en-GB"/>
          </w:rPr>
          <w:t>c. Include international and ethical considerations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_Toc236912237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w:t>
        </w:r>
        <w:r>
          <w:rPr>
            <w:rFonts w:ascii="Times New Roman" w:hAnsi="Times New Roman" w:cs="Times New Roman"/>
            <w:noProof/>
            <w:webHidden/>
            <w:sz w:val="24"/>
            <w:szCs w:val="24"/>
          </w:rPr>
          <w:fldChar w:fldCharType="end"/>
        </w:r>
      </w:hyperlink>
    </w:p>
    <w:p w14:paraId="4D4EBF99" w14:textId="77777777" w:rsidR="00393455" w:rsidRDefault="00BC616B">
      <w:pPr>
        <w:pStyle w:val="TOC1"/>
        <w:spacing w:line="360" w:lineRule="auto"/>
        <w:jc w:val="both"/>
        <w:rPr>
          <w:rFonts w:ascii="Times New Roman" w:eastAsia="SimSun" w:hAnsi="Times New Roman" w:cs="Times New Roman"/>
          <w:noProof/>
          <w:kern w:val="2"/>
          <w:sz w:val="24"/>
          <w:szCs w:val="24"/>
          <w:lang w:val="en-IN"/>
          <w14:ligatures w14:val="standardContextual"/>
        </w:rPr>
      </w:pPr>
      <w:hyperlink w:anchor="_Toc236912238" w:history="1">
        <w:r>
          <w:rPr>
            <w:rStyle w:val="Hyperlink"/>
            <w:rFonts w:ascii="Times New Roman" w:hAnsi="Times New Roman" w:cs="Times New Roman"/>
            <w:noProof/>
            <w:sz w:val="24"/>
            <w:szCs w:val="24"/>
            <w:lang w:val="en-GB"/>
          </w:rPr>
          <w:t>4. Investment Appraisal and Capital Budgeting</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_Toc236912238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w:t>
        </w:r>
        <w:r>
          <w:rPr>
            <w:rFonts w:ascii="Times New Roman" w:hAnsi="Times New Roman" w:cs="Times New Roman"/>
            <w:noProof/>
            <w:webHidden/>
            <w:sz w:val="24"/>
            <w:szCs w:val="24"/>
          </w:rPr>
          <w:fldChar w:fldCharType="end"/>
        </w:r>
      </w:hyperlink>
    </w:p>
    <w:p w14:paraId="61192147" w14:textId="77777777" w:rsidR="00393455" w:rsidRDefault="00BC616B">
      <w:pPr>
        <w:pStyle w:val="TOC1"/>
        <w:spacing w:line="360" w:lineRule="auto"/>
        <w:jc w:val="both"/>
        <w:rPr>
          <w:rFonts w:ascii="Times New Roman" w:eastAsia="SimSun" w:hAnsi="Times New Roman" w:cs="Times New Roman"/>
          <w:noProof/>
          <w:kern w:val="2"/>
          <w:sz w:val="24"/>
          <w:szCs w:val="24"/>
          <w:lang w:val="en-IN"/>
          <w14:ligatures w14:val="standardContextual"/>
        </w:rPr>
      </w:pPr>
      <w:hyperlink w:anchor="_Toc236912239" w:history="1">
        <w:r>
          <w:rPr>
            <w:rStyle w:val="Hyperlink"/>
            <w:rFonts w:ascii="Times New Roman" w:hAnsi="Times New Roman" w:cs="Times New Roman"/>
            <w:noProof/>
            <w:sz w:val="24"/>
            <w:szCs w:val="24"/>
            <w:lang w:val="en-GB"/>
          </w:rPr>
          <w:t>5. Critical Reflection on AI Usage</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_Toc236912239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25</w:t>
        </w:r>
        <w:r>
          <w:rPr>
            <w:rFonts w:ascii="Times New Roman" w:hAnsi="Times New Roman" w:cs="Times New Roman"/>
            <w:noProof/>
            <w:webHidden/>
            <w:sz w:val="24"/>
            <w:szCs w:val="24"/>
          </w:rPr>
          <w:fldChar w:fldCharType="end"/>
        </w:r>
      </w:hyperlink>
    </w:p>
    <w:p w14:paraId="1C1E92B0" w14:textId="77777777" w:rsidR="00393455" w:rsidRDefault="00BC616B">
      <w:pPr>
        <w:pStyle w:val="TOC2"/>
        <w:tabs>
          <w:tab w:val="right" w:leader="dot" w:pos="9350"/>
        </w:tabs>
        <w:spacing w:line="360" w:lineRule="auto"/>
        <w:jc w:val="both"/>
        <w:rPr>
          <w:rFonts w:ascii="Times New Roman" w:eastAsia="SimSun" w:hAnsi="Times New Roman" w:cs="Times New Roman"/>
          <w:noProof/>
          <w:kern w:val="2"/>
          <w:sz w:val="24"/>
          <w:szCs w:val="24"/>
          <w:lang w:val="en-IN"/>
          <w14:ligatures w14:val="standardContextual"/>
        </w:rPr>
      </w:pPr>
      <w:hyperlink w:anchor="_Toc236912240" w:history="1">
        <w:r>
          <w:rPr>
            <w:rStyle w:val="Hyperlink"/>
            <w:rFonts w:ascii="Times New Roman" w:hAnsi="Times New Roman" w:cs="Times New Roman"/>
            <w:noProof/>
            <w:sz w:val="24"/>
            <w:szCs w:val="24"/>
            <w:lang w:val="en-GB"/>
          </w:rPr>
          <w:t>a. Tool Disclosure</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_Toc236912240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25</w:t>
        </w:r>
        <w:r>
          <w:rPr>
            <w:rFonts w:ascii="Times New Roman" w:hAnsi="Times New Roman" w:cs="Times New Roman"/>
            <w:noProof/>
            <w:webHidden/>
            <w:sz w:val="24"/>
            <w:szCs w:val="24"/>
          </w:rPr>
          <w:fldChar w:fldCharType="end"/>
        </w:r>
      </w:hyperlink>
    </w:p>
    <w:p w14:paraId="5BEE2102" w14:textId="77777777" w:rsidR="00393455" w:rsidRDefault="00BC616B">
      <w:pPr>
        <w:pStyle w:val="TOC2"/>
        <w:tabs>
          <w:tab w:val="right" w:leader="dot" w:pos="9350"/>
        </w:tabs>
        <w:spacing w:line="360" w:lineRule="auto"/>
        <w:jc w:val="both"/>
        <w:rPr>
          <w:rFonts w:ascii="Times New Roman" w:eastAsia="SimSun" w:hAnsi="Times New Roman" w:cs="Times New Roman"/>
          <w:noProof/>
          <w:kern w:val="2"/>
          <w:sz w:val="24"/>
          <w:szCs w:val="24"/>
          <w:lang w:val="en-IN"/>
          <w14:ligatures w14:val="standardContextual"/>
        </w:rPr>
      </w:pPr>
      <w:hyperlink w:anchor="_Toc236912241" w:history="1">
        <w:r>
          <w:rPr>
            <w:rStyle w:val="Hyperlink"/>
            <w:rFonts w:ascii="Times New Roman" w:hAnsi="Times New Roman" w:cs="Times New Roman"/>
            <w:noProof/>
            <w:sz w:val="24"/>
            <w:szCs w:val="24"/>
            <w:lang w:val="en-GB"/>
          </w:rPr>
          <w:t>b. Critical Evaluation of AI Output</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_Toc236912241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25</w:t>
        </w:r>
        <w:r>
          <w:rPr>
            <w:rFonts w:ascii="Times New Roman" w:hAnsi="Times New Roman" w:cs="Times New Roman"/>
            <w:noProof/>
            <w:webHidden/>
            <w:sz w:val="24"/>
            <w:szCs w:val="24"/>
          </w:rPr>
          <w:fldChar w:fldCharType="end"/>
        </w:r>
      </w:hyperlink>
    </w:p>
    <w:p w14:paraId="597536F9" w14:textId="77777777" w:rsidR="00393455" w:rsidRDefault="00BC616B">
      <w:pPr>
        <w:pStyle w:val="TOC2"/>
        <w:tabs>
          <w:tab w:val="right" w:leader="dot" w:pos="9350"/>
        </w:tabs>
        <w:spacing w:line="360" w:lineRule="auto"/>
        <w:jc w:val="both"/>
        <w:rPr>
          <w:rFonts w:ascii="Times New Roman" w:eastAsia="SimSun" w:hAnsi="Times New Roman" w:cs="Times New Roman"/>
          <w:noProof/>
          <w:kern w:val="2"/>
          <w:sz w:val="24"/>
          <w:szCs w:val="24"/>
          <w:lang w:val="en-IN"/>
          <w14:ligatures w14:val="standardContextual"/>
        </w:rPr>
      </w:pPr>
      <w:hyperlink w:anchor="_Toc236912242" w:history="1">
        <w:r>
          <w:rPr>
            <w:rStyle w:val="Hyperlink"/>
            <w:rFonts w:ascii="Times New Roman" w:hAnsi="Times New Roman" w:cs="Times New Roman"/>
            <w:noProof/>
            <w:sz w:val="24"/>
            <w:szCs w:val="24"/>
            <w:lang w:val="en-IN"/>
          </w:rPr>
          <w:t>c. Contribution Analysis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_Toc236912242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26</w:t>
        </w:r>
        <w:r>
          <w:rPr>
            <w:rFonts w:ascii="Times New Roman" w:hAnsi="Times New Roman" w:cs="Times New Roman"/>
            <w:noProof/>
            <w:webHidden/>
            <w:sz w:val="24"/>
            <w:szCs w:val="24"/>
          </w:rPr>
          <w:fldChar w:fldCharType="end"/>
        </w:r>
      </w:hyperlink>
    </w:p>
    <w:p w14:paraId="00CAC1DB" w14:textId="77777777" w:rsidR="00393455" w:rsidRDefault="00BC616B">
      <w:pPr>
        <w:pStyle w:val="TOC2"/>
        <w:tabs>
          <w:tab w:val="right" w:leader="dot" w:pos="9350"/>
        </w:tabs>
        <w:spacing w:line="360" w:lineRule="auto"/>
        <w:jc w:val="both"/>
        <w:rPr>
          <w:rFonts w:ascii="Times New Roman" w:eastAsia="SimSun" w:hAnsi="Times New Roman" w:cs="Times New Roman"/>
          <w:noProof/>
          <w:kern w:val="2"/>
          <w:sz w:val="24"/>
          <w:szCs w:val="24"/>
          <w:lang w:val="en-IN"/>
          <w14:ligatures w14:val="standardContextual"/>
        </w:rPr>
      </w:pPr>
      <w:hyperlink w:anchor="_Toc236912243" w:history="1">
        <w:r>
          <w:rPr>
            <w:rStyle w:val="Hyperlink"/>
            <w:rFonts w:ascii="Times New Roman" w:hAnsi="Times New Roman" w:cs="Times New Roman"/>
            <w:noProof/>
            <w:sz w:val="24"/>
            <w:szCs w:val="24"/>
            <w:lang w:val="en-IN"/>
          </w:rPr>
          <w:t>d. Ethical &amp; Professional Reflection</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_Toc236912243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26</w:t>
        </w:r>
        <w:r>
          <w:rPr>
            <w:rFonts w:ascii="Times New Roman" w:hAnsi="Times New Roman" w:cs="Times New Roman"/>
            <w:noProof/>
            <w:webHidden/>
            <w:sz w:val="24"/>
            <w:szCs w:val="24"/>
          </w:rPr>
          <w:fldChar w:fldCharType="end"/>
        </w:r>
      </w:hyperlink>
    </w:p>
    <w:p w14:paraId="7D7BA866" w14:textId="77777777" w:rsidR="00393455" w:rsidRDefault="00BC616B">
      <w:pPr>
        <w:pStyle w:val="TOC1"/>
        <w:spacing w:line="360" w:lineRule="auto"/>
        <w:jc w:val="both"/>
        <w:rPr>
          <w:rFonts w:ascii="Times New Roman" w:eastAsia="SimSun" w:hAnsi="Times New Roman" w:cs="Times New Roman"/>
          <w:noProof/>
          <w:kern w:val="2"/>
          <w:sz w:val="24"/>
          <w:szCs w:val="24"/>
          <w:lang w:val="en-IN"/>
          <w14:ligatures w14:val="standardContextual"/>
        </w:rPr>
      </w:pPr>
      <w:hyperlink w:anchor="_Toc236912244" w:history="1">
        <w:r>
          <w:rPr>
            <w:rStyle w:val="Hyperlink"/>
            <w:rFonts w:ascii="Times New Roman" w:hAnsi="Times New Roman" w:cs="Times New Roman"/>
            <w:noProof/>
            <w:sz w:val="24"/>
            <w:szCs w:val="24"/>
            <w:shd w:val="clear" w:color="auto" w:fill="FFFFFF"/>
            <w:lang w:val="en-GB"/>
          </w:rPr>
          <w:t>References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_Toc236912244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28</w:t>
        </w:r>
        <w:r>
          <w:rPr>
            <w:rFonts w:ascii="Times New Roman" w:hAnsi="Times New Roman" w:cs="Times New Roman"/>
            <w:noProof/>
            <w:webHidden/>
            <w:sz w:val="24"/>
            <w:szCs w:val="24"/>
          </w:rPr>
          <w:fldChar w:fldCharType="end"/>
        </w:r>
      </w:hyperlink>
    </w:p>
    <w:p w14:paraId="0BF859F4" w14:textId="77777777" w:rsidR="00393455" w:rsidRDefault="00BC616B">
      <w:pPr>
        <w:pStyle w:val="TOC1"/>
        <w:spacing w:line="360" w:lineRule="auto"/>
        <w:jc w:val="both"/>
        <w:rPr>
          <w:rFonts w:ascii="Times New Roman" w:eastAsia="SimSun" w:hAnsi="Times New Roman" w:cs="Times New Roman"/>
          <w:noProof/>
          <w:kern w:val="2"/>
          <w:sz w:val="24"/>
          <w:szCs w:val="24"/>
          <w:lang w:val="en-IN"/>
          <w14:ligatures w14:val="standardContextual"/>
        </w:rPr>
      </w:pPr>
      <w:hyperlink w:anchor="_Toc236912245" w:history="1">
        <w:r>
          <w:rPr>
            <w:rStyle w:val="Hyperlink"/>
            <w:rFonts w:ascii="Times New Roman" w:hAnsi="Times New Roman" w:cs="Times New Roman"/>
            <w:noProof/>
            <w:sz w:val="24"/>
            <w:szCs w:val="24"/>
            <w:lang w:val="en-GB"/>
          </w:rPr>
          <w:t>Appendices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_Toc236912245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33</w:t>
        </w:r>
        <w:r>
          <w:rPr>
            <w:rFonts w:ascii="Times New Roman" w:hAnsi="Times New Roman" w:cs="Times New Roman"/>
            <w:noProof/>
            <w:webHidden/>
            <w:sz w:val="24"/>
            <w:szCs w:val="24"/>
          </w:rPr>
          <w:fldChar w:fldCharType="end"/>
        </w:r>
      </w:hyperlink>
    </w:p>
    <w:p w14:paraId="519F9F42" w14:textId="77777777" w:rsidR="00393455" w:rsidRDefault="00BC616B">
      <w:pPr>
        <w:pStyle w:val="TOC2"/>
        <w:tabs>
          <w:tab w:val="right" w:leader="dot" w:pos="9350"/>
        </w:tabs>
        <w:spacing w:line="360" w:lineRule="auto"/>
        <w:jc w:val="both"/>
        <w:rPr>
          <w:rFonts w:ascii="Times New Roman" w:eastAsia="SimSun" w:hAnsi="Times New Roman" w:cs="Times New Roman"/>
          <w:noProof/>
          <w:kern w:val="2"/>
          <w:sz w:val="24"/>
          <w:szCs w:val="24"/>
          <w:lang w:val="en-IN"/>
          <w14:ligatures w14:val="standardContextual"/>
        </w:rPr>
      </w:pPr>
      <w:hyperlink w:anchor="_Toc236912246" w:history="1">
        <w:r>
          <w:rPr>
            <w:rStyle w:val="Hyperlink"/>
            <w:rFonts w:ascii="Times New Roman" w:hAnsi="Times New Roman" w:cs="Times New Roman"/>
            <w:noProof/>
            <w:sz w:val="24"/>
            <w:szCs w:val="24"/>
            <w:lang w:val="en-GB"/>
          </w:rPr>
          <w:t>Appendix 1: Ratios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_Toc236912246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33</w:t>
        </w:r>
        <w:r>
          <w:rPr>
            <w:rFonts w:ascii="Times New Roman" w:hAnsi="Times New Roman" w:cs="Times New Roman"/>
            <w:noProof/>
            <w:webHidden/>
            <w:sz w:val="24"/>
            <w:szCs w:val="24"/>
          </w:rPr>
          <w:fldChar w:fldCharType="end"/>
        </w:r>
      </w:hyperlink>
    </w:p>
    <w:p w14:paraId="73AD9AF6" w14:textId="77777777" w:rsidR="00393455" w:rsidRDefault="00BC616B">
      <w:pPr>
        <w:pStyle w:val="TOC2"/>
        <w:tabs>
          <w:tab w:val="right" w:leader="dot" w:pos="9350"/>
        </w:tabs>
        <w:spacing w:line="360" w:lineRule="auto"/>
        <w:jc w:val="both"/>
        <w:rPr>
          <w:rFonts w:ascii="Times New Roman" w:eastAsia="SimSun" w:hAnsi="Times New Roman" w:cs="Times New Roman"/>
          <w:noProof/>
          <w:kern w:val="2"/>
          <w:sz w:val="24"/>
          <w:szCs w:val="24"/>
          <w:lang w:val="en-IN"/>
          <w14:ligatures w14:val="standardContextual"/>
        </w:rPr>
      </w:pPr>
      <w:hyperlink w:anchor="_Toc236912247" w:history="1">
        <w:r>
          <w:rPr>
            <w:rStyle w:val="Hyperlink"/>
            <w:rFonts w:ascii="Times New Roman" w:hAnsi="Times New Roman" w:cs="Times New Roman"/>
            <w:noProof/>
            <w:sz w:val="24"/>
            <w:szCs w:val="24"/>
            <w:lang w:val="en-GB"/>
          </w:rPr>
          <w:t>Appendix 2: Trend analysis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_Toc236912247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38</w:t>
        </w:r>
        <w:r>
          <w:rPr>
            <w:rFonts w:ascii="Times New Roman" w:hAnsi="Times New Roman" w:cs="Times New Roman"/>
            <w:noProof/>
            <w:webHidden/>
            <w:sz w:val="24"/>
            <w:szCs w:val="24"/>
          </w:rPr>
          <w:fldChar w:fldCharType="end"/>
        </w:r>
      </w:hyperlink>
    </w:p>
    <w:p w14:paraId="661ED676" w14:textId="77777777" w:rsidR="00393455" w:rsidRDefault="00BC616B">
      <w:pPr>
        <w:pStyle w:val="TOC2"/>
        <w:tabs>
          <w:tab w:val="right" w:leader="dot" w:pos="9350"/>
        </w:tabs>
        <w:spacing w:line="360" w:lineRule="auto"/>
        <w:jc w:val="both"/>
        <w:rPr>
          <w:rFonts w:ascii="Times New Roman" w:eastAsia="SimSun" w:hAnsi="Times New Roman" w:cs="Times New Roman"/>
          <w:noProof/>
          <w:kern w:val="2"/>
          <w:sz w:val="24"/>
          <w:szCs w:val="24"/>
          <w:lang w:val="en-IN"/>
          <w14:ligatures w14:val="standardContextual"/>
        </w:rPr>
      </w:pPr>
      <w:hyperlink w:anchor="_Toc236912248" w:history="1">
        <w:r>
          <w:rPr>
            <w:rStyle w:val="Hyperlink"/>
            <w:rFonts w:ascii="Times New Roman" w:hAnsi="Times New Roman" w:cs="Times New Roman"/>
            <w:noProof/>
            <w:sz w:val="24"/>
            <w:szCs w:val="24"/>
            <w:lang w:val="en-GB"/>
          </w:rPr>
          <w:t>Appendix 3: Project summary</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_Toc236912248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39</w:t>
        </w:r>
        <w:r>
          <w:rPr>
            <w:rFonts w:ascii="Times New Roman" w:hAnsi="Times New Roman" w:cs="Times New Roman"/>
            <w:noProof/>
            <w:webHidden/>
            <w:sz w:val="24"/>
            <w:szCs w:val="24"/>
          </w:rPr>
          <w:fldChar w:fldCharType="end"/>
        </w:r>
      </w:hyperlink>
    </w:p>
    <w:p w14:paraId="481659E3" w14:textId="77777777" w:rsidR="00393455" w:rsidRDefault="00BC616B">
      <w:pPr>
        <w:pStyle w:val="TOC2"/>
        <w:tabs>
          <w:tab w:val="right" w:leader="dot" w:pos="9350"/>
        </w:tabs>
        <w:spacing w:line="360" w:lineRule="auto"/>
        <w:jc w:val="both"/>
        <w:rPr>
          <w:rFonts w:ascii="Cambria" w:eastAsia="SimSun" w:hAnsi="Cambria" w:cs="SimSun"/>
          <w:noProof/>
          <w:kern w:val="2"/>
          <w:sz w:val="24"/>
          <w:szCs w:val="24"/>
          <w:lang w:val="en-IN"/>
          <w14:ligatures w14:val="standardContextual"/>
        </w:rPr>
      </w:pPr>
      <w:hyperlink w:anchor="_Toc236912249" w:history="1">
        <w:r>
          <w:rPr>
            <w:rStyle w:val="Hyperlink"/>
            <w:rFonts w:ascii="Times New Roman" w:hAnsi="Times New Roman" w:cs="Times New Roman"/>
            <w:noProof/>
            <w:sz w:val="24"/>
            <w:szCs w:val="24"/>
            <w:lang w:val="en-GB"/>
          </w:rPr>
          <w:t>Appendix 4: Working capital</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_Toc236912249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39</w:t>
        </w:r>
        <w:r>
          <w:rPr>
            <w:rFonts w:ascii="Times New Roman" w:hAnsi="Times New Roman" w:cs="Times New Roman"/>
            <w:noProof/>
            <w:webHidden/>
            <w:sz w:val="24"/>
            <w:szCs w:val="24"/>
          </w:rPr>
          <w:fldChar w:fldCharType="end"/>
        </w:r>
      </w:hyperlink>
    </w:p>
    <w:p w14:paraId="1C833E52" w14:textId="77777777" w:rsidR="00393455" w:rsidRDefault="00BC616B">
      <w:pPr>
        <w:spacing w:line="360" w:lineRule="auto"/>
        <w:jc w:val="both"/>
        <w:rPr>
          <w:rFonts w:ascii="Times New Roman" w:hAnsi="Times New Roman" w:cs="Times New Roman"/>
          <w:sz w:val="28"/>
          <w:szCs w:val="24"/>
          <w:lang w:val="en-GB"/>
        </w:rPr>
      </w:pPr>
      <w:r>
        <w:rPr>
          <w:rFonts w:ascii="Times New Roman" w:hAnsi="Times New Roman" w:cs="Times New Roman"/>
          <w:b/>
          <w:bCs/>
          <w:noProof/>
          <w:sz w:val="28"/>
          <w:szCs w:val="24"/>
          <w:lang w:val="en-GB"/>
        </w:rPr>
        <w:fldChar w:fldCharType="end"/>
      </w:r>
    </w:p>
    <w:p w14:paraId="71FA95FF" w14:textId="77777777" w:rsidR="00393455" w:rsidRDefault="00BC616B">
      <w:pPr>
        <w:pStyle w:val="NormalWeb"/>
        <w:spacing w:before="0" w:beforeAutospacing="0" w:after="0" w:afterAutospacing="0" w:line="360" w:lineRule="auto"/>
        <w:jc w:val="both"/>
        <w:rPr>
          <w:sz w:val="28"/>
          <w:lang w:val="en-GB"/>
        </w:rPr>
      </w:pPr>
      <w:r>
        <w:rPr>
          <w:sz w:val="28"/>
          <w:lang w:val="en-GB"/>
        </w:rPr>
        <w:br w:type="page"/>
      </w:r>
    </w:p>
    <w:p w14:paraId="3559390B" w14:textId="77777777" w:rsidR="00393455" w:rsidRDefault="00BC616B">
      <w:pPr>
        <w:pStyle w:val="Heading1"/>
        <w:numPr>
          <w:ilvl w:val="0"/>
          <w:numId w:val="1"/>
        </w:numPr>
        <w:spacing w:before="0" w:after="0"/>
        <w:rPr>
          <w:color w:val="auto"/>
          <w:lang w:val="en-GB"/>
        </w:rPr>
      </w:pPr>
      <w:bookmarkStart w:id="0" w:name="_Toc236912225"/>
      <w:r>
        <w:rPr>
          <w:color w:val="auto"/>
          <w:lang w:val="en-GB"/>
        </w:rPr>
        <w:lastRenderedPageBreak/>
        <w:t>Financial Health Check</w:t>
      </w:r>
      <w:bookmarkEnd w:id="0"/>
      <w:r>
        <w:rPr>
          <w:color w:val="auto"/>
          <w:lang w:val="en-GB"/>
        </w:rPr>
        <w:t> </w:t>
      </w:r>
    </w:p>
    <w:p w14:paraId="3AEE39EE" w14:textId="77777777" w:rsidR="00393455" w:rsidRDefault="00BC616B">
      <w:pPr>
        <w:pStyle w:val="Heading2"/>
        <w:rPr>
          <w:color w:val="auto"/>
          <w:lang w:val="en-GB"/>
        </w:rPr>
      </w:pPr>
      <w:bookmarkStart w:id="1" w:name="_Toc231660773"/>
      <w:bookmarkStart w:id="2" w:name="_Toc236912226"/>
      <w:r>
        <w:rPr>
          <w:color w:val="auto"/>
          <w:lang w:val="en-GB"/>
        </w:rPr>
        <w:t>a. Financial Statement Analysis</w:t>
      </w:r>
      <w:bookmarkEnd w:id="1"/>
      <w:bookmarkEnd w:id="2"/>
    </w:p>
    <w:p w14:paraId="60313E9E"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color w:val="FF0000"/>
          <w:sz w:val="24"/>
          <w:szCs w:val="24"/>
          <w:lang w:val="en-GB"/>
        </w:rPr>
        <w:t>According to the financial statements of Marriott International 2020-2024</w:t>
      </w:r>
      <w:r>
        <w:rPr>
          <w:rFonts w:ascii="Times New Roman" w:hAnsi="Times New Roman" w:cs="Times New Roman"/>
          <w:color w:val="FF0000"/>
          <w:sz w:val="24"/>
          <w:szCs w:val="24"/>
          <w:lang w:val="en-GB"/>
        </w:rPr>
        <w:t xml:space="preserve">, there was a strong recovery after the pandemic, yet there was a decline in growth towards the end of the years, and the financial leverage remained high. </w:t>
      </w:r>
      <w:r>
        <w:rPr>
          <w:rFonts w:ascii="Times New Roman" w:hAnsi="Times New Roman" w:cs="Times New Roman"/>
          <w:sz w:val="24"/>
          <w:szCs w:val="24"/>
          <w:lang w:val="en-GB"/>
        </w:rPr>
        <w:t xml:space="preserve">Compared to US$13,857 million in 2021, 2022 had a 50% increase in revenue of US 20773 million (Marriott International, 2022). This can be explained by two main factors: post-crisis recovery tendencies in the world travel market and the growth in the occupancy rate. The growth of revenue has continued to grow to US 23.713 million in 2023, </w:t>
      </w:r>
      <w:r>
        <w:rPr>
          <w:rFonts w:ascii="Times New Roman" w:hAnsi="Times New Roman" w:cs="Times New Roman"/>
          <w:sz w:val="24"/>
          <w:szCs w:val="24"/>
          <w:lang w:val="en-GB"/>
        </w:rPr>
        <w:t xml:space="preserve">US$ 25.100 million in 2024, though decreasing to 14 per cent in 2023, 6 per cent in 2024, and 4 per cent in 2024 (Marriott International, 2023; Marriott International, 2024; Marriott International, 2025; Marriott International, 2026). This, according to Saar and Vaher (2025), indicates that although Marriott kept growing in the market, the post-pandemic recovery period had reached maturity. </w:t>
      </w:r>
    </w:p>
    <w:p w14:paraId="5C3C2776"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Operating profitability, as opposed to that, was less trendy. The operating income increased almost twice in 2022 as compared to 2021 (98%), to an amount of US 3,462 million and increased slightly to a level of US 3,864 million in 2023 (Marriott International, 2023). However, this decreased by 3 per cent in 2024 to US $3,767 million, thereby indicating the strain brought about by an increase in operating costs, inflation of wages and services, as well as spending on global hotel operations</w:t>
      </w:r>
      <w:r>
        <w:rPr>
          <w:rFonts w:ascii="Times New Roman" w:hAnsi="Times New Roman" w:cs="Times New Roman"/>
          <w:sz w:val="24"/>
          <w:szCs w:val="24"/>
          <w:lang w:val="en-GB"/>
        </w:rPr>
        <w:t xml:space="preserve">. However, the state of operating income regained its position to US4,141 million in 2024 as a result of better cost control and continued demand (Marriott International, 2026). </w:t>
      </w:r>
    </w:p>
    <w:p w14:paraId="0AC2C192"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color w:val="FF0000"/>
          <w:sz w:val="24"/>
          <w:szCs w:val="24"/>
          <w:lang w:val="en-GB"/>
        </w:rPr>
        <w:t xml:space="preserve">The total assets did not vary greatly in terms of the balance sheet, but rather increased by a minimal factor starting at US25,553 million and increasing to approximately US27.8 billion in 2020 and 2024, respectively, whilst the total liabilities increased at a higher rate, where it started at US24,139 million and then increased </w:t>
      </w:r>
      <w:r>
        <w:rPr>
          <w:rFonts w:ascii="Times New Roman" w:hAnsi="Times New Roman" w:cs="Times New Roman"/>
          <w:color w:val="FF0000"/>
          <w:sz w:val="24"/>
          <w:szCs w:val="24"/>
          <w:lang w:val="en-GB"/>
        </w:rPr>
        <w:t xml:space="preserve">to US31,311 million in 2020 and 2024, respectively. </w:t>
      </w:r>
      <w:r>
        <w:rPr>
          <w:rFonts w:ascii="Times New Roman" w:hAnsi="Times New Roman" w:cs="Times New Roman"/>
          <w:sz w:val="24"/>
          <w:szCs w:val="24"/>
          <w:lang w:val="en-GB"/>
        </w:rPr>
        <w:t>Compared to the 11 and 7 per cent growth of the assets in 2023 and 2024, respectively, the liabilities increased as well, showing that Marriott continues to be indebted due to debt financing and shareholder return programmes. Likewise, the operating cash flow increased, going up from US$1,177 million as of 2020 to US3,212 million as of 2024, although there was a brief drop to US2,749 million in the year 2024. However,</w:t>
      </w:r>
      <w:r>
        <w:rPr>
          <w:rFonts w:ascii="Times New Roman" w:hAnsi="Times New Roman" w:cs="Times New Roman"/>
          <w:sz w:val="24"/>
          <w:szCs w:val="24"/>
          <w:lang w:val="en-GB"/>
        </w:rPr>
        <w:t xml:space="preserve"> the reduction of the growth rate of revenue and the increase in leverage </w:t>
      </w:r>
      <w:r>
        <w:rPr>
          <w:rFonts w:ascii="Times New Roman" w:hAnsi="Times New Roman" w:cs="Times New Roman"/>
          <w:sz w:val="24"/>
          <w:szCs w:val="24"/>
          <w:lang w:val="en-GB"/>
        </w:rPr>
        <w:lastRenderedPageBreak/>
        <w:t xml:space="preserve">suggest that the future financial strategy should be based on managing the debt and keeping the operating efficiency at the same level. </w:t>
      </w:r>
      <w:r>
        <w:rPr>
          <w:rFonts w:ascii="Times New Roman" w:hAnsi="Times New Roman" w:cs="Times New Roman"/>
          <w:b/>
          <w:bCs/>
          <w:i/>
          <w:iCs/>
          <w:sz w:val="24"/>
          <w:szCs w:val="24"/>
          <w:lang w:val="en-GB"/>
        </w:rPr>
        <w:t>[Referred to Appendix 2]</w:t>
      </w:r>
      <w:r>
        <w:rPr>
          <w:rFonts w:ascii="Times New Roman" w:hAnsi="Times New Roman" w:cs="Times New Roman"/>
          <w:sz w:val="24"/>
          <w:szCs w:val="24"/>
          <w:lang w:val="en-GB"/>
        </w:rPr>
        <w:t>.</w:t>
      </w:r>
    </w:p>
    <w:p w14:paraId="6C88C080" w14:textId="77777777" w:rsidR="00393455" w:rsidRDefault="00BC616B">
      <w:pPr>
        <w:pStyle w:val="Heading2"/>
        <w:rPr>
          <w:color w:val="auto"/>
          <w:lang w:val="en-GB"/>
        </w:rPr>
      </w:pPr>
      <w:bookmarkStart w:id="3" w:name="_Toc231660774"/>
      <w:bookmarkStart w:id="4" w:name="_Toc236912227"/>
      <w:r>
        <w:rPr>
          <w:color w:val="auto"/>
          <w:lang w:val="en-GB"/>
        </w:rPr>
        <w:t>b. Ratio Analysis</w:t>
      </w:r>
      <w:bookmarkEnd w:id="3"/>
      <w:bookmarkEnd w:id="4"/>
    </w:p>
    <w:p w14:paraId="554DCCC2" w14:textId="77777777" w:rsidR="00393455" w:rsidRDefault="00BC616B">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5939C4AF" wp14:editId="183B494A">
            <wp:extent cx="5943600" cy="4923790"/>
            <wp:effectExtent l="0" t="0" r="0" b="0"/>
            <wp:docPr id="102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srcRect/>
                    <a:stretch/>
                  </pic:blipFill>
                  <pic:spPr>
                    <a:xfrm>
                      <a:off x="0" y="0"/>
                      <a:ext cx="5943600" cy="4923790"/>
                    </a:xfrm>
                    <a:prstGeom prst="rect">
                      <a:avLst/>
                    </a:prstGeom>
                  </pic:spPr>
                </pic:pic>
              </a:graphicData>
            </a:graphic>
          </wp:inline>
        </w:drawing>
      </w:r>
    </w:p>
    <w:p w14:paraId="24B51BCD" w14:textId="77777777" w:rsidR="00393455" w:rsidRDefault="00BC616B">
      <w:pPr>
        <w:spacing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Chart 1: Profitability Analysis</w:t>
      </w:r>
    </w:p>
    <w:p w14:paraId="52F83B79" w14:textId="77777777" w:rsidR="00393455" w:rsidRDefault="00BC616B">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(Source: Self-created)</w:t>
      </w:r>
    </w:p>
    <w:p w14:paraId="180E6D0C"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profit ratios of Marriott International indicate that good earnings have been regained following the pandemic, but it did not achieve</w:t>
      </w:r>
      <w:r>
        <w:rPr>
          <w:rFonts w:ascii="Times New Roman" w:hAnsi="Times New Roman" w:cs="Times New Roman"/>
          <w:sz w:val="24"/>
          <w:szCs w:val="24"/>
          <w:lang w:val="en-GB"/>
        </w:rPr>
        <w:t xml:space="preserve"> consistent profitability after 2023. Return on Assets (ROA) improved, with the company utilising the asset base to generate profits more efficiently (Nurjanah</w:t>
      </w:r>
      <w:r>
        <w:rPr>
          <w:rFonts w:ascii="Times New Roman" w:hAnsi="Times New Roman" w:cs="Times New Roman"/>
          <w:i/>
          <w:iCs/>
          <w:sz w:val="24"/>
          <w:szCs w:val="24"/>
          <w:lang w:val="en-GB"/>
        </w:rPr>
        <w:t>et al</w:t>
      </w:r>
      <w:r>
        <w:rPr>
          <w:rFonts w:ascii="Times New Roman" w:hAnsi="Times New Roman" w:cs="Times New Roman"/>
          <w:sz w:val="24"/>
          <w:szCs w:val="24"/>
          <w:lang w:val="en-GB"/>
        </w:rPr>
        <w:t xml:space="preserve">., 2021), with a 2021 (4), 2022 (10) and 2023 (12) comparison. However, it suffered in 2024 by 9 per cent, as net income declined due to stagnation in revenue growth, but in 2025, it shot up, and profitability showed an improvement. Likewise, the net profit margin rose to 8% in </w:t>
      </w:r>
      <w:r>
        <w:rPr>
          <w:rFonts w:ascii="Times New Roman" w:hAnsi="Times New Roman" w:cs="Times New Roman"/>
          <w:sz w:val="24"/>
          <w:szCs w:val="24"/>
          <w:lang w:val="en-GB"/>
        </w:rPr>
        <w:lastRenderedPageBreak/>
        <w:t>2021, followed by 11% and 13%</w:t>
      </w:r>
      <w:r>
        <w:rPr>
          <w:rFonts w:ascii="Times New Roman" w:hAnsi="Times New Roman" w:cs="Times New Roman"/>
          <w:sz w:val="24"/>
          <w:szCs w:val="24"/>
          <w:lang w:val="en-GB"/>
        </w:rPr>
        <w:t xml:space="preserve"> in 2022 and 2023, respectively, with improved pricing power and cost control in the period of recovery. Conversely, the margin decreased to 9 per cent in 2023, which later decreased slightly to 10 per cent in 2024. This implies that the effects of inflation, labour costs and operational expenses decreased the overall profitability. In 2022, the gross profit margin gradually improved to 22 per cent and to 20 per cent in the period 2024, thereby demonstrating that there was some revenue growth lagging</w:t>
      </w:r>
      <w:r>
        <w:rPr>
          <w:rFonts w:ascii="Times New Roman" w:hAnsi="Times New Roman" w:cs="Times New Roman"/>
          <w:sz w:val="24"/>
          <w:szCs w:val="24"/>
          <w:lang w:val="en-GB"/>
        </w:rPr>
        <w:t xml:space="preserve"> behind the growth of cost of sales. </w:t>
      </w:r>
    </w:p>
    <w:p w14:paraId="7C7A21E6" w14:textId="77777777" w:rsidR="00393455" w:rsidRDefault="00BC616B">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35775BF3" wp14:editId="3F0F385E">
            <wp:extent cx="4305673" cy="4915326"/>
            <wp:effectExtent l="0" t="0" r="0" b="0"/>
            <wp:docPr id="102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0" cstate="print"/>
                    <a:srcRect/>
                    <a:stretch/>
                  </pic:blipFill>
                  <pic:spPr>
                    <a:xfrm>
                      <a:off x="0" y="0"/>
                      <a:ext cx="4305673" cy="4915326"/>
                    </a:xfrm>
                    <a:prstGeom prst="rect">
                      <a:avLst/>
                    </a:prstGeom>
                  </pic:spPr>
                </pic:pic>
              </a:graphicData>
            </a:graphic>
          </wp:inline>
        </w:drawing>
      </w:r>
    </w:p>
    <w:p w14:paraId="74736BC3" w14:textId="77777777" w:rsidR="00393455" w:rsidRDefault="00BC616B">
      <w:pPr>
        <w:spacing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Chart 2:Liquidity Analysis</w:t>
      </w:r>
    </w:p>
    <w:p w14:paraId="0AFA17BF" w14:textId="77777777" w:rsidR="00393455" w:rsidRDefault="00BC616B">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(Source: Self-created)</w:t>
      </w:r>
    </w:p>
    <w:p w14:paraId="376DB043"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Marriott's liquidity position was quite poor as well over the five years. The current ratio declined from 0.57 in 2020 to 0.45 in 2021, 0.43 in 2022, and reached 0.40 in 2023, before improving slightly to 0.43 in 2024. As Marriott has low inventories, the quick ratio is comparable to the current ratio, which means that liquid assets were not enough to finance the short-term </w:t>
      </w:r>
      <w:r>
        <w:rPr>
          <w:rFonts w:ascii="Times New Roman" w:hAnsi="Times New Roman" w:cs="Times New Roman"/>
          <w:sz w:val="24"/>
          <w:szCs w:val="24"/>
          <w:lang w:val="en-GB"/>
        </w:rPr>
        <w:lastRenderedPageBreak/>
        <w:t>commitments. In recent</w:t>
      </w:r>
      <w:r>
        <w:rPr>
          <w:rFonts w:ascii="Times New Roman" w:hAnsi="Times New Roman" w:cs="Times New Roman"/>
          <w:sz w:val="24"/>
          <w:szCs w:val="24"/>
          <w:lang w:val="en-GB"/>
        </w:rPr>
        <w:t xml:space="preserve"> years, the current ratios have improved more as it is compared to 2020, meaning that there is an increase in current liabilities at a faster rate compared to that of current assets. </w:t>
      </w:r>
    </w:p>
    <w:p w14:paraId="060FC4D3" w14:textId="77777777" w:rsidR="00393455" w:rsidRDefault="00BC616B">
      <w:pPr>
        <w:spacing w:line="360" w:lineRule="auto"/>
        <w:jc w:val="center"/>
        <w:rPr>
          <w:rFonts w:ascii="Times New Roman" w:hAnsi="Times New Roman" w:cs="Times New Roman"/>
          <w:b/>
          <w:bCs/>
          <w:sz w:val="24"/>
          <w:szCs w:val="24"/>
          <w:lang w:val="en-GB"/>
        </w:rPr>
      </w:pPr>
      <w:r>
        <w:rPr>
          <w:noProof/>
        </w:rPr>
        <w:lastRenderedPageBreak/>
        <w:drawing>
          <wp:inline distT="0" distB="0" distL="114300" distR="114300" wp14:anchorId="45F245BD" wp14:editId="7A6A4A75">
            <wp:extent cx="5420762" cy="7650480"/>
            <wp:effectExtent l="0" t="0" r="0" b="0"/>
            <wp:docPr id="1030"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5FE74E6" w14:textId="77777777" w:rsidR="00393455" w:rsidRDefault="00BC616B">
      <w:pPr>
        <w:spacing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Chart 3: Efficiency Analysis</w:t>
      </w:r>
    </w:p>
    <w:p w14:paraId="2DD74F68" w14:textId="77777777" w:rsidR="00393455" w:rsidRDefault="00BC616B">
      <w:pPr>
        <w:spacing w:line="360" w:lineRule="auto"/>
        <w:jc w:val="center"/>
        <w:rPr>
          <w:rFonts w:ascii="Times New Roman" w:hAnsi="Times New Roman" w:cs="Times New Roman"/>
          <w:b/>
          <w:bCs/>
          <w:sz w:val="24"/>
          <w:szCs w:val="24"/>
          <w:lang w:val="en-GB"/>
        </w:rPr>
      </w:pPr>
      <w:r>
        <w:rPr>
          <w:rFonts w:ascii="Times New Roman" w:hAnsi="Times New Roman" w:cs="Times New Roman"/>
          <w:sz w:val="24"/>
          <w:szCs w:val="24"/>
          <w:lang w:val="en-GB"/>
        </w:rPr>
        <w:t>(Source: Self-created)</w:t>
      </w:r>
    </w:p>
    <w:p w14:paraId="380E16EF"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The turnover of assets has been rising steadily at 0.54 in 2020, 0.84 in 2021 and 0.96 in 2023, reflecting faster revenue generation by the available assets. Though the 9.51 ratio that has been reported as exceptionally high in 2024</w:t>
      </w:r>
      <w:r>
        <w:rPr>
          <w:rFonts w:ascii="Times New Roman" w:hAnsi="Times New Roman" w:cs="Times New Roman"/>
          <w:sz w:val="24"/>
          <w:szCs w:val="24"/>
          <w:lang w:val="en-GB"/>
        </w:rPr>
        <w:t xml:space="preserve"> seems to be brought about by the exceptionally low reported asset value and thus should therefore be taken with a grain of salt, the general direction shows better asset utilisation. In the same way, the collection of receivables improved greatly, with a reduction of 52 days to 45 days receivable days in 2023-2024, after which it will be reduced to 41, thereby boosting cash conversion. Conversely, payable days also decreased to 14 days in 2023, a 24-day decline as compared to 2020</w:t>
      </w:r>
      <w:r>
        <w:rPr>
          <w:rFonts w:ascii="Times New Roman" w:hAnsi="Times New Roman" w:cs="Times New Roman"/>
          <w:sz w:val="24"/>
          <w:szCs w:val="24"/>
          <w:lang w:val="en-GB"/>
        </w:rPr>
        <w:t xml:space="preserve">, and it means that Marriott is paying suppliers in a shorter time. </w:t>
      </w:r>
    </w:p>
    <w:p w14:paraId="0F92939D" w14:textId="77777777" w:rsidR="00393455" w:rsidRDefault="00BC616B">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object w:dxaOrig="7105" w:dyaOrig="7813" w14:anchorId="5AB772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1031" o:spid="_x0000_i1025" type="#_x0000_t75" style="width:355.5pt;height:390.75pt;visibility:visible;mso-wrap-distance-left:0;mso-wrap-distance-right:0" o:ole="">
            <v:imagedata r:id="rId12" o:title="" embosscolor="white"/>
          </v:shape>
          <o:OLEObject Type="Embed" ProgID="Excel.Chart.8" ShapeID="1031" DrawAspect="Content" ObjectID="_1847999200" r:id="rId13"/>
        </w:object>
      </w:r>
    </w:p>
    <w:p w14:paraId="053597C6" w14:textId="77777777" w:rsidR="00393455" w:rsidRDefault="00BC616B">
      <w:pPr>
        <w:spacing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Chart 4: Gearing Analysis</w:t>
      </w:r>
    </w:p>
    <w:p w14:paraId="740C4112" w14:textId="77777777" w:rsidR="00393455" w:rsidRDefault="00BC616B">
      <w:pPr>
        <w:spacing w:line="360" w:lineRule="auto"/>
        <w:jc w:val="center"/>
        <w:rPr>
          <w:rFonts w:ascii="Times New Roman" w:hAnsi="Times New Roman" w:cs="Times New Roman"/>
          <w:b/>
          <w:bCs/>
          <w:sz w:val="24"/>
          <w:szCs w:val="24"/>
          <w:lang w:val="en-GB"/>
        </w:rPr>
      </w:pPr>
      <w:r>
        <w:rPr>
          <w:rFonts w:ascii="Times New Roman" w:hAnsi="Times New Roman" w:cs="Times New Roman"/>
          <w:sz w:val="24"/>
          <w:szCs w:val="24"/>
          <w:lang w:val="en-GB"/>
        </w:rPr>
        <w:t>(Source: Self-created)</w:t>
      </w:r>
    </w:p>
    <w:p w14:paraId="15294DF2"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At the time, Marriott was highly leveraged in terms of capital structure. The debt-to-equity ratio was lower in 2021, however, compared to 17.07 in 2020, as it resulted in being more reliant on borrowed capital. The coverage of interest increased to 8.59 times in 2021, as compared to 4.17 times in 2020</w:t>
      </w:r>
      <w:r>
        <w:rPr>
          <w:rFonts w:ascii="Times New Roman" w:hAnsi="Times New Roman" w:cs="Times New Roman"/>
          <w:sz w:val="24"/>
          <w:szCs w:val="24"/>
          <w:lang w:val="en-GB"/>
        </w:rPr>
        <w:t xml:space="preserve">, and this represents better debt-servicing capacity in the recovery period. However, the ratio goes down slowly to 6.84 in the year 2023, 5.42 in the year 2023 and 5.12 in the year 2024, as it indicates how interest expenses are eating up more and more of the operating profits. </w:t>
      </w:r>
    </w:p>
    <w:p w14:paraId="6CA000DF" w14:textId="77777777" w:rsidR="00393455" w:rsidRDefault="00BC616B">
      <w:pPr>
        <w:spacing w:line="360" w:lineRule="auto"/>
        <w:jc w:val="center"/>
        <w:rPr>
          <w:rFonts w:ascii="Times New Roman" w:hAnsi="Times New Roman" w:cs="Times New Roman"/>
          <w:b/>
          <w:bCs/>
          <w:sz w:val="24"/>
          <w:szCs w:val="24"/>
          <w:lang w:val="en-GB"/>
        </w:rPr>
      </w:pPr>
      <w:r>
        <w:rPr>
          <w:noProof/>
        </w:rPr>
        <w:drawing>
          <wp:inline distT="0" distB="0" distL="114300" distR="114300" wp14:anchorId="4ABBE588" wp14:editId="2561820D">
            <wp:extent cx="4572000" cy="5829300"/>
            <wp:effectExtent l="0" t="0" r="0" b="0"/>
            <wp:docPr id="1033"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14E618C" w14:textId="77777777" w:rsidR="00393455" w:rsidRDefault="00BC616B">
      <w:pPr>
        <w:spacing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Chart 5:Investment Analysis</w:t>
      </w:r>
    </w:p>
    <w:p w14:paraId="47011F7C" w14:textId="77777777" w:rsidR="00393455" w:rsidRDefault="00BC616B">
      <w:pPr>
        <w:spacing w:line="360" w:lineRule="auto"/>
        <w:jc w:val="center"/>
        <w:rPr>
          <w:rFonts w:ascii="Times New Roman" w:hAnsi="Times New Roman" w:cs="Times New Roman"/>
          <w:b/>
          <w:bCs/>
          <w:sz w:val="24"/>
          <w:szCs w:val="24"/>
          <w:lang w:val="en-GB"/>
        </w:rPr>
      </w:pPr>
      <w:r>
        <w:rPr>
          <w:rFonts w:ascii="Times New Roman" w:hAnsi="Times New Roman" w:cs="Times New Roman"/>
          <w:sz w:val="24"/>
          <w:szCs w:val="24"/>
          <w:lang w:val="en-GB"/>
        </w:rPr>
        <w:t>(Source: Self-created)</w:t>
      </w:r>
    </w:p>
    <w:p w14:paraId="1121B9E8"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Volatility of earnings did not have an impact on investment performance. The Earnings per Share (EPS) has increased as well and to 7.27 in 2021 and to 10.23 in 2022</w:t>
      </w:r>
      <w:r>
        <w:rPr>
          <w:rFonts w:ascii="Times New Roman" w:hAnsi="Times New Roman" w:cs="Times New Roman"/>
          <w:sz w:val="24"/>
          <w:szCs w:val="24"/>
          <w:lang w:val="en-GB"/>
        </w:rPr>
        <w:t xml:space="preserve">, which is a nice growth in earnings and shareholder value. EPS, nevertheless, declined to 8.36 in 2023 because of a loss of net income, though it resumed to 9.53 in 2024. </w:t>
      </w:r>
    </w:p>
    <w:p w14:paraId="55E5B54C" w14:textId="77777777" w:rsidR="00393455" w:rsidRDefault="00BC616B">
      <w:pPr>
        <w:spacing w:line="360" w:lineRule="auto"/>
        <w:jc w:val="center"/>
        <w:rPr>
          <w:rFonts w:ascii="Times New Roman" w:hAnsi="Times New Roman" w:cs="Times New Roman"/>
          <w:sz w:val="24"/>
          <w:szCs w:val="24"/>
          <w:lang w:val="en-GB"/>
        </w:rPr>
      </w:pPr>
      <w:r>
        <w:rPr>
          <w:noProof/>
        </w:rPr>
        <w:drawing>
          <wp:inline distT="0" distB="0" distL="114300" distR="114300" wp14:anchorId="28C6F8ED" wp14:editId="74486B85">
            <wp:extent cx="4572000" cy="4800600"/>
            <wp:effectExtent l="0" t="0" r="0" b="0"/>
            <wp:docPr id="1035"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8691167" w14:textId="77777777" w:rsidR="00393455" w:rsidRDefault="00BC616B">
      <w:pPr>
        <w:spacing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Chart 6:Cash Flow Analysis</w:t>
      </w:r>
    </w:p>
    <w:p w14:paraId="21CD92BB" w14:textId="77777777" w:rsidR="00393455" w:rsidRDefault="00BC616B">
      <w:pPr>
        <w:spacing w:line="360" w:lineRule="auto"/>
        <w:jc w:val="center"/>
        <w:rPr>
          <w:rFonts w:ascii="Times New Roman" w:hAnsi="Times New Roman" w:cs="Times New Roman"/>
          <w:b/>
          <w:bCs/>
          <w:sz w:val="24"/>
          <w:szCs w:val="24"/>
          <w:lang w:val="en-GB"/>
        </w:rPr>
      </w:pPr>
      <w:r>
        <w:rPr>
          <w:rFonts w:ascii="Times New Roman" w:hAnsi="Times New Roman" w:cs="Times New Roman"/>
          <w:sz w:val="24"/>
          <w:szCs w:val="24"/>
          <w:lang w:val="en-GB"/>
        </w:rPr>
        <w:t>(Source: Self-created)</w:t>
      </w:r>
    </w:p>
    <w:p w14:paraId="6682E281"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performance of Marriott in terms of operating cash flow improved significantly in the five years. The turnover ratio of cash flow has improved to 0.32 in 2022 and 0.41 in 2022 in comparison to 0.18 in 2020,</w:t>
      </w:r>
      <w:r>
        <w:rPr>
          <w:rFonts w:ascii="Times New Roman" w:hAnsi="Times New Roman" w:cs="Times New Roman"/>
          <w:sz w:val="24"/>
          <w:szCs w:val="24"/>
          <w:lang w:val="en-GB"/>
        </w:rPr>
        <w:t xml:space="preserve"> which indicates better generation of cash through core operations compared to current liabilities. In the same breath, the ratio dropped to 0.32 in 2023, and this showed poor operating cash generation, with more evidence of an increase in revenues before rebounding to 0.38 in 2024. </w:t>
      </w:r>
      <w:r>
        <w:rPr>
          <w:rFonts w:ascii="Times New Roman" w:hAnsi="Times New Roman" w:cs="Times New Roman"/>
          <w:b/>
          <w:bCs/>
          <w:i/>
          <w:iCs/>
          <w:sz w:val="24"/>
          <w:szCs w:val="24"/>
          <w:lang w:val="en-GB"/>
        </w:rPr>
        <w:t>[Referred to Appendix 1]</w:t>
      </w:r>
      <w:r>
        <w:rPr>
          <w:rFonts w:ascii="Times New Roman" w:hAnsi="Times New Roman" w:cs="Times New Roman"/>
          <w:sz w:val="24"/>
          <w:szCs w:val="24"/>
          <w:lang w:val="en-GB"/>
        </w:rPr>
        <w:t>.</w:t>
      </w:r>
    </w:p>
    <w:p w14:paraId="46384F25" w14:textId="77777777" w:rsidR="00393455" w:rsidRDefault="00BC616B">
      <w:pPr>
        <w:pStyle w:val="Heading2"/>
        <w:rPr>
          <w:color w:val="auto"/>
          <w:lang w:val="en-GB"/>
        </w:rPr>
      </w:pPr>
      <w:bookmarkStart w:id="5" w:name="_Toc236912228"/>
      <w:r>
        <w:rPr>
          <w:color w:val="auto"/>
          <w:lang w:val="en-GB"/>
        </w:rPr>
        <w:lastRenderedPageBreak/>
        <w:t>c. Trends, strengths, and potential threats</w:t>
      </w:r>
      <w:bookmarkEnd w:id="5"/>
    </w:p>
    <w:p w14:paraId="794127F0"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color w:val="FF0000"/>
          <w:sz w:val="24"/>
          <w:szCs w:val="24"/>
          <w:lang w:val="en-GB"/>
        </w:rPr>
        <w:t>As the financial ratio analysis reveals, over the 2020-2024 period, Marriott International has managed to reach a positive overall performance</w:t>
      </w:r>
      <w:r>
        <w:rPr>
          <w:rFonts w:ascii="Times New Roman" w:hAnsi="Times New Roman" w:cs="Times New Roman"/>
          <w:sz w:val="24"/>
          <w:szCs w:val="24"/>
          <w:lang w:val="en-GB"/>
        </w:rPr>
        <w:t>. This</w:t>
      </w:r>
      <w:r>
        <w:rPr>
          <w:rFonts w:ascii="Times New Roman" w:hAnsi="Times New Roman" w:cs="Times New Roman"/>
          <w:sz w:val="24"/>
          <w:szCs w:val="24"/>
          <w:lang w:val="en-GB"/>
        </w:rPr>
        <w:t xml:space="preserve"> is evidenced by the steadily increasing revenues, increasing profitability, improved asset utilisation and the increase in earnings per share. The profitability ratios and operating cash flow have grown tremendously compared to 2021 and thus are more efficient in operation and more substantial in generating cash. The collection of receivables also improved working capital management. </w:t>
      </w:r>
    </w:p>
    <w:p w14:paraId="53A618CC"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Nevertheless, a number of financial threats are still apparent. Liquidity ratios have always remained below 1.0,</w:t>
      </w:r>
      <w:r>
        <w:rPr>
          <w:rFonts w:ascii="Times New Roman" w:hAnsi="Times New Roman" w:cs="Times New Roman"/>
          <w:sz w:val="24"/>
          <w:szCs w:val="24"/>
          <w:lang w:val="en-GB"/>
        </w:rPr>
        <w:t xml:space="preserve"> which reflects liquidity, as it remained dependent on operating cash flows and external funding to fulfil its current commitments (Blessing and Sakouvogui, 2023). Furthermore, the growing liabilities, negative shareholder equity, and the decline in interest coverage compared to 2022 This indicates that financial leverage and financial flexibility are on the rise. </w:t>
      </w:r>
    </w:p>
    <w:p w14:paraId="261238A1" w14:textId="77777777" w:rsidR="00393455" w:rsidRDefault="00BC616B">
      <w:pPr>
        <w:pStyle w:val="Heading2"/>
        <w:rPr>
          <w:color w:val="auto"/>
          <w:lang w:val="en-GB"/>
        </w:rPr>
      </w:pPr>
      <w:bookmarkStart w:id="6" w:name="_Toc236912229"/>
      <w:r>
        <w:rPr>
          <w:color w:val="auto"/>
          <w:lang w:val="en-GB"/>
        </w:rPr>
        <w:t>d. Comparison of liquidity ratios with industry benchmark</w:t>
      </w:r>
      <w:bookmarkEnd w:id="6"/>
    </w:p>
    <w:p w14:paraId="24134F42"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color w:val="FF0000"/>
          <w:sz w:val="24"/>
          <w:szCs w:val="24"/>
          <w:lang w:val="en-GB"/>
        </w:rPr>
        <w:t>Marriott International has a lower liquidity position as compared to the industry in the hospitality sector within 2020-2024</w:t>
      </w:r>
      <w:r>
        <w:rPr>
          <w:rFonts w:ascii="Times New Roman" w:hAnsi="Times New Roman" w:cs="Times New Roman"/>
          <w:sz w:val="24"/>
          <w:szCs w:val="24"/>
          <w:lang w:val="en-GB"/>
        </w:rPr>
        <w:t xml:space="preserve">. There was a decline in the current ratio of the company in the years 2024, i.e., from 0.57 in 2020 to 0.43 in 2024, and it is extremely low compared to the normal range that the industry rates to be 1.5 to 2.0 current ratio as the financial stability in the short term. Likewise, the quick ratio was between 0.40 and 0.57, which is far less than the recommended standard of 1.0. This </w:t>
      </w:r>
      <w:r>
        <w:rPr>
          <w:rFonts w:ascii="Times New Roman" w:hAnsi="Times New Roman" w:cs="Times New Roman"/>
          <w:sz w:val="24"/>
          <w:szCs w:val="24"/>
          <w:lang w:val="en-GB"/>
        </w:rPr>
        <w:t xml:space="preserve">indicates that liquid assets are not sufficient to meet the current liabilities without the infusion of operating cash (Haq </w:t>
      </w:r>
      <w:r>
        <w:rPr>
          <w:rFonts w:ascii="Times New Roman" w:hAnsi="Times New Roman" w:cs="Times New Roman"/>
          <w:i/>
          <w:iCs/>
          <w:sz w:val="24"/>
          <w:szCs w:val="24"/>
          <w:lang w:val="en-GB"/>
        </w:rPr>
        <w:t>et al.,</w:t>
      </w:r>
      <w:r>
        <w:rPr>
          <w:rFonts w:ascii="Times New Roman" w:hAnsi="Times New Roman" w:cs="Times New Roman"/>
          <w:sz w:val="24"/>
          <w:szCs w:val="24"/>
          <w:lang w:val="en-GB"/>
        </w:rPr>
        <w:t xml:space="preserve"> 2025). Compared to most international hospitality companies, Marriott appears to be more tied up in cash flow generation, as well as external funds, to withstand fluctuations in travel volume. However, Ridwan </w:t>
      </w:r>
      <w:r>
        <w:rPr>
          <w:rFonts w:ascii="Times New Roman" w:hAnsi="Times New Roman" w:cs="Times New Roman"/>
          <w:i/>
          <w:iCs/>
          <w:sz w:val="24"/>
          <w:szCs w:val="24"/>
          <w:lang w:val="en-GB"/>
        </w:rPr>
        <w:t>et al.</w:t>
      </w:r>
      <w:r>
        <w:rPr>
          <w:rFonts w:ascii="Times New Roman" w:hAnsi="Times New Roman" w:cs="Times New Roman"/>
          <w:sz w:val="24"/>
          <w:szCs w:val="24"/>
          <w:lang w:val="en-GB"/>
        </w:rPr>
        <w:t xml:space="preserve"> (2025) argue that </w:t>
      </w:r>
      <w:r>
        <w:rPr>
          <w:rFonts w:ascii="Times New Roman" w:hAnsi="Times New Roman" w:cs="Times New Roman"/>
          <w:sz w:val="24"/>
          <w:szCs w:val="24"/>
          <w:lang w:val="en-GB"/>
        </w:rPr>
        <w:t xml:space="preserve">the relatively stable rates of the liquidity ratios in the last five-year span suggest that the firm could easily manage its working capital over the years even though it was below the industry average. </w:t>
      </w:r>
    </w:p>
    <w:p w14:paraId="13D4577E" w14:textId="77777777" w:rsidR="00393455" w:rsidRDefault="00BC616B">
      <w:pPr>
        <w:pStyle w:val="Heading1"/>
        <w:spacing w:before="0" w:after="0"/>
        <w:rPr>
          <w:color w:val="auto"/>
          <w:lang w:val="en-GB"/>
        </w:rPr>
      </w:pPr>
      <w:bookmarkStart w:id="7" w:name="_Toc236912230"/>
      <w:r>
        <w:rPr>
          <w:color w:val="auto"/>
          <w:lang w:val="en-GB"/>
        </w:rPr>
        <w:t>2. Working Capital Management Analysis</w:t>
      </w:r>
      <w:bookmarkEnd w:id="7"/>
    </w:p>
    <w:p w14:paraId="542D3F4F" w14:textId="77777777" w:rsidR="00393455" w:rsidRDefault="00BC616B">
      <w:pPr>
        <w:pStyle w:val="Heading2"/>
        <w:rPr>
          <w:color w:val="auto"/>
          <w:lang w:val="en-GB"/>
        </w:rPr>
      </w:pPr>
      <w:bookmarkStart w:id="8" w:name="_Toc236912231"/>
      <w:r>
        <w:rPr>
          <w:color w:val="auto"/>
          <w:lang w:val="en-GB"/>
        </w:rPr>
        <w:t>a. Cash operating cycle</w:t>
      </w:r>
      <w:bookmarkEnd w:id="8"/>
    </w:p>
    <w:p w14:paraId="66E29EED"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color w:val="FF0000"/>
          <w:sz w:val="24"/>
          <w:szCs w:val="24"/>
          <w:lang w:val="en-GB"/>
        </w:rPr>
        <w:t xml:space="preserve">The cash operating cycles 2020-2024 indicate that Marriott International may be quite efficient in managing working capital despite the fact that it </w:t>
      </w:r>
      <w:r>
        <w:rPr>
          <w:rFonts w:ascii="Times New Roman" w:hAnsi="Times New Roman" w:cs="Times New Roman"/>
          <w:color w:val="FF0000"/>
          <w:sz w:val="24"/>
          <w:szCs w:val="24"/>
          <w:lang w:val="en-GB"/>
        </w:rPr>
        <w:t xml:space="preserve">worked with limited liquidity. The composition </w:t>
      </w:r>
      <w:r>
        <w:rPr>
          <w:rFonts w:ascii="Times New Roman" w:hAnsi="Times New Roman" w:cs="Times New Roman"/>
          <w:color w:val="FF0000"/>
          <w:sz w:val="24"/>
          <w:szCs w:val="24"/>
          <w:lang w:val="en-GB"/>
        </w:rPr>
        <w:lastRenderedPageBreak/>
        <w:t>of receivables has also been enhanced to a greater degree, and receivable turnover days have dropped to 41 days in 2024 versus 52 days in 2020, which suggests quicker customer collections, enhanced credit handling and an augmented conversion to cash</w:t>
      </w:r>
      <w:r>
        <w:rPr>
          <w:rFonts w:ascii="Times New Roman" w:hAnsi="Times New Roman" w:cs="Times New Roman"/>
          <w:sz w:val="24"/>
          <w:szCs w:val="24"/>
          <w:lang w:val="en-GB"/>
        </w:rPr>
        <w:t xml:space="preserve">. Similarly, days outstanding payable decreased to 14 days as compared to the 24 days in the previous years and naturally, Marriott was paying its suppliers within a shorter period than it was paying within the previous years. </w:t>
      </w:r>
    </w:p>
    <w:p w14:paraId="1EF7D326"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As the payment of suppliers has become increasingly faster than over the past years, business relations have risen and the aspect of elevated supplier confidence; however,</w:t>
      </w:r>
      <w:r>
        <w:rPr>
          <w:rFonts w:ascii="Times New Roman" w:hAnsi="Times New Roman" w:cs="Times New Roman"/>
          <w:sz w:val="24"/>
          <w:szCs w:val="24"/>
          <w:lang w:val="en-GB"/>
        </w:rPr>
        <w:t xml:space="preserve"> it has also created pressure on the cash reserves as a source of working capital and has contributed to the pressure on the cash reserves. Also, the total asset turnover has been on a steady increase,averaging 0.54 in 2020 up to 0.96 in 2023 to make full use of the assets in the society to generate revenues. Even though the reported 9.51 ratio is very high in 2024 (with an abnormally low reported value of assets), this is still enhancing operational efficiency (Marriott International, 2025). </w:t>
      </w:r>
    </w:p>
    <w:p w14:paraId="246C259C" w14:textId="77777777" w:rsidR="00393455" w:rsidRDefault="00BC616B">
      <w:pPr>
        <w:spacing w:line="360" w:lineRule="auto"/>
        <w:jc w:val="both"/>
        <w:rPr>
          <w:lang w:val="en-GB"/>
        </w:rPr>
      </w:pPr>
      <w:r>
        <w:rPr>
          <w:rFonts w:ascii="Times New Roman" w:hAnsi="Times New Roman" w:cs="Times New Roman"/>
          <w:sz w:val="24"/>
          <w:szCs w:val="24"/>
          <w:lang w:val="en-GB"/>
        </w:rPr>
        <w:t>Although this worked out, Marriott has poor working capital of about US$5.16 billion in 2024, implying that there were more current liabilities than current assets. This position can also be typical of more asset-light hospitality firms that run on a franchise and management contract system where deferred revenues and high operating cash flows are likely to fund the daily operations against huge working capital positions. Nevertheless, current and quick ratios are never high,</w:t>
      </w:r>
      <w:r>
        <w:rPr>
          <w:rFonts w:ascii="Times New Roman" w:hAnsi="Times New Roman" w:cs="Times New Roman"/>
          <w:sz w:val="24"/>
          <w:szCs w:val="24"/>
          <w:lang w:val="en-GB"/>
        </w:rPr>
        <w:t xml:space="preserve"> meaning that the company can find itself in temporary liquidity strains in case operating cash flows are lower (Davidson III, 2020). Therefore, Marriott will have to continue enhancing cash flow projection, automated billing and collection of their dues, and increasing digital payment processes and supplier payment terms reduction without relationship degradation. Better real-time base monitoring of cash and closer</w:t>
      </w:r>
      <w:r>
        <w:rPr>
          <w:rFonts w:ascii="Times New Roman" w:hAnsi="Times New Roman" w:cs="Times New Roman"/>
          <w:sz w:val="24"/>
          <w:szCs w:val="24"/>
          <w:lang w:val="en-GB"/>
        </w:rPr>
        <w:t xml:space="preserve"> monitoring of the working capital would further enhance the stability of the cash flow, flexibility in operations and stability in response to economic fluctuations, besides offering viable long-term growth. </w:t>
      </w:r>
      <w:r>
        <w:rPr>
          <w:lang w:val="en-GB"/>
        </w:rPr>
        <w:t> </w:t>
      </w:r>
    </w:p>
    <w:p w14:paraId="63EB8C1D" w14:textId="77777777" w:rsidR="00393455" w:rsidRDefault="00BC616B">
      <w:pPr>
        <w:pStyle w:val="Heading2"/>
        <w:rPr>
          <w:color w:val="auto"/>
          <w:lang w:val="en-GB"/>
        </w:rPr>
      </w:pPr>
      <w:bookmarkStart w:id="9" w:name="_Toc236912232"/>
      <w:r>
        <w:rPr>
          <w:color w:val="auto"/>
          <w:lang w:val="en-GB"/>
        </w:rPr>
        <w:t>b. Recommend strategies to improve liquidity</w:t>
      </w:r>
      <w:bookmarkEnd w:id="9"/>
      <w:r>
        <w:rPr>
          <w:color w:val="auto"/>
          <w:lang w:val="en-GB"/>
        </w:rPr>
        <w:t> </w:t>
      </w:r>
    </w:p>
    <w:p w14:paraId="5E6B2873" w14:textId="77777777" w:rsidR="00393455" w:rsidRDefault="00BC616B">
      <w:pPr>
        <w:pStyle w:val="NormalWeb"/>
        <w:shd w:val="clear" w:color="auto" w:fill="FFFFFF"/>
        <w:spacing w:before="0" w:beforeAutospacing="0" w:after="0" w:afterAutospacing="0" w:line="360" w:lineRule="auto"/>
        <w:jc w:val="both"/>
        <w:rPr>
          <w:lang w:val="en-GB"/>
        </w:rPr>
      </w:pPr>
      <w:r>
        <w:rPr>
          <w:lang w:val="en-GB"/>
        </w:rPr>
        <w:t xml:space="preserve">Although Marriott International strongly operates cash flow management through its asset-light, franchise-based business model, rising interest costs and uncertain global travel demand affected its liquidity position. Marriott reported that by the end of 2024, it generated $3,160 million of revenue, whereas liabilities reached US$8 billion, contributing to a reduced ratio value below the </w:t>
      </w:r>
      <w:r>
        <w:rPr>
          <w:lang w:val="en-GB"/>
        </w:rPr>
        <w:lastRenderedPageBreak/>
        <w:t>benchmark of 1.0 (Marriott, 2024</w:t>
      </w:r>
      <w:r>
        <w:rPr>
          <w:lang w:val="en-GB"/>
        </w:rPr>
        <w:t>). This highlights that Marriott International should continue to depend on cash conversion through an efficient strategic process instead of a liquidity buffer. </w:t>
      </w:r>
    </w:p>
    <w:p w14:paraId="4FFB9D8A" w14:textId="77777777" w:rsidR="00393455" w:rsidRDefault="00BC616B">
      <w:pPr>
        <w:pStyle w:val="NormalWeb"/>
        <w:shd w:val="clear" w:color="auto" w:fill="FFFFFF"/>
        <w:spacing w:before="0" w:beforeAutospacing="0" w:after="0" w:afterAutospacing="0" w:line="360" w:lineRule="auto"/>
        <w:jc w:val="both"/>
        <w:rPr>
          <w:lang w:val="en-GB"/>
        </w:rPr>
      </w:pPr>
      <w:r>
        <w:rPr>
          <w:lang w:val="en-GB"/>
        </w:rPr>
        <w:t xml:space="preserve">First, Marriott International needs to expand AI-enabled forecasting for demand analysis to improve prediction and optimise cash inflows. The hospitality organisation Marriott operates more than 9,800 hotels across 145 countries, and therefore accurate forecasting would reduce demand uncertainty to deliver required services without excess investment (Marriott.africa-newsroom 2026). This would reduce revenue volatility and boost short-term cash planning. On the other hand, Eschenbrenner </w:t>
      </w:r>
      <w:r>
        <w:rPr>
          <w:i/>
          <w:iCs/>
          <w:lang w:val="en-GB"/>
        </w:rPr>
        <w:t>et al.,</w:t>
      </w:r>
      <w:r>
        <w:rPr>
          <w:lang w:val="en-GB"/>
        </w:rPr>
        <w:t xml:space="preserve"> (2023) suggested that Marriott can renegotiate supplier contracts with a deal in payment extension from 45 days towards 60 days, particularly for procurement, property maintenance and other services. Another important recommendation is that Marriott needs to strengthen their digital infrastructure to accelerate digital customer payments through redemption of loyalty programmes, prepaid booking opportunities with offers and automated receivables. This advanced reservation process and convenient booking syst</w:t>
      </w:r>
      <w:r>
        <w:rPr>
          <w:lang w:val="en-GB"/>
        </w:rPr>
        <w:t>em would generate additional cash before services are delivered, lessening the time of the cash conversion cycle. Overall, these recommended reforms can improve liquidity</w:t>
      </w:r>
      <w:r>
        <w:rPr>
          <w:lang w:val="en-GB"/>
        </w:rPr>
        <w:t>, supporting operations without materially increasing financial assets.</w:t>
      </w:r>
    </w:p>
    <w:p w14:paraId="02D7A834" w14:textId="77777777" w:rsidR="00393455" w:rsidRDefault="00BC616B">
      <w:pPr>
        <w:pStyle w:val="Heading2"/>
        <w:rPr>
          <w:color w:val="auto"/>
          <w:lang w:val="en-GB"/>
        </w:rPr>
      </w:pPr>
      <w:bookmarkStart w:id="10" w:name="_Toc236912233"/>
      <w:r>
        <w:rPr>
          <w:color w:val="auto"/>
          <w:lang w:val="en-GB"/>
        </w:rPr>
        <w:t>c. Compare short-term vs long-term financing options</w:t>
      </w:r>
      <w:bookmarkEnd w:id="10"/>
      <w:r>
        <w:rPr>
          <w:color w:val="auto"/>
          <w:lang w:val="en-GB"/>
        </w:rPr>
        <w:t> </w:t>
      </w:r>
    </w:p>
    <w:p w14:paraId="265C8A0A" w14:textId="77777777" w:rsidR="00393455" w:rsidRDefault="00BC616B">
      <w:pPr>
        <w:pStyle w:val="NormalWeb"/>
        <w:shd w:val="clear" w:color="auto" w:fill="FFFFFF"/>
        <w:spacing w:before="0" w:beforeAutospacing="0" w:after="0" w:afterAutospacing="0" w:line="360" w:lineRule="auto"/>
        <w:jc w:val="both"/>
        <w:rPr>
          <w:lang w:val="en-GB"/>
        </w:rPr>
      </w:pPr>
      <w:r>
        <w:rPr>
          <w:lang w:val="en-GB"/>
        </w:rPr>
        <w:t xml:space="preserve">Marriott International can manage its financing with strategic expansion and working capital through a combination of both long-term and short-term finance. According to Tiwary and Paul (2023), financing elements are credit facilities, commercial papers, short-term bank loans, and trade credit, which generally hold a lower initial cost of borrowing, providing flexible financing with seasonal fluctuation in hotel occupancy, supplier payments or payroll management. In contrast, Subhani </w:t>
      </w:r>
      <w:r>
        <w:rPr>
          <w:i/>
          <w:iCs/>
          <w:lang w:val="en-GB"/>
        </w:rPr>
        <w:t>et al.,</w:t>
      </w:r>
      <w:r>
        <w:rPr>
          <w:lang w:val="en-GB"/>
        </w:rPr>
        <w:t xml:space="preserve"> (2025) highlighted that long-term financing is managed through long-term bank loans, corporate bonds and equity financing that generate better financial stability for investors, including digital transformation, hotel development and different critical sustainable initiatives. However, Chen</w:t>
      </w:r>
      <w:r>
        <w:rPr>
          <w:i/>
          <w:iCs/>
          <w:lang w:val="en-GB"/>
        </w:rPr>
        <w:t xml:space="preserve"> et al.,</w:t>
      </w:r>
      <w:r>
        <w:rPr>
          <w:lang w:val="en-GB"/>
        </w:rPr>
        <w:t xml:space="preserve"> (2026) argued that flexibility might create financing risks, specifically during disruption of the financial market. Therefore, excessive dependence on short-term debt is not a good strategic decision due to uncertain global policy, as it can lead to increased financing costs or liquidity pressure on the firm. </w:t>
      </w:r>
    </w:p>
    <w:p w14:paraId="47286F7C" w14:textId="77777777" w:rsidR="00393455" w:rsidRDefault="00BC616B">
      <w:pPr>
        <w:pStyle w:val="NormalWeb"/>
        <w:shd w:val="clear" w:color="auto" w:fill="FFFFFF"/>
        <w:spacing w:before="0" w:beforeAutospacing="0" w:after="40" w:afterAutospacing="0" w:line="360" w:lineRule="auto"/>
        <w:jc w:val="both"/>
        <w:rPr>
          <w:lang w:val="en-GB"/>
        </w:rPr>
      </w:pPr>
      <w:r>
        <w:rPr>
          <w:lang w:val="en-GB"/>
        </w:rPr>
        <w:lastRenderedPageBreak/>
        <w:t>On the other hand, in the case of a long-term financing option Tiwary and Paul (2023) stated that it reduces refinancing risk being a major component for large business organisations. It also improves cash flow predictability and better aligns funding, whose benefits extend over many years. From a strategic perspective can be stated that Marriott should adopt a balanced financing approach instead of choosing either short- or long-term financing. Short-term financing is restricted to temporary working capita</w:t>
      </w:r>
      <w:r>
        <w:rPr>
          <w:lang w:val="en-GB"/>
        </w:rPr>
        <w:t xml:space="preserve">l. </w:t>
      </w:r>
    </w:p>
    <w:p w14:paraId="7549CE52" w14:textId="77777777" w:rsidR="00393455" w:rsidRDefault="00BC616B">
      <w:pPr>
        <w:pStyle w:val="Heading1"/>
        <w:rPr>
          <w:color w:val="auto"/>
          <w:lang w:val="en-GB"/>
        </w:rPr>
      </w:pPr>
      <w:bookmarkStart w:id="11" w:name="_Toc236912234"/>
      <w:r>
        <w:rPr>
          <w:color w:val="auto"/>
          <w:lang w:val="en-GB"/>
        </w:rPr>
        <w:t>3. Strategic Financial Restructuring Plan</w:t>
      </w:r>
      <w:bookmarkEnd w:id="11"/>
      <w:r>
        <w:rPr>
          <w:color w:val="auto"/>
          <w:lang w:val="en-GB"/>
        </w:rPr>
        <w:t> </w:t>
      </w:r>
    </w:p>
    <w:p w14:paraId="2B7D1DAC" w14:textId="77777777" w:rsidR="00393455" w:rsidRDefault="00BC616B">
      <w:pPr>
        <w:pStyle w:val="Heading2"/>
        <w:rPr>
          <w:color w:val="auto"/>
          <w:lang w:val="en-GB"/>
        </w:rPr>
      </w:pPr>
      <w:bookmarkStart w:id="12" w:name="_Toc236912235"/>
      <w:r>
        <w:rPr>
          <w:color w:val="auto"/>
          <w:lang w:val="en-GB"/>
        </w:rPr>
        <w:t>a. Recommend financial restructuring options</w:t>
      </w:r>
      <w:bookmarkEnd w:id="12"/>
    </w:p>
    <w:p w14:paraId="79E808F3" w14:textId="77777777" w:rsidR="00393455" w:rsidRDefault="00BC616B">
      <w:pPr>
        <w:pStyle w:val="NormalWeb"/>
        <w:shd w:val="clear" w:color="auto" w:fill="FFFFFF"/>
        <w:spacing w:before="0" w:beforeAutospacing="0" w:after="0" w:afterAutospacing="0" w:line="360" w:lineRule="auto"/>
        <w:jc w:val="both"/>
        <w:rPr>
          <w:lang w:val="en-GB"/>
        </w:rPr>
      </w:pPr>
      <w:r>
        <w:rPr>
          <w:lang w:val="en-GB"/>
        </w:rPr>
        <w:t>The review of Marriott International is influenced by tourism demand, travel business and macroeconomic conditions, where short-term borrowing allows the firm to access liquidity rapidly without committing to any long-term interest. But during financial uncertainties and high interest rates, debt might become more expensive or critical (Atichasari</w:t>
      </w:r>
      <w:r>
        <w:rPr>
          <w:i/>
          <w:iCs/>
          <w:lang w:val="en-GB"/>
        </w:rPr>
        <w:t xml:space="preserve">et al., </w:t>
      </w:r>
      <w:r>
        <w:rPr>
          <w:lang w:val="en-GB"/>
        </w:rPr>
        <w:t>2023). Therefore, Marriott needs to consider financial restructuring options as discussed here. </w:t>
      </w:r>
    </w:p>
    <w:p w14:paraId="55AC5EB1" w14:textId="77777777" w:rsidR="00393455" w:rsidRDefault="00BC616B">
      <w:pPr>
        <w:pStyle w:val="NormalWeb"/>
        <w:shd w:val="clear" w:color="auto" w:fill="FFFFFF"/>
        <w:spacing w:before="0" w:beforeAutospacing="0" w:after="0" w:afterAutospacing="0" w:line="360" w:lineRule="auto"/>
        <w:jc w:val="both"/>
        <w:rPr>
          <w:lang w:val="en-GB"/>
        </w:rPr>
      </w:pPr>
      <w:r>
        <w:rPr>
          <w:lang w:val="en-GB"/>
        </w:rPr>
        <w:t>The first recommendation is</w:t>
      </w:r>
      <w:r>
        <w:rPr>
          <w:i/>
          <w:iCs/>
          <w:lang w:val="en-GB"/>
        </w:rPr>
        <w:t xml:space="preserve"> selective divestiture of owned properties</w:t>
      </w:r>
      <w:r>
        <w:rPr>
          <w:lang w:val="en-GB"/>
        </w:rPr>
        <w:t>. Marriott has already adopted an asset-light business approach where franchise agreements generate higher returns with comparably lower capital investment. For example, 98% of more than 9,800 properties are franchised, as per the data of 2023, reflecting fee-based operations, reducing property-related risks (Marriott.africa</w:t>
      </w:r>
      <w:r>
        <w:rPr>
          <w:lang w:val="en-GB"/>
        </w:rPr>
        <w:t>-newsroom 2026). This restructuring option is effective for Marriott to gain improved return on invested capital and reduce exposure to cyclical property. </w:t>
      </w:r>
    </w:p>
    <w:p w14:paraId="50B9956D" w14:textId="77777777" w:rsidR="00393455" w:rsidRDefault="00BC616B">
      <w:pPr>
        <w:pStyle w:val="NormalWeb"/>
        <w:shd w:val="clear" w:color="auto" w:fill="FFFFFF"/>
        <w:spacing w:before="0" w:beforeAutospacing="0" w:after="0" w:afterAutospacing="0" w:line="360" w:lineRule="auto"/>
        <w:jc w:val="both"/>
        <w:rPr>
          <w:lang w:val="en-GB"/>
        </w:rPr>
      </w:pPr>
      <w:r>
        <w:rPr>
          <w:lang w:val="en-GB"/>
        </w:rPr>
        <w:t>Another restructuring option is</w:t>
      </w:r>
      <w:r>
        <w:rPr>
          <w:i/>
          <w:iCs/>
          <w:lang w:val="en-GB"/>
        </w:rPr>
        <w:t xml:space="preserve"> internal equity strengthening</w:t>
      </w:r>
      <w:r>
        <w:rPr>
          <w:lang w:val="en-GB"/>
        </w:rPr>
        <w:t xml:space="preserve">. Large firms are generally focused on retaining earnings rather than issuing new common equity.  According to Macrotrends (2026), Marriott generated nearly $2.375B during FY2024 as net income, which can be invested in any financial strategic investments without diluting existing shareholders. Hence, retained earnings can significantly reduce flotation costs and can boost management confidence to achieve long-term profitability. In this case, an agency theory can be applied to shed light on managerial </w:t>
      </w:r>
      <w:r>
        <w:rPr>
          <w:lang w:val="en-GB"/>
        </w:rPr>
        <w:t>incentives that can be improved through internally financed investments, strengthening shareholder wealth for efficient capital allocation (Ermawati, 2024).</w:t>
      </w:r>
    </w:p>
    <w:p w14:paraId="7AA64A5D" w14:textId="77777777" w:rsidR="00393455" w:rsidRDefault="00BC616B">
      <w:pPr>
        <w:pStyle w:val="NormalWeb"/>
        <w:shd w:val="clear" w:color="auto" w:fill="FFFFFF"/>
        <w:spacing w:before="0" w:beforeAutospacing="0" w:after="0" w:afterAutospacing="0" w:line="360" w:lineRule="auto"/>
        <w:jc w:val="both"/>
        <w:rPr>
          <w:lang w:val="en-GB"/>
        </w:rPr>
      </w:pPr>
      <w:r>
        <w:rPr>
          <w:lang w:val="en-GB"/>
        </w:rPr>
        <w:t xml:space="preserve">The authors Sharma </w:t>
      </w:r>
      <w:r>
        <w:rPr>
          <w:i/>
          <w:iCs/>
          <w:lang w:val="en-GB"/>
        </w:rPr>
        <w:t xml:space="preserve">et al., </w:t>
      </w:r>
      <w:r>
        <w:rPr>
          <w:lang w:val="en-GB"/>
        </w:rPr>
        <w:t xml:space="preserve">(2025) investigated that strategic </w:t>
      </w:r>
      <w:r>
        <w:rPr>
          <w:i/>
          <w:iCs/>
          <w:lang w:val="en-GB"/>
        </w:rPr>
        <w:t>mergers and acquisitions (M&amp;A)</w:t>
      </w:r>
      <w:r>
        <w:rPr>
          <w:lang w:val="en-GB"/>
        </w:rPr>
        <w:t xml:space="preserve"> of digital hospitality services, extended-stay and luxury, are another efficient restructuring </w:t>
      </w:r>
      <w:r>
        <w:rPr>
          <w:lang w:val="en-GB"/>
        </w:rPr>
        <w:lastRenderedPageBreak/>
        <w:t>recommendation that helps any business to grow steadily with flourishing. As an example, Marriott's acquisition of Starwood increased global scale and boosted its brand diversification. Therefore, it is important to execute M&amp;A carefully, understanding customer networks and demands. Such acquisitions strengthen long-term competitive positioning without materially increasing financial leverage.</w:t>
      </w:r>
    </w:p>
    <w:p w14:paraId="587FD4D5" w14:textId="77777777" w:rsidR="00393455" w:rsidRDefault="00BC616B">
      <w:pPr>
        <w:pStyle w:val="Heading2"/>
        <w:rPr>
          <w:color w:val="auto"/>
          <w:lang w:val="en-GB"/>
        </w:rPr>
      </w:pPr>
      <w:bookmarkStart w:id="13" w:name="_Toc236912236"/>
      <w:r>
        <w:rPr>
          <w:color w:val="auto"/>
          <w:lang w:val="en-GB"/>
        </w:rPr>
        <w:t>b. Evaluate impact on shareholder value, debt structure, and operational flexibility</w:t>
      </w:r>
      <w:bookmarkEnd w:id="13"/>
    </w:p>
    <w:p w14:paraId="3B14E3BE" w14:textId="77777777" w:rsidR="00393455" w:rsidRDefault="00BC616B">
      <w:pPr>
        <w:pStyle w:val="NormalWeb"/>
        <w:shd w:val="clear" w:color="auto" w:fill="FFFFFF"/>
        <w:spacing w:before="0" w:beforeAutospacing="0" w:after="0" w:afterAutospacing="0" w:line="360" w:lineRule="auto"/>
        <w:jc w:val="both"/>
        <w:rPr>
          <w:lang w:val="en-GB"/>
        </w:rPr>
      </w:pPr>
      <w:r>
        <w:rPr>
          <w:b/>
          <w:bCs/>
          <w:lang w:val="en-GB"/>
        </w:rPr>
        <w:t>Shareholder value:</w:t>
      </w:r>
      <w:r>
        <w:rPr>
          <w:lang w:val="en-GB"/>
        </w:rPr>
        <w:t xml:space="preserve"> continued expansion of Marriott should increase future cash flows as franchise contracts generate higher margins than owned. Hence, Marriott’s management's commitment of US$4.2 billion through share repurchases in 2024 indicated the shareholder wealth creation with strong investment capacity (Macrotrends, 2026). For shareholder value, the selective divestiture of owned property restructure options can help achieve high-return investments and successful international expansion. Shareholder value is ultimate</w:t>
      </w:r>
      <w:r>
        <w:rPr>
          <w:lang w:val="en-GB"/>
        </w:rPr>
        <w:t>ly related to disposal proceeds generating returns, where selling productive assets improves accounting ratios. </w:t>
      </w:r>
    </w:p>
    <w:p w14:paraId="2B71CD3C" w14:textId="77777777" w:rsidR="00393455" w:rsidRDefault="00BC616B">
      <w:pPr>
        <w:pStyle w:val="NormalWeb"/>
        <w:shd w:val="clear" w:color="auto" w:fill="FFFFFF"/>
        <w:spacing w:before="0" w:beforeAutospacing="0" w:after="0" w:afterAutospacing="0" w:line="360" w:lineRule="auto"/>
        <w:jc w:val="both"/>
        <w:rPr>
          <w:lang w:val="en-GB"/>
        </w:rPr>
      </w:pPr>
      <w:r>
        <w:rPr>
          <w:b/>
          <w:bCs/>
          <w:lang w:val="en-GB"/>
        </w:rPr>
        <w:t> Debt structure:</w:t>
      </w:r>
    </w:p>
    <w:p w14:paraId="47DB4F23" w14:textId="77777777" w:rsidR="00393455" w:rsidRDefault="00BC616B">
      <w:pPr>
        <w:pStyle w:val="NormalWeb"/>
        <w:shd w:val="clear" w:color="auto" w:fill="FFFFFF"/>
        <w:spacing w:before="0" w:beforeAutospacing="0" w:after="0" w:afterAutospacing="0" w:line="360" w:lineRule="auto"/>
        <w:jc w:val="both"/>
        <w:rPr>
          <w:lang w:val="en-GB"/>
        </w:rPr>
      </w:pPr>
      <w:r>
        <w:rPr>
          <w:lang w:val="en-GB"/>
        </w:rPr>
        <w:t>To integrate successful acquisitions and shareholder distributions, Marriott has always leveraged debt financing. It also enhances return on equity during favourable economic conditions. However, Atichasari</w:t>
      </w:r>
      <w:r>
        <w:rPr>
          <w:i/>
          <w:iCs/>
          <w:lang w:val="en-GB"/>
        </w:rPr>
        <w:t xml:space="preserve">et al., </w:t>
      </w:r>
      <w:r>
        <w:rPr>
          <w:lang w:val="en-GB"/>
        </w:rPr>
        <w:t>(2023) stated that allocating part of divestiture proceeds would reduce interest expenses and boost interest coverage ratios. At the same time, Marriott would minimise the average cost of capital through gradual debt optimisation. </w:t>
      </w:r>
    </w:p>
    <w:p w14:paraId="4377D179" w14:textId="77777777" w:rsidR="00393455" w:rsidRDefault="00BC616B">
      <w:pPr>
        <w:pStyle w:val="NormalWeb"/>
        <w:shd w:val="clear" w:color="auto" w:fill="FFFFFF"/>
        <w:spacing w:before="0" w:beforeAutospacing="0" w:after="0" w:afterAutospacing="0" w:line="360" w:lineRule="auto"/>
        <w:jc w:val="both"/>
        <w:rPr>
          <w:lang w:val="en-GB"/>
        </w:rPr>
      </w:pPr>
      <w:r>
        <w:rPr>
          <w:b/>
          <w:bCs/>
          <w:lang w:val="en-GB"/>
        </w:rPr>
        <w:t>Operational flexibility:</w:t>
      </w:r>
    </w:p>
    <w:p w14:paraId="66ABEE0A" w14:textId="77777777" w:rsidR="00393455" w:rsidRDefault="00BC616B">
      <w:pPr>
        <w:pStyle w:val="NormalWeb"/>
        <w:shd w:val="clear" w:color="auto" w:fill="FFFFFF"/>
        <w:spacing w:before="0" w:beforeAutospacing="0" w:after="0" w:afterAutospacing="0" w:line="360" w:lineRule="auto"/>
        <w:jc w:val="both"/>
        <w:rPr>
          <w:lang w:val="en-GB"/>
        </w:rPr>
      </w:pPr>
      <w:r>
        <w:rPr>
          <w:lang w:val="en-GB"/>
        </w:rPr>
        <w:t xml:space="preserve">Gradual debt optimisation is also improved when Asset-light expansion reduces fixed operating costs, allowing Marriott to enter emerging markets (Eschenbrenner </w:t>
      </w:r>
      <w:r>
        <w:rPr>
          <w:i/>
          <w:iCs/>
          <w:lang w:val="en-GB"/>
        </w:rPr>
        <w:t>et al.,</w:t>
      </w:r>
      <w:r>
        <w:rPr>
          <w:lang w:val="en-GB"/>
        </w:rPr>
        <w:t xml:space="preserve"> 2023). This flexibility becomes valuable under the franchise agreements without committing substantial capital. Consequently, it enhances brand protection effectively. </w:t>
      </w:r>
    </w:p>
    <w:p w14:paraId="6CD7E2BA" w14:textId="77777777" w:rsidR="00393455" w:rsidRDefault="00BC616B">
      <w:pPr>
        <w:pStyle w:val="Heading2"/>
        <w:rPr>
          <w:color w:val="auto"/>
          <w:lang w:val="en-GB"/>
        </w:rPr>
      </w:pPr>
      <w:bookmarkStart w:id="14" w:name="_Toc236912237"/>
      <w:r>
        <w:rPr>
          <w:color w:val="auto"/>
          <w:lang w:val="en-GB"/>
        </w:rPr>
        <w:t>c. Include international and ethical considerations</w:t>
      </w:r>
      <w:bookmarkEnd w:id="14"/>
    </w:p>
    <w:p w14:paraId="3121E565" w14:textId="77777777" w:rsidR="00393455" w:rsidRDefault="00BC616B">
      <w:pPr>
        <w:pStyle w:val="NormalWeb"/>
        <w:spacing w:before="0" w:beforeAutospacing="0" w:after="0" w:afterAutospacing="0" w:line="360" w:lineRule="auto"/>
        <w:jc w:val="both"/>
        <w:rPr>
          <w:lang w:val="en-GB"/>
        </w:rPr>
      </w:pPr>
      <w:r>
        <w:rPr>
          <w:lang w:val="en-GB"/>
        </w:rPr>
        <w:t xml:space="preserve">Across 145 countries, Marriott International operates its hospitality services. Therefore, a financial restructuring strategy is required to address the international financial risks while following high ethical standards. According to Kurian (2022), </w:t>
      </w:r>
      <w:r>
        <w:rPr>
          <w:b/>
          <w:bCs/>
          <w:i/>
          <w:iCs/>
          <w:lang w:val="en-GB"/>
        </w:rPr>
        <w:t>international taxation</w:t>
      </w:r>
      <w:r>
        <w:rPr>
          <w:lang w:val="en-GB"/>
        </w:rPr>
        <w:t xml:space="preserve"> is a key factor as the company generate revenue across multiple jurisdictions within different tax regimes. Despite the </w:t>
      </w:r>
      <w:r>
        <w:rPr>
          <w:lang w:val="en-GB"/>
        </w:rPr>
        <w:lastRenderedPageBreak/>
        <w:t xml:space="preserve">efficiency of tax protocols’ effectiveness for improving profitability, aggressive tax policies might expose Marriott to reputational damage. In this case, the company needs to adopt transparent governance on tax aligned with international regulations as well as OECD guidelines. On the other hand, Eyinade </w:t>
      </w:r>
      <w:r>
        <w:rPr>
          <w:i/>
          <w:iCs/>
          <w:lang w:val="en-GB"/>
        </w:rPr>
        <w:t xml:space="preserve">et al., </w:t>
      </w:r>
      <w:r>
        <w:rPr>
          <w:lang w:val="en-GB"/>
        </w:rPr>
        <w:t xml:space="preserve">(2022) investigated that </w:t>
      </w:r>
      <w:r>
        <w:rPr>
          <w:b/>
          <w:bCs/>
          <w:i/>
          <w:iCs/>
          <w:lang w:val="en-GB"/>
        </w:rPr>
        <w:t>currency fluctuations</w:t>
      </w:r>
      <w:r>
        <w:rPr>
          <w:lang w:val="en-GB"/>
        </w:rPr>
        <w:t xml:space="preserve"> also might pose a threat to this international firm during earning revenues in foreign currencies. In this case, Marriott should continue developing and applying natural hedging strategies while diversifying its geographical revenue to minimise earnings fluctuations. </w:t>
      </w:r>
    </w:p>
    <w:p w14:paraId="7C6A15DA" w14:textId="77777777" w:rsidR="00393455" w:rsidRDefault="00BC616B">
      <w:pPr>
        <w:pStyle w:val="NormalWeb"/>
        <w:spacing w:before="0" w:beforeAutospacing="0" w:after="0" w:afterAutospacing="0" w:line="360" w:lineRule="auto"/>
        <w:jc w:val="both"/>
        <w:rPr>
          <w:lang w:val="en-GB"/>
        </w:rPr>
      </w:pPr>
      <w:r>
        <w:rPr>
          <w:lang w:val="en-GB"/>
        </w:rPr>
        <w:t xml:space="preserve">Rising labour costs, borrowing costs and expenses during </w:t>
      </w:r>
      <w:r>
        <w:rPr>
          <w:b/>
          <w:bCs/>
          <w:i/>
          <w:iCs/>
          <w:lang w:val="en-GB"/>
        </w:rPr>
        <w:t>inflation</w:t>
      </w:r>
      <w:r>
        <w:rPr>
          <w:lang w:val="en-GB"/>
        </w:rPr>
        <w:t xml:space="preserve"> affect restructuring decisions.  Therefore, instead of shifting inflationary costs to customers, Marriott should improve productivity, leveraging advanced digital automation and AI-supported planning to boost revenue management (Atichasari </w:t>
      </w:r>
      <w:r>
        <w:rPr>
          <w:i/>
          <w:iCs/>
          <w:lang w:val="en-GB"/>
        </w:rPr>
        <w:t xml:space="preserve">et al., </w:t>
      </w:r>
      <w:r>
        <w:rPr>
          <w:lang w:val="en-GB"/>
        </w:rPr>
        <w:t>2023). This approach supports ethical preservation of pricing competitiveness. Again, from an ethical perspective, the</w:t>
      </w:r>
      <w:r>
        <w:rPr>
          <w:b/>
          <w:bCs/>
          <w:i/>
          <w:iCs/>
          <w:lang w:val="en-GB"/>
        </w:rPr>
        <w:t xml:space="preserve"> ESG principles </w:t>
      </w:r>
      <w:r>
        <w:rPr>
          <w:lang w:val="en-GB"/>
        </w:rPr>
        <w:t>remain fundamental to restructuring decisions. According to Jones (2023), scope 1 and Scope 2 greenhouse gas emission reduction demonstrated Marriott's commitment to sustainable operations. Hence, its financial restructuring also emphasised investments in energy-efficient hotels and responsible sourcing instead of solely prioritising short-term cost reductions. </w:t>
      </w:r>
    </w:p>
    <w:p w14:paraId="0CD534F3" w14:textId="77777777" w:rsidR="00393455" w:rsidRDefault="00BC616B">
      <w:pPr>
        <w:pStyle w:val="Heading1"/>
        <w:rPr>
          <w:color w:val="auto"/>
          <w:lang w:val="en-GB"/>
        </w:rPr>
      </w:pPr>
      <w:bookmarkStart w:id="15" w:name="_Toc236912238"/>
      <w:r>
        <w:rPr>
          <w:color w:val="auto"/>
          <w:lang w:val="en-GB"/>
        </w:rPr>
        <w:t>4. Investment Appraisal and Capital Budgeting</w:t>
      </w:r>
      <w:bookmarkEnd w:id="15"/>
    </w:p>
    <w:p w14:paraId="6A5CFF5A" w14:textId="77777777" w:rsidR="00393455" w:rsidRDefault="00BC616B">
      <w:pPr>
        <w:pStyle w:val="NormalWeb"/>
        <w:spacing w:before="0" w:beforeAutospacing="0" w:after="0" w:afterAutospacing="0" w:line="360" w:lineRule="auto"/>
        <w:jc w:val="both"/>
        <w:rPr>
          <w:lang w:val="en-GB"/>
        </w:rPr>
      </w:pPr>
      <w:r>
        <w:rPr>
          <w:lang w:val="en-GB"/>
        </w:rPr>
        <w:t>Investment appraisal and capital budgeting are the most critical factors which use</w:t>
      </w:r>
      <w:r>
        <w:rPr>
          <w:lang w:val="en-GB"/>
        </w:rPr>
        <w:t>d as effective financial management tools to allocate limited financial resources in any organisation to gain maximised long-term shareholder value. It also helps to reduce financial risks and provide objective criteria to evaluate the profitability, highlighting the investment opportunities (Awodire</w:t>
      </w:r>
      <w:r>
        <w:rPr>
          <w:i/>
          <w:iCs/>
          <w:lang w:val="en-GB"/>
        </w:rPr>
        <w:t xml:space="preserve"> et al., </w:t>
      </w:r>
      <w:r>
        <w:rPr>
          <w:lang w:val="en-GB"/>
        </w:rPr>
        <w:t>2023). In this project, the identification of the most financially viable project for Marriott International has been conducted through investment appraisal based on quantitative evidence. For th</w:t>
      </w:r>
      <w:r>
        <w:rPr>
          <w:lang w:val="en-GB"/>
        </w:rPr>
        <w:t>is identification, analysis of PBP, ARR and NPV is presented here for three projects from different perspectives.</w:t>
      </w:r>
    </w:p>
    <w:p w14:paraId="0CBD1EED" w14:textId="77777777" w:rsidR="00393455" w:rsidRDefault="00BC616B">
      <w:pPr>
        <w:pStyle w:val="NormalWeb"/>
        <w:spacing w:before="0" w:beforeAutospacing="0" w:after="0" w:afterAutospacing="0" w:line="360" w:lineRule="auto"/>
        <w:jc w:val="both"/>
        <w:rPr>
          <w:lang w:val="en-GB"/>
        </w:rPr>
      </w:pPr>
      <w:r>
        <w:rPr>
          <w:lang w:val="en-GB"/>
        </w:rPr>
        <w:t>Let the discount rate be 8%,  </w:t>
      </w:r>
    </w:p>
    <w:p w14:paraId="4E582DE8" w14:textId="77777777" w:rsidR="00393455" w:rsidRDefault="00BC616B">
      <w:pPr>
        <w:pStyle w:val="NormalWeb"/>
        <w:spacing w:before="0" w:beforeAutospacing="0" w:after="0" w:afterAutospacing="0" w:line="360" w:lineRule="auto"/>
        <w:jc w:val="both"/>
        <w:rPr>
          <w:lang w:val="en-GB"/>
        </w:rPr>
      </w:pPr>
      <w:r>
        <w:rPr>
          <w:lang w:val="en-GB"/>
        </w:rPr>
        <w:t>Initial investment (all projects): £50 million</w:t>
      </w:r>
    </w:p>
    <w:p w14:paraId="27E605E2" w14:textId="77777777" w:rsidR="00393455" w:rsidRDefault="00BC616B">
      <w:pPr>
        <w:pStyle w:val="NormalWeb"/>
        <w:spacing w:before="0" w:beforeAutospacing="0" w:after="0" w:afterAutospacing="0" w:line="360" w:lineRule="auto"/>
        <w:jc w:val="both"/>
        <w:rPr>
          <w:lang w:val="en-GB"/>
        </w:rPr>
      </w:pPr>
      <w:r>
        <w:rPr>
          <w:lang w:val="en-GB"/>
        </w:rPr>
        <w:t>Project life: 5 years</w:t>
      </w:r>
    </w:p>
    <w:p w14:paraId="3E7C7875" w14:textId="77777777" w:rsidR="00393455" w:rsidRDefault="00BC616B">
      <w:pPr>
        <w:pStyle w:val="NormalWeb"/>
        <w:spacing w:before="0" w:beforeAutospacing="0" w:after="0" w:afterAutospacing="0" w:line="360" w:lineRule="auto"/>
        <w:jc w:val="both"/>
        <w:rPr>
          <w:lang w:val="en-GB"/>
        </w:rPr>
      </w:pPr>
      <w:r>
        <w:rPr>
          <w:lang w:val="en-GB"/>
        </w:rPr>
        <w:t>Depreciation: Straight-line to zero</w:t>
      </w:r>
    </w:p>
    <w:p w14:paraId="4825F3AD" w14:textId="77777777" w:rsidR="00393455" w:rsidRDefault="00BC616B">
      <w:pPr>
        <w:pStyle w:val="NormalWeb"/>
        <w:spacing w:before="0" w:beforeAutospacing="0" w:after="0" w:afterAutospacing="0" w:line="360" w:lineRule="auto"/>
        <w:jc w:val="both"/>
        <w:rPr>
          <w:lang w:val="en-GB"/>
        </w:rPr>
      </w:pPr>
      <w:r>
        <w:rPr>
          <w:lang w:val="en-GB"/>
        </w:rPr>
        <w:t>So, the annual depreciation is Depreciation=5/£50m = £10m per year</w:t>
      </w:r>
    </w:p>
    <w:p w14:paraId="7301FF26" w14:textId="77777777" w:rsidR="00393455" w:rsidRDefault="00393455">
      <w:pPr>
        <w:spacing w:line="360" w:lineRule="auto"/>
        <w:rPr>
          <w:lang w:val="en-GB"/>
        </w:rPr>
      </w:pPr>
    </w:p>
    <w:p w14:paraId="2EA643B3" w14:textId="77777777" w:rsidR="00393455" w:rsidRDefault="00BC616B">
      <w:pPr>
        <w:pStyle w:val="NormalWeb"/>
        <w:spacing w:before="0" w:beforeAutospacing="0" w:after="0" w:afterAutospacing="0" w:line="360" w:lineRule="auto"/>
        <w:jc w:val="both"/>
        <w:rPr>
          <w:lang w:val="en-GB"/>
        </w:rPr>
      </w:pPr>
      <w:r>
        <w:rPr>
          <w:b/>
          <w:bCs/>
          <w:i/>
          <w:iCs/>
          <w:lang w:val="en-GB"/>
        </w:rPr>
        <w:t>Payback Period (PBP)  </w:t>
      </w:r>
    </w:p>
    <w:p w14:paraId="3B7FFD46" w14:textId="77777777" w:rsidR="00393455" w:rsidRDefault="00BC616B">
      <w:pPr>
        <w:pStyle w:val="NormalWeb"/>
        <w:spacing w:before="0" w:beforeAutospacing="0" w:after="0" w:afterAutospacing="0" w:line="360" w:lineRule="auto"/>
        <w:jc w:val="both"/>
        <w:rPr>
          <w:lang w:val="en-GB"/>
        </w:rPr>
      </w:pPr>
      <w:r>
        <w:rPr>
          <w:b/>
          <w:bCs/>
          <w:lang w:val="en-GB"/>
        </w:rPr>
        <w:t> Project A</w:t>
      </w:r>
    </w:p>
    <w:p w14:paraId="382438B4" w14:textId="77777777" w:rsidR="00393455" w:rsidRDefault="00BC616B">
      <w:pPr>
        <w:pStyle w:val="NormalWeb"/>
        <w:spacing w:before="0" w:beforeAutospacing="0" w:after="0" w:afterAutospacing="0" w:line="360" w:lineRule="auto"/>
        <w:jc w:val="center"/>
        <w:rPr>
          <w:lang w:val="en-GB"/>
        </w:rPr>
      </w:pPr>
      <w:r>
        <w:rPr>
          <w:noProof/>
          <w:lang w:val="en-GB"/>
        </w:rPr>
        <w:object w:dxaOrig="11190" w:dyaOrig="4815" w14:anchorId="1951BBD7">
          <v:shape id="1036" o:spid="_x0000_i1026" type="#_x0000_t75" style="width:468pt;height:201.75pt;visibility:visible;mso-wrap-distance-left:0;mso-wrap-distance-right:0" o:ole="">
            <v:imagedata r:id="rId16" o:title="" embosscolor="white"/>
          </v:shape>
          <o:OLEObject Type="Embed" ProgID="Excel.Chart.8" ShapeID="1036" DrawAspect="Content" ObjectID="_1847999201" r:id="rId17"/>
        </w:object>
      </w:r>
    </w:p>
    <w:p w14:paraId="60A015CC" w14:textId="77777777" w:rsidR="00393455" w:rsidRDefault="00BC616B">
      <w:pPr>
        <w:pStyle w:val="NormalWeb"/>
        <w:spacing w:before="0" w:beforeAutospacing="0" w:after="0" w:afterAutospacing="0" w:line="360" w:lineRule="auto"/>
        <w:jc w:val="center"/>
        <w:rPr>
          <w:lang w:val="en-GB"/>
        </w:rPr>
      </w:pPr>
      <w:r>
        <w:rPr>
          <w:lang w:val="en-GB"/>
        </w:rPr>
        <w:t>PBP= 4+ (50-46)/8= 4.5 years</w:t>
      </w:r>
    </w:p>
    <w:p w14:paraId="78712D17" w14:textId="77777777" w:rsidR="00393455" w:rsidRDefault="00BC616B">
      <w:pPr>
        <w:pStyle w:val="NormalWeb"/>
        <w:spacing w:before="0" w:beforeAutospacing="0" w:after="0" w:afterAutospacing="0" w:line="360" w:lineRule="auto"/>
        <w:jc w:val="both"/>
        <w:rPr>
          <w:lang w:val="en-GB"/>
        </w:rPr>
      </w:pPr>
      <w:r>
        <w:rPr>
          <w:b/>
          <w:bCs/>
          <w:lang w:val="en-GB"/>
        </w:rPr>
        <w:t>Project B</w:t>
      </w:r>
      <w:r>
        <w:rPr>
          <w:lang w:val="en-GB"/>
        </w:rPr>
        <w:t> </w:t>
      </w:r>
    </w:p>
    <w:p w14:paraId="28DBC078" w14:textId="77777777" w:rsidR="00393455" w:rsidRDefault="00BC616B">
      <w:pPr>
        <w:pStyle w:val="NormalWeb"/>
        <w:spacing w:before="0" w:beforeAutospacing="0" w:after="0" w:afterAutospacing="0" w:line="360" w:lineRule="auto"/>
        <w:jc w:val="center"/>
        <w:rPr>
          <w:lang w:val="en-GB"/>
        </w:rPr>
      </w:pPr>
      <w:r>
        <w:rPr>
          <w:noProof/>
          <w:lang w:val="en-GB"/>
        </w:rPr>
        <w:drawing>
          <wp:inline distT="0" distB="0" distL="0" distR="0" wp14:anchorId="6F9FD795" wp14:editId="621E5CF9">
            <wp:extent cx="5943600" cy="2530366"/>
            <wp:effectExtent l="19050" t="0" r="0" b="0"/>
            <wp:docPr id="1037"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18" cstate="print"/>
                    <a:srcRect/>
                    <a:stretch/>
                  </pic:blipFill>
                  <pic:spPr>
                    <a:xfrm>
                      <a:off x="0" y="0"/>
                      <a:ext cx="5943600" cy="2530366"/>
                    </a:xfrm>
                    <a:prstGeom prst="rect">
                      <a:avLst/>
                    </a:prstGeom>
                    <a:ln>
                      <a:noFill/>
                    </a:ln>
                  </pic:spPr>
                </pic:pic>
              </a:graphicData>
            </a:graphic>
          </wp:inline>
        </w:drawing>
      </w:r>
    </w:p>
    <w:p w14:paraId="117391D7" w14:textId="77777777" w:rsidR="00393455" w:rsidRDefault="00BC616B">
      <w:pPr>
        <w:pStyle w:val="NormalWeb"/>
        <w:spacing w:before="0" w:beforeAutospacing="0" w:after="0" w:afterAutospacing="0" w:line="360" w:lineRule="auto"/>
        <w:jc w:val="center"/>
        <w:rPr>
          <w:lang w:val="en-GB"/>
        </w:rPr>
      </w:pPr>
      <w:r>
        <w:rPr>
          <w:lang w:val="en-GB"/>
        </w:rPr>
        <w:t>PBP= 4+ (55-44)/11= 4.55 years </w:t>
      </w:r>
    </w:p>
    <w:p w14:paraId="19AE9B35" w14:textId="77777777" w:rsidR="00393455" w:rsidRDefault="00BC616B">
      <w:pPr>
        <w:pStyle w:val="NormalWeb"/>
        <w:spacing w:before="0" w:beforeAutospacing="0" w:after="0" w:afterAutospacing="0" w:line="360" w:lineRule="auto"/>
        <w:jc w:val="both"/>
        <w:rPr>
          <w:lang w:val="en-GB"/>
        </w:rPr>
      </w:pPr>
      <w:r>
        <w:rPr>
          <w:b/>
          <w:bCs/>
          <w:lang w:val="en-GB"/>
        </w:rPr>
        <w:t> Project C</w:t>
      </w:r>
    </w:p>
    <w:p w14:paraId="5A84F946" w14:textId="77777777" w:rsidR="00393455" w:rsidRDefault="00BC616B">
      <w:pPr>
        <w:pStyle w:val="NormalWeb"/>
        <w:spacing w:before="0" w:beforeAutospacing="0" w:after="0" w:afterAutospacing="0" w:line="360" w:lineRule="auto"/>
        <w:jc w:val="center"/>
        <w:rPr>
          <w:lang w:val="en-GB"/>
        </w:rPr>
      </w:pPr>
      <w:r>
        <w:rPr>
          <w:noProof/>
          <w:lang w:val="en-GB"/>
        </w:rPr>
        <w:lastRenderedPageBreak/>
        <w:drawing>
          <wp:inline distT="0" distB="0" distL="0" distR="0" wp14:anchorId="41E1A163" wp14:editId="07F92025">
            <wp:extent cx="5838825" cy="2152650"/>
            <wp:effectExtent l="19050" t="0" r="9525" b="0"/>
            <wp:docPr id="103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1"/>
                    <pic:cNvPicPr/>
                  </pic:nvPicPr>
                  <pic:blipFill>
                    <a:blip r:embed="rId19" cstate="print"/>
                    <a:srcRect/>
                    <a:stretch/>
                  </pic:blipFill>
                  <pic:spPr>
                    <a:xfrm>
                      <a:off x="0" y="0"/>
                      <a:ext cx="5838825" cy="2152650"/>
                    </a:xfrm>
                    <a:prstGeom prst="rect">
                      <a:avLst/>
                    </a:prstGeom>
                    <a:ln>
                      <a:noFill/>
                    </a:ln>
                  </pic:spPr>
                </pic:pic>
              </a:graphicData>
            </a:graphic>
          </wp:inline>
        </w:drawing>
      </w:r>
    </w:p>
    <w:p w14:paraId="3A5BD509" w14:textId="77777777" w:rsidR="00393455" w:rsidRDefault="00BC616B">
      <w:pPr>
        <w:pStyle w:val="NormalWeb"/>
        <w:spacing w:before="0" w:beforeAutospacing="0" w:after="0" w:afterAutospacing="0" w:line="360" w:lineRule="auto"/>
        <w:jc w:val="center"/>
        <w:rPr>
          <w:lang w:val="en-GB"/>
        </w:rPr>
      </w:pPr>
      <w:r>
        <w:rPr>
          <w:lang w:val="en-GB"/>
        </w:rPr>
        <w:t>PBP= 3+ (50-35)/25= 3.6 years</w:t>
      </w:r>
    </w:p>
    <w:p w14:paraId="7008959B" w14:textId="77777777" w:rsidR="00393455" w:rsidRDefault="00393455">
      <w:pPr>
        <w:spacing w:line="360" w:lineRule="auto"/>
        <w:rPr>
          <w:lang w:val="en-GB"/>
        </w:rPr>
      </w:pPr>
    </w:p>
    <w:p w14:paraId="14604543" w14:textId="77777777" w:rsidR="00393455" w:rsidRDefault="00BC616B">
      <w:pPr>
        <w:pStyle w:val="NormalWeb"/>
        <w:spacing w:before="0" w:beforeAutospacing="0" w:after="0" w:afterAutospacing="0" w:line="360" w:lineRule="auto"/>
        <w:jc w:val="both"/>
        <w:rPr>
          <w:lang w:val="en-GB"/>
        </w:rPr>
      </w:pPr>
      <w:r>
        <w:rPr>
          <w:lang w:val="en-GB"/>
        </w:rPr>
        <w:t xml:space="preserve">PBP values </w:t>
      </w:r>
      <w:r>
        <w:rPr>
          <w:lang w:val="en-GB"/>
        </w:rPr>
        <w:t>shows fastest investment is covered by C, that is, 3.6 years, which considers the lowest liquidity risk. Now, the ARR calculation is shown here to choose an effective investment project among these. Among the three alternatives </w:t>
      </w:r>
    </w:p>
    <w:p w14:paraId="4C4DC8D2" w14:textId="77777777" w:rsidR="00393455" w:rsidRDefault="00BC616B">
      <w:pPr>
        <w:pStyle w:val="NormalWeb"/>
        <w:spacing w:before="0" w:beforeAutospacing="0" w:after="0" w:afterAutospacing="0" w:line="360" w:lineRule="auto"/>
        <w:jc w:val="both"/>
        <w:rPr>
          <w:lang w:val="en-GB"/>
        </w:rPr>
      </w:pPr>
      <w:r>
        <w:rPr>
          <w:b/>
          <w:bCs/>
          <w:i/>
          <w:iCs/>
          <w:lang w:val="en-GB"/>
        </w:rPr>
        <w:t>Accounting Rate of Return (ARR) </w:t>
      </w:r>
    </w:p>
    <w:p w14:paraId="5F1E03F1" w14:textId="77777777" w:rsidR="00393455" w:rsidRDefault="00BC616B">
      <w:pPr>
        <w:pStyle w:val="NormalWeb"/>
        <w:spacing w:before="0" w:beforeAutospacing="0" w:after="0" w:afterAutospacing="0" w:line="360" w:lineRule="auto"/>
        <w:jc w:val="both"/>
        <w:rPr>
          <w:lang w:val="en-GB"/>
        </w:rPr>
      </w:pPr>
      <w:r>
        <w:rPr>
          <w:b/>
          <w:bCs/>
          <w:lang w:val="en-GB"/>
        </w:rPr>
        <w:t xml:space="preserve">For project A: </w:t>
      </w:r>
      <w:r>
        <w:rPr>
          <w:lang w:val="en-GB"/>
        </w:rPr>
        <w:t>Average annual cash inflow:</w:t>
      </w:r>
    </w:p>
    <w:p w14:paraId="1D8A24B9" w14:textId="77777777" w:rsidR="00393455" w:rsidRDefault="00BC616B">
      <w:pPr>
        <w:pStyle w:val="NormalWeb"/>
        <w:spacing w:before="0" w:beforeAutospacing="0" w:after="0" w:afterAutospacing="0" w:line="360" w:lineRule="auto"/>
        <w:jc w:val="both"/>
        <w:rPr>
          <w:lang w:val="en-GB"/>
        </w:rPr>
      </w:pPr>
      <w:r>
        <w:rPr>
          <w:lang w:val="en-GB"/>
        </w:rPr>
        <w:t>(10+12+14+10+85)/5=10.8</w:t>
      </w:r>
    </w:p>
    <w:p w14:paraId="57AF7D76" w14:textId="77777777" w:rsidR="00393455" w:rsidRDefault="00BC616B">
      <w:pPr>
        <w:pStyle w:val="NormalWeb"/>
        <w:spacing w:before="0" w:beforeAutospacing="0" w:after="0" w:afterAutospacing="0" w:line="360" w:lineRule="auto"/>
        <w:jc w:val="both"/>
        <w:rPr>
          <w:lang w:val="en-GB"/>
        </w:rPr>
      </w:pPr>
      <w:r>
        <w:rPr>
          <w:lang w:val="en-GB"/>
        </w:rPr>
        <w:t>Annual profit: 10.8−10=0.8m</w:t>
      </w:r>
    </w:p>
    <w:p w14:paraId="026CF0D0" w14:textId="77777777" w:rsidR="00393455" w:rsidRDefault="00BC616B">
      <w:pPr>
        <w:pStyle w:val="NormalWeb"/>
        <w:spacing w:before="0" w:beforeAutospacing="0" w:after="0" w:afterAutospacing="0" w:line="360" w:lineRule="auto"/>
        <w:jc w:val="both"/>
        <w:rPr>
          <w:lang w:val="en-GB"/>
        </w:rPr>
      </w:pPr>
      <w:r>
        <w:rPr>
          <w:lang w:val="en-GB"/>
        </w:rPr>
        <w:t>                                 = (0.8 x 100)/5 =1.6%</w:t>
      </w:r>
    </w:p>
    <w:p w14:paraId="285EFFFB" w14:textId="77777777" w:rsidR="00393455" w:rsidRDefault="00BC616B">
      <w:pPr>
        <w:pStyle w:val="NormalWeb"/>
        <w:spacing w:before="0" w:beforeAutospacing="0" w:after="0" w:afterAutospacing="0" w:line="360" w:lineRule="auto"/>
        <w:jc w:val="both"/>
        <w:rPr>
          <w:lang w:val="en-GB"/>
        </w:rPr>
      </w:pPr>
      <w:r>
        <w:rPr>
          <w:b/>
          <w:bCs/>
          <w:lang w:val="en-GB"/>
        </w:rPr>
        <w:t xml:space="preserve">For project B: </w:t>
      </w:r>
      <w:r>
        <w:rPr>
          <w:lang w:val="en-GB"/>
        </w:rPr>
        <w:t>Average annual cash inflow:</w:t>
      </w:r>
    </w:p>
    <w:p w14:paraId="5F8EFE4D" w14:textId="77777777" w:rsidR="00393455" w:rsidRDefault="00BC616B">
      <w:pPr>
        <w:pStyle w:val="NormalWeb"/>
        <w:spacing w:before="0" w:beforeAutospacing="0" w:after="0" w:afterAutospacing="0" w:line="360" w:lineRule="auto"/>
        <w:jc w:val="both"/>
        <w:rPr>
          <w:lang w:val="en-GB"/>
        </w:rPr>
      </w:pPr>
      <w:r>
        <w:rPr>
          <w:lang w:val="en-GB"/>
        </w:rPr>
        <w:t>(55)/5=11</w:t>
      </w:r>
    </w:p>
    <w:p w14:paraId="0BBEB0B5" w14:textId="77777777" w:rsidR="00393455" w:rsidRDefault="00BC616B">
      <w:pPr>
        <w:pStyle w:val="NormalWeb"/>
        <w:spacing w:before="0" w:beforeAutospacing="0" w:after="0" w:afterAutospacing="0" w:line="360" w:lineRule="auto"/>
        <w:jc w:val="both"/>
        <w:rPr>
          <w:lang w:val="en-GB"/>
        </w:rPr>
      </w:pPr>
      <w:r>
        <w:rPr>
          <w:lang w:val="en-GB"/>
        </w:rPr>
        <w:t>Annual profit: 11−10=1m</w:t>
      </w:r>
    </w:p>
    <w:p w14:paraId="2D8DD656" w14:textId="77777777" w:rsidR="00393455" w:rsidRDefault="00BC616B">
      <w:pPr>
        <w:pStyle w:val="NormalWeb"/>
        <w:spacing w:before="0" w:beforeAutospacing="0" w:after="0" w:afterAutospacing="0" w:line="360" w:lineRule="auto"/>
        <w:jc w:val="both"/>
        <w:rPr>
          <w:lang w:val="en-GB"/>
        </w:rPr>
      </w:pPr>
      <w:r>
        <w:rPr>
          <w:lang w:val="en-GB"/>
        </w:rPr>
        <w:t>                                 = (100/50) = 2.0%</w:t>
      </w:r>
    </w:p>
    <w:p w14:paraId="35647F21" w14:textId="77777777" w:rsidR="00393455" w:rsidRDefault="00BC616B">
      <w:pPr>
        <w:pStyle w:val="NormalWeb"/>
        <w:spacing w:before="0" w:beforeAutospacing="0" w:after="0" w:afterAutospacing="0" w:line="360" w:lineRule="auto"/>
        <w:jc w:val="both"/>
        <w:rPr>
          <w:lang w:val="en-GB"/>
        </w:rPr>
      </w:pPr>
      <w:r>
        <w:rPr>
          <w:b/>
          <w:bCs/>
          <w:lang w:val="en-GB"/>
        </w:rPr>
        <w:t>For project C:</w:t>
      </w:r>
      <w:r>
        <w:rPr>
          <w:lang w:val="en-GB"/>
        </w:rPr>
        <w:t xml:space="preserve"> Average annual cash inflow:</w:t>
      </w:r>
    </w:p>
    <w:p w14:paraId="6B6DDF51" w14:textId="77777777" w:rsidR="00393455" w:rsidRDefault="00BC616B">
      <w:pPr>
        <w:pStyle w:val="NormalWeb"/>
        <w:spacing w:before="0" w:beforeAutospacing="0" w:after="0" w:afterAutospacing="0" w:line="360" w:lineRule="auto"/>
        <w:jc w:val="both"/>
        <w:rPr>
          <w:lang w:val="en-GB"/>
        </w:rPr>
      </w:pPr>
      <w:r>
        <w:rPr>
          <w:lang w:val="en-GB"/>
        </w:rPr>
        <w:t>(55)/5=13</w:t>
      </w:r>
    </w:p>
    <w:p w14:paraId="711D0775" w14:textId="77777777" w:rsidR="00393455" w:rsidRDefault="00BC616B">
      <w:pPr>
        <w:pStyle w:val="NormalWeb"/>
        <w:spacing w:before="0" w:beforeAutospacing="0" w:after="0" w:afterAutospacing="0" w:line="360" w:lineRule="auto"/>
        <w:jc w:val="both"/>
        <w:rPr>
          <w:lang w:val="en-GB"/>
        </w:rPr>
      </w:pPr>
      <w:r>
        <w:rPr>
          <w:lang w:val="en-GB"/>
        </w:rPr>
        <w:t>Annual profit: 13−10= 3m</w:t>
      </w:r>
    </w:p>
    <w:p w14:paraId="01B3F60A" w14:textId="77777777" w:rsidR="00393455" w:rsidRDefault="00BC616B">
      <w:pPr>
        <w:pStyle w:val="NormalWeb"/>
        <w:spacing w:before="0" w:beforeAutospacing="0" w:after="0" w:afterAutospacing="0" w:line="360" w:lineRule="auto"/>
        <w:jc w:val="both"/>
        <w:rPr>
          <w:lang w:val="en-GB"/>
        </w:rPr>
      </w:pPr>
      <w:r>
        <w:rPr>
          <w:lang w:val="en-GB"/>
        </w:rPr>
        <w:t>                                 = (3/50) X 100 = 6.0%</w:t>
      </w:r>
    </w:p>
    <w:p w14:paraId="6FF28BB6" w14:textId="77777777" w:rsidR="00393455" w:rsidRDefault="00BC616B">
      <w:pPr>
        <w:pStyle w:val="NormalWeb"/>
        <w:spacing w:line="360" w:lineRule="auto"/>
        <w:jc w:val="both"/>
        <w:rPr>
          <w:lang w:val="en-IN"/>
        </w:rPr>
      </w:pPr>
      <w:r>
        <w:t xml:space="preserve">The efficient allocation of capital in terms of selecting the projects that would maximise shareholder wealth would be made possible by investment appraisal, which would also lead to long-run strategic growth. Of the available approaches to capital budgeting, the Net Present </w:t>
      </w:r>
      <w:r>
        <w:t xml:space="preserve">Value (NPV), Profitability Index (PI), and Internal Rate of Return (IRR) are the most comprehensive of </w:t>
      </w:r>
      <w:r>
        <w:lastRenderedPageBreak/>
        <w:t xml:space="preserve">analysis approaches since they consider the time value of money and are applied to measure value by value creation </w:t>
      </w:r>
      <w:r>
        <w:rPr>
          <w:lang w:val="en-IN"/>
        </w:rPr>
        <w:t>(Fan, 2025)</w:t>
      </w:r>
      <w:r>
        <w:t>. The initial capital outlay of all three projects is a total of £50million and cash inflows in the long run are discounted at 8 per cent</w:t>
      </w:r>
      <w:r>
        <w:t xml:space="preserve"> over 5 years. On the basis of the Net Present Value (NPV) analysis, it is possible to observe some obvious inconsistencies in terms of financial feasibility. The discounted cash inflows of Project A are 43.46 million, and the NPV of the project is negative and equal to -6.54 million, whereas the discounted cash inflows of Project B are 43.92 million,</w:t>
      </w:r>
      <w:r>
        <w:t xml:space="preserve"> and the NPV of the project is-6.08 million. The two projects thus eliminate shareholder value since the present value of the cash flow in the future is not enough to pay back the original cost. Project C, however, has discounted cash inflows of 50.86 million and a positive NPV of 0.86 million. The NPV is determined as given below</w:t>
      </w:r>
      <w:r>
        <w:rPr>
          <w:lang w:val="en-IN"/>
        </w:rPr>
        <w:t>. </w:t>
      </w:r>
    </w:p>
    <w:p w14:paraId="46E6BA28" w14:textId="77777777" w:rsidR="00393455" w:rsidRDefault="00BC616B">
      <w:pPr>
        <w:pStyle w:val="NormalWeb"/>
        <w:spacing w:line="360" w:lineRule="auto"/>
        <w:jc w:val="both"/>
        <w:rPr>
          <w:lang w:val="en-IN"/>
        </w:rPr>
      </w:pPr>
      <w:r>
        <w:rPr>
          <w:lang w:val="en-IN"/>
        </w:rPr>
        <w:t>The NPV is calculated below</w:t>
      </w:r>
    </w:p>
    <w:p w14:paraId="1C8076D0" w14:textId="77777777" w:rsidR="00393455" w:rsidRDefault="00BC616B">
      <w:pPr>
        <w:pStyle w:val="NormalWeb"/>
        <w:spacing w:line="360" w:lineRule="auto"/>
        <w:jc w:val="both"/>
        <w:rPr>
          <w:lang w:val="en-IN"/>
        </w:rPr>
      </w:pPr>
      <w:r>
        <w:rPr>
          <w:lang w:val="en-IN"/>
        </w:rPr>
        <w:t>10(0.926) +12(0.857)+14(0.794)+10(0.735)+8(0.681)=£43.46m</w:t>
      </w:r>
    </w:p>
    <w:p w14:paraId="075ABAB8" w14:textId="77777777" w:rsidR="00393455" w:rsidRDefault="00BC616B">
      <w:pPr>
        <w:pStyle w:val="NormalWeb"/>
        <w:spacing w:line="360" w:lineRule="auto"/>
        <w:jc w:val="both"/>
        <w:rPr>
          <w:lang w:val="en-IN"/>
        </w:rPr>
      </w:pPr>
      <w:r>
        <w:rPr>
          <w:lang w:val="en-IN"/>
        </w:rPr>
        <w:t>NPV=43.46−50NPV=−£6.54m </w:t>
      </w:r>
    </w:p>
    <w:p w14:paraId="3EB9DE50" w14:textId="77777777" w:rsidR="00393455" w:rsidRDefault="00BC616B">
      <w:pPr>
        <w:pStyle w:val="NormalWeb"/>
        <w:spacing w:line="360" w:lineRule="auto"/>
        <w:jc w:val="both"/>
        <w:rPr>
          <w:lang w:val="en-IN"/>
        </w:rPr>
      </w:pPr>
      <w:r>
        <w:rPr>
          <w:lang w:val="en-IN"/>
        </w:rPr>
        <w:t xml:space="preserve">Similarly, for project </w:t>
      </w:r>
      <w:r>
        <w:rPr>
          <w:b/>
          <w:bCs/>
          <w:i/>
          <w:iCs/>
          <w:lang w:val="en-IN"/>
        </w:rPr>
        <w:t>B, the value is</w:t>
      </w:r>
    </w:p>
    <w:p w14:paraId="7B92891D" w14:textId="77777777" w:rsidR="00393455" w:rsidRDefault="00BC616B">
      <w:pPr>
        <w:pStyle w:val="NormalWeb"/>
        <w:spacing w:line="360" w:lineRule="auto"/>
        <w:jc w:val="both"/>
        <w:rPr>
          <w:lang w:val="en-IN"/>
        </w:rPr>
      </w:pPr>
      <w:r>
        <w:rPr>
          <w:lang w:val="en-IN"/>
        </w:rPr>
        <w:t>1(0.926+0.857+0.794+0.735+0.681) =£43.92m</w:t>
      </w:r>
    </w:p>
    <w:p w14:paraId="3FA30683" w14:textId="77777777" w:rsidR="00393455" w:rsidRDefault="00BC616B">
      <w:pPr>
        <w:pStyle w:val="NormalWeb"/>
        <w:spacing w:line="360" w:lineRule="auto"/>
        <w:jc w:val="both"/>
        <w:rPr>
          <w:lang w:val="en-IN"/>
        </w:rPr>
      </w:pPr>
      <w:r>
        <w:rPr>
          <w:lang w:val="en-IN"/>
        </w:rPr>
        <w:t>NPV=43.92−50= −£6.08m </w:t>
      </w:r>
    </w:p>
    <w:p w14:paraId="6C3D957F" w14:textId="77777777" w:rsidR="00393455" w:rsidRDefault="00BC616B">
      <w:pPr>
        <w:pStyle w:val="NormalWeb"/>
        <w:spacing w:line="360" w:lineRule="auto"/>
        <w:jc w:val="both"/>
        <w:rPr>
          <w:lang w:val="en-IN"/>
        </w:rPr>
      </w:pPr>
      <w:r>
        <w:rPr>
          <w:b/>
          <w:bCs/>
          <w:i/>
          <w:iCs/>
          <w:lang w:val="en-IN"/>
        </w:rPr>
        <w:t>Now for C is </w:t>
      </w:r>
    </w:p>
    <w:p w14:paraId="119D1509" w14:textId="77777777" w:rsidR="00393455" w:rsidRDefault="00BC616B">
      <w:pPr>
        <w:pStyle w:val="NormalWeb"/>
        <w:spacing w:line="360" w:lineRule="auto"/>
        <w:jc w:val="both"/>
        <w:rPr>
          <w:lang w:val="en-IN"/>
        </w:rPr>
      </w:pPr>
      <w:r>
        <w:rPr>
          <w:lang w:val="en-IN"/>
        </w:rPr>
        <w:t>5(0.926)+10(0.857)+20(0.794)+25(0.735)+5(0.681) =£50.86m </w:t>
      </w:r>
    </w:p>
    <w:p w14:paraId="523CC353" w14:textId="77777777" w:rsidR="00393455" w:rsidRDefault="00BC616B">
      <w:pPr>
        <w:pStyle w:val="NormalWeb"/>
        <w:spacing w:line="360" w:lineRule="auto"/>
        <w:jc w:val="both"/>
        <w:rPr>
          <w:lang w:val="en-IN"/>
        </w:rPr>
      </w:pPr>
      <w:r>
        <w:rPr>
          <w:lang w:val="en-IN"/>
        </w:rPr>
        <w:t>NPV=50.86−50=£0.86m </w:t>
      </w:r>
    </w:p>
    <w:p w14:paraId="001E24D1" w14:textId="77777777" w:rsidR="00393455" w:rsidRDefault="00BC616B">
      <w:pPr>
        <w:pStyle w:val="NormalWeb"/>
        <w:spacing w:line="360" w:lineRule="auto"/>
        <w:jc w:val="both"/>
        <w:rPr>
          <w:lang w:val="en-IN"/>
        </w:rPr>
      </w:pPr>
      <w:r>
        <w:t xml:space="preserve">Project C is the sole investment that is likely to boost the stockholders' wealth as compared to Projects A and B since the discounted benefits in the future are more than the capital outlay. </w:t>
      </w:r>
      <w:r>
        <w:rPr>
          <w:lang w:val="en-IN"/>
        </w:rPr>
        <w:t xml:space="preserve">Ridwan </w:t>
      </w:r>
      <w:r>
        <w:rPr>
          <w:i/>
          <w:iCs/>
          <w:lang w:val="en-IN"/>
        </w:rPr>
        <w:t>et al</w:t>
      </w:r>
      <w:r>
        <w:rPr>
          <w:lang w:val="en-IN"/>
        </w:rPr>
        <w:t>. (2025) highlight that, i</w:t>
      </w:r>
      <w:r>
        <w:t xml:space="preserve">ncorporating corporate finance theory, a project should normally be accepted whenever it has a positive NPV as it enhances </w:t>
      </w:r>
      <w:r>
        <w:t xml:space="preserve">the value of the firm. Profitability Index (PI) also substantiates this conclusion as it is used to measure the present value </w:t>
      </w:r>
      <w:r>
        <w:lastRenderedPageBreak/>
        <w:t>that is created at every pound invested. Project A gets a PI of 0.87 whereas Project B gets 0.88, meaning that neither of the projects will break even on a present value basis against their initial investment. Project C, on the other hand, will yield a PI of 1.02,</w:t>
      </w:r>
      <w:r>
        <w:t xml:space="preserve"> which means that each pound invested in this project generated a breakdown of 1.02 present value returns. In comparison to the other alternatives, Project C is capital efficient and the only investment with higher than minimum acceptance PI of PI of more than 1. This renders it especially desirable in situations where allocation of capital may need to focus on value creation</w:t>
      </w:r>
      <w:r>
        <w:rPr>
          <w:lang w:val="en-IN"/>
        </w:rPr>
        <w:t>.</w:t>
      </w:r>
    </w:p>
    <w:p w14:paraId="1F771B5A" w14:textId="77777777" w:rsidR="00393455" w:rsidRDefault="00BC616B">
      <w:pPr>
        <w:pStyle w:val="NormalWeb"/>
        <w:spacing w:line="360" w:lineRule="auto"/>
        <w:jc w:val="both"/>
        <w:rPr>
          <w:lang w:val="en-IN"/>
        </w:rPr>
      </w:pPr>
      <w:r>
        <w:rPr>
          <w:b/>
          <w:bCs/>
          <w:i/>
          <w:iCs/>
          <w:lang w:val="en-IN"/>
        </w:rPr>
        <w:t>Profitability Index (PI) </w:t>
      </w:r>
    </w:p>
    <w:p w14:paraId="376112BB" w14:textId="77777777" w:rsidR="00393455" w:rsidRDefault="00BC616B">
      <w:pPr>
        <w:pStyle w:val="NormalWeb"/>
        <w:spacing w:line="360" w:lineRule="auto"/>
        <w:jc w:val="both"/>
        <w:rPr>
          <w:lang w:val="en-IN"/>
        </w:rPr>
      </w:pPr>
      <w:r>
        <w:rPr>
          <w:lang w:val="en-IN"/>
        </w:rPr>
        <w:t>Now, in the case of finding PI, the formula used is </w:t>
      </w:r>
    </w:p>
    <w:p w14:paraId="2218594A" w14:textId="77777777" w:rsidR="00393455" w:rsidRDefault="00BC616B">
      <w:pPr>
        <w:pStyle w:val="NormalWeb"/>
        <w:spacing w:line="360" w:lineRule="auto"/>
        <w:jc w:val="both"/>
        <w:rPr>
          <w:lang w:val="en-IN"/>
        </w:rPr>
      </w:pPr>
      <w:r>
        <w:rPr>
          <w:lang w:val="en-IN"/>
        </w:rPr>
        <w:t>IP = PV of Future Cash Inflows​/ Initial Investment</w:t>
      </w:r>
    </w:p>
    <w:p w14:paraId="1B263F0E" w14:textId="77777777" w:rsidR="00393455" w:rsidRDefault="00BC616B">
      <w:pPr>
        <w:pStyle w:val="NormalWeb"/>
        <w:spacing w:line="360" w:lineRule="auto"/>
        <w:jc w:val="both"/>
        <w:rPr>
          <w:lang w:val="en-IN"/>
        </w:rPr>
      </w:pPr>
      <w:r>
        <w:rPr>
          <w:lang w:val="en-IN"/>
        </w:rPr>
        <w:t>For A: PI=43.46​/ 50 =0.87</w:t>
      </w:r>
    </w:p>
    <w:p w14:paraId="254DC764" w14:textId="77777777" w:rsidR="00393455" w:rsidRDefault="00BC616B">
      <w:pPr>
        <w:pStyle w:val="NormalWeb"/>
        <w:spacing w:line="360" w:lineRule="auto"/>
        <w:jc w:val="both"/>
        <w:rPr>
          <w:lang w:val="en-IN"/>
        </w:rPr>
      </w:pPr>
      <w:r>
        <w:rPr>
          <w:lang w:val="en-IN"/>
        </w:rPr>
        <w:t>For B: PI=43.92​/ 50 =0.88</w:t>
      </w:r>
    </w:p>
    <w:p w14:paraId="33E70FDC" w14:textId="77777777" w:rsidR="00393455" w:rsidRDefault="00BC616B">
      <w:pPr>
        <w:pStyle w:val="NormalWeb"/>
        <w:spacing w:line="360" w:lineRule="auto"/>
        <w:jc w:val="both"/>
        <w:rPr>
          <w:lang w:val="en-IN"/>
        </w:rPr>
      </w:pPr>
      <w:r>
        <w:rPr>
          <w:lang w:val="en-IN"/>
        </w:rPr>
        <w:t>For C: PI=50.86​/ 50 = 1.02</w:t>
      </w:r>
    </w:p>
    <w:p w14:paraId="42583E2B" w14:textId="77777777" w:rsidR="00393455" w:rsidRDefault="00BC616B">
      <w:pPr>
        <w:pStyle w:val="NormalWeb"/>
        <w:spacing w:line="360" w:lineRule="auto"/>
        <w:jc w:val="both"/>
        <w:rPr>
          <w:lang w:val="en-IN"/>
        </w:rPr>
      </w:pPr>
      <w:r>
        <w:t>Internal Rate of Return (IRR) provides an alternative ratio in order to establish the discounting rate at which the NPV of the project would assume the value of zero. Projects A and B do not have positive NPVs required because they give negative values at the required cost of capital, that is, 8%. The IRR of the two projects is lower than the investment rate that Marriott should have,</w:t>
      </w:r>
      <w:r>
        <w:t xml:space="preserve"> and thus the projects also fail to satisfy the investment requirements of Marriott. On the other hand, because Project C has created a positive NPV given the discount rate of 8 per cent, the IRR of the Project would be above 8 per cent, which implies that the project is expected to yield higher than the cost of capital to Marriott </w:t>
      </w:r>
      <w:r>
        <w:rPr>
          <w:lang w:val="en-IN"/>
        </w:rPr>
        <w:t>(Nukala and Rao, 2021)</w:t>
      </w:r>
      <w:r>
        <w:t>. Project C thus has the most favourable financial payoff of the three projects, and a barely bearable investment risk profile compared to projects A and B.</w:t>
      </w:r>
    </w:p>
    <w:p w14:paraId="4E55C9E4" w14:textId="77777777" w:rsidR="00393455" w:rsidRDefault="00BC616B">
      <w:pPr>
        <w:pStyle w:val="NormalWeb"/>
        <w:spacing w:before="0" w:beforeAutospacing="0" w:after="0" w:afterAutospacing="0" w:line="360" w:lineRule="auto"/>
        <w:jc w:val="both"/>
      </w:pPr>
      <w:r>
        <w:t xml:space="preserve">The best investment to be implemented is project C. Besides having good returns on investment appraisal, the project is also good sense considering the amount of financial capability that Marriott has, but it also confronts several financial obstacles, which exist at the moment. Five-year-profit </w:t>
      </w:r>
      <w:r>
        <w:lastRenderedPageBreak/>
        <w:t>Analysis indicates that the company is recording an improvement in profitability with increased revenues, operating income and profit per share. However, Marriott continues to experience low liquidity,</w:t>
      </w:r>
      <w:r>
        <w:t xml:space="preserve"> with the current and quick ratios being lower than the industry rates. In this respect, it would be more appropriate to select a project capable of producing greater long-term cash inflows and a greater shareholder value as compared to such a project that would only produce an equivalent value of its initial costs. </w:t>
      </w:r>
    </w:p>
    <w:p w14:paraId="4C2F1A9A" w14:textId="77777777" w:rsidR="00393455" w:rsidRDefault="00BC616B">
      <w:pPr>
        <w:pStyle w:val="NormalWeb"/>
        <w:spacing w:before="0" w:beforeAutospacing="0" w:after="0" w:afterAutospacing="0" w:line="360" w:lineRule="auto"/>
        <w:jc w:val="both"/>
      </w:pPr>
      <w:r>
        <w:t>Project C is more financially flexible in terms of strategy because projected returns have the potential to help sustain future operating cash and, thus, cater to debts and alleviate any pressures caused by the high-leverage nature of the Marriott capital structure. The management needs to invest in projects that will increase sustainable profitability more than those that create the lowest value since the liabilities have increased and shareholder equity has been negative (Gallagher, 2022)</w:t>
      </w:r>
      <w:r>
        <w:t xml:space="preserve">. Project C is, therefore, helping Marriott attain its objective of enhancing its financial strength without straining its future funding capabilities. </w:t>
      </w:r>
    </w:p>
    <w:p w14:paraId="461C5991" w14:textId="77777777" w:rsidR="00393455" w:rsidRDefault="00BC616B">
      <w:pPr>
        <w:pStyle w:val="NormalWeb"/>
        <w:spacing w:line="360" w:lineRule="auto"/>
        <w:jc w:val="both"/>
        <w:rPr>
          <w:lang w:val="en-IN"/>
        </w:rPr>
      </w:pPr>
      <w:r>
        <w:t xml:space="preserve">However, the ultimate investment decision should be based not only on financial performance. As a multinational company that is migrating towards most economies in the globe, </w:t>
      </w:r>
      <w:r>
        <w:rPr>
          <w:lang w:val="en-IN"/>
        </w:rPr>
        <w:t xml:space="preserve">Chen (2025) state that </w:t>
      </w:r>
      <w:r>
        <w:t>Marriott is likely to be exposed to risks of politics, regulations like taxation, labour</w:t>
      </w:r>
      <w:r>
        <w:t xml:space="preserve"> regulations, foreign exchange impact, environmental regulations, and geopolitical insecurity. Risk assessment and contingency planning should thus be part of the project implementation in order to reduce possible disruptions. Also, </w:t>
      </w:r>
      <w:r>
        <w:rPr>
          <w:lang w:val="en-IN"/>
        </w:rPr>
        <w:t xml:space="preserve">Bhat and Sharma (2021) argue that </w:t>
      </w:r>
      <w:r>
        <w:t xml:space="preserve">customer loyalty is a critical non-financial parameter in the international hospitality industry. </w:t>
      </w:r>
    </w:p>
    <w:p w14:paraId="48A4DE6D" w14:textId="77777777" w:rsidR="00393455" w:rsidRDefault="00BC616B">
      <w:pPr>
        <w:pStyle w:val="NormalWeb"/>
        <w:spacing w:before="0" w:beforeAutospacing="0" w:after="0" w:afterAutospacing="0" w:line="360" w:lineRule="auto"/>
        <w:jc w:val="both"/>
      </w:pPr>
      <w:r>
        <w:t>With a capital rationing constraint</w:t>
      </w:r>
      <w:r>
        <w:t xml:space="preserve"> of £100 million, Marriott International is able to fund a maximum of two projects since each project needs initial investment of 50 million pounds. Capital rationing also involves the management having to spend scarce financial resources on investments that will maximise the value of the shareholders instead of only depleting the available financial resources (Saha </w:t>
      </w:r>
      <w:r>
        <w:rPr>
          <w:i/>
          <w:iCs/>
        </w:rPr>
        <w:t>et al</w:t>
      </w:r>
      <w:r>
        <w:t>., 2025)</w:t>
      </w:r>
      <w:r>
        <w:t xml:space="preserve">. Investing in either Project A or B would reduce the size of the shareholder wealth since both projects have returned negative NPVs and profitability indices below one regardless of the amount of capital that is available. To this end, not taking on two projects due to sufficient funds would be a poor allocation of finances. Based on investment appraisal results, the core investment must be Project C given that the project has a good NPV </w:t>
      </w:r>
      <w:r>
        <w:lastRenderedPageBreak/>
        <w:t xml:space="preserve">value (£0.86 million), a </w:t>
      </w:r>
      <w:r>
        <w:t xml:space="preserve">higher profitability index (1.02) and a higher IRR rate when compared to other investments required by this business (8 per cent). </w:t>
      </w:r>
    </w:p>
    <w:p w14:paraId="77F5D1C3" w14:textId="77777777" w:rsidR="00393455" w:rsidRDefault="00BC616B">
      <w:pPr>
        <w:pStyle w:val="NormalWeb"/>
        <w:spacing w:line="360" w:lineRule="auto"/>
        <w:jc w:val="both"/>
        <w:rPr>
          <w:lang w:val="en-IN"/>
        </w:rPr>
      </w:pPr>
      <w:r>
        <w:t xml:space="preserve">The firm is more than quick-geared, the negative shareholder equity possessed and comparatively poor liquidity ratios are indicative of a company in need of saving capital just as much as increasing investments. Instead of investing an extra amount of money in value-destroying projects, the unused £50 million would enhance flexibility in the finances, help to reduce debts, </w:t>
      </w:r>
      <w:r>
        <w:t>improve liquidity management and give it an opportunity to invest in future strategic options which can yield higher returns. Thus, using the capital rationing postulates, Project C is the best (optimal) portfolio of investment, even though funds are sufficient to finance two projects. The decisions of capital budgeting have to focus on maximising value rather than the utilisation of the budget, and therefore every pound of investment must maximise shareholder wealth</w:t>
      </w:r>
      <w:r>
        <w:rPr>
          <w:lang w:val="en-IN"/>
        </w:rPr>
        <w:t xml:space="preserve"> (Nukala and Rao, 2021)</w:t>
      </w:r>
      <w:r>
        <w:t>. The strategy can assist Marriott International in maintaining financial discipline, creating its own long-term financial sustainability, as well as being flexible in its strategies in future concerning high-value investments</w:t>
      </w:r>
      <w:r>
        <w:rPr>
          <w:lang w:val="en-IN"/>
        </w:rPr>
        <w:t>.</w:t>
      </w:r>
    </w:p>
    <w:p w14:paraId="2C7D21B3" w14:textId="77777777" w:rsidR="00393455" w:rsidRDefault="00BC616B">
      <w:pPr>
        <w:pStyle w:val="Heading1"/>
        <w:rPr>
          <w:lang w:val="en-GB"/>
        </w:rPr>
      </w:pPr>
      <w:bookmarkStart w:id="16" w:name="_Toc236912239"/>
      <w:r>
        <w:rPr>
          <w:lang w:val="en-GB"/>
        </w:rPr>
        <w:t>5. Critical Reflection on AI Usage</w:t>
      </w:r>
      <w:bookmarkEnd w:id="16"/>
      <w:r>
        <w:rPr>
          <w:lang w:val="en-GB"/>
        </w:rPr>
        <w:t> </w:t>
      </w:r>
    </w:p>
    <w:p w14:paraId="57828D3E" w14:textId="77777777" w:rsidR="00393455" w:rsidRDefault="00BC616B">
      <w:pPr>
        <w:pStyle w:val="Heading2"/>
        <w:rPr>
          <w:lang w:val="en-GB"/>
        </w:rPr>
      </w:pPr>
      <w:bookmarkStart w:id="17" w:name="_Toc236912240"/>
      <w:r>
        <w:rPr>
          <w:lang w:val="en-GB"/>
        </w:rPr>
        <w:t>a. Tool Disclosure</w:t>
      </w:r>
      <w:bookmarkEnd w:id="17"/>
      <w:r>
        <w:rPr>
          <w:lang w:val="en-GB"/>
        </w:rPr>
        <w:t> </w:t>
      </w:r>
    </w:p>
    <w:p w14:paraId="46716CB9" w14:textId="77777777" w:rsidR="00393455" w:rsidRDefault="00BC616B">
      <w:pPr>
        <w:pStyle w:val="NormalWeb"/>
        <w:spacing w:before="240" w:beforeAutospacing="0" w:after="240" w:afterAutospacing="0" w:line="360" w:lineRule="auto"/>
        <w:jc w:val="both"/>
        <w:rPr>
          <w:lang w:val="en-GB"/>
        </w:rPr>
      </w:pPr>
      <w:r>
        <w:rPr>
          <w:lang w:val="en-GB"/>
        </w:rPr>
        <w:t>Artificial intelligence has been used only as a proofreading tool and Research support mechanism, consistent with AI policy. This policy has permitted data search,  data</w:t>
      </w:r>
      <w:r>
        <w:rPr>
          <w:lang w:val="en-GB"/>
        </w:rPr>
        <w:t xml:space="preserve"> analysis and delivered some specific information but has not generated the final report AI-assisted support platform also helped to define the final need of the research and draft the structure of the report with a mandatory calculation part. However, all the calculations, such as NPV, PBP, ARR, and profitability index, have been manually done to present the working capital management evaluation, collecting data from Marriott International's annual reports and industry-published papers, followed by academi</w:t>
      </w:r>
      <w:r>
        <w:rPr>
          <w:lang w:val="en-GB"/>
        </w:rPr>
        <w:t>c journals. </w:t>
      </w:r>
    </w:p>
    <w:p w14:paraId="0864CFF3" w14:textId="77777777" w:rsidR="00393455" w:rsidRDefault="00BC616B">
      <w:pPr>
        <w:pStyle w:val="Heading2"/>
        <w:rPr>
          <w:lang w:val="en-GB"/>
        </w:rPr>
      </w:pPr>
      <w:bookmarkStart w:id="18" w:name="_Toc236912241"/>
      <w:r>
        <w:rPr>
          <w:lang w:val="en-GB"/>
        </w:rPr>
        <w:t>b. Critical Evaluation of AI Output</w:t>
      </w:r>
      <w:bookmarkEnd w:id="18"/>
    </w:p>
    <w:p w14:paraId="1E8A4F7B" w14:textId="77777777" w:rsidR="00393455" w:rsidRDefault="00BC616B">
      <w:pPr>
        <w:pStyle w:val="NormalWeb"/>
        <w:spacing w:before="240" w:beforeAutospacing="0" w:after="240" w:afterAutospacing="0" w:line="360" w:lineRule="auto"/>
        <w:jc w:val="both"/>
        <w:rPr>
          <w:lang w:val="en-GB"/>
        </w:rPr>
      </w:pPr>
      <w:r>
        <w:rPr>
          <w:lang w:val="en-GB"/>
        </w:rPr>
        <w:t xml:space="preserve">Although in this report, the help of AI has been taken to gather information and develop a simplified concept about complex financial factors, the output was not accepted without human </w:t>
      </w:r>
      <w:r>
        <w:rPr>
          <w:lang w:val="en-GB"/>
        </w:rPr>
        <w:lastRenderedPageBreak/>
        <w:t xml:space="preserve">verification. AI-generated interpretations were cross-checked against Marriott International's current annual report and financial statements, aligning them with existing literature. The accuracy has been maintained manually to make the report consistent without any compromise in the final report content. Investment appraisal calculations and numerical values were manually calculated to eliminate computational errors. Hence, despite taking the support of AI, the entire report was written personally, with </w:t>
      </w:r>
      <w:r>
        <w:rPr>
          <w:lang w:val="en-GB"/>
        </w:rPr>
        <w:t>in-depth research ensuring that all conclusions were evidence-based. Proper justification has been provided, rechecking all with authoritative sources before using any personally or AI-generated information it into the report.</w:t>
      </w:r>
    </w:p>
    <w:p w14:paraId="3B17EFFC" w14:textId="77777777" w:rsidR="00393455" w:rsidRDefault="00BC616B">
      <w:pPr>
        <w:pStyle w:val="Heading2"/>
        <w:rPr>
          <w:lang w:val="en-IN"/>
        </w:rPr>
      </w:pPr>
      <w:bookmarkStart w:id="19" w:name="_Toc236912242"/>
      <w:r>
        <w:rPr>
          <w:lang w:val="en-IN"/>
        </w:rPr>
        <w:t>c. Contribution Analysis</w:t>
      </w:r>
      <w:bookmarkEnd w:id="19"/>
      <w:r>
        <w:rPr>
          <w:lang w:val="en-IN"/>
        </w:rPr>
        <w:t xml:space="preserve"> </w:t>
      </w:r>
    </w:p>
    <w:p w14:paraId="205E6945" w14:textId="77777777" w:rsidR="00393455" w:rsidRDefault="00BC616B">
      <w:pPr>
        <w:pStyle w:val="NormalWeb"/>
        <w:spacing w:before="240" w:beforeAutospacing="0" w:after="240" w:afterAutospacing="0" w:line="360" w:lineRule="auto"/>
        <w:jc w:val="both"/>
      </w:pPr>
      <w:r>
        <w:t>The main contribution of the AI to this report was to aid in planning the initial phase of its preparation, proposing a proper report framework, streamlining the academic terms, and searching for</w:t>
      </w:r>
      <w:r>
        <w:t xml:space="preserve"> topical financial concepts and literature. It has further assisted in determining the secondary sources and summarising the theoretical approach to the analysis of financial statements, working capital management, capital budgeting, as well as investment appraisal. </w:t>
      </w:r>
    </w:p>
    <w:p w14:paraId="60F943EC" w14:textId="77777777" w:rsidR="00393455" w:rsidRDefault="00BC616B">
      <w:pPr>
        <w:pStyle w:val="NormalWeb"/>
        <w:spacing w:before="240" w:beforeAutospacing="0" w:after="240" w:afterAutospacing="0" w:line="360" w:lineRule="auto"/>
        <w:jc w:val="both"/>
        <w:rPr>
          <w:lang w:val="en-IN"/>
        </w:rPr>
      </w:pPr>
      <w:r>
        <w:t>I collected the financial information of Marriott's annual</w:t>
      </w:r>
      <w:r>
        <w:t xml:space="preserve"> reports by hand and calculated all the financial ratios and applied the investment appraisal techniques: NPV, IRR, ARR, Payback Period and Profitability Index without attempting any calculations with AI. Further, I also analytically evaluated the financial performance of Marriott, compared their performance to the industry, assessed the liquidity risk as well as gearing risk and then used the financial analysis to derive the strategic recommendations. </w:t>
      </w:r>
    </w:p>
    <w:p w14:paraId="55AF95FE" w14:textId="77777777" w:rsidR="00393455" w:rsidRDefault="00BC616B">
      <w:pPr>
        <w:pStyle w:val="Heading2"/>
        <w:rPr>
          <w:lang w:val="en-IN"/>
        </w:rPr>
      </w:pPr>
      <w:bookmarkStart w:id="20" w:name="_Toc236912243"/>
      <w:r>
        <w:rPr>
          <w:lang w:val="en-IN"/>
        </w:rPr>
        <w:t>d. Ethical &amp; Professional Reflection</w:t>
      </w:r>
      <w:bookmarkEnd w:id="20"/>
      <w:r>
        <w:rPr>
          <w:lang w:val="en-IN"/>
        </w:rPr>
        <w:t xml:space="preserve"> </w:t>
      </w:r>
    </w:p>
    <w:p w14:paraId="4C1A0245" w14:textId="77777777" w:rsidR="00393455" w:rsidRDefault="00BC616B">
      <w:pPr>
        <w:pStyle w:val="NormalWeb"/>
        <w:spacing w:before="240" w:beforeAutospacing="0" w:after="240" w:afterAutospacing="0" w:line="360" w:lineRule="auto"/>
        <w:jc w:val="both"/>
      </w:pPr>
      <w:r>
        <w:t xml:space="preserve">I have come to understand in the process of writing this report that AI can improve the efficiency of research and drafting, but it should never be employed to substitute professional judgement (particularly in monetary decisions). As a future Chief Financial Officer, I perceive that there </w:t>
      </w:r>
      <w:r>
        <w:t xml:space="preserve">must be transparency in any case AI is involved in any part of a financial analysis, and that is why I have transparently revealed the limited involvement of AI in this report. I am also aware of the necessity to make sure that the confidential financial data and the uploading of sensitive corporate data to AI may result in privacy and compliance issues. </w:t>
      </w:r>
    </w:p>
    <w:p w14:paraId="1CD5F878" w14:textId="77777777" w:rsidR="00393455" w:rsidRDefault="00BC616B">
      <w:pPr>
        <w:pStyle w:val="NormalWeb"/>
        <w:spacing w:before="240" w:beforeAutospacing="0" w:after="240" w:afterAutospacing="0" w:line="360" w:lineRule="auto"/>
        <w:jc w:val="both"/>
        <w:rPr>
          <w:lang w:val="en-GB"/>
        </w:rPr>
      </w:pPr>
      <w:r>
        <w:lastRenderedPageBreak/>
        <w:t>Therefore, any financial data of the organisation should be dealt with in respect of</w:t>
      </w:r>
      <w:r>
        <w:t xml:space="preserve"> data governance and professional ethics. Most importantly, I believe that the overconfidence in AI could cause wrong interpretations, risks of being biased, or making strategically misdirected decisions because of the ignorance of AI about the organisational context and interests of its stakeholders. Hence, I used AI as a support tool in addition to and ensured that all calculations, critical analysis, recommendations and other conclusive suggestions were all my professional mandate and independent thought</w:t>
      </w:r>
      <w:r>
        <w:rPr>
          <w:lang w:val="en-IN"/>
        </w:rPr>
        <w:t>.</w:t>
      </w:r>
      <w:r>
        <w:rPr>
          <w:lang w:val="en-GB"/>
        </w:rPr>
        <w:t> </w:t>
      </w:r>
    </w:p>
    <w:p w14:paraId="57A9E08B" w14:textId="77777777" w:rsidR="00393455" w:rsidRDefault="00BC616B">
      <w:pPr>
        <w:rPr>
          <w:rFonts w:ascii="Times New Roman" w:hAnsi="Times New Roman" w:cs="Times New Roman"/>
          <w:b/>
          <w:sz w:val="24"/>
          <w:szCs w:val="24"/>
          <w:shd w:val="clear" w:color="auto" w:fill="FFFFFF"/>
          <w:lang w:val="en-GB"/>
        </w:rPr>
      </w:pPr>
      <w:bookmarkStart w:id="21" w:name="_Toc236912244"/>
      <w:r>
        <w:rPr>
          <w:rFonts w:cs="Times New Roman"/>
          <w:szCs w:val="24"/>
          <w:shd w:val="clear" w:color="auto" w:fill="FFFFFF"/>
          <w:lang w:val="en-GB"/>
        </w:rPr>
        <w:br w:type="page"/>
      </w:r>
    </w:p>
    <w:p w14:paraId="2B18233E" w14:textId="77777777" w:rsidR="00393455" w:rsidRDefault="00BC616B">
      <w:pPr>
        <w:pStyle w:val="Heading1"/>
        <w:spacing w:before="0" w:after="0"/>
        <w:rPr>
          <w:rFonts w:cs="Times New Roman"/>
          <w:color w:val="auto"/>
          <w:szCs w:val="24"/>
          <w:shd w:val="clear" w:color="auto" w:fill="FFFFFF"/>
          <w:lang w:val="en-GB"/>
        </w:rPr>
      </w:pPr>
      <w:r>
        <w:rPr>
          <w:rFonts w:cs="Times New Roman"/>
          <w:color w:val="auto"/>
          <w:szCs w:val="24"/>
          <w:shd w:val="clear" w:color="auto" w:fill="FFFFFF"/>
          <w:lang w:val="en-GB"/>
        </w:rPr>
        <w:lastRenderedPageBreak/>
        <w:t>References</w:t>
      </w:r>
      <w:bookmarkEnd w:id="21"/>
    </w:p>
    <w:p w14:paraId="580CC6D5"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Atichasari, A.S., Ratnasari, A., Kulsum, U., Kahpi, H.S., Wulandari, S.S. and Marfu, A., (2023). Examining non-performing loans on corporate financial sustainability: Evidence from Indonesia. </w:t>
      </w:r>
      <w:r>
        <w:rPr>
          <w:rFonts w:ascii="Times New Roman" w:hAnsi="Times New Roman" w:cs="Times New Roman"/>
          <w:i/>
          <w:iCs/>
          <w:sz w:val="24"/>
          <w:szCs w:val="24"/>
          <w:lang w:val="en-GB"/>
        </w:rPr>
        <w:t>Sustainable Futures</w:t>
      </w:r>
      <w:r>
        <w:rPr>
          <w:rFonts w:ascii="Times New Roman" w:hAnsi="Times New Roman" w:cs="Times New Roman"/>
          <w:sz w:val="24"/>
          <w:szCs w:val="24"/>
          <w:lang w:val="en-GB"/>
        </w:rPr>
        <w:t>, </w:t>
      </w:r>
      <w:r>
        <w:rPr>
          <w:rFonts w:ascii="Times New Roman" w:hAnsi="Times New Roman" w:cs="Times New Roman"/>
          <w:i/>
          <w:iCs/>
          <w:sz w:val="24"/>
          <w:szCs w:val="24"/>
          <w:lang w:val="en-GB"/>
        </w:rPr>
        <w:t>6</w:t>
      </w:r>
      <w:r>
        <w:rPr>
          <w:rFonts w:ascii="Times New Roman" w:hAnsi="Times New Roman" w:cs="Times New Roman"/>
          <w:sz w:val="24"/>
          <w:szCs w:val="24"/>
          <w:lang w:val="en-GB"/>
        </w:rPr>
        <w:t>, p.100137.</w:t>
      </w:r>
      <w:hyperlink r:id="rId20" w:history="1">
        <w:r>
          <w:rPr>
            <w:rStyle w:val="Hyperlink"/>
            <w:rFonts w:ascii="Times New Roman" w:hAnsi="Times New Roman" w:cs="Times New Roman"/>
            <w:color w:val="auto"/>
            <w:sz w:val="24"/>
            <w:szCs w:val="24"/>
            <w:lang w:val="en-GB"/>
          </w:rPr>
          <w:t>https://www.sciencedirect.com/science/article/pii/S2666188823000333</w:t>
        </w:r>
      </w:hyperlink>
    </w:p>
    <w:p w14:paraId="7D34B3E4" w14:textId="77777777" w:rsidR="00393455" w:rsidRDefault="00BC616B">
      <w:pPr>
        <w:pStyle w:val="NormalWeb"/>
        <w:spacing w:before="0" w:beforeAutospacing="0" w:after="0" w:afterAutospacing="0" w:line="360" w:lineRule="auto"/>
        <w:jc w:val="both"/>
        <w:rPr>
          <w:lang w:val="en-GB"/>
        </w:rPr>
      </w:pPr>
      <w:r>
        <w:rPr>
          <w:lang w:val="en-GB"/>
        </w:rPr>
        <w:t>Awodire, M., Agboola, O., Ogundojutimi, O. and Odumuwagun</w:t>
      </w:r>
      <w:r>
        <w:rPr>
          <w:lang w:val="en-GB"/>
        </w:rPr>
        <w:t xml:space="preserve">, O., (2023). Capital budgeting and financial investment appraisal: A review of archival literature. </w:t>
      </w:r>
      <w:r>
        <w:rPr>
          <w:i/>
          <w:iCs/>
          <w:lang w:val="en-GB"/>
        </w:rPr>
        <w:t>American Journal of Multidisciplinary Research in Africa</w:t>
      </w:r>
      <w:r>
        <w:rPr>
          <w:lang w:val="en-GB"/>
        </w:rPr>
        <w:t xml:space="preserve">, </w:t>
      </w:r>
      <w:r>
        <w:rPr>
          <w:i/>
          <w:iCs/>
          <w:lang w:val="en-GB"/>
        </w:rPr>
        <w:t>3</w:t>
      </w:r>
      <w:r>
        <w:rPr>
          <w:lang w:val="en-GB"/>
        </w:rPr>
        <w:t>(10.58314).</w:t>
      </w:r>
      <w:hyperlink r:id="rId21" w:history="1">
        <w:r>
          <w:rPr>
            <w:rStyle w:val="Hyperlink"/>
            <w:color w:val="auto"/>
            <w:lang w:val="en-GB"/>
          </w:rPr>
          <w:t xml:space="preserve"> https://www.academia.edu/download/115377930/Capital_Budgeting_and_Financial_Investme.pdf</w:t>
        </w:r>
      </w:hyperlink>
      <w:r>
        <w:rPr>
          <w:lang w:val="en-GB"/>
        </w:rPr>
        <w:t>  </w:t>
      </w:r>
    </w:p>
    <w:p w14:paraId="69E61BD9" w14:textId="77777777" w:rsidR="00393455" w:rsidRDefault="00BC616B">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Bhat, D.A.R. and Sharma, V. (2021). Enabling service innovation and firm performance: The role of co-creation and technological innovation in the hospitality industry. </w:t>
      </w:r>
      <w:r>
        <w:rPr>
          <w:rFonts w:ascii="Times New Roman" w:hAnsi="Times New Roman" w:cs="Times New Roman"/>
          <w:i/>
          <w:iCs/>
          <w:sz w:val="24"/>
          <w:szCs w:val="24"/>
          <w:lang w:val="en-IN"/>
        </w:rPr>
        <w:t>Technology Analysis &amp; Strategic Management</w:t>
      </w:r>
      <w:r>
        <w:rPr>
          <w:rFonts w:ascii="Times New Roman" w:hAnsi="Times New Roman" w:cs="Times New Roman"/>
          <w:sz w:val="24"/>
          <w:szCs w:val="24"/>
          <w:lang w:val="en-IN"/>
        </w:rPr>
        <w:t>, 34(7), pp.1–13. doi:10.1080/09537325.2021.1919614.</w:t>
      </w:r>
    </w:p>
    <w:p w14:paraId="3BC754EF"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Blessing, H. and Sakouvogui, G. (2023). Impact of liquidity and solvency ratios on financial performance: A comprehensive analysis. </w:t>
      </w:r>
      <w:r>
        <w:rPr>
          <w:rFonts w:ascii="Times New Roman" w:hAnsi="Times New Roman" w:cs="Times New Roman"/>
          <w:i/>
          <w:iCs/>
          <w:sz w:val="24"/>
          <w:szCs w:val="24"/>
          <w:lang w:val="en-GB"/>
        </w:rPr>
        <w:t>Indonesia Auditing Research Journal</w:t>
      </w:r>
      <w:r>
        <w:rPr>
          <w:rFonts w:ascii="Times New Roman" w:hAnsi="Times New Roman" w:cs="Times New Roman"/>
          <w:sz w:val="24"/>
          <w:szCs w:val="24"/>
          <w:lang w:val="en-GB"/>
        </w:rPr>
        <w:t xml:space="preserve">, 12(3), pp.102–115. </w:t>
      </w:r>
      <w:hyperlink r:id="rId22" w:history="1">
        <w:r>
          <w:rPr>
            <w:rStyle w:val="Hyperlink"/>
            <w:rFonts w:ascii="Times New Roman" w:hAnsi="Times New Roman" w:cs="Times New Roman"/>
            <w:sz w:val="24"/>
            <w:szCs w:val="24"/>
            <w:lang w:val="en-GB"/>
          </w:rPr>
          <w:t>https://journals.iarn.or.id/index.php/ARJ/article/view/208</w:t>
        </w:r>
      </w:hyperlink>
    </w:p>
    <w:p w14:paraId="69122D63" w14:textId="77777777" w:rsidR="00393455" w:rsidRDefault="00BC616B">
      <w:pPr>
        <w:spacing w:line="360" w:lineRule="auto"/>
        <w:jc w:val="both"/>
        <w:rPr>
          <w:lang w:val="en-GB"/>
        </w:rPr>
      </w:pPr>
      <w:r>
        <w:rPr>
          <w:rFonts w:ascii="Times New Roman" w:hAnsi="Times New Roman" w:cs="Times New Roman"/>
          <w:sz w:val="24"/>
          <w:szCs w:val="24"/>
          <w:lang w:val="en-GB"/>
        </w:rPr>
        <w:t>Chen, L., Mahdzan, N.S. and Shen, J., (2026). Debt pressure and flexibility trade-offs: short-term debt and financial flexibility as a transmission channel between digital financial inclusion and firms’ financial vulnerability. </w:t>
      </w:r>
      <w:r>
        <w:rPr>
          <w:rFonts w:ascii="Times New Roman" w:hAnsi="Times New Roman" w:cs="Times New Roman"/>
          <w:i/>
          <w:iCs/>
          <w:sz w:val="24"/>
          <w:szCs w:val="24"/>
          <w:lang w:val="en-GB"/>
        </w:rPr>
        <w:t>Cogent Economics &amp; Finance</w:t>
      </w:r>
      <w:r>
        <w:rPr>
          <w:rFonts w:ascii="Times New Roman" w:hAnsi="Times New Roman" w:cs="Times New Roman"/>
          <w:sz w:val="24"/>
          <w:szCs w:val="24"/>
          <w:lang w:val="en-GB"/>
        </w:rPr>
        <w:t>, </w:t>
      </w:r>
      <w:r>
        <w:rPr>
          <w:rFonts w:ascii="Times New Roman" w:hAnsi="Times New Roman" w:cs="Times New Roman"/>
          <w:i/>
          <w:iCs/>
          <w:sz w:val="24"/>
          <w:szCs w:val="24"/>
          <w:lang w:val="en-GB"/>
        </w:rPr>
        <w:t>14</w:t>
      </w:r>
      <w:r>
        <w:rPr>
          <w:rFonts w:ascii="Times New Roman" w:hAnsi="Times New Roman" w:cs="Times New Roman"/>
          <w:sz w:val="24"/>
          <w:szCs w:val="24"/>
          <w:lang w:val="en-GB"/>
        </w:rPr>
        <w:t>(1), p.2678718.</w:t>
      </w:r>
      <w:hyperlink r:id="rId23" w:history="1">
        <w:r>
          <w:rPr>
            <w:rStyle w:val="Hyperlink"/>
            <w:rFonts w:ascii="Times New Roman" w:hAnsi="Times New Roman" w:cs="Times New Roman"/>
            <w:color w:val="auto"/>
            <w:sz w:val="24"/>
            <w:szCs w:val="24"/>
            <w:lang w:val="en-GB"/>
          </w:rPr>
          <w:t>https://www.tandfonline.com/doi/abs/10.1080/23322039.2026.2678718</w:t>
        </w:r>
      </w:hyperlink>
    </w:p>
    <w:p w14:paraId="796423A0" w14:textId="77777777" w:rsidR="00393455" w:rsidRDefault="00BC616B">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Chen, Y. (2025). Corporate competition and financial analysis - based on Marriott’s analysis. </w:t>
      </w:r>
      <w:r>
        <w:rPr>
          <w:rFonts w:ascii="Times New Roman" w:hAnsi="Times New Roman" w:cs="Times New Roman"/>
          <w:i/>
          <w:iCs/>
          <w:sz w:val="24"/>
          <w:szCs w:val="24"/>
          <w:lang w:val="en-IN"/>
        </w:rPr>
        <w:t>Advances in Economics, Business and Management Research</w:t>
      </w:r>
      <w:r>
        <w:rPr>
          <w:rFonts w:ascii="Times New Roman" w:hAnsi="Times New Roman" w:cs="Times New Roman"/>
          <w:sz w:val="24"/>
          <w:szCs w:val="24"/>
          <w:lang w:val="en-IN"/>
        </w:rPr>
        <w:t>, [online] pp.554–565. doi:10.2991/978-94-6463-652-9_58.</w:t>
      </w:r>
    </w:p>
    <w:p w14:paraId="11B7AA36" w14:textId="77777777" w:rsidR="00393455" w:rsidRDefault="00BC616B">
      <w:pPr>
        <w:spacing w:line="360" w:lineRule="auto"/>
        <w:jc w:val="both"/>
        <w:rPr>
          <w:rFonts w:ascii="Times New Roman" w:hAnsi="Times New Roman" w:cs="Times New Roman"/>
          <w:sz w:val="24"/>
          <w:szCs w:val="24"/>
          <w:lang w:val="en-GB"/>
        </w:rPr>
      </w:pPr>
      <w:r>
        <w:rPr>
          <w:lang w:val="en-GB"/>
        </w:rPr>
        <w:t xml:space="preserve">Chen, Y., (2025), February. Corporate Competition and Financial Analysis-Based on Marriott’s Analysis. In </w:t>
      </w:r>
      <w:r>
        <w:rPr>
          <w:i/>
          <w:iCs/>
          <w:lang w:val="en-GB"/>
        </w:rPr>
        <w:t>International Workshop on Navigating the Digital Business Frontier for Sustainable Financial Innovation (ICDEBA 2024)</w:t>
      </w:r>
      <w:r>
        <w:rPr>
          <w:lang w:val="en-GB"/>
        </w:rPr>
        <w:t xml:space="preserve"> (pp. 554-565). Atlantis Press.</w:t>
      </w:r>
      <w:hyperlink r:id="rId24" w:history="1">
        <w:r>
          <w:rPr>
            <w:rStyle w:val="Hyperlink"/>
            <w:color w:val="auto"/>
            <w:lang w:val="en-GB"/>
          </w:rPr>
          <w:t xml:space="preserve"> https://www.atlantis-press.com/proceedings/icdeba-24/126008558</w:t>
        </w:r>
      </w:hyperlink>
    </w:p>
    <w:p w14:paraId="4E09A179"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Davidson III, W., (2020). </w:t>
      </w:r>
      <w:r>
        <w:rPr>
          <w:rFonts w:ascii="Times New Roman" w:hAnsi="Times New Roman" w:cs="Times New Roman"/>
          <w:i/>
          <w:iCs/>
          <w:sz w:val="24"/>
          <w:szCs w:val="24"/>
          <w:lang w:val="en-GB"/>
        </w:rPr>
        <w:t>Financial statement analysis: Basis for management advice</w:t>
      </w:r>
      <w:r>
        <w:rPr>
          <w:rFonts w:ascii="Times New Roman" w:hAnsi="Times New Roman" w:cs="Times New Roman"/>
          <w:sz w:val="24"/>
          <w:szCs w:val="24"/>
          <w:lang w:val="en-GB"/>
        </w:rPr>
        <w:t>. John Wiley &amp; Sons. https://books.google.com/books?hl=en&amp;lr=&amp;id=C-nuDwAAQBAJ&amp;oi=fnd&amp;pg=PP1&amp;dq=current+and+quick+ratios+are+never+high,+meaning+t</w:t>
      </w:r>
      <w:r>
        <w:rPr>
          <w:rFonts w:ascii="Times New Roman" w:hAnsi="Times New Roman" w:cs="Times New Roman"/>
          <w:sz w:val="24"/>
          <w:szCs w:val="24"/>
          <w:lang w:val="en-GB"/>
        </w:rPr>
        <w:lastRenderedPageBreak/>
        <w:t>hat+the+company+can+find+itself+in+temporary+liquidity+strains+in+case+operating+cash+flows+are+lower&amp;ots=CPxSnB92gm&amp;sig=f51OXGd-azXYwByz9Dx6maZa6Mo</w:t>
      </w:r>
    </w:p>
    <w:p w14:paraId="62848036" w14:textId="77777777" w:rsidR="00393455" w:rsidRDefault="00BC616B">
      <w:pPr>
        <w:pStyle w:val="NormalWeb"/>
        <w:spacing w:before="0" w:beforeAutospacing="0" w:after="0" w:afterAutospacing="0" w:line="360" w:lineRule="auto"/>
        <w:jc w:val="both"/>
        <w:rPr>
          <w:lang w:val="en-GB"/>
        </w:rPr>
      </w:pPr>
      <w:r>
        <w:rPr>
          <w:lang w:val="en-GB"/>
        </w:rPr>
        <w:t xml:space="preserve">Dobrowolski, Z. and Drozdowski, G., (2022). Does the net present value as a financial metric fit investment in green energy security?. </w:t>
      </w:r>
      <w:r>
        <w:rPr>
          <w:i/>
          <w:iCs/>
          <w:lang w:val="en-GB"/>
        </w:rPr>
        <w:t>Energies</w:t>
      </w:r>
      <w:r>
        <w:rPr>
          <w:lang w:val="en-GB"/>
        </w:rPr>
        <w:t xml:space="preserve">, </w:t>
      </w:r>
      <w:r>
        <w:rPr>
          <w:i/>
          <w:iCs/>
          <w:lang w:val="en-GB"/>
        </w:rPr>
        <w:t>15</w:t>
      </w:r>
      <w:r>
        <w:rPr>
          <w:lang w:val="en-GB"/>
        </w:rPr>
        <w:t>(1), p.353.</w:t>
      </w:r>
      <w:hyperlink r:id="rId25" w:history="1">
        <w:r>
          <w:rPr>
            <w:rStyle w:val="Hyperlink"/>
            <w:color w:val="auto"/>
            <w:lang w:val="en-GB"/>
          </w:rPr>
          <w:t xml:space="preserve"> https://www.mdpi.com/1996-1073/15/1/353</w:t>
        </w:r>
      </w:hyperlink>
    </w:p>
    <w:p w14:paraId="10378EFB"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Ermawati</w:t>
      </w:r>
      <w:r>
        <w:rPr>
          <w:rFonts w:ascii="Times New Roman" w:hAnsi="Times New Roman" w:cs="Times New Roman"/>
          <w:sz w:val="24"/>
          <w:szCs w:val="24"/>
          <w:lang w:val="en-GB"/>
        </w:rPr>
        <w:t>, Y., (2024). The role of corporate finance in maximizing shareholder wealth and driving sustainable growth. </w:t>
      </w:r>
      <w:r>
        <w:rPr>
          <w:rFonts w:ascii="Times New Roman" w:hAnsi="Times New Roman" w:cs="Times New Roman"/>
          <w:i/>
          <w:iCs/>
          <w:sz w:val="24"/>
          <w:szCs w:val="24"/>
          <w:lang w:val="en-GB"/>
        </w:rPr>
        <w:t>Advances in Management &amp; Financial Reporting</w:t>
      </w:r>
      <w:r>
        <w:rPr>
          <w:rFonts w:ascii="Times New Roman" w:hAnsi="Times New Roman" w:cs="Times New Roman"/>
          <w:sz w:val="24"/>
          <w:szCs w:val="24"/>
          <w:lang w:val="en-GB"/>
        </w:rPr>
        <w:t>, </w:t>
      </w:r>
      <w:r>
        <w:rPr>
          <w:rFonts w:ascii="Times New Roman" w:hAnsi="Times New Roman" w:cs="Times New Roman"/>
          <w:i/>
          <w:iCs/>
          <w:sz w:val="24"/>
          <w:szCs w:val="24"/>
          <w:lang w:val="en-GB"/>
        </w:rPr>
        <w:t>2</w:t>
      </w:r>
      <w:r>
        <w:rPr>
          <w:rFonts w:ascii="Times New Roman" w:hAnsi="Times New Roman" w:cs="Times New Roman"/>
          <w:sz w:val="24"/>
          <w:szCs w:val="24"/>
          <w:lang w:val="en-GB"/>
        </w:rPr>
        <w:t>(3), pp.173-185.</w:t>
      </w:r>
      <w:hyperlink r:id="rId26" w:history="1">
        <w:r>
          <w:rPr>
            <w:rStyle w:val="Hyperlink"/>
            <w:rFonts w:ascii="Times New Roman" w:hAnsi="Times New Roman" w:cs="Times New Roman"/>
            <w:color w:val="auto"/>
            <w:sz w:val="24"/>
            <w:szCs w:val="24"/>
            <w:lang w:val="en-GB"/>
          </w:rPr>
          <w:t>http://advancesinresearch.id/index.php/AMFR/article/view/384</w:t>
        </w:r>
      </w:hyperlink>
    </w:p>
    <w:p w14:paraId="3E74F439"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Eschenbrenner, B., Zlatic, A., Bechtel, M., Collins, B., Straley, C. and Gubbels, G., (2023). Marriott International: a managerial strategic </w:t>
      </w:r>
      <w:proofErr w:type="spellStart"/>
      <w:r>
        <w:rPr>
          <w:rFonts w:ascii="Times New Roman" w:hAnsi="Times New Roman" w:cs="Times New Roman"/>
          <w:sz w:val="24"/>
          <w:szCs w:val="24"/>
          <w:lang w:val="en-GB"/>
        </w:rPr>
        <w:t>audit.</w:t>
      </w:r>
      <w:hyperlink r:id="rId27" w:history="1">
        <w:r>
          <w:rPr>
            <w:rStyle w:val="Hyperlink"/>
            <w:rFonts w:ascii="Times New Roman" w:hAnsi="Times New Roman" w:cs="Times New Roman"/>
            <w:color w:val="auto"/>
            <w:sz w:val="24"/>
            <w:szCs w:val="24"/>
            <w:lang w:val="en-GB"/>
          </w:rPr>
          <w:t>https</w:t>
        </w:r>
        <w:proofErr w:type="spellEnd"/>
        <w:r>
          <w:rPr>
            <w:rStyle w:val="Hyperlink"/>
            <w:rFonts w:ascii="Times New Roman" w:hAnsi="Times New Roman" w:cs="Times New Roman"/>
            <w:color w:val="auto"/>
            <w:sz w:val="24"/>
            <w:szCs w:val="24"/>
            <w:lang w:val="en-GB"/>
          </w:rPr>
          <w:t>://digitalcommons.unl.edu/</w:t>
        </w:r>
        <w:proofErr w:type="spellStart"/>
        <w:r>
          <w:rPr>
            <w:rStyle w:val="Hyperlink"/>
            <w:rFonts w:ascii="Times New Roman" w:hAnsi="Times New Roman" w:cs="Times New Roman"/>
            <w:color w:val="auto"/>
            <w:sz w:val="24"/>
            <w:szCs w:val="24"/>
            <w:lang w:val="en-GB"/>
          </w:rPr>
          <w:t>honorstheses</w:t>
        </w:r>
        <w:proofErr w:type="spellEnd"/>
        <w:r>
          <w:rPr>
            <w:rStyle w:val="Hyperlink"/>
            <w:rFonts w:ascii="Times New Roman" w:hAnsi="Times New Roman" w:cs="Times New Roman"/>
            <w:color w:val="auto"/>
            <w:sz w:val="24"/>
            <w:szCs w:val="24"/>
            <w:lang w:val="en-GB"/>
          </w:rPr>
          <w:t>/632/</w:t>
        </w:r>
      </w:hyperlink>
    </w:p>
    <w:p w14:paraId="27C9FBA9"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Eyinade, W., Ezeilo, O.J. and Ogundeji, I.A., (2022). A framework for managing currency risk and exchange rate exposure in international energy investment portfolios. </w:t>
      </w:r>
      <w:r>
        <w:rPr>
          <w:rFonts w:ascii="Times New Roman" w:hAnsi="Times New Roman" w:cs="Times New Roman"/>
          <w:i/>
          <w:iCs/>
          <w:sz w:val="24"/>
          <w:szCs w:val="24"/>
          <w:lang w:val="en-GB"/>
        </w:rPr>
        <w:t>International Journal of Scientific Research in Civil Engineering</w:t>
      </w:r>
      <w:r>
        <w:rPr>
          <w:rFonts w:ascii="Times New Roman" w:hAnsi="Times New Roman" w:cs="Times New Roman"/>
          <w:sz w:val="24"/>
          <w:szCs w:val="24"/>
          <w:lang w:val="en-GB"/>
        </w:rPr>
        <w:t>, </w:t>
      </w:r>
      <w:r>
        <w:rPr>
          <w:rFonts w:ascii="Times New Roman" w:hAnsi="Times New Roman" w:cs="Times New Roman"/>
          <w:i/>
          <w:iCs/>
          <w:sz w:val="24"/>
          <w:szCs w:val="24"/>
          <w:lang w:val="en-GB"/>
        </w:rPr>
        <w:t>6</w:t>
      </w:r>
      <w:r>
        <w:rPr>
          <w:rFonts w:ascii="Times New Roman" w:hAnsi="Times New Roman" w:cs="Times New Roman"/>
          <w:sz w:val="24"/>
          <w:szCs w:val="24"/>
          <w:lang w:val="en-GB"/>
        </w:rPr>
        <w:t>(6), pp.218-230.</w:t>
      </w:r>
      <w:hyperlink r:id="rId28" w:history="1">
        <w:r>
          <w:rPr>
            <w:rStyle w:val="Hyperlink"/>
            <w:rFonts w:ascii="Times New Roman" w:hAnsi="Times New Roman" w:cs="Times New Roman"/>
            <w:color w:val="auto"/>
            <w:sz w:val="24"/>
            <w:szCs w:val="24"/>
            <w:lang w:val="en-GB"/>
          </w:rPr>
          <w:t>https://www.researchgate.net/profile/Onyinye-Ezeilo/publication/393453311_A_Framework_for_Managing_Currency_Risk_and_Exchange_Rate_Exposure_in_International_Energy_Investment_Portfolios/links/686af3d5b991270ef301dc5f/A-Framework-for-Managing-Currency-Risk-and-Exchange-Rate-Exposure-in-International-Energy-Investment-Portfolios.pdf</w:t>
        </w:r>
      </w:hyperlink>
    </w:p>
    <w:p w14:paraId="0AC84AC7" w14:textId="77777777" w:rsidR="00393455" w:rsidRDefault="00BC616B">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Fan, J. (2025). Beyond NPV and IRR: An Integrated Capital Budgeting rule for real-world investment decisions. </w:t>
      </w:r>
      <w:r>
        <w:rPr>
          <w:rFonts w:ascii="Times New Roman" w:hAnsi="Times New Roman" w:cs="Times New Roman"/>
          <w:i/>
          <w:iCs/>
          <w:sz w:val="24"/>
          <w:szCs w:val="24"/>
          <w:lang w:val="en-IN"/>
        </w:rPr>
        <w:t>Transactions on Economics, Business and Management Research</w:t>
      </w:r>
      <w:r>
        <w:rPr>
          <w:rFonts w:ascii="Times New Roman" w:hAnsi="Times New Roman" w:cs="Times New Roman"/>
          <w:sz w:val="24"/>
          <w:szCs w:val="24"/>
          <w:lang w:val="en-IN"/>
        </w:rPr>
        <w:t>, [online] 16, pp.161–165. doi:10.62051/a4ybws71.</w:t>
      </w:r>
    </w:p>
    <w:p w14:paraId="40E9799A" w14:textId="77777777" w:rsidR="00393455" w:rsidRDefault="00BC616B">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Gallagher, T.J., (2022). </w:t>
      </w:r>
      <w:r>
        <w:rPr>
          <w:rFonts w:ascii="Times New Roman" w:hAnsi="Times New Roman" w:cs="Times New Roman"/>
          <w:i/>
          <w:iCs/>
          <w:sz w:val="24"/>
          <w:szCs w:val="24"/>
          <w:lang w:val="en-IN"/>
        </w:rPr>
        <w:t>Financial management: principles and practice</w:t>
      </w:r>
      <w:r>
        <w:rPr>
          <w:rFonts w:ascii="Times New Roman" w:hAnsi="Times New Roman" w:cs="Times New Roman"/>
          <w:sz w:val="24"/>
          <w:szCs w:val="24"/>
          <w:lang w:val="en-IN"/>
        </w:rPr>
        <w:t xml:space="preserve">. Sage Publications. </w:t>
      </w:r>
      <w:hyperlink r:id="rId29" w:history="1">
        <w:r>
          <w:rPr>
            <w:rStyle w:val="Hyperlink"/>
            <w:rFonts w:ascii="Times New Roman" w:hAnsi="Times New Roman" w:cs="Times New Roman"/>
            <w:sz w:val="24"/>
            <w:szCs w:val="24"/>
            <w:lang w:val="en-IN"/>
          </w:rPr>
          <w:t>https://books.google.com/books?hl=en&amp;lr=&amp;id=9d1fEQAAQBAJ&amp;oi=fnd&amp;pg=PP1&amp;dq=management+needs+to+invest+in+projects+that+will+increase+sustainable+profitability+more+than+those+that+create+the+lowest+value+since+the+liabilities+have+increased+and+shareholder+equity+has+been+negative&amp;ots=BWpp-3ORSo&amp;sig=GEq4w8jT5sZ3DMIWMFVfgfHQRX8</w:t>
        </w:r>
      </w:hyperlink>
      <w:r>
        <w:rPr>
          <w:rFonts w:ascii="Times New Roman" w:hAnsi="Times New Roman" w:cs="Times New Roman"/>
          <w:sz w:val="24"/>
          <w:szCs w:val="24"/>
          <w:lang w:val="en-IN"/>
        </w:rPr>
        <w:t> </w:t>
      </w:r>
    </w:p>
    <w:p w14:paraId="57EAE375"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Haq, M., Srivastava, N. and Wang, Z. (2025). Bank capital and liquidity risk: Influence of crisis and regulatory intervention. </w:t>
      </w:r>
      <w:r>
        <w:rPr>
          <w:rFonts w:ascii="Times New Roman" w:hAnsi="Times New Roman" w:cs="Times New Roman"/>
          <w:i/>
          <w:iCs/>
          <w:sz w:val="24"/>
          <w:szCs w:val="24"/>
          <w:lang w:val="en-GB"/>
        </w:rPr>
        <w:t>Review of Quantitative Finance and Accounting</w:t>
      </w:r>
      <w:r>
        <w:rPr>
          <w:rFonts w:ascii="Times New Roman" w:hAnsi="Times New Roman" w:cs="Times New Roman"/>
          <w:sz w:val="24"/>
          <w:szCs w:val="24"/>
          <w:lang w:val="en-GB"/>
        </w:rPr>
        <w:t>. doi:10.1007/s11156-025-01433-1.</w:t>
      </w:r>
    </w:p>
    <w:p w14:paraId="6924E986"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Jones, P., (2023). Towards net-zero emissions in the global tourism industry. </w:t>
      </w:r>
      <w:r>
        <w:rPr>
          <w:rFonts w:ascii="Times New Roman" w:hAnsi="Times New Roman" w:cs="Times New Roman"/>
          <w:i/>
          <w:iCs/>
          <w:sz w:val="24"/>
          <w:szCs w:val="24"/>
          <w:lang w:val="en-GB"/>
        </w:rPr>
        <w:t>Athens Journal of Tourism</w:t>
      </w:r>
      <w:r>
        <w:rPr>
          <w:rFonts w:ascii="Times New Roman" w:hAnsi="Times New Roman" w:cs="Times New Roman"/>
          <w:sz w:val="24"/>
          <w:szCs w:val="24"/>
          <w:lang w:val="en-GB"/>
        </w:rPr>
        <w:t>, </w:t>
      </w:r>
      <w:r>
        <w:rPr>
          <w:rFonts w:ascii="Times New Roman" w:hAnsi="Times New Roman" w:cs="Times New Roman"/>
          <w:i/>
          <w:iCs/>
          <w:sz w:val="24"/>
          <w:szCs w:val="24"/>
          <w:lang w:val="en-GB"/>
        </w:rPr>
        <w:t>10</w:t>
      </w:r>
      <w:r>
        <w:rPr>
          <w:rFonts w:ascii="Times New Roman" w:hAnsi="Times New Roman" w:cs="Times New Roman"/>
          <w:sz w:val="24"/>
          <w:szCs w:val="24"/>
          <w:lang w:val="en-GB"/>
        </w:rPr>
        <w:t>(2), pp.125-136.</w:t>
      </w:r>
      <w:hyperlink r:id="rId30" w:history="1">
        <w:r>
          <w:rPr>
            <w:rStyle w:val="Hyperlink"/>
            <w:rFonts w:ascii="Times New Roman" w:hAnsi="Times New Roman" w:cs="Times New Roman"/>
            <w:color w:val="auto"/>
            <w:sz w:val="24"/>
            <w:szCs w:val="24"/>
            <w:lang w:val="en-GB"/>
          </w:rPr>
          <w:t>https://eprints.glos.ac.uk/12354/</w:t>
        </w:r>
      </w:hyperlink>
    </w:p>
    <w:p w14:paraId="481FBAB5"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Kurian, A., (2022). The evolution of international tax regime and the OECD Two-Pillar solution: Analysis from a developing country perspective. </w:t>
      </w:r>
      <w:r>
        <w:rPr>
          <w:rFonts w:ascii="Times New Roman" w:hAnsi="Times New Roman" w:cs="Times New Roman"/>
          <w:i/>
          <w:iCs/>
          <w:sz w:val="24"/>
          <w:szCs w:val="24"/>
          <w:lang w:val="en-GB"/>
        </w:rPr>
        <w:t>Journal of Economic Issues</w:t>
      </w:r>
      <w:r>
        <w:rPr>
          <w:rFonts w:ascii="Times New Roman" w:hAnsi="Times New Roman" w:cs="Times New Roman"/>
          <w:sz w:val="24"/>
          <w:szCs w:val="24"/>
          <w:lang w:val="en-GB"/>
        </w:rPr>
        <w:t>, </w:t>
      </w:r>
      <w:r>
        <w:rPr>
          <w:rFonts w:ascii="Times New Roman" w:hAnsi="Times New Roman" w:cs="Times New Roman"/>
          <w:i/>
          <w:iCs/>
          <w:sz w:val="24"/>
          <w:szCs w:val="24"/>
          <w:lang w:val="en-GB"/>
        </w:rPr>
        <w:t>1</w:t>
      </w:r>
      <w:r>
        <w:rPr>
          <w:rFonts w:ascii="Times New Roman" w:hAnsi="Times New Roman" w:cs="Times New Roman"/>
          <w:sz w:val="24"/>
          <w:szCs w:val="24"/>
          <w:lang w:val="en-GB"/>
        </w:rPr>
        <w:t>(1), pp.61-71.</w:t>
      </w:r>
      <w:hyperlink r:id="rId31" w:history="1">
        <w:r>
          <w:rPr>
            <w:rStyle w:val="Hyperlink"/>
            <w:rFonts w:ascii="Times New Roman" w:hAnsi="Times New Roman" w:cs="Times New Roman"/>
            <w:color w:val="auto"/>
            <w:sz w:val="24"/>
            <w:szCs w:val="24"/>
            <w:lang w:val="en-GB"/>
          </w:rPr>
          <w:t>https://www.researchgate.net/profile/Arul-Kurian/publication/363728560_The_evolution_of_international_tax_regime_and_the_OECD_Two-_Pillar_solution_Analysis_from_a_developing_country_perspective/links/6310cdacacd814437ff52591/The-evolution-of-international-tax-regime-and-the-OECD-Two-Pillar-solution-Analysis-from-a-developing-country-perspective.pdf</w:t>
        </w:r>
      </w:hyperlink>
    </w:p>
    <w:p w14:paraId="044A835B"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Macrotrends(2026). Marriott Net Income 2012-2026 | MAR. [online] Available at: </w:t>
      </w:r>
      <w:hyperlink r:id="rId32" w:history="1">
        <w:r>
          <w:rPr>
            <w:rStyle w:val="Hyperlink"/>
            <w:rFonts w:ascii="Times New Roman" w:hAnsi="Times New Roman" w:cs="Times New Roman"/>
            <w:color w:val="auto"/>
            <w:sz w:val="24"/>
            <w:szCs w:val="24"/>
            <w:lang w:val="en-GB"/>
          </w:rPr>
          <w:t>https://www.macrotrends.net/stocks/charts/MAR/marriott/net-income</w:t>
        </w:r>
      </w:hyperlink>
      <w:r>
        <w:rPr>
          <w:rFonts w:ascii="Times New Roman" w:hAnsi="Times New Roman" w:cs="Times New Roman"/>
          <w:sz w:val="24"/>
          <w:szCs w:val="24"/>
          <w:lang w:val="en-GB"/>
        </w:rPr>
        <w:t>[Accessed 5 Aug. 2026].</w:t>
      </w:r>
    </w:p>
    <w:p w14:paraId="399DE61E"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Marriott International (2022). 2022 SERVE 360 REPORT: Environmental, Social, and Governance Progress . [online] Available at: http://serve360.marriott.com/wp-content/uploads/2022/10/Marriott-2022-Serve-360-ESG-Report-accessible_F.pdf [Accessed 5 Aug. 2026].</w:t>
      </w:r>
    </w:p>
    <w:p w14:paraId="7991DF3E"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Marriott International (2023) Annual Report 2022. Marriott International, Inc. Available at:</w:t>
      </w:r>
      <w:hyperlink r:id="rId33" w:history="1">
        <w:r>
          <w:rPr>
            <w:rStyle w:val="Hyperlink"/>
            <w:rFonts w:ascii="Times New Roman" w:hAnsi="Times New Roman" w:cs="Times New Roman"/>
            <w:color w:val="auto"/>
            <w:sz w:val="24"/>
            <w:szCs w:val="24"/>
            <w:lang w:val="en-GB"/>
          </w:rPr>
          <w:t xml:space="preserve"> https://marriott.gcs-web.com/static-files/90ac617a-ef5f-4438-97ec-2e7cf4f8a41e</w:t>
        </w:r>
      </w:hyperlink>
    </w:p>
    <w:p w14:paraId="6C2E3F43"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Marriott International (2024) Annual Report 2023. Marriott International, Inc. Available at:</w:t>
      </w:r>
      <w:hyperlink r:id="rId34" w:history="1">
        <w:r>
          <w:rPr>
            <w:rStyle w:val="Hyperlink"/>
            <w:rFonts w:ascii="Times New Roman" w:hAnsi="Times New Roman" w:cs="Times New Roman"/>
            <w:color w:val="auto"/>
            <w:sz w:val="24"/>
            <w:szCs w:val="24"/>
            <w:lang w:val="en-GB"/>
          </w:rPr>
          <w:t xml:space="preserve"> https://marriott.gcs-web.com/static-files/c0fb865c-15b1-4166-9846-49b548da1ce4</w:t>
        </w:r>
      </w:hyperlink>
    </w:p>
    <w:p w14:paraId="453DE35A"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Marriott International (2026) About Marriott International. Marriott International, Inc. Available at:</w:t>
      </w:r>
      <w:hyperlink r:id="rId35" w:history="1">
        <w:r>
          <w:rPr>
            <w:rStyle w:val="Hyperlink"/>
            <w:rFonts w:ascii="Times New Roman" w:hAnsi="Times New Roman" w:cs="Times New Roman"/>
            <w:color w:val="auto"/>
            <w:sz w:val="24"/>
            <w:szCs w:val="24"/>
            <w:lang w:val="en-GB"/>
          </w:rPr>
          <w:t xml:space="preserve"> https://www.marriott.com/marriott/aboutmarriott.mi</w:t>
        </w:r>
      </w:hyperlink>
    </w:p>
    <w:p w14:paraId="7247D0D4"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Marriott International (2026) Annual Reports. Marriott International, Inc. Available at:</w:t>
      </w:r>
      <w:hyperlink r:id="rId36" w:history="1">
        <w:r>
          <w:rPr>
            <w:rStyle w:val="Hyperlink"/>
            <w:rFonts w:ascii="Times New Roman" w:hAnsi="Times New Roman" w:cs="Times New Roman"/>
            <w:color w:val="auto"/>
            <w:sz w:val="24"/>
            <w:szCs w:val="24"/>
            <w:lang w:val="en-GB"/>
          </w:rPr>
          <w:t xml:space="preserve"> https://marriott.gcs-web.com/annual</w:t>
        </w:r>
      </w:hyperlink>
    </w:p>
    <w:p w14:paraId="48234CC0"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Marriott, (2025). </w:t>
      </w:r>
      <w:r>
        <w:rPr>
          <w:rFonts w:ascii="Times New Roman" w:hAnsi="Times New Roman" w:cs="Times New Roman"/>
          <w:i/>
          <w:iCs/>
          <w:sz w:val="24"/>
          <w:szCs w:val="24"/>
          <w:lang w:val="en-GB"/>
        </w:rPr>
        <w:t>2025 ANNUAL REPORT</w:t>
      </w:r>
      <w:r>
        <w:rPr>
          <w:rFonts w:ascii="Times New Roman" w:hAnsi="Times New Roman" w:cs="Times New Roman"/>
          <w:sz w:val="24"/>
          <w:szCs w:val="24"/>
          <w:lang w:val="en-GB"/>
        </w:rPr>
        <w:t>. [online]Available at:</w:t>
      </w:r>
      <w:hyperlink r:id="rId37" w:history="1">
        <w:r>
          <w:rPr>
            <w:rStyle w:val="Hyperlink"/>
            <w:rFonts w:ascii="Times New Roman" w:hAnsi="Times New Roman" w:cs="Times New Roman"/>
            <w:color w:val="auto"/>
            <w:sz w:val="24"/>
            <w:szCs w:val="24"/>
            <w:lang w:val="en-GB"/>
          </w:rPr>
          <w:t xml:space="preserve"> https://marriott.gcs-web.com/static-files/9cf0e9b0-bbfa-48a6-9e21-ffbdbc4b2d78</w:t>
        </w:r>
      </w:hyperlink>
      <w:r>
        <w:rPr>
          <w:rFonts w:ascii="Times New Roman" w:hAnsi="Times New Roman" w:cs="Times New Roman"/>
          <w:sz w:val="24"/>
          <w:szCs w:val="24"/>
          <w:lang w:val="en-GB"/>
        </w:rPr>
        <w:t xml:space="preserve"> [Accessed 5 Aug. 2026].</w:t>
      </w:r>
    </w:p>
    <w:p w14:paraId="0D4445C8"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Marriott.africa-newsroom(2026). Marriott International Announces Robust Growth Momentum Across Europe, Middle East &amp; Africa in 2025. [online] Available at: </w:t>
      </w:r>
      <w:hyperlink r:id="rId38" w:history="1">
        <w:r>
          <w:rPr>
            <w:rStyle w:val="Hyperlink"/>
            <w:rFonts w:ascii="Times New Roman" w:hAnsi="Times New Roman" w:cs="Times New Roman"/>
            <w:color w:val="auto"/>
            <w:sz w:val="24"/>
            <w:szCs w:val="24"/>
            <w:lang w:val="en-GB"/>
          </w:rPr>
          <w:t>https://marriott.africa-newsroom.com/press/marriott-international-announces-robust-growth-momentum-across-europe-middle-east-and-africa-in-2025?lang=en</w:t>
        </w:r>
      </w:hyperlink>
      <w:r>
        <w:rPr>
          <w:rFonts w:ascii="Times New Roman" w:hAnsi="Times New Roman" w:cs="Times New Roman"/>
          <w:sz w:val="24"/>
          <w:szCs w:val="24"/>
          <w:lang w:val="en-GB"/>
        </w:rPr>
        <w:t xml:space="preserve"> [Accessed 5 Aug. 2026].</w:t>
      </w:r>
    </w:p>
    <w:p w14:paraId="0F35CFF1" w14:textId="77777777" w:rsidR="00393455" w:rsidRDefault="00BC616B">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lastRenderedPageBreak/>
        <w:t xml:space="preserve">Nukala, V.B. and Rao, S.S.P. (2021). Role of debt-to-equity ratio in project investment valuation, assessing risk and return in capital markets. </w:t>
      </w:r>
      <w:r>
        <w:rPr>
          <w:rFonts w:ascii="Times New Roman" w:hAnsi="Times New Roman" w:cs="Times New Roman"/>
          <w:i/>
          <w:iCs/>
          <w:sz w:val="24"/>
          <w:szCs w:val="24"/>
          <w:lang w:val="en-IN"/>
        </w:rPr>
        <w:t>Future Business Journal</w:t>
      </w:r>
      <w:r>
        <w:rPr>
          <w:rFonts w:ascii="Times New Roman" w:hAnsi="Times New Roman" w:cs="Times New Roman"/>
          <w:sz w:val="24"/>
          <w:szCs w:val="24"/>
          <w:lang w:val="en-IN"/>
        </w:rPr>
        <w:t>, 7(1), pp.1–23. doi:https://link.springer.com/article/10.1186/s43093-021-00058-9.</w:t>
      </w:r>
    </w:p>
    <w:p w14:paraId="1E771291"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Nurjanah, S., Wijaya, S.N., Komara, A. and Mahadianto, M.Y., (2021). Financial performance evaluation: The role of ROA and ROE in increase company value. </w:t>
      </w:r>
      <w:r>
        <w:rPr>
          <w:rFonts w:ascii="Times New Roman" w:hAnsi="Times New Roman" w:cs="Times New Roman"/>
          <w:i/>
          <w:iCs/>
          <w:sz w:val="24"/>
          <w:szCs w:val="24"/>
          <w:lang w:val="en-GB"/>
        </w:rPr>
        <w:t>BES: International Journal of Business, Economics and Social Development</w:t>
      </w:r>
      <w:r>
        <w:rPr>
          <w:rFonts w:ascii="Times New Roman" w:hAnsi="Times New Roman" w:cs="Times New Roman"/>
          <w:sz w:val="24"/>
          <w:szCs w:val="24"/>
          <w:lang w:val="en-GB"/>
        </w:rPr>
        <w:t xml:space="preserve">, </w:t>
      </w:r>
      <w:r>
        <w:rPr>
          <w:rFonts w:ascii="Times New Roman" w:hAnsi="Times New Roman" w:cs="Times New Roman"/>
          <w:i/>
          <w:iCs/>
          <w:sz w:val="24"/>
          <w:szCs w:val="24"/>
          <w:lang w:val="en-GB"/>
        </w:rPr>
        <w:t>6</w:t>
      </w:r>
      <w:r>
        <w:rPr>
          <w:rFonts w:ascii="Times New Roman" w:hAnsi="Times New Roman" w:cs="Times New Roman"/>
          <w:sz w:val="24"/>
          <w:szCs w:val="24"/>
          <w:lang w:val="en-GB"/>
        </w:rPr>
        <w:t xml:space="preserve">(2), pp.264-270. </w:t>
      </w:r>
      <w:hyperlink r:id="rId39" w:history="1">
        <w:r>
          <w:rPr>
            <w:rStyle w:val="Hyperlink"/>
            <w:rFonts w:ascii="Times New Roman" w:hAnsi="Times New Roman" w:cs="Times New Roman"/>
            <w:color w:val="auto"/>
            <w:sz w:val="24"/>
            <w:szCs w:val="24"/>
            <w:lang w:val="en-GB"/>
          </w:rPr>
          <w:t>https://scholar.archive.org/work/c3u6l5dtijemnjyvzegipfajbq/access/wayback/https://journal.rescollacomm.com/index.php/ijbesd/article/download/916/pdf</w:t>
        </w:r>
      </w:hyperlink>
      <w:r>
        <w:rPr>
          <w:rFonts w:ascii="Times New Roman" w:hAnsi="Times New Roman" w:cs="Times New Roman"/>
          <w:sz w:val="24"/>
          <w:szCs w:val="24"/>
          <w:lang w:val="en-GB"/>
        </w:rPr>
        <w:t> </w:t>
      </w:r>
    </w:p>
    <w:p w14:paraId="590FF920"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Ridwan, S., Syah, T.Y.R., Kustiawan, U. and Nofierni, N. (2025). Financial planning and investment feasibility analysis based on five-year projections using roi, NPV, IRR, and financial ratios. </w:t>
      </w:r>
      <w:r>
        <w:rPr>
          <w:rFonts w:ascii="Times New Roman" w:hAnsi="Times New Roman" w:cs="Times New Roman"/>
          <w:i/>
          <w:iCs/>
          <w:sz w:val="24"/>
          <w:szCs w:val="24"/>
          <w:lang w:val="en-GB"/>
        </w:rPr>
        <w:t>Journal La Bisecoman</w:t>
      </w:r>
      <w:r>
        <w:rPr>
          <w:rFonts w:ascii="Times New Roman" w:hAnsi="Times New Roman" w:cs="Times New Roman"/>
          <w:sz w:val="24"/>
          <w:szCs w:val="24"/>
          <w:lang w:val="en-GB"/>
        </w:rPr>
        <w:t>, [online] 6(2), pp.489–506. doi:10.37899/journallabisecoman.v6i2.1970.</w:t>
      </w:r>
    </w:p>
    <w:p w14:paraId="54D52028"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Saar, K. and Vaher, M. (2025). Real data from 500 hospitality businesses when hotels doubled revenue Post-COVID. </w:t>
      </w:r>
      <w:r>
        <w:rPr>
          <w:rFonts w:ascii="Times New Roman" w:hAnsi="Times New Roman" w:cs="Times New Roman"/>
          <w:i/>
          <w:iCs/>
          <w:sz w:val="24"/>
          <w:szCs w:val="24"/>
          <w:lang w:val="en-GB"/>
        </w:rPr>
        <w:t xml:space="preserve">Journal of Tourism, Culture, and Management Studies </w:t>
      </w:r>
      <w:r>
        <w:rPr>
          <w:rFonts w:ascii="Times New Roman" w:hAnsi="Times New Roman" w:cs="Times New Roman"/>
          <w:sz w:val="24"/>
          <w:szCs w:val="24"/>
          <w:lang w:val="en-GB"/>
        </w:rPr>
        <w:t>, [online] 2(1), pp.13–26. Available at: https://theeducationjournals.com/index.php/JTCMS/article/view/168 [Accessed 5 Aug. 2026].</w:t>
      </w:r>
    </w:p>
    <w:p w14:paraId="0F3F8F14" w14:textId="77777777" w:rsidR="00393455" w:rsidRDefault="00BC616B">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Saha, S., Bajpai, A., Chakraborty, M.K.S. and Kumuthavalli, T., (2025). </w:t>
      </w:r>
      <w:r>
        <w:rPr>
          <w:rFonts w:ascii="Times New Roman" w:hAnsi="Times New Roman" w:cs="Times New Roman"/>
          <w:i/>
          <w:iCs/>
          <w:sz w:val="24"/>
          <w:szCs w:val="24"/>
          <w:lang w:val="en-IN"/>
        </w:rPr>
        <w:t>A Strategic Approach to Financial Management</w:t>
      </w:r>
      <w:r>
        <w:rPr>
          <w:rFonts w:ascii="Times New Roman" w:hAnsi="Times New Roman" w:cs="Times New Roman"/>
          <w:sz w:val="24"/>
          <w:szCs w:val="24"/>
          <w:lang w:val="en-IN"/>
        </w:rPr>
        <w:t xml:space="preserve">. AG Publishing House (AGPH Books). </w:t>
      </w:r>
      <w:hyperlink r:id="rId40" w:history="1">
        <w:r>
          <w:rPr>
            <w:rStyle w:val="Hyperlink"/>
            <w:rFonts w:ascii="Times New Roman" w:hAnsi="Times New Roman" w:cs="Times New Roman"/>
            <w:sz w:val="24"/>
            <w:szCs w:val="24"/>
            <w:lang w:val="en-IN"/>
          </w:rPr>
          <w:t>https://books.google.com/books?hl=en&amp;lr=&amp;id=gmNYEQAAQBAJ&amp;oi=fnd&amp;pg=PA27&amp;dq=Capital+rationing+also+involves+the+management+having+to+spend+scarce+financial+resources+on+investments+that+will+maximise+the+value+of+the+shareholders+instead+of+only+depleting+the+available+financial+resources&amp;ots=zgeJGhcIOQ&amp;sig=CvvvWgWWEgEvTgtKYMTaE5ztoHg</w:t>
        </w:r>
      </w:hyperlink>
      <w:r>
        <w:rPr>
          <w:rFonts w:ascii="Times New Roman" w:hAnsi="Times New Roman" w:cs="Times New Roman"/>
          <w:sz w:val="24"/>
          <w:szCs w:val="24"/>
          <w:lang w:val="en-IN"/>
        </w:rPr>
        <w:t> </w:t>
      </w:r>
    </w:p>
    <w:p w14:paraId="14609F00"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Sharma, A., Santa-María, M.J. and Nicolau, J.L., (2025). The effect of tangible promotions on an intangible environment. </w:t>
      </w:r>
      <w:r>
        <w:rPr>
          <w:rFonts w:ascii="Times New Roman" w:hAnsi="Times New Roman" w:cs="Times New Roman"/>
          <w:i/>
          <w:iCs/>
          <w:sz w:val="24"/>
          <w:szCs w:val="24"/>
          <w:lang w:val="en-GB"/>
        </w:rPr>
        <w:t>Journal of Travel Research</w:t>
      </w:r>
      <w:r>
        <w:rPr>
          <w:rFonts w:ascii="Times New Roman" w:hAnsi="Times New Roman" w:cs="Times New Roman"/>
          <w:sz w:val="24"/>
          <w:szCs w:val="24"/>
          <w:lang w:val="en-GB"/>
        </w:rPr>
        <w:t>, </w:t>
      </w:r>
      <w:r>
        <w:rPr>
          <w:rFonts w:ascii="Times New Roman" w:hAnsi="Times New Roman" w:cs="Times New Roman"/>
          <w:i/>
          <w:iCs/>
          <w:sz w:val="24"/>
          <w:szCs w:val="24"/>
          <w:lang w:val="en-GB"/>
        </w:rPr>
        <w:t>64</w:t>
      </w:r>
      <w:r>
        <w:rPr>
          <w:rFonts w:ascii="Times New Roman" w:hAnsi="Times New Roman" w:cs="Times New Roman"/>
          <w:sz w:val="24"/>
          <w:szCs w:val="24"/>
          <w:lang w:val="en-GB"/>
        </w:rPr>
        <w:t>(3), pp.736-751.</w:t>
      </w:r>
      <w:hyperlink r:id="rId41" w:history="1">
        <w:r>
          <w:rPr>
            <w:rStyle w:val="Hyperlink"/>
            <w:rFonts w:ascii="Times New Roman" w:hAnsi="Times New Roman" w:cs="Times New Roman"/>
            <w:color w:val="auto"/>
            <w:sz w:val="24"/>
            <w:szCs w:val="24"/>
            <w:lang w:val="en-GB"/>
          </w:rPr>
          <w:t>https://journals.sagepub.com/doi/abs/10.1177/00472875231219240</w:t>
        </w:r>
      </w:hyperlink>
    </w:p>
    <w:p w14:paraId="59C08755"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Subhani, B.H., Zunhuan, S. and Khan, M.A., (2025). Finance for a greener future: Evolving the financial sector for ESG and sustainable corporate debt management. </w:t>
      </w:r>
      <w:r>
        <w:rPr>
          <w:rFonts w:ascii="Times New Roman" w:hAnsi="Times New Roman" w:cs="Times New Roman"/>
          <w:i/>
          <w:iCs/>
          <w:sz w:val="24"/>
          <w:szCs w:val="24"/>
          <w:lang w:val="en-GB"/>
        </w:rPr>
        <w:t>Borsa Istanbul Review</w:t>
      </w:r>
      <w:r>
        <w:rPr>
          <w:rFonts w:ascii="Times New Roman" w:hAnsi="Times New Roman" w:cs="Times New Roman"/>
          <w:sz w:val="24"/>
          <w:szCs w:val="24"/>
          <w:lang w:val="en-GB"/>
        </w:rPr>
        <w:t>, </w:t>
      </w:r>
      <w:r>
        <w:rPr>
          <w:rFonts w:ascii="Times New Roman" w:hAnsi="Times New Roman" w:cs="Times New Roman"/>
          <w:i/>
          <w:iCs/>
          <w:sz w:val="24"/>
          <w:szCs w:val="24"/>
          <w:lang w:val="en-GB"/>
        </w:rPr>
        <w:t>25</w:t>
      </w:r>
      <w:r>
        <w:rPr>
          <w:rFonts w:ascii="Times New Roman" w:hAnsi="Times New Roman" w:cs="Times New Roman"/>
          <w:sz w:val="24"/>
          <w:szCs w:val="24"/>
          <w:lang w:val="en-GB"/>
        </w:rPr>
        <w:t>(2), pp.337-349.</w:t>
      </w:r>
      <w:hyperlink r:id="rId42" w:history="1">
        <w:r>
          <w:rPr>
            <w:rStyle w:val="Hyperlink"/>
            <w:rFonts w:ascii="Times New Roman" w:hAnsi="Times New Roman" w:cs="Times New Roman"/>
            <w:color w:val="auto"/>
            <w:sz w:val="24"/>
            <w:szCs w:val="24"/>
            <w:lang w:val="en-GB"/>
          </w:rPr>
          <w:t>https://www.sciencedirect.com/science/article/pii/S2214845025000183</w:t>
        </w:r>
      </w:hyperlink>
    </w:p>
    <w:p w14:paraId="4A14BAE5" w14:textId="77777777" w:rsidR="00393455" w:rsidRDefault="00BC61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Tiwary, D. and Paul, S., (2023). Role of bank credit and external commercial borrowings in working capital financing: evidence from Indian manufacturing firms. </w:t>
      </w:r>
      <w:r>
        <w:rPr>
          <w:rFonts w:ascii="Times New Roman" w:hAnsi="Times New Roman" w:cs="Times New Roman"/>
          <w:i/>
          <w:iCs/>
          <w:sz w:val="24"/>
          <w:szCs w:val="24"/>
          <w:lang w:val="en-GB"/>
        </w:rPr>
        <w:t>Journal of Risk and Financial Management</w:t>
      </w:r>
      <w:r>
        <w:rPr>
          <w:rFonts w:ascii="Times New Roman" w:hAnsi="Times New Roman" w:cs="Times New Roman"/>
          <w:sz w:val="24"/>
          <w:szCs w:val="24"/>
          <w:lang w:val="en-GB"/>
        </w:rPr>
        <w:t>, </w:t>
      </w:r>
      <w:r>
        <w:rPr>
          <w:rFonts w:ascii="Times New Roman" w:hAnsi="Times New Roman" w:cs="Times New Roman"/>
          <w:i/>
          <w:iCs/>
          <w:sz w:val="24"/>
          <w:szCs w:val="24"/>
          <w:lang w:val="en-GB"/>
        </w:rPr>
        <w:t>16</w:t>
      </w:r>
      <w:r>
        <w:rPr>
          <w:rFonts w:ascii="Times New Roman" w:hAnsi="Times New Roman" w:cs="Times New Roman"/>
          <w:sz w:val="24"/>
          <w:szCs w:val="24"/>
          <w:lang w:val="en-GB"/>
        </w:rPr>
        <w:t>(11), p.468.</w:t>
      </w:r>
      <w:hyperlink r:id="rId43" w:history="1">
        <w:r>
          <w:rPr>
            <w:rStyle w:val="Hyperlink"/>
            <w:rFonts w:ascii="Times New Roman" w:hAnsi="Times New Roman" w:cs="Times New Roman"/>
            <w:color w:val="auto"/>
            <w:sz w:val="24"/>
            <w:szCs w:val="24"/>
            <w:lang w:val="en-GB"/>
          </w:rPr>
          <w:t>https://www.mdpi.com/1911-8074/16/11/468</w:t>
        </w:r>
      </w:hyperlink>
    </w:p>
    <w:p w14:paraId="1852B611" w14:textId="77777777" w:rsidR="00393455" w:rsidRDefault="00393455">
      <w:pPr>
        <w:spacing w:line="360" w:lineRule="auto"/>
        <w:jc w:val="both"/>
        <w:rPr>
          <w:rFonts w:ascii="Times New Roman" w:hAnsi="Times New Roman" w:cs="Times New Roman"/>
          <w:sz w:val="24"/>
          <w:szCs w:val="24"/>
          <w:lang w:val="en-GB"/>
        </w:rPr>
      </w:pPr>
    </w:p>
    <w:p w14:paraId="381F599B" w14:textId="77777777" w:rsidR="00393455" w:rsidRDefault="00393455">
      <w:pPr>
        <w:spacing w:line="360" w:lineRule="auto"/>
        <w:jc w:val="both"/>
        <w:rPr>
          <w:rFonts w:ascii="Times New Roman" w:hAnsi="Times New Roman" w:cs="Times New Roman"/>
          <w:sz w:val="24"/>
          <w:szCs w:val="24"/>
          <w:lang w:val="en-GB"/>
        </w:rPr>
      </w:pPr>
    </w:p>
    <w:p w14:paraId="25BD6853" w14:textId="77777777" w:rsidR="00393455" w:rsidRDefault="00393455">
      <w:pPr>
        <w:spacing w:line="360" w:lineRule="auto"/>
        <w:jc w:val="both"/>
        <w:rPr>
          <w:rFonts w:ascii="Times New Roman" w:hAnsi="Times New Roman" w:cs="Times New Roman"/>
          <w:sz w:val="24"/>
          <w:szCs w:val="24"/>
          <w:lang w:val="en-GB"/>
        </w:rPr>
      </w:pPr>
    </w:p>
    <w:p w14:paraId="6E5809E6" w14:textId="77777777" w:rsidR="00393455" w:rsidRDefault="00393455">
      <w:pPr>
        <w:spacing w:line="360" w:lineRule="auto"/>
        <w:jc w:val="both"/>
        <w:rPr>
          <w:rFonts w:ascii="Times New Roman" w:hAnsi="Times New Roman" w:cs="Times New Roman"/>
          <w:sz w:val="24"/>
          <w:szCs w:val="24"/>
          <w:lang w:val="en-GB"/>
        </w:rPr>
      </w:pPr>
    </w:p>
    <w:p w14:paraId="42809CEA" w14:textId="77777777" w:rsidR="00393455" w:rsidRDefault="00393455">
      <w:pPr>
        <w:spacing w:line="360" w:lineRule="auto"/>
        <w:jc w:val="both"/>
        <w:rPr>
          <w:rFonts w:ascii="Times New Roman" w:hAnsi="Times New Roman" w:cs="Times New Roman"/>
          <w:sz w:val="24"/>
          <w:szCs w:val="24"/>
          <w:lang w:val="en-GB"/>
        </w:rPr>
      </w:pPr>
    </w:p>
    <w:p w14:paraId="5B108743" w14:textId="77777777" w:rsidR="00393455" w:rsidRDefault="00393455">
      <w:pPr>
        <w:spacing w:line="360" w:lineRule="auto"/>
        <w:rPr>
          <w:lang w:val="en-GB"/>
        </w:rPr>
      </w:pPr>
    </w:p>
    <w:p w14:paraId="2421EF68" w14:textId="77777777" w:rsidR="00393455" w:rsidRDefault="00BC616B">
      <w:pPr>
        <w:spacing w:line="360" w:lineRule="auto"/>
        <w:rPr>
          <w:rFonts w:ascii="Times New Roman" w:hAnsi="Times New Roman"/>
          <w:b/>
          <w:sz w:val="24"/>
          <w:szCs w:val="40"/>
          <w:lang w:val="en-GB"/>
        </w:rPr>
      </w:pPr>
      <w:bookmarkStart w:id="22" w:name="_Toc231660776"/>
      <w:r>
        <w:rPr>
          <w:lang w:val="en-GB"/>
        </w:rPr>
        <w:br w:type="page"/>
      </w:r>
    </w:p>
    <w:p w14:paraId="44EA28FF" w14:textId="77777777" w:rsidR="00393455" w:rsidRDefault="00BC616B">
      <w:pPr>
        <w:pStyle w:val="Heading1"/>
        <w:rPr>
          <w:rFonts w:cs="Times New Roman"/>
          <w:bCs/>
          <w:color w:val="auto"/>
          <w:szCs w:val="24"/>
          <w:lang w:val="en-GB"/>
        </w:rPr>
      </w:pPr>
      <w:bookmarkStart w:id="23" w:name="_Toc236912245"/>
      <w:r>
        <w:rPr>
          <w:color w:val="auto"/>
          <w:lang w:val="en-GB"/>
        </w:rPr>
        <w:lastRenderedPageBreak/>
        <w:t>Appendices</w:t>
      </w:r>
      <w:bookmarkEnd w:id="22"/>
      <w:bookmarkEnd w:id="23"/>
    </w:p>
    <w:p w14:paraId="66338BA9" w14:textId="77777777" w:rsidR="00393455" w:rsidRDefault="00BC616B">
      <w:pPr>
        <w:pStyle w:val="Heading2"/>
        <w:spacing w:before="0" w:after="0"/>
        <w:rPr>
          <w:rFonts w:cs="Times New Roman"/>
          <w:color w:val="auto"/>
          <w:szCs w:val="24"/>
          <w:lang w:val="en-GB"/>
        </w:rPr>
      </w:pPr>
      <w:bookmarkStart w:id="24" w:name="_Toc236912246"/>
      <w:r>
        <w:rPr>
          <w:rFonts w:cs="Times New Roman"/>
          <w:color w:val="auto"/>
          <w:szCs w:val="24"/>
          <w:lang w:val="en-GB"/>
        </w:rPr>
        <w:t>Appendix 1: Ratios</w:t>
      </w:r>
      <w:bookmarkEnd w:id="24"/>
    </w:p>
    <w:tbl>
      <w:tblPr>
        <w:tblW w:w="5000" w:type="pct"/>
        <w:tblLook w:val="04A0" w:firstRow="1" w:lastRow="0" w:firstColumn="1" w:lastColumn="0" w:noHBand="0" w:noVBand="1"/>
      </w:tblPr>
      <w:tblGrid>
        <w:gridCol w:w="1730"/>
        <w:gridCol w:w="719"/>
        <w:gridCol w:w="1022"/>
        <w:gridCol w:w="1141"/>
        <w:gridCol w:w="1178"/>
        <w:gridCol w:w="1178"/>
        <w:gridCol w:w="1191"/>
        <w:gridCol w:w="1191"/>
      </w:tblGrid>
      <w:tr w:rsidR="00393455" w14:paraId="27E69B5C" w14:textId="77777777">
        <w:trPr>
          <w:trHeight w:val="312"/>
        </w:trPr>
        <w:tc>
          <w:tcPr>
            <w:tcW w:w="5000" w:type="pct"/>
            <w:gridSpan w:val="8"/>
            <w:tcBorders>
              <w:top w:val="single" w:sz="4" w:space="0" w:color="auto"/>
              <w:left w:val="single" w:sz="4" w:space="0" w:color="auto"/>
              <w:bottom w:val="single" w:sz="4" w:space="0" w:color="auto"/>
              <w:right w:val="single" w:sz="4" w:space="0" w:color="auto"/>
            </w:tcBorders>
            <w:shd w:val="clear" w:color="auto" w:fill="D99594"/>
            <w:noWrap/>
            <w:vAlign w:val="center"/>
            <w:hideMark/>
          </w:tcPr>
          <w:p w14:paraId="6281C81B"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Profitability Ratios</w:t>
            </w:r>
          </w:p>
        </w:tc>
      </w:tr>
      <w:tr w:rsidR="00393455" w14:paraId="788D39BA" w14:textId="77777777">
        <w:trPr>
          <w:trHeight w:val="312"/>
        </w:trPr>
        <w:tc>
          <w:tcPr>
            <w:tcW w:w="926" w:type="pct"/>
            <w:tcBorders>
              <w:top w:val="nil"/>
              <w:left w:val="single" w:sz="4" w:space="0" w:color="auto"/>
              <w:bottom w:val="single" w:sz="4" w:space="0" w:color="auto"/>
              <w:right w:val="single" w:sz="4" w:space="0" w:color="auto"/>
            </w:tcBorders>
            <w:shd w:val="clear" w:color="auto" w:fill="FFFF00"/>
            <w:noWrap/>
            <w:vAlign w:val="center"/>
            <w:hideMark/>
          </w:tcPr>
          <w:p w14:paraId="54E2F34F"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Particulars</w:t>
            </w:r>
          </w:p>
        </w:tc>
        <w:tc>
          <w:tcPr>
            <w:tcW w:w="383" w:type="pct"/>
            <w:tcBorders>
              <w:top w:val="nil"/>
              <w:left w:val="nil"/>
              <w:bottom w:val="single" w:sz="4" w:space="0" w:color="auto"/>
              <w:right w:val="single" w:sz="4" w:space="0" w:color="auto"/>
            </w:tcBorders>
            <w:shd w:val="clear" w:color="auto" w:fill="FFFF00"/>
            <w:noWrap/>
            <w:vAlign w:val="center"/>
            <w:hideMark/>
          </w:tcPr>
          <w:p w14:paraId="219D0434"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Details</w:t>
            </w:r>
          </w:p>
        </w:tc>
        <w:tc>
          <w:tcPr>
            <w:tcW w:w="546" w:type="pct"/>
            <w:tcBorders>
              <w:top w:val="nil"/>
              <w:left w:val="nil"/>
              <w:bottom w:val="single" w:sz="4" w:space="0" w:color="auto"/>
              <w:right w:val="single" w:sz="4" w:space="0" w:color="auto"/>
            </w:tcBorders>
            <w:shd w:val="clear" w:color="auto" w:fill="FFFF00"/>
            <w:noWrap/>
            <w:vAlign w:val="center"/>
            <w:hideMark/>
          </w:tcPr>
          <w:p w14:paraId="1FB704F3"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Formula </w:t>
            </w:r>
          </w:p>
        </w:tc>
        <w:tc>
          <w:tcPr>
            <w:tcW w:w="610" w:type="pct"/>
            <w:tcBorders>
              <w:top w:val="nil"/>
              <w:left w:val="nil"/>
              <w:bottom w:val="single" w:sz="4" w:space="0" w:color="auto"/>
              <w:right w:val="single" w:sz="4" w:space="0" w:color="auto"/>
            </w:tcBorders>
            <w:shd w:val="clear" w:color="auto" w:fill="FFFF00"/>
            <w:vAlign w:val="center"/>
            <w:hideMark/>
          </w:tcPr>
          <w:p w14:paraId="4B45B1BF"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2020</w:t>
            </w:r>
          </w:p>
        </w:tc>
        <w:tc>
          <w:tcPr>
            <w:tcW w:w="630" w:type="pct"/>
            <w:tcBorders>
              <w:top w:val="nil"/>
              <w:left w:val="nil"/>
              <w:bottom w:val="single" w:sz="4" w:space="0" w:color="auto"/>
              <w:right w:val="single" w:sz="4" w:space="0" w:color="auto"/>
            </w:tcBorders>
            <w:shd w:val="clear" w:color="auto" w:fill="FFFF00"/>
            <w:vAlign w:val="center"/>
            <w:hideMark/>
          </w:tcPr>
          <w:p w14:paraId="4BC0D390"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2021</w:t>
            </w:r>
          </w:p>
        </w:tc>
        <w:tc>
          <w:tcPr>
            <w:tcW w:w="630" w:type="pct"/>
            <w:tcBorders>
              <w:top w:val="nil"/>
              <w:left w:val="nil"/>
              <w:bottom w:val="single" w:sz="4" w:space="0" w:color="auto"/>
              <w:right w:val="single" w:sz="4" w:space="0" w:color="auto"/>
            </w:tcBorders>
            <w:shd w:val="clear" w:color="auto" w:fill="FFFF00"/>
            <w:vAlign w:val="center"/>
            <w:hideMark/>
          </w:tcPr>
          <w:p w14:paraId="3F8119B9"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2022</w:t>
            </w:r>
          </w:p>
        </w:tc>
        <w:tc>
          <w:tcPr>
            <w:tcW w:w="637" w:type="pct"/>
            <w:tcBorders>
              <w:top w:val="nil"/>
              <w:left w:val="nil"/>
              <w:bottom w:val="single" w:sz="4" w:space="0" w:color="auto"/>
              <w:right w:val="single" w:sz="4" w:space="0" w:color="auto"/>
            </w:tcBorders>
            <w:shd w:val="clear" w:color="auto" w:fill="FFFF00"/>
            <w:vAlign w:val="center"/>
            <w:hideMark/>
          </w:tcPr>
          <w:p w14:paraId="56C4A2F3"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2023</w:t>
            </w:r>
          </w:p>
        </w:tc>
        <w:tc>
          <w:tcPr>
            <w:tcW w:w="637" w:type="pct"/>
            <w:tcBorders>
              <w:top w:val="nil"/>
              <w:left w:val="nil"/>
              <w:bottom w:val="single" w:sz="4" w:space="0" w:color="auto"/>
              <w:right w:val="single" w:sz="4" w:space="0" w:color="auto"/>
            </w:tcBorders>
            <w:shd w:val="clear" w:color="auto" w:fill="FFFF00"/>
            <w:vAlign w:val="center"/>
            <w:hideMark/>
          </w:tcPr>
          <w:p w14:paraId="50AC2ED3"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2024</w:t>
            </w:r>
          </w:p>
        </w:tc>
      </w:tr>
      <w:tr w:rsidR="00393455" w14:paraId="5E292D52" w14:textId="77777777">
        <w:trPr>
          <w:trHeight w:val="312"/>
        </w:trPr>
        <w:tc>
          <w:tcPr>
            <w:tcW w:w="926" w:type="pct"/>
            <w:tcBorders>
              <w:top w:val="nil"/>
              <w:left w:val="single" w:sz="4" w:space="0" w:color="auto"/>
              <w:bottom w:val="single" w:sz="4" w:space="0" w:color="auto"/>
              <w:right w:val="single" w:sz="4" w:space="0" w:color="auto"/>
            </w:tcBorders>
            <w:noWrap/>
            <w:vAlign w:val="center"/>
            <w:hideMark/>
          </w:tcPr>
          <w:p w14:paraId="5CEC960C"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Net Sales</w:t>
            </w:r>
          </w:p>
        </w:tc>
        <w:tc>
          <w:tcPr>
            <w:tcW w:w="383" w:type="pct"/>
            <w:tcBorders>
              <w:top w:val="nil"/>
              <w:left w:val="nil"/>
              <w:bottom w:val="single" w:sz="4" w:space="0" w:color="auto"/>
              <w:right w:val="single" w:sz="4" w:space="0" w:color="auto"/>
            </w:tcBorders>
            <w:noWrap/>
            <w:vAlign w:val="center"/>
            <w:hideMark/>
          </w:tcPr>
          <w:p w14:paraId="7B451F66"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w:t>
            </w:r>
          </w:p>
        </w:tc>
        <w:tc>
          <w:tcPr>
            <w:tcW w:w="546" w:type="pct"/>
            <w:tcBorders>
              <w:top w:val="nil"/>
              <w:left w:val="nil"/>
              <w:bottom w:val="single" w:sz="4" w:space="0" w:color="auto"/>
              <w:right w:val="single" w:sz="4" w:space="0" w:color="auto"/>
            </w:tcBorders>
            <w:noWrap/>
            <w:vAlign w:val="center"/>
            <w:hideMark/>
          </w:tcPr>
          <w:p w14:paraId="25D2927A"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w:t>
            </w:r>
          </w:p>
        </w:tc>
        <w:tc>
          <w:tcPr>
            <w:tcW w:w="610" w:type="pct"/>
            <w:tcBorders>
              <w:top w:val="nil"/>
              <w:left w:val="nil"/>
              <w:bottom w:val="single" w:sz="4" w:space="0" w:color="auto"/>
              <w:right w:val="single" w:sz="4" w:space="0" w:color="auto"/>
            </w:tcBorders>
            <w:vAlign w:val="center"/>
            <w:hideMark/>
          </w:tcPr>
          <w:p w14:paraId="1A4A2711"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13,857 </w:t>
            </w:r>
          </w:p>
        </w:tc>
        <w:tc>
          <w:tcPr>
            <w:tcW w:w="630" w:type="pct"/>
            <w:tcBorders>
              <w:top w:val="nil"/>
              <w:left w:val="nil"/>
              <w:bottom w:val="single" w:sz="4" w:space="0" w:color="auto"/>
              <w:right w:val="single" w:sz="4" w:space="0" w:color="auto"/>
            </w:tcBorders>
            <w:vAlign w:val="center"/>
            <w:hideMark/>
          </w:tcPr>
          <w:p w14:paraId="29C97B5D"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20,773 </w:t>
            </w:r>
          </w:p>
        </w:tc>
        <w:tc>
          <w:tcPr>
            <w:tcW w:w="630" w:type="pct"/>
            <w:tcBorders>
              <w:top w:val="nil"/>
              <w:left w:val="nil"/>
              <w:bottom w:val="single" w:sz="4" w:space="0" w:color="auto"/>
              <w:right w:val="single" w:sz="4" w:space="0" w:color="auto"/>
            </w:tcBorders>
            <w:vAlign w:val="center"/>
            <w:hideMark/>
          </w:tcPr>
          <w:p w14:paraId="318E5D80"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23,713 </w:t>
            </w:r>
          </w:p>
        </w:tc>
        <w:tc>
          <w:tcPr>
            <w:tcW w:w="637" w:type="pct"/>
            <w:tcBorders>
              <w:top w:val="nil"/>
              <w:left w:val="nil"/>
              <w:bottom w:val="single" w:sz="4" w:space="0" w:color="auto"/>
              <w:right w:val="single" w:sz="4" w:space="0" w:color="auto"/>
            </w:tcBorders>
            <w:vAlign w:val="center"/>
            <w:hideMark/>
          </w:tcPr>
          <w:p w14:paraId="3DA5D29D"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25,100 </w:t>
            </w:r>
          </w:p>
        </w:tc>
        <w:tc>
          <w:tcPr>
            <w:tcW w:w="637" w:type="pct"/>
            <w:tcBorders>
              <w:top w:val="nil"/>
              <w:left w:val="nil"/>
              <w:bottom w:val="single" w:sz="4" w:space="0" w:color="auto"/>
              <w:right w:val="single" w:sz="4" w:space="0" w:color="auto"/>
            </w:tcBorders>
            <w:vAlign w:val="center"/>
            <w:hideMark/>
          </w:tcPr>
          <w:p w14:paraId="1D8DA615"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26,186 </w:t>
            </w:r>
          </w:p>
        </w:tc>
      </w:tr>
      <w:tr w:rsidR="00393455" w14:paraId="3D1AC078" w14:textId="77777777">
        <w:trPr>
          <w:trHeight w:val="324"/>
        </w:trPr>
        <w:tc>
          <w:tcPr>
            <w:tcW w:w="926" w:type="pct"/>
            <w:tcBorders>
              <w:top w:val="nil"/>
              <w:left w:val="single" w:sz="4" w:space="0" w:color="auto"/>
              <w:bottom w:val="single" w:sz="4" w:space="0" w:color="auto"/>
              <w:right w:val="single" w:sz="4" w:space="0" w:color="auto"/>
            </w:tcBorders>
            <w:noWrap/>
            <w:vAlign w:val="center"/>
            <w:hideMark/>
          </w:tcPr>
          <w:p w14:paraId="6CBC9DBE"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Operating Income</w:t>
            </w:r>
          </w:p>
        </w:tc>
        <w:tc>
          <w:tcPr>
            <w:tcW w:w="383" w:type="pct"/>
            <w:tcBorders>
              <w:top w:val="nil"/>
              <w:left w:val="nil"/>
              <w:bottom w:val="single" w:sz="4" w:space="0" w:color="auto"/>
              <w:right w:val="single" w:sz="4" w:space="0" w:color="auto"/>
            </w:tcBorders>
            <w:noWrap/>
            <w:vAlign w:val="center"/>
            <w:hideMark/>
          </w:tcPr>
          <w:p w14:paraId="1AFC8500"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w:t>
            </w:r>
          </w:p>
        </w:tc>
        <w:tc>
          <w:tcPr>
            <w:tcW w:w="546" w:type="pct"/>
            <w:tcBorders>
              <w:top w:val="nil"/>
              <w:left w:val="nil"/>
              <w:bottom w:val="single" w:sz="4" w:space="0" w:color="auto"/>
              <w:right w:val="single" w:sz="4" w:space="0" w:color="auto"/>
            </w:tcBorders>
            <w:noWrap/>
            <w:vAlign w:val="center"/>
            <w:hideMark/>
          </w:tcPr>
          <w:p w14:paraId="648717F5"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w:t>
            </w:r>
          </w:p>
        </w:tc>
        <w:tc>
          <w:tcPr>
            <w:tcW w:w="610" w:type="pct"/>
            <w:tcBorders>
              <w:top w:val="nil"/>
              <w:left w:val="nil"/>
              <w:bottom w:val="single" w:sz="4" w:space="0" w:color="auto"/>
              <w:right w:val="single" w:sz="4" w:space="0" w:color="auto"/>
            </w:tcBorders>
            <w:vAlign w:val="center"/>
            <w:hideMark/>
          </w:tcPr>
          <w:p w14:paraId="2DAEEC5E"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1,750 </w:t>
            </w:r>
          </w:p>
        </w:tc>
        <w:tc>
          <w:tcPr>
            <w:tcW w:w="630" w:type="pct"/>
            <w:tcBorders>
              <w:top w:val="nil"/>
              <w:left w:val="nil"/>
              <w:bottom w:val="single" w:sz="4" w:space="0" w:color="auto"/>
              <w:right w:val="single" w:sz="4" w:space="0" w:color="auto"/>
            </w:tcBorders>
            <w:vAlign w:val="center"/>
            <w:hideMark/>
          </w:tcPr>
          <w:p w14:paraId="2AAEAE3D"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3,462 </w:t>
            </w:r>
          </w:p>
        </w:tc>
        <w:tc>
          <w:tcPr>
            <w:tcW w:w="630" w:type="pct"/>
            <w:tcBorders>
              <w:top w:val="nil"/>
              <w:left w:val="nil"/>
              <w:bottom w:val="single" w:sz="4" w:space="0" w:color="auto"/>
              <w:right w:val="single" w:sz="4" w:space="0" w:color="auto"/>
            </w:tcBorders>
            <w:vAlign w:val="center"/>
            <w:hideMark/>
          </w:tcPr>
          <w:p w14:paraId="0A5F16B5"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3,864 </w:t>
            </w:r>
          </w:p>
        </w:tc>
        <w:tc>
          <w:tcPr>
            <w:tcW w:w="637" w:type="pct"/>
            <w:tcBorders>
              <w:top w:val="nil"/>
              <w:left w:val="nil"/>
              <w:bottom w:val="single" w:sz="4" w:space="0" w:color="auto"/>
              <w:right w:val="single" w:sz="4" w:space="0" w:color="auto"/>
            </w:tcBorders>
            <w:vAlign w:val="center"/>
            <w:hideMark/>
          </w:tcPr>
          <w:p w14:paraId="7CF6C83C"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3,767 </w:t>
            </w:r>
          </w:p>
        </w:tc>
        <w:tc>
          <w:tcPr>
            <w:tcW w:w="637" w:type="pct"/>
            <w:tcBorders>
              <w:top w:val="nil"/>
              <w:left w:val="nil"/>
              <w:bottom w:val="single" w:sz="4" w:space="0" w:color="auto"/>
              <w:right w:val="single" w:sz="4" w:space="0" w:color="auto"/>
            </w:tcBorders>
            <w:vAlign w:val="center"/>
            <w:hideMark/>
          </w:tcPr>
          <w:p w14:paraId="226CA5A0"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4,141 </w:t>
            </w:r>
          </w:p>
        </w:tc>
      </w:tr>
      <w:tr w:rsidR="00393455" w14:paraId="26AAD33E" w14:textId="77777777">
        <w:trPr>
          <w:trHeight w:val="324"/>
        </w:trPr>
        <w:tc>
          <w:tcPr>
            <w:tcW w:w="926" w:type="pct"/>
            <w:tcBorders>
              <w:top w:val="nil"/>
              <w:left w:val="single" w:sz="4" w:space="0" w:color="auto"/>
              <w:bottom w:val="single" w:sz="4" w:space="0" w:color="auto"/>
              <w:right w:val="single" w:sz="4" w:space="0" w:color="auto"/>
            </w:tcBorders>
            <w:noWrap/>
            <w:vAlign w:val="bottom"/>
            <w:hideMark/>
          </w:tcPr>
          <w:p w14:paraId="46569129"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Net income </w:t>
            </w:r>
          </w:p>
        </w:tc>
        <w:tc>
          <w:tcPr>
            <w:tcW w:w="383" w:type="pct"/>
            <w:tcBorders>
              <w:top w:val="nil"/>
              <w:left w:val="nil"/>
              <w:bottom w:val="single" w:sz="4" w:space="0" w:color="auto"/>
              <w:right w:val="single" w:sz="4" w:space="0" w:color="auto"/>
            </w:tcBorders>
            <w:noWrap/>
            <w:vAlign w:val="center"/>
            <w:hideMark/>
          </w:tcPr>
          <w:p w14:paraId="020BBC5F"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w:t>
            </w:r>
          </w:p>
        </w:tc>
        <w:tc>
          <w:tcPr>
            <w:tcW w:w="546" w:type="pct"/>
            <w:tcBorders>
              <w:top w:val="nil"/>
              <w:left w:val="nil"/>
              <w:bottom w:val="single" w:sz="4" w:space="0" w:color="auto"/>
              <w:right w:val="single" w:sz="4" w:space="0" w:color="auto"/>
            </w:tcBorders>
            <w:noWrap/>
            <w:vAlign w:val="center"/>
            <w:hideMark/>
          </w:tcPr>
          <w:p w14:paraId="17464043"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w:t>
            </w:r>
          </w:p>
        </w:tc>
        <w:tc>
          <w:tcPr>
            <w:tcW w:w="610" w:type="pct"/>
            <w:tcBorders>
              <w:top w:val="nil"/>
              <w:left w:val="nil"/>
              <w:bottom w:val="single" w:sz="4" w:space="0" w:color="auto"/>
              <w:right w:val="single" w:sz="4" w:space="0" w:color="auto"/>
            </w:tcBorders>
            <w:vAlign w:val="center"/>
            <w:hideMark/>
          </w:tcPr>
          <w:p w14:paraId="7D1C0336"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1,099 </w:t>
            </w:r>
          </w:p>
        </w:tc>
        <w:tc>
          <w:tcPr>
            <w:tcW w:w="630" w:type="pct"/>
            <w:tcBorders>
              <w:top w:val="nil"/>
              <w:left w:val="nil"/>
              <w:bottom w:val="single" w:sz="4" w:space="0" w:color="auto"/>
              <w:right w:val="single" w:sz="4" w:space="0" w:color="auto"/>
            </w:tcBorders>
            <w:vAlign w:val="center"/>
            <w:hideMark/>
          </w:tcPr>
          <w:p w14:paraId="36B41A4A"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2,358 </w:t>
            </w:r>
          </w:p>
        </w:tc>
        <w:tc>
          <w:tcPr>
            <w:tcW w:w="630" w:type="pct"/>
            <w:tcBorders>
              <w:top w:val="nil"/>
              <w:left w:val="nil"/>
              <w:bottom w:val="single" w:sz="4" w:space="0" w:color="auto"/>
              <w:right w:val="single" w:sz="4" w:space="0" w:color="auto"/>
            </w:tcBorders>
            <w:vAlign w:val="center"/>
            <w:hideMark/>
          </w:tcPr>
          <w:p w14:paraId="36616379"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3,083 </w:t>
            </w:r>
          </w:p>
        </w:tc>
        <w:tc>
          <w:tcPr>
            <w:tcW w:w="637" w:type="pct"/>
            <w:tcBorders>
              <w:top w:val="nil"/>
              <w:left w:val="nil"/>
              <w:bottom w:val="single" w:sz="4" w:space="0" w:color="auto"/>
              <w:right w:val="single" w:sz="4" w:space="0" w:color="auto"/>
            </w:tcBorders>
            <w:vAlign w:val="center"/>
            <w:hideMark/>
          </w:tcPr>
          <w:p w14:paraId="5131E396"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2,375 </w:t>
            </w:r>
          </w:p>
        </w:tc>
        <w:tc>
          <w:tcPr>
            <w:tcW w:w="637" w:type="pct"/>
            <w:tcBorders>
              <w:top w:val="nil"/>
              <w:left w:val="nil"/>
              <w:bottom w:val="single" w:sz="4" w:space="0" w:color="auto"/>
              <w:right w:val="single" w:sz="4" w:space="0" w:color="auto"/>
            </w:tcBorders>
            <w:vAlign w:val="center"/>
            <w:hideMark/>
          </w:tcPr>
          <w:p w14:paraId="01F4C80A"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2,601 </w:t>
            </w:r>
          </w:p>
        </w:tc>
      </w:tr>
      <w:tr w:rsidR="00393455" w14:paraId="7AAC82E1" w14:textId="77777777">
        <w:trPr>
          <w:trHeight w:val="324"/>
        </w:trPr>
        <w:tc>
          <w:tcPr>
            <w:tcW w:w="926" w:type="pct"/>
            <w:tcBorders>
              <w:top w:val="nil"/>
              <w:left w:val="single" w:sz="4" w:space="0" w:color="auto"/>
              <w:bottom w:val="single" w:sz="4" w:space="0" w:color="auto"/>
              <w:right w:val="single" w:sz="4" w:space="0" w:color="auto"/>
            </w:tcBorders>
            <w:vAlign w:val="center"/>
            <w:hideMark/>
          </w:tcPr>
          <w:p w14:paraId="0276C06E"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Gross profit</w:t>
            </w:r>
          </w:p>
        </w:tc>
        <w:tc>
          <w:tcPr>
            <w:tcW w:w="383" w:type="pct"/>
            <w:tcBorders>
              <w:top w:val="nil"/>
              <w:left w:val="nil"/>
              <w:bottom w:val="single" w:sz="4" w:space="0" w:color="auto"/>
              <w:right w:val="single" w:sz="4" w:space="0" w:color="auto"/>
            </w:tcBorders>
            <w:noWrap/>
            <w:vAlign w:val="center"/>
            <w:hideMark/>
          </w:tcPr>
          <w:p w14:paraId="20C0EA58"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w:t>
            </w:r>
          </w:p>
        </w:tc>
        <w:tc>
          <w:tcPr>
            <w:tcW w:w="546" w:type="pct"/>
            <w:tcBorders>
              <w:top w:val="nil"/>
              <w:left w:val="nil"/>
              <w:bottom w:val="single" w:sz="4" w:space="0" w:color="auto"/>
              <w:right w:val="single" w:sz="4" w:space="0" w:color="auto"/>
            </w:tcBorders>
            <w:noWrap/>
            <w:vAlign w:val="center"/>
            <w:hideMark/>
          </w:tcPr>
          <w:p w14:paraId="23EAF628"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w:t>
            </w:r>
          </w:p>
        </w:tc>
        <w:tc>
          <w:tcPr>
            <w:tcW w:w="610" w:type="pct"/>
            <w:tcBorders>
              <w:top w:val="nil"/>
              <w:left w:val="nil"/>
              <w:bottom w:val="single" w:sz="4" w:space="0" w:color="auto"/>
              <w:right w:val="single" w:sz="4" w:space="0" w:color="auto"/>
            </w:tcBorders>
            <w:vAlign w:val="center"/>
            <w:hideMark/>
          </w:tcPr>
          <w:p w14:paraId="07F23241"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2,531 </w:t>
            </w:r>
          </w:p>
        </w:tc>
        <w:tc>
          <w:tcPr>
            <w:tcW w:w="630" w:type="pct"/>
            <w:tcBorders>
              <w:top w:val="nil"/>
              <w:left w:val="nil"/>
              <w:bottom w:val="single" w:sz="4" w:space="0" w:color="auto"/>
              <w:right w:val="single" w:sz="4" w:space="0" w:color="auto"/>
            </w:tcBorders>
            <w:vAlign w:val="center"/>
            <w:hideMark/>
          </w:tcPr>
          <w:p w14:paraId="717E934B"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4,558 </w:t>
            </w:r>
          </w:p>
        </w:tc>
        <w:tc>
          <w:tcPr>
            <w:tcW w:w="630" w:type="pct"/>
            <w:tcBorders>
              <w:top w:val="nil"/>
              <w:left w:val="nil"/>
              <w:bottom w:val="single" w:sz="4" w:space="0" w:color="auto"/>
              <w:right w:val="single" w:sz="4" w:space="0" w:color="auto"/>
            </w:tcBorders>
            <w:vAlign w:val="center"/>
            <w:hideMark/>
          </w:tcPr>
          <w:p w14:paraId="1FE5A07B"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4,980 </w:t>
            </w:r>
          </w:p>
        </w:tc>
        <w:tc>
          <w:tcPr>
            <w:tcW w:w="637" w:type="pct"/>
            <w:tcBorders>
              <w:top w:val="nil"/>
              <w:left w:val="nil"/>
              <w:bottom w:val="single" w:sz="4" w:space="0" w:color="auto"/>
              <w:right w:val="single" w:sz="4" w:space="0" w:color="auto"/>
            </w:tcBorders>
            <w:vAlign w:val="center"/>
            <w:hideMark/>
          </w:tcPr>
          <w:p w14:paraId="474A4874"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4,972 </w:t>
            </w:r>
          </w:p>
        </w:tc>
        <w:tc>
          <w:tcPr>
            <w:tcW w:w="637" w:type="pct"/>
            <w:tcBorders>
              <w:top w:val="nil"/>
              <w:left w:val="nil"/>
              <w:bottom w:val="single" w:sz="4" w:space="0" w:color="auto"/>
              <w:right w:val="single" w:sz="4" w:space="0" w:color="auto"/>
            </w:tcBorders>
            <w:vAlign w:val="center"/>
            <w:hideMark/>
          </w:tcPr>
          <w:p w14:paraId="07CA65B5"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5,222 </w:t>
            </w:r>
          </w:p>
        </w:tc>
      </w:tr>
      <w:tr w:rsidR="00393455" w14:paraId="7B328D00" w14:textId="77777777">
        <w:trPr>
          <w:trHeight w:val="324"/>
        </w:trPr>
        <w:tc>
          <w:tcPr>
            <w:tcW w:w="926" w:type="pct"/>
            <w:tcBorders>
              <w:top w:val="nil"/>
              <w:left w:val="single" w:sz="4" w:space="0" w:color="auto"/>
              <w:bottom w:val="single" w:sz="4" w:space="0" w:color="auto"/>
              <w:right w:val="single" w:sz="4" w:space="0" w:color="auto"/>
            </w:tcBorders>
            <w:vAlign w:val="center"/>
            <w:hideMark/>
          </w:tcPr>
          <w:p w14:paraId="4725DF6F"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Total Assets </w:t>
            </w:r>
          </w:p>
        </w:tc>
        <w:tc>
          <w:tcPr>
            <w:tcW w:w="383" w:type="pct"/>
            <w:tcBorders>
              <w:top w:val="nil"/>
              <w:left w:val="nil"/>
              <w:bottom w:val="single" w:sz="4" w:space="0" w:color="auto"/>
              <w:right w:val="single" w:sz="4" w:space="0" w:color="auto"/>
            </w:tcBorders>
            <w:noWrap/>
            <w:vAlign w:val="center"/>
            <w:hideMark/>
          </w:tcPr>
          <w:p w14:paraId="12F97C2B"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F</w:t>
            </w:r>
          </w:p>
        </w:tc>
        <w:tc>
          <w:tcPr>
            <w:tcW w:w="546" w:type="pct"/>
            <w:tcBorders>
              <w:top w:val="nil"/>
              <w:left w:val="nil"/>
              <w:bottom w:val="single" w:sz="4" w:space="0" w:color="auto"/>
              <w:right w:val="single" w:sz="4" w:space="0" w:color="auto"/>
            </w:tcBorders>
            <w:noWrap/>
            <w:vAlign w:val="center"/>
            <w:hideMark/>
          </w:tcPr>
          <w:p w14:paraId="081D451B"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w:t>
            </w:r>
          </w:p>
        </w:tc>
        <w:tc>
          <w:tcPr>
            <w:tcW w:w="610" w:type="pct"/>
            <w:tcBorders>
              <w:top w:val="nil"/>
              <w:left w:val="nil"/>
              <w:bottom w:val="single" w:sz="4" w:space="0" w:color="auto"/>
              <w:right w:val="single" w:sz="4" w:space="0" w:color="auto"/>
            </w:tcBorders>
            <w:vAlign w:val="center"/>
            <w:hideMark/>
          </w:tcPr>
          <w:p w14:paraId="65F0DB39"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25,553 </w:t>
            </w:r>
          </w:p>
        </w:tc>
        <w:tc>
          <w:tcPr>
            <w:tcW w:w="630" w:type="pct"/>
            <w:tcBorders>
              <w:top w:val="nil"/>
              <w:left w:val="nil"/>
              <w:bottom w:val="single" w:sz="8" w:space="0" w:color="000000"/>
              <w:right w:val="single" w:sz="8" w:space="0" w:color="000000"/>
            </w:tcBorders>
            <w:noWrap/>
            <w:vAlign w:val="center"/>
            <w:hideMark/>
          </w:tcPr>
          <w:p w14:paraId="6416FF4F"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24,815 </w:t>
            </w:r>
          </w:p>
        </w:tc>
        <w:tc>
          <w:tcPr>
            <w:tcW w:w="630" w:type="pct"/>
            <w:tcBorders>
              <w:top w:val="nil"/>
              <w:left w:val="nil"/>
              <w:bottom w:val="single" w:sz="8" w:space="0" w:color="000000"/>
              <w:right w:val="single" w:sz="8" w:space="0" w:color="000000"/>
            </w:tcBorders>
            <w:noWrap/>
            <w:vAlign w:val="center"/>
            <w:hideMark/>
          </w:tcPr>
          <w:p w14:paraId="614D5F3A"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25,674 </w:t>
            </w:r>
          </w:p>
        </w:tc>
        <w:tc>
          <w:tcPr>
            <w:tcW w:w="637" w:type="pct"/>
            <w:tcBorders>
              <w:top w:val="nil"/>
              <w:left w:val="nil"/>
              <w:bottom w:val="single" w:sz="8" w:space="0" w:color="000000"/>
              <w:right w:val="single" w:sz="8" w:space="0" w:color="000000"/>
            </w:tcBorders>
            <w:noWrap/>
            <w:vAlign w:val="center"/>
            <w:hideMark/>
          </w:tcPr>
          <w:p w14:paraId="704B12A1"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26,182 </w:t>
            </w:r>
          </w:p>
        </w:tc>
        <w:tc>
          <w:tcPr>
            <w:tcW w:w="637" w:type="pct"/>
            <w:tcBorders>
              <w:top w:val="nil"/>
              <w:left w:val="nil"/>
              <w:bottom w:val="single" w:sz="8" w:space="0" w:color="000000"/>
              <w:right w:val="single" w:sz="8" w:space="0" w:color="000000"/>
            </w:tcBorders>
            <w:noWrap/>
            <w:vAlign w:val="center"/>
            <w:hideMark/>
          </w:tcPr>
          <w:p w14:paraId="0B168D2C"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2,754 </w:t>
            </w:r>
          </w:p>
        </w:tc>
      </w:tr>
      <w:tr w:rsidR="00393455" w14:paraId="1BE2207E" w14:textId="77777777">
        <w:trPr>
          <w:trHeight w:val="624"/>
        </w:trPr>
        <w:tc>
          <w:tcPr>
            <w:tcW w:w="926" w:type="pct"/>
            <w:tcBorders>
              <w:top w:val="nil"/>
              <w:left w:val="single" w:sz="4" w:space="0" w:color="auto"/>
              <w:bottom w:val="single" w:sz="4" w:space="0" w:color="auto"/>
              <w:right w:val="single" w:sz="4" w:space="0" w:color="auto"/>
            </w:tcBorders>
            <w:noWrap/>
            <w:vAlign w:val="center"/>
            <w:hideMark/>
          </w:tcPr>
          <w:p w14:paraId="5D5825CB"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Current Liabilities </w:t>
            </w:r>
          </w:p>
        </w:tc>
        <w:tc>
          <w:tcPr>
            <w:tcW w:w="383" w:type="pct"/>
            <w:tcBorders>
              <w:top w:val="nil"/>
              <w:left w:val="nil"/>
              <w:bottom w:val="single" w:sz="4" w:space="0" w:color="auto"/>
              <w:right w:val="single" w:sz="4" w:space="0" w:color="auto"/>
            </w:tcBorders>
            <w:noWrap/>
            <w:vAlign w:val="center"/>
            <w:hideMark/>
          </w:tcPr>
          <w:p w14:paraId="19AED30F"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E</w:t>
            </w:r>
          </w:p>
        </w:tc>
        <w:tc>
          <w:tcPr>
            <w:tcW w:w="546" w:type="pct"/>
            <w:tcBorders>
              <w:top w:val="nil"/>
              <w:left w:val="nil"/>
              <w:bottom w:val="single" w:sz="4" w:space="0" w:color="auto"/>
              <w:right w:val="single" w:sz="4" w:space="0" w:color="auto"/>
            </w:tcBorders>
            <w:noWrap/>
            <w:vAlign w:val="center"/>
            <w:hideMark/>
          </w:tcPr>
          <w:p w14:paraId="62E3B905"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w:t>
            </w:r>
          </w:p>
        </w:tc>
        <w:tc>
          <w:tcPr>
            <w:tcW w:w="610" w:type="pct"/>
            <w:tcBorders>
              <w:top w:val="nil"/>
              <w:left w:val="nil"/>
              <w:bottom w:val="single" w:sz="4" w:space="0" w:color="auto"/>
              <w:right w:val="single" w:sz="4" w:space="0" w:color="auto"/>
            </w:tcBorders>
            <w:vAlign w:val="center"/>
            <w:hideMark/>
          </w:tcPr>
          <w:p w14:paraId="553DD519"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6,407 </w:t>
            </w:r>
          </w:p>
        </w:tc>
        <w:tc>
          <w:tcPr>
            <w:tcW w:w="630" w:type="pct"/>
            <w:tcBorders>
              <w:top w:val="single" w:sz="4" w:space="0" w:color="auto"/>
              <w:left w:val="nil"/>
              <w:bottom w:val="single" w:sz="4" w:space="0" w:color="auto"/>
              <w:right w:val="single" w:sz="4" w:space="0" w:color="auto"/>
            </w:tcBorders>
            <w:vAlign w:val="center"/>
            <w:hideMark/>
          </w:tcPr>
          <w:p w14:paraId="40250995"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7,339 </w:t>
            </w:r>
          </w:p>
        </w:tc>
        <w:tc>
          <w:tcPr>
            <w:tcW w:w="630" w:type="pct"/>
            <w:tcBorders>
              <w:top w:val="single" w:sz="4" w:space="0" w:color="auto"/>
              <w:left w:val="nil"/>
              <w:bottom w:val="single" w:sz="4" w:space="0" w:color="auto"/>
              <w:right w:val="single" w:sz="4" w:space="0" w:color="auto"/>
            </w:tcBorders>
            <w:vAlign w:val="center"/>
            <w:hideMark/>
          </w:tcPr>
          <w:p w14:paraId="67ED6960"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7,762 </w:t>
            </w:r>
          </w:p>
        </w:tc>
        <w:tc>
          <w:tcPr>
            <w:tcW w:w="637" w:type="pct"/>
            <w:tcBorders>
              <w:top w:val="single" w:sz="4" w:space="0" w:color="auto"/>
              <w:left w:val="nil"/>
              <w:bottom w:val="single" w:sz="4" w:space="0" w:color="auto"/>
              <w:right w:val="single" w:sz="4" w:space="0" w:color="auto"/>
            </w:tcBorders>
            <w:vAlign w:val="center"/>
            <w:hideMark/>
          </w:tcPr>
          <w:p w14:paraId="19F07652"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8,649 </w:t>
            </w:r>
          </w:p>
        </w:tc>
        <w:tc>
          <w:tcPr>
            <w:tcW w:w="637" w:type="pct"/>
            <w:tcBorders>
              <w:top w:val="single" w:sz="4" w:space="0" w:color="auto"/>
              <w:left w:val="nil"/>
              <w:bottom w:val="single" w:sz="4" w:space="0" w:color="auto"/>
              <w:right w:val="single" w:sz="4" w:space="0" w:color="auto"/>
            </w:tcBorders>
            <w:vAlign w:val="center"/>
            <w:hideMark/>
          </w:tcPr>
          <w:p w14:paraId="38F7F797"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8,398 </w:t>
            </w:r>
          </w:p>
        </w:tc>
      </w:tr>
      <w:tr w:rsidR="00393455" w14:paraId="0A2C05D5" w14:textId="77777777">
        <w:trPr>
          <w:trHeight w:val="936"/>
        </w:trPr>
        <w:tc>
          <w:tcPr>
            <w:tcW w:w="926" w:type="pct"/>
            <w:tcBorders>
              <w:top w:val="nil"/>
              <w:left w:val="single" w:sz="4" w:space="0" w:color="auto"/>
              <w:bottom w:val="single" w:sz="4" w:space="0" w:color="auto"/>
              <w:right w:val="single" w:sz="4" w:space="0" w:color="auto"/>
            </w:tcBorders>
            <w:shd w:val="clear" w:color="auto" w:fill="C2D69B"/>
            <w:noWrap/>
            <w:vAlign w:val="center"/>
            <w:hideMark/>
          </w:tcPr>
          <w:p w14:paraId="4D0543EF" w14:textId="77777777" w:rsidR="00393455" w:rsidRDefault="00BC616B">
            <w:pPr>
              <w:spacing w:line="360" w:lineRule="auto"/>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Return on Assets </w:t>
            </w:r>
          </w:p>
        </w:tc>
        <w:tc>
          <w:tcPr>
            <w:tcW w:w="383" w:type="pct"/>
            <w:tcBorders>
              <w:top w:val="nil"/>
              <w:left w:val="nil"/>
              <w:bottom w:val="single" w:sz="4" w:space="0" w:color="auto"/>
              <w:right w:val="single" w:sz="4" w:space="0" w:color="auto"/>
            </w:tcBorders>
            <w:shd w:val="clear" w:color="auto" w:fill="C2D69B"/>
            <w:noWrap/>
            <w:vAlign w:val="center"/>
            <w:hideMark/>
          </w:tcPr>
          <w:p w14:paraId="5E0C1093"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C/F</w:t>
            </w:r>
          </w:p>
        </w:tc>
        <w:tc>
          <w:tcPr>
            <w:tcW w:w="546" w:type="pct"/>
            <w:tcBorders>
              <w:top w:val="nil"/>
              <w:left w:val="nil"/>
              <w:bottom w:val="single" w:sz="4" w:space="0" w:color="auto"/>
              <w:right w:val="single" w:sz="4" w:space="0" w:color="auto"/>
            </w:tcBorders>
            <w:shd w:val="clear" w:color="auto" w:fill="C2D69B"/>
            <w:hideMark/>
          </w:tcPr>
          <w:p w14:paraId="0FE4AEB2"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(Net Income / Total Assets) </w:t>
            </w:r>
          </w:p>
        </w:tc>
        <w:tc>
          <w:tcPr>
            <w:tcW w:w="610" w:type="pct"/>
            <w:tcBorders>
              <w:top w:val="nil"/>
              <w:left w:val="nil"/>
              <w:bottom w:val="single" w:sz="4" w:space="0" w:color="auto"/>
              <w:right w:val="single" w:sz="4" w:space="0" w:color="auto"/>
            </w:tcBorders>
            <w:shd w:val="clear" w:color="auto" w:fill="C2D69B"/>
            <w:noWrap/>
            <w:vAlign w:val="center"/>
            <w:hideMark/>
          </w:tcPr>
          <w:p w14:paraId="530EAD97"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0.04</w:t>
            </w:r>
          </w:p>
        </w:tc>
        <w:tc>
          <w:tcPr>
            <w:tcW w:w="630" w:type="pct"/>
            <w:tcBorders>
              <w:top w:val="nil"/>
              <w:left w:val="nil"/>
              <w:bottom w:val="single" w:sz="4" w:space="0" w:color="auto"/>
              <w:right w:val="single" w:sz="4" w:space="0" w:color="auto"/>
            </w:tcBorders>
            <w:shd w:val="clear" w:color="auto" w:fill="C2D69B"/>
            <w:noWrap/>
            <w:vAlign w:val="center"/>
            <w:hideMark/>
          </w:tcPr>
          <w:p w14:paraId="75266C45"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0.10</w:t>
            </w:r>
          </w:p>
        </w:tc>
        <w:tc>
          <w:tcPr>
            <w:tcW w:w="630" w:type="pct"/>
            <w:tcBorders>
              <w:top w:val="nil"/>
              <w:left w:val="nil"/>
              <w:bottom w:val="single" w:sz="4" w:space="0" w:color="auto"/>
              <w:right w:val="single" w:sz="4" w:space="0" w:color="auto"/>
            </w:tcBorders>
            <w:shd w:val="clear" w:color="auto" w:fill="C2D69B"/>
            <w:noWrap/>
            <w:vAlign w:val="center"/>
            <w:hideMark/>
          </w:tcPr>
          <w:p w14:paraId="5E147AEA"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0.12</w:t>
            </w:r>
          </w:p>
        </w:tc>
        <w:tc>
          <w:tcPr>
            <w:tcW w:w="637" w:type="pct"/>
            <w:tcBorders>
              <w:top w:val="nil"/>
              <w:left w:val="nil"/>
              <w:bottom w:val="single" w:sz="4" w:space="0" w:color="auto"/>
              <w:right w:val="single" w:sz="4" w:space="0" w:color="auto"/>
            </w:tcBorders>
            <w:shd w:val="clear" w:color="auto" w:fill="C2D69B"/>
            <w:noWrap/>
            <w:vAlign w:val="center"/>
            <w:hideMark/>
          </w:tcPr>
          <w:p w14:paraId="52BC59EB"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0.09</w:t>
            </w:r>
          </w:p>
        </w:tc>
        <w:tc>
          <w:tcPr>
            <w:tcW w:w="637" w:type="pct"/>
            <w:tcBorders>
              <w:top w:val="nil"/>
              <w:left w:val="nil"/>
              <w:bottom w:val="single" w:sz="4" w:space="0" w:color="auto"/>
              <w:right w:val="single" w:sz="4" w:space="0" w:color="auto"/>
            </w:tcBorders>
            <w:shd w:val="clear" w:color="auto" w:fill="C2D69B"/>
            <w:noWrap/>
            <w:vAlign w:val="center"/>
            <w:hideMark/>
          </w:tcPr>
          <w:p w14:paraId="1ED27054"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0.94</w:t>
            </w:r>
          </w:p>
        </w:tc>
      </w:tr>
      <w:tr w:rsidR="00393455" w14:paraId="2E1868D1" w14:textId="77777777">
        <w:trPr>
          <w:trHeight w:val="936"/>
        </w:trPr>
        <w:tc>
          <w:tcPr>
            <w:tcW w:w="926" w:type="pct"/>
            <w:tcBorders>
              <w:top w:val="nil"/>
              <w:left w:val="single" w:sz="4" w:space="0" w:color="auto"/>
              <w:bottom w:val="single" w:sz="4" w:space="0" w:color="auto"/>
              <w:right w:val="single" w:sz="4" w:space="0" w:color="auto"/>
            </w:tcBorders>
            <w:shd w:val="clear" w:color="auto" w:fill="C2D69B"/>
            <w:noWrap/>
            <w:vAlign w:val="center"/>
            <w:hideMark/>
          </w:tcPr>
          <w:p w14:paraId="55E88283" w14:textId="77777777" w:rsidR="00393455" w:rsidRDefault="00BC616B">
            <w:pPr>
              <w:spacing w:line="360" w:lineRule="auto"/>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Net Margin</w:t>
            </w:r>
          </w:p>
        </w:tc>
        <w:tc>
          <w:tcPr>
            <w:tcW w:w="383" w:type="pct"/>
            <w:tcBorders>
              <w:top w:val="nil"/>
              <w:left w:val="nil"/>
              <w:bottom w:val="single" w:sz="4" w:space="0" w:color="auto"/>
              <w:right w:val="single" w:sz="4" w:space="0" w:color="auto"/>
            </w:tcBorders>
            <w:shd w:val="clear" w:color="auto" w:fill="C2D69B"/>
            <w:noWrap/>
            <w:vAlign w:val="center"/>
            <w:hideMark/>
          </w:tcPr>
          <w:p w14:paraId="53E3B607"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C/A</w:t>
            </w:r>
          </w:p>
        </w:tc>
        <w:tc>
          <w:tcPr>
            <w:tcW w:w="546" w:type="pct"/>
            <w:tcBorders>
              <w:top w:val="nil"/>
              <w:left w:val="nil"/>
              <w:bottom w:val="single" w:sz="4" w:space="0" w:color="auto"/>
              <w:right w:val="single" w:sz="4" w:space="0" w:color="auto"/>
            </w:tcBorders>
            <w:shd w:val="clear" w:color="auto" w:fill="C2D69B"/>
            <w:vAlign w:val="center"/>
            <w:hideMark/>
          </w:tcPr>
          <w:p w14:paraId="61CB0D99"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(Net Income / Sales)</w:t>
            </w:r>
          </w:p>
        </w:tc>
        <w:tc>
          <w:tcPr>
            <w:tcW w:w="610" w:type="pct"/>
            <w:tcBorders>
              <w:top w:val="nil"/>
              <w:left w:val="nil"/>
              <w:bottom w:val="single" w:sz="4" w:space="0" w:color="auto"/>
              <w:right w:val="single" w:sz="4" w:space="0" w:color="auto"/>
            </w:tcBorders>
            <w:shd w:val="clear" w:color="auto" w:fill="C2D69B"/>
            <w:noWrap/>
            <w:vAlign w:val="center"/>
            <w:hideMark/>
          </w:tcPr>
          <w:p w14:paraId="45D5855E"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0.08</w:t>
            </w:r>
          </w:p>
        </w:tc>
        <w:tc>
          <w:tcPr>
            <w:tcW w:w="630" w:type="pct"/>
            <w:tcBorders>
              <w:top w:val="nil"/>
              <w:left w:val="nil"/>
              <w:bottom w:val="single" w:sz="4" w:space="0" w:color="auto"/>
              <w:right w:val="single" w:sz="4" w:space="0" w:color="auto"/>
            </w:tcBorders>
            <w:shd w:val="clear" w:color="auto" w:fill="C2D69B"/>
            <w:noWrap/>
            <w:vAlign w:val="center"/>
            <w:hideMark/>
          </w:tcPr>
          <w:p w14:paraId="2B6A385F"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0.11</w:t>
            </w:r>
          </w:p>
        </w:tc>
        <w:tc>
          <w:tcPr>
            <w:tcW w:w="630" w:type="pct"/>
            <w:tcBorders>
              <w:top w:val="nil"/>
              <w:left w:val="nil"/>
              <w:bottom w:val="single" w:sz="4" w:space="0" w:color="auto"/>
              <w:right w:val="single" w:sz="4" w:space="0" w:color="auto"/>
            </w:tcBorders>
            <w:shd w:val="clear" w:color="auto" w:fill="C2D69B"/>
            <w:noWrap/>
            <w:vAlign w:val="center"/>
            <w:hideMark/>
          </w:tcPr>
          <w:p w14:paraId="25016A75"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0.13</w:t>
            </w:r>
          </w:p>
        </w:tc>
        <w:tc>
          <w:tcPr>
            <w:tcW w:w="637" w:type="pct"/>
            <w:tcBorders>
              <w:top w:val="nil"/>
              <w:left w:val="nil"/>
              <w:bottom w:val="single" w:sz="4" w:space="0" w:color="auto"/>
              <w:right w:val="single" w:sz="4" w:space="0" w:color="auto"/>
            </w:tcBorders>
            <w:shd w:val="clear" w:color="auto" w:fill="C2D69B"/>
            <w:noWrap/>
            <w:vAlign w:val="center"/>
            <w:hideMark/>
          </w:tcPr>
          <w:p w14:paraId="425DCB18"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0.09</w:t>
            </w:r>
          </w:p>
        </w:tc>
        <w:tc>
          <w:tcPr>
            <w:tcW w:w="637" w:type="pct"/>
            <w:tcBorders>
              <w:top w:val="nil"/>
              <w:left w:val="nil"/>
              <w:bottom w:val="single" w:sz="4" w:space="0" w:color="auto"/>
              <w:right w:val="single" w:sz="4" w:space="0" w:color="auto"/>
            </w:tcBorders>
            <w:shd w:val="clear" w:color="auto" w:fill="C2D69B"/>
            <w:noWrap/>
            <w:vAlign w:val="center"/>
            <w:hideMark/>
          </w:tcPr>
          <w:p w14:paraId="2345213A"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0.10</w:t>
            </w:r>
          </w:p>
        </w:tc>
      </w:tr>
      <w:tr w:rsidR="00393455" w14:paraId="49A8BF32" w14:textId="77777777">
        <w:trPr>
          <w:trHeight w:val="624"/>
        </w:trPr>
        <w:tc>
          <w:tcPr>
            <w:tcW w:w="926" w:type="pct"/>
            <w:tcBorders>
              <w:top w:val="nil"/>
              <w:left w:val="single" w:sz="4" w:space="0" w:color="auto"/>
              <w:bottom w:val="single" w:sz="4" w:space="0" w:color="auto"/>
              <w:right w:val="single" w:sz="4" w:space="0" w:color="auto"/>
            </w:tcBorders>
            <w:shd w:val="clear" w:color="auto" w:fill="C2D69B"/>
            <w:noWrap/>
            <w:hideMark/>
          </w:tcPr>
          <w:p w14:paraId="7979DCFC" w14:textId="77777777" w:rsidR="00393455" w:rsidRDefault="00BC616B">
            <w:pPr>
              <w:spacing w:line="360" w:lineRule="auto"/>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Gross Profit Margin</w:t>
            </w:r>
          </w:p>
        </w:tc>
        <w:tc>
          <w:tcPr>
            <w:tcW w:w="383" w:type="pct"/>
            <w:tcBorders>
              <w:top w:val="nil"/>
              <w:left w:val="nil"/>
              <w:bottom w:val="single" w:sz="4" w:space="0" w:color="auto"/>
              <w:right w:val="single" w:sz="4" w:space="0" w:color="auto"/>
            </w:tcBorders>
            <w:shd w:val="clear" w:color="auto" w:fill="C2D69B"/>
            <w:noWrap/>
            <w:vAlign w:val="center"/>
            <w:hideMark/>
          </w:tcPr>
          <w:p w14:paraId="531F9F30"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D/A</w:t>
            </w:r>
          </w:p>
        </w:tc>
        <w:tc>
          <w:tcPr>
            <w:tcW w:w="546" w:type="pct"/>
            <w:tcBorders>
              <w:top w:val="nil"/>
              <w:left w:val="nil"/>
              <w:bottom w:val="single" w:sz="4" w:space="0" w:color="auto"/>
              <w:right w:val="single" w:sz="4" w:space="0" w:color="auto"/>
            </w:tcBorders>
            <w:shd w:val="clear" w:color="auto" w:fill="C2D69B"/>
            <w:vAlign w:val="center"/>
            <w:hideMark/>
          </w:tcPr>
          <w:p w14:paraId="7F2AE726"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(Gross Profit / Net Sales) </w:t>
            </w:r>
          </w:p>
        </w:tc>
        <w:tc>
          <w:tcPr>
            <w:tcW w:w="610" w:type="pct"/>
            <w:tcBorders>
              <w:top w:val="nil"/>
              <w:left w:val="nil"/>
              <w:bottom w:val="single" w:sz="4" w:space="0" w:color="auto"/>
              <w:right w:val="single" w:sz="4" w:space="0" w:color="auto"/>
            </w:tcBorders>
            <w:shd w:val="clear" w:color="auto" w:fill="C2D69B"/>
            <w:noWrap/>
            <w:vAlign w:val="center"/>
            <w:hideMark/>
          </w:tcPr>
          <w:p w14:paraId="2BF2A088"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1.45</w:t>
            </w:r>
          </w:p>
        </w:tc>
        <w:tc>
          <w:tcPr>
            <w:tcW w:w="630" w:type="pct"/>
            <w:tcBorders>
              <w:top w:val="nil"/>
              <w:left w:val="nil"/>
              <w:bottom w:val="single" w:sz="4" w:space="0" w:color="auto"/>
              <w:right w:val="single" w:sz="4" w:space="0" w:color="auto"/>
            </w:tcBorders>
            <w:shd w:val="clear" w:color="auto" w:fill="C2D69B"/>
            <w:noWrap/>
            <w:vAlign w:val="center"/>
            <w:hideMark/>
          </w:tcPr>
          <w:p w14:paraId="16054179"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0.22</w:t>
            </w:r>
          </w:p>
        </w:tc>
        <w:tc>
          <w:tcPr>
            <w:tcW w:w="630" w:type="pct"/>
            <w:tcBorders>
              <w:top w:val="nil"/>
              <w:left w:val="nil"/>
              <w:bottom w:val="single" w:sz="4" w:space="0" w:color="auto"/>
              <w:right w:val="single" w:sz="4" w:space="0" w:color="auto"/>
            </w:tcBorders>
            <w:shd w:val="clear" w:color="auto" w:fill="C2D69B"/>
            <w:noWrap/>
            <w:vAlign w:val="center"/>
            <w:hideMark/>
          </w:tcPr>
          <w:p w14:paraId="62AD7E0B"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0.21</w:t>
            </w:r>
          </w:p>
        </w:tc>
        <w:tc>
          <w:tcPr>
            <w:tcW w:w="637" w:type="pct"/>
            <w:tcBorders>
              <w:top w:val="nil"/>
              <w:left w:val="nil"/>
              <w:bottom w:val="single" w:sz="4" w:space="0" w:color="auto"/>
              <w:right w:val="single" w:sz="4" w:space="0" w:color="auto"/>
            </w:tcBorders>
            <w:shd w:val="clear" w:color="auto" w:fill="C2D69B"/>
            <w:noWrap/>
            <w:vAlign w:val="center"/>
            <w:hideMark/>
          </w:tcPr>
          <w:p w14:paraId="34C969F4"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0.20</w:t>
            </w:r>
          </w:p>
        </w:tc>
        <w:tc>
          <w:tcPr>
            <w:tcW w:w="637" w:type="pct"/>
            <w:tcBorders>
              <w:top w:val="nil"/>
              <w:left w:val="nil"/>
              <w:bottom w:val="single" w:sz="4" w:space="0" w:color="auto"/>
              <w:right w:val="single" w:sz="4" w:space="0" w:color="auto"/>
            </w:tcBorders>
            <w:shd w:val="clear" w:color="auto" w:fill="C2D69B"/>
            <w:noWrap/>
            <w:vAlign w:val="center"/>
            <w:hideMark/>
          </w:tcPr>
          <w:p w14:paraId="2DF27615"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0.20</w:t>
            </w:r>
          </w:p>
        </w:tc>
      </w:tr>
      <w:tr w:rsidR="00393455" w14:paraId="285B0835" w14:textId="77777777">
        <w:trPr>
          <w:trHeight w:val="312"/>
        </w:trPr>
        <w:tc>
          <w:tcPr>
            <w:tcW w:w="926" w:type="pct"/>
            <w:tcBorders>
              <w:top w:val="nil"/>
              <w:left w:val="nil"/>
              <w:bottom w:val="nil"/>
              <w:right w:val="nil"/>
            </w:tcBorders>
            <w:noWrap/>
            <w:vAlign w:val="bottom"/>
            <w:hideMark/>
          </w:tcPr>
          <w:p w14:paraId="69BBCA83" w14:textId="77777777" w:rsidR="00393455" w:rsidRDefault="00393455">
            <w:pPr>
              <w:spacing w:line="360" w:lineRule="auto"/>
              <w:jc w:val="center"/>
              <w:rPr>
                <w:rFonts w:ascii="Times New Roman" w:eastAsia="Times New Roman" w:hAnsi="Times New Roman" w:cs="Times New Roman"/>
                <w:b/>
                <w:bCs/>
                <w:sz w:val="24"/>
                <w:szCs w:val="24"/>
                <w:lang w:val="en-GB"/>
              </w:rPr>
            </w:pPr>
          </w:p>
        </w:tc>
        <w:tc>
          <w:tcPr>
            <w:tcW w:w="383" w:type="pct"/>
            <w:tcBorders>
              <w:top w:val="nil"/>
              <w:left w:val="nil"/>
              <w:bottom w:val="nil"/>
              <w:right w:val="nil"/>
            </w:tcBorders>
            <w:noWrap/>
            <w:vAlign w:val="center"/>
            <w:hideMark/>
          </w:tcPr>
          <w:p w14:paraId="6454EC43" w14:textId="77777777" w:rsidR="00393455" w:rsidRDefault="00393455">
            <w:pPr>
              <w:spacing w:line="360" w:lineRule="auto"/>
              <w:rPr>
                <w:rFonts w:ascii="Times New Roman" w:eastAsia="Times New Roman" w:hAnsi="Times New Roman" w:cs="Times New Roman"/>
                <w:sz w:val="24"/>
                <w:szCs w:val="24"/>
                <w:lang w:val="en-GB"/>
              </w:rPr>
            </w:pPr>
          </w:p>
        </w:tc>
        <w:tc>
          <w:tcPr>
            <w:tcW w:w="546" w:type="pct"/>
            <w:tcBorders>
              <w:top w:val="nil"/>
              <w:left w:val="nil"/>
              <w:bottom w:val="nil"/>
              <w:right w:val="nil"/>
            </w:tcBorders>
            <w:vAlign w:val="center"/>
            <w:hideMark/>
          </w:tcPr>
          <w:p w14:paraId="28F8BD07"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610" w:type="pct"/>
            <w:tcBorders>
              <w:top w:val="nil"/>
              <w:left w:val="nil"/>
              <w:bottom w:val="nil"/>
              <w:right w:val="nil"/>
            </w:tcBorders>
            <w:noWrap/>
            <w:vAlign w:val="center"/>
            <w:hideMark/>
          </w:tcPr>
          <w:p w14:paraId="69788497"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630" w:type="pct"/>
            <w:tcBorders>
              <w:top w:val="nil"/>
              <w:left w:val="nil"/>
              <w:bottom w:val="nil"/>
              <w:right w:val="nil"/>
            </w:tcBorders>
            <w:noWrap/>
            <w:vAlign w:val="center"/>
            <w:hideMark/>
          </w:tcPr>
          <w:p w14:paraId="4F8386E5"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630" w:type="pct"/>
            <w:tcBorders>
              <w:top w:val="nil"/>
              <w:left w:val="nil"/>
              <w:bottom w:val="nil"/>
              <w:right w:val="nil"/>
            </w:tcBorders>
            <w:noWrap/>
            <w:vAlign w:val="center"/>
            <w:hideMark/>
          </w:tcPr>
          <w:p w14:paraId="03DAEA91"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637" w:type="pct"/>
            <w:tcBorders>
              <w:top w:val="nil"/>
              <w:left w:val="nil"/>
              <w:bottom w:val="nil"/>
              <w:right w:val="nil"/>
            </w:tcBorders>
            <w:noWrap/>
            <w:vAlign w:val="center"/>
            <w:hideMark/>
          </w:tcPr>
          <w:p w14:paraId="00657B52"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637" w:type="pct"/>
            <w:tcBorders>
              <w:top w:val="nil"/>
              <w:left w:val="nil"/>
              <w:bottom w:val="nil"/>
              <w:right w:val="nil"/>
            </w:tcBorders>
            <w:noWrap/>
            <w:vAlign w:val="center"/>
            <w:hideMark/>
          </w:tcPr>
          <w:p w14:paraId="5038A692" w14:textId="77777777" w:rsidR="00393455" w:rsidRDefault="00393455">
            <w:pPr>
              <w:spacing w:line="360" w:lineRule="auto"/>
              <w:jc w:val="center"/>
              <w:rPr>
                <w:rFonts w:ascii="Times New Roman" w:eastAsia="Times New Roman" w:hAnsi="Times New Roman" w:cs="Times New Roman"/>
                <w:sz w:val="24"/>
                <w:szCs w:val="24"/>
                <w:lang w:val="en-GB"/>
              </w:rPr>
            </w:pPr>
          </w:p>
        </w:tc>
      </w:tr>
      <w:tr w:rsidR="00393455" w14:paraId="16374B51" w14:textId="77777777">
        <w:trPr>
          <w:trHeight w:val="312"/>
        </w:trPr>
        <w:tc>
          <w:tcPr>
            <w:tcW w:w="926" w:type="pct"/>
            <w:tcBorders>
              <w:top w:val="nil"/>
              <w:left w:val="nil"/>
              <w:bottom w:val="nil"/>
              <w:right w:val="nil"/>
            </w:tcBorders>
            <w:noWrap/>
            <w:vAlign w:val="center"/>
            <w:hideMark/>
          </w:tcPr>
          <w:p w14:paraId="4756A0F6"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383" w:type="pct"/>
            <w:tcBorders>
              <w:top w:val="nil"/>
              <w:left w:val="nil"/>
              <w:bottom w:val="nil"/>
              <w:right w:val="nil"/>
            </w:tcBorders>
            <w:noWrap/>
            <w:vAlign w:val="center"/>
            <w:hideMark/>
          </w:tcPr>
          <w:p w14:paraId="6169D0B0"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46" w:type="pct"/>
            <w:tcBorders>
              <w:top w:val="nil"/>
              <w:left w:val="nil"/>
              <w:bottom w:val="nil"/>
              <w:right w:val="nil"/>
            </w:tcBorders>
            <w:noWrap/>
            <w:vAlign w:val="center"/>
            <w:hideMark/>
          </w:tcPr>
          <w:p w14:paraId="3377C92E"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610" w:type="pct"/>
            <w:tcBorders>
              <w:top w:val="nil"/>
              <w:left w:val="nil"/>
              <w:bottom w:val="nil"/>
              <w:right w:val="nil"/>
            </w:tcBorders>
            <w:noWrap/>
            <w:vAlign w:val="center"/>
            <w:hideMark/>
          </w:tcPr>
          <w:p w14:paraId="156DAA01"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630" w:type="pct"/>
            <w:tcBorders>
              <w:top w:val="nil"/>
              <w:left w:val="nil"/>
              <w:bottom w:val="nil"/>
              <w:right w:val="nil"/>
            </w:tcBorders>
            <w:noWrap/>
            <w:vAlign w:val="center"/>
            <w:hideMark/>
          </w:tcPr>
          <w:p w14:paraId="2B1F95FF"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630" w:type="pct"/>
            <w:tcBorders>
              <w:top w:val="nil"/>
              <w:left w:val="nil"/>
              <w:bottom w:val="nil"/>
              <w:right w:val="nil"/>
            </w:tcBorders>
            <w:noWrap/>
            <w:vAlign w:val="center"/>
            <w:hideMark/>
          </w:tcPr>
          <w:p w14:paraId="75CA22DD"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637" w:type="pct"/>
            <w:tcBorders>
              <w:top w:val="nil"/>
              <w:left w:val="nil"/>
              <w:bottom w:val="nil"/>
              <w:right w:val="nil"/>
            </w:tcBorders>
            <w:noWrap/>
            <w:vAlign w:val="center"/>
            <w:hideMark/>
          </w:tcPr>
          <w:p w14:paraId="66A86035"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637" w:type="pct"/>
            <w:tcBorders>
              <w:top w:val="nil"/>
              <w:left w:val="nil"/>
              <w:bottom w:val="nil"/>
              <w:right w:val="nil"/>
            </w:tcBorders>
            <w:noWrap/>
            <w:vAlign w:val="center"/>
            <w:hideMark/>
          </w:tcPr>
          <w:p w14:paraId="647FCF0E" w14:textId="77777777" w:rsidR="00393455" w:rsidRDefault="00393455">
            <w:pPr>
              <w:spacing w:line="360" w:lineRule="auto"/>
              <w:jc w:val="center"/>
              <w:rPr>
                <w:rFonts w:ascii="Times New Roman" w:eastAsia="Times New Roman" w:hAnsi="Times New Roman" w:cs="Times New Roman"/>
                <w:sz w:val="24"/>
                <w:szCs w:val="24"/>
                <w:lang w:val="en-GB"/>
              </w:rPr>
            </w:pPr>
          </w:p>
        </w:tc>
      </w:tr>
      <w:tr w:rsidR="00393455" w14:paraId="5E34B465" w14:textId="77777777">
        <w:trPr>
          <w:trHeight w:val="312"/>
        </w:trPr>
        <w:tc>
          <w:tcPr>
            <w:tcW w:w="5000" w:type="pct"/>
            <w:gridSpan w:val="8"/>
            <w:tcBorders>
              <w:top w:val="single" w:sz="4" w:space="0" w:color="auto"/>
              <w:left w:val="single" w:sz="4" w:space="0" w:color="auto"/>
              <w:bottom w:val="single" w:sz="4" w:space="0" w:color="auto"/>
              <w:right w:val="single" w:sz="4" w:space="0" w:color="auto"/>
            </w:tcBorders>
            <w:shd w:val="clear" w:color="auto" w:fill="D99594"/>
            <w:noWrap/>
            <w:vAlign w:val="center"/>
            <w:hideMark/>
          </w:tcPr>
          <w:p w14:paraId="6251263C"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Liquidity Ratio</w:t>
            </w:r>
          </w:p>
        </w:tc>
      </w:tr>
      <w:tr w:rsidR="00393455" w14:paraId="0E5BEF11" w14:textId="77777777">
        <w:trPr>
          <w:trHeight w:val="324"/>
        </w:trPr>
        <w:tc>
          <w:tcPr>
            <w:tcW w:w="926" w:type="pct"/>
            <w:tcBorders>
              <w:top w:val="nil"/>
              <w:left w:val="single" w:sz="4" w:space="0" w:color="auto"/>
              <w:bottom w:val="single" w:sz="4" w:space="0" w:color="auto"/>
              <w:right w:val="single" w:sz="4" w:space="0" w:color="auto"/>
            </w:tcBorders>
            <w:shd w:val="clear" w:color="auto" w:fill="FFFF00"/>
            <w:noWrap/>
            <w:vAlign w:val="center"/>
            <w:hideMark/>
          </w:tcPr>
          <w:p w14:paraId="26F97669"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lastRenderedPageBreak/>
              <w:t>Particulars</w:t>
            </w:r>
          </w:p>
        </w:tc>
        <w:tc>
          <w:tcPr>
            <w:tcW w:w="383" w:type="pct"/>
            <w:tcBorders>
              <w:top w:val="nil"/>
              <w:left w:val="nil"/>
              <w:bottom w:val="single" w:sz="4" w:space="0" w:color="auto"/>
              <w:right w:val="single" w:sz="4" w:space="0" w:color="auto"/>
            </w:tcBorders>
            <w:shd w:val="clear" w:color="auto" w:fill="FFFF00"/>
            <w:noWrap/>
            <w:vAlign w:val="center"/>
            <w:hideMark/>
          </w:tcPr>
          <w:p w14:paraId="4B406D51"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Details</w:t>
            </w:r>
          </w:p>
        </w:tc>
        <w:tc>
          <w:tcPr>
            <w:tcW w:w="546" w:type="pct"/>
            <w:tcBorders>
              <w:top w:val="nil"/>
              <w:left w:val="nil"/>
              <w:bottom w:val="single" w:sz="4" w:space="0" w:color="auto"/>
              <w:right w:val="single" w:sz="4" w:space="0" w:color="auto"/>
            </w:tcBorders>
            <w:shd w:val="clear" w:color="auto" w:fill="FFFF00"/>
            <w:noWrap/>
            <w:vAlign w:val="center"/>
            <w:hideMark/>
          </w:tcPr>
          <w:p w14:paraId="01AE87BC"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Formula </w:t>
            </w:r>
          </w:p>
        </w:tc>
        <w:tc>
          <w:tcPr>
            <w:tcW w:w="610" w:type="pct"/>
            <w:tcBorders>
              <w:top w:val="nil"/>
              <w:left w:val="nil"/>
              <w:bottom w:val="single" w:sz="4" w:space="0" w:color="auto"/>
              <w:right w:val="single" w:sz="4" w:space="0" w:color="auto"/>
            </w:tcBorders>
            <w:shd w:val="clear" w:color="auto" w:fill="FFFF00"/>
            <w:vAlign w:val="center"/>
            <w:hideMark/>
          </w:tcPr>
          <w:p w14:paraId="1F99D977"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2020</w:t>
            </w:r>
          </w:p>
        </w:tc>
        <w:tc>
          <w:tcPr>
            <w:tcW w:w="630" w:type="pct"/>
            <w:tcBorders>
              <w:top w:val="nil"/>
              <w:left w:val="nil"/>
              <w:bottom w:val="single" w:sz="4" w:space="0" w:color="auto"/>
              <w:right w:val="single" w:sz="4" w:space="0" w:color="auto"/>
            </w:tcBorders>
            <w:shd w:val="clear" w:color="auto" w:fill="FFFF00"/>
            <w:vAlign w:val="center"/>
            <w:hideMark/>
          </w:tcPr>
          <w:p w14:paraId="6C387D7A"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2021</w:t>
            </w:r>
          </w:p>
        </w:tc>
        <w:tc>
          <w:tcPr>
            <w:tcW w:w="630" w:type="pct"/>
            <w:tcBorders>
              <w:top w:val="nil"/>
              <w:left w:val="nil"/>
              <w:bottom w:val="single" w:sz="4" w:space="0" w:color="auto"/>
              <w:right w:val="single" w:sz="4" w:space="0" w:color="auto"/>
            </w:tcBorders>
            <w:shd w:val="clear" w:color="auto" w:fill="FFFF00"/>
            <w:vAlign w:val="center"/>
            <w:hideMark/>
          </w:tcPr>
          <w:p w14:paraId="4E329A98"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2022</w:t>
            </w:r>
          </w:p>
        </w:tc>
        <w:tc>
          <w:tcPr>
            <w:tcW w:w="637" w:type="pct"/>
            <w:tcBorders>
              <w:top w:val="nil"/>
              <w:left w:val="nil"/>
              <w:bottom w:val="single" w:sz="4" w:space="0" w:color="auto"/>
              <w:right w:val="single" w:sz="4" w:space="0" w:color="auto"/>
            </w:tcBorders>
            <w:shd w:val="clear" w:color="auto" w:fill="FFFF00"/>
            <w:vAlign w:val="center"/>
            <w:hideMark/>
          </w:tcPr>
          <w:p w14:paraId="06619B01"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2023</w:t>
            </w:r>
          </w:p>
        </w:tc>
        <w:tc>
          <w:tcPr>
            <w:tcW w:w="637" w:type="pct"/>
            <w:tcBorders>
              <w:top w:val="nil"/>
              <w:left w:val="nil"/>
              <w:bottom w:val="single" w:sz="4" w:space="0" w:color="auto"/>
              <w:right w:val="single" w:sz="4" w:space="0" w:color="auto"/>
            </w:tcBorders>
            <w:shd w:val="clear" w:color="auto" w:fill="FFFF00"/>
            <w:vAlign w:val="center"/>
            <w:hideMark/>
          </w:tcPr>
          <w:p w14:paraId="69842A69"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2024</w:t>
            </w:r>
          </w:p>
        </w:tc>
      </w:tr>
      <w:tr w:rsidR="00393455" w14:paraId="161C0116" w14:textId="77777777">
        <w:trPr>
          <w:trHeight w:val="324"/>
        </w:trPr>
        <w:tc>
          <w:tcPr>
            <w:tcW w:w="926" w:type="pct"/>
            <w:tcBorders>
              <w:top w:val="nil"/>
              <w:left w:val="single" w:sz="4" w:space="0" w:color="auto"/>
              <w:bottom w:val="single" w:sz="4" w:space="0" w:color="auto"/>
              <w:right w:val="single" w:sz="4" w:space="0" w:color="auto"/>
            </w:tcBorders>
            <w:noWrap/>
            <w:vAlign w:val="center"/>
            <w:hideMark/>
          </w:tcPr>
          <w:p w14:paraId="77EF0862"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Current Assets </w:t>
            </w:r>
          </w:p>
        </w:tc>
        <w:tc>
          <w:tcPr>
            <w:tcW w:w="383" w:type="pct"/>
            <w:tcBorders>
              <w:top w:val="nil"/>
              <w:left w:val="nil"/>
              <w:bottom w:val="single" w:sz="4" w:space="0" w:color="auto"/>
              <w:right w:val="single" w:sz="4" w:space="0" w:color="auto"/>
            </w:tcBorders>
            <w:noWrap/>
            <w:vAlign w:val="center"/>
            <w:hideMark/>
          </w:tcPr>
          <w:p w14:paraId="2821940F"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w:t>
            </w:r>
          </w:p>
        </w:tc>
        <w:tc>
          <w:tcPr>
            <w:tcW w:w="546" w:type="pct"/>
            <w:tcBorders>
              <w:top w:val="nil"/>
              <w:left w:val="nil"/>
              <w:bottom w:val="single" w:sz="4" w:space="0" w:color="auto"/>
              <w:right w:val="single" w:sz="4" w:space="0" w:color="auto"/>
            </w:tcBorders>
            <w:noWrap/>
            <w:vAlign w:val="center"/>
            <w:hideMark/>
          </w:tcPr>
          <w:p w14:paraId="2B39D20D"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w:t>
            </w:r>
          </w:p>
        </w:tc>
        <w:tc>
          <w:tcPr>
            <w:tcW w:w="610" w:type="pct"/>
            <w:tcBorders>
              <w:top w:val="nil"/>
              <w:left w:val="nil"/>
              <w:bottom w:val="single" w:sz="4" w:space="0" w:color="auto"/>
              <w:right w:val="single" w:sz="4" w:space="0" w:color="auto"/>
            </w:tcBorders>
            <w:vAlign w:val="center"/>
            <w:hideMark/>
          </w:tcPr>
          <w:p w14:paraId="643C04F4"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3,626 </w:t>
            </w:r>
          </w:p>
        </w:tc>
        <w:tc>
          <w:tcPr>
            <w:tcW w:w="630" w:type="pct"/>
            <w:tcBorders>
              <w:top w:val="nil"/>
              <w:left w:val="nil"/>
              <w:bottom w:val="single" w:sz="8" w:space="0" w:color="000000"/>
              <w:right w:val="single" w:sz="8" w:space="0" w:color="000000"/>
            </w:tcBorders>
            <w:noWrap/>
            <w:vAlign w:val="center"/>
            <w:hideMark/>
          </w:tcPr>
          <w:p w14:paraId="6D96E260"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3,313 </w:t>
            </w:r>
          </w:p>
        </w:tc>
        <w:tc>
          <w:tcPr>
            <w:tcW w:w="630" w:type="pct"/>
            <w:tcBorders>
              <w:top w:val="nil"/>
              <w:left w:val="nil"/>
              <w:bottom w:val="single" w:sz="8" w:space="0" w:color="000000"/>
              <w:right w:val="single" w:sz="8" w:space="0" w:color="000000"/>
            </w:tcBorders>
            <w:noWrap/>
            <w:vAlign w:val="center"/>
            <w:hideMark/>
          </w:tcPr>
          <w:p w14:paraId="50775FA1"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3,311 </w:t>
            </w:r>
          </w:p>
        </w:tc>
        <w:tc>
          <w:tcPr>
            <w:tcW w:w="637" w:type="pct"/>
            <w:tcBorders>
              <w:top w:val="nil"/>
              <w:left w:val="nil"/>
              <w:bottom w:val="single" w:sz="8" w:space="0" w:color="000000"/>
              <w:right w:val="single" w:sz="8" w:space="0" w:color="000000"/>
            </w:tcBorders>
            <w:noWrap/>
            <w:vAlign w:val="center"/>
            <w:hideMark/>
          </w:tcPr>
          <w:p w14:paraId="0E9C8CEA"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3,485 </w:t>
            </w:r>
          </w:p>
        </w:tc>
        <w:tc>
          <w:tcPr>
            <w:tcW w:w="637" w:type="pct"/>
            <w:tcBorders>
              <w:top w:val="nil"/>
              <w:left w:val="nil"/>
              <w:bottom w:val="single" w:sz="8" w:space="0" w:color="000000"/>
              <w:right w:val="single" w:sz="8" w:space="0" w:color="000000"/>
            </w:tcBorders>
            <w:noWrap/>
            <w:vAlign w:val="center"/>
            <w:hideMark/>
          </w:tcPr>
          <w:p w14:paraId="26D6B64A"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3,584 </w:t>
            </w:r>
          </w:p>
        </w:tc>
      </w:tr>
      <w:tr w:rsidR="00393455" w14:paraId="70456885" w14:textId="77777777">
        <w:trPr>
          <w:trHeight w:val="312"/>
        </w:trPr>
        <w:tc>
          <w:tcPr>
            <w:tcW w:w="926" w:type="pct"/>
            <w:tcBorders>
              <w:top w:val="nil"/>
              <w:left w:val="single" w:sz="4" w:space="0" w:color="auto"/>
              <w:bottom w:val="single" w:sz="4" w:space="0" w:color="auto"/>
              <w:right w:val="single" w:sz="4" w:space="0" w:color="auto"/>
            </w:tcBorders>
            <w:noWrap/>
            <w:vAlign w:val="center"/>
            <w:hideMark/>
          </w:tcPr>
          <w:p w14:paraId="4B62786A"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Inventories </w:t>
            </w:r>
          </w:p>
        </w:tc>
        <w:tc>
          <w:tcPr>
            <w:tcW w:w="383" w:type="pct"/>
            <w:tcBorders>
              <w:top w:val="nil"/>
              <w:left w:val="nil"/>
              <w:bottom w:val="single" w:sz="4" w:space="0" w:color="auto"/>
              <w:right w:val="single" w:sz="4" w:space="0" w:color="auto"/>
            </w:tcBorders>
            <w:noWrap/>
            <w:vAlign w:val="center"/>
            <w:hideMark/>
          </w:tcPr>
          <w:p w14:paraId="1BB26908"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w:t>
            </w:r>
          </w:p>
        </w:tc>
        <w:tc>
          <w:tcPr>
            <w:tcW w:w="546" w:type="pct"/>
            <w:tcBorders>
              <w:top w:val="nil"/>
              <w:left w:val="nil"/>
              <w:bottom w:val="single" w:sz="4" w:space="0" w:color="auto"/>
              <w:right w:val="single" w:sz="4" w:space="0" w:color="auto"/>
            </w:tcBorders>
            <w:noWrap/>
            <w:vAlign w:val="center"/>
            <w:hideMark/>
          </w:tcPr>
          <w:p w14:paraId="26740850"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w:t>
            </w:r>
          </w:p>
        </w:tc>
        <w:tc>
          <w:tcPr>
            <w:tcW w:w="610" w:type="pct"/>
            <w:tcBorders>
              <w:top w:val="nil"/>
              <w:left w:val="nil"/>
              <w:bottom w:val="single" w:sz="4" w:space="0" w:color="auto"/>
              <w:right w:val="single" w:sz="4" w:space="0" w:color="auto"/>
            </w:tcBorders>
            <w:vAlign w:val="center"/>
            <w:hideMark/>
          </w:tcPr>
          <w:p w14:paraId="4C6FA593"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   </w:t>
            </w:r>
          </w:p>
        </w:tc>
        <w:tc>
          <w:tcPr>
            <w:tcW w:w="630" w:type="pct"/>
            <w:tcBorders>
              <w:top w:val="single" w:sz="4" w:space="0" w:color="auto"/>
              <w:left w:val="nil"/>
              <w:bottom w:val="single" w:sz="4" w:space="0" w:color="auto"/>
              <w:right w:val="single" w:sz="4" w:space="0" w:color="auto"/>
            </w:tcBorders>
            <w:vAlign w:val="center"/>
            <w:hideMark/>
          </w:tcPr>
          <w:p w14:paraId="722FE14D"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   </w:t>
            </w:r>
          </w:p>
        </w:tc>
        <w:tc>
          <w:tcPr>
            <w:tcW w:w="630" w:type="pct"/>
            <w:tcBorders>
              <w:top w:val="single" w:sz="4" w:space="0" w:color="auto"/>
              <w:left w:val="nil"/>
              <w:bottom w:val="single" w:sz="4" w:space="0" w:color="auto"/>
              <w:right w:val="single" w:sz="4" w:space="0" w:color="auto"/>
            </w:tcBorders>
            <w:vAlign w:val="center"/>
            <w:hideMark/>
          </w:tcPr>
          <w:p w14:paraId="31E32C34"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   </w:t>
            </w:r>
          </w:p>
        </w:tc>
        <w:tc>
          <w:tcPr>
            <w:tcW w:w="637" w:type="pct"/>
            <w:tcBorders>
              <w:top w:val="single" w:sz="4" w:space="0" w:color="auto"/>
              <w:left w:val="nil"/>
              <w:bottom w:val="single" w:sz="4" w:space="0" w:color="auto"/>
              <w:right w:val="single" w:sz="4" w:space="0" w:color="auto"/>
            </w:tcBorders>
            <w:vAlign w:val="center"/>
            <w:hideMark/>
          </w:tcPr>
          <w:p w14:paraId="732389A6"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   </w:t>
            </w:r>
          </w:p>
        </w:tc>
        <w:tc>
          <w:tcPr>
            <w:tcW w:w="637" w:type="pct"/>
            <w:tcBorders>
              <w:top w:val="single" w:sz="4" w:space="0" w:color="auto"/>
              <w:left w:val="nil"/>
              <w:bottom w:val="single" w:sz="4" w:space="0" w:color="auto"/>
              <w:right w:val="single" w:sz="4" w:space="0" w:color="auto"/>
            </w:tcBorders>
            <w:vAlign w:val="center"/>
            <w:hideMark/>
          </w:tcPr>
          <w:p w14:paraId="35649F70"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   </w:t>
            </w:r>
          </w:p>
        </w:tc>
      </w:tr>
      <w:tr w:rsidR="00393455" w14:paraId="75CD5C74" w14:textId="77777777">
        <w:trPr>
          <w:trHeight w:val="324"/>
        </w:trPr>
        <w:tc>
          <w:tcPr>
            <w:tcW w:w="926" w:type="pct"/>
            <w:tcBorders>
              <w:top w:val="nil"/>
              <w:left w:val="single" w:sz="4" w:space="0" w:color="auto"/>
              <w:bottom w:val="single" w:sz="4" w:space="0" w:color="auto"/>
              <w:right w:val="single" w:sz="4" w:space="0" w:color="auto"/>
            </w:tcBorders>
            <w:noWrap/>
            <w:vAlign w:val="center"/>
            <w:hideMark/>
          </w:tcPr>
          <w:p w14:paraId="31C7B88B"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Current Liabilities </w:t>
            </w:r>
          </w:p>
        </w:tc>
        <w:tc>
          <w:tcPr>
            <w:tcW w:w="383" w:type="pct"/>
            <w:tcBorders>
              <w:top w:val="nil"/>
              <w:left w:val="nil"/>
              <w:bottom w:val="single" w:sz="4" w:space="0" w:color="auto"/>
              <w:right w:val="single" w:sz="4" w:space="0" w:color="auto"/>
            </w:tcBorders>
            <w:noWrap/>
            <w:vAlign w:val="center"/>
            <w:hideMark/>
          </w:tcPr>
          <w:p w14:paraId="55FF7AA5"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w:t>
            </w:r>
          </w:p>
        </w:tc>
        <w:tc>
          <w:tcPr>
            <w:tcW w:w="546" w:type="pct"/>
            <w:tcBorders>
              <w:top w:val="nil"/>
              <w:left w:val="nil"/>
              <w:bottom w:val="single" w:sz="4" w:space="0" w:color="auto"/>
              <w:right w:val="single" w:sz="4" w:space="0" w:color="auto"/>
            </w:tcBorders>
            <w:noWrap/>
            <w:vAlign w:val="center"/>
            <w:hideMark/>
          </w:tcPr>
          <w:p w14:paraId="4510F717"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w:t>
            </w:r>
          </w:p>
        </w:tc>
        <w:tc>
          <w:tcPr>
            <w:tcW w:w="610" w:type="pct"/>
            <w:tcBorders>
              <w:top w:val="nil"/>
              <w:left w:val="nil"/>
              <w:bottom w:val="single" w:sz="4" w:space="0" w:color="auto"/>
              <w:right w:val="single" w:sz="4" w:space="0" w:color="auto"/>
            </w:tcBorders>
            <w:noWrap/>
            <w:vAlign w:val="center"/>
            <w:hideMark/>
          </w:tcPr>
          <w:p w14:paraId="36E3FD74"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6,407 </w:t>
            </w:r>
          </w:p>
        </w:tc>
        <w:tc>
          <w:tcPr>
            <w:tcW w:w="630" w:type="pct"/>
            <w:tcBorders>
              <w:top w:val="nil"/>
              <w:left w:val="nil"/>
              <w:bottom w:val="single" w:sz="8" w:space="0" w:color="000000"/>
              <w:right w:val="single" w:sz="8" w:space="0" w:color="000000"/>
            </w:tcBorders>
            <w:noWrap/>
            <w:vAlign w:val="center"/>
            <w:hideMark/>
          </w:tcPr>
          <w:p w14:paraId="637F2BA5"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7,339 </w:t>
            </w:r>
          </w:p>
        </w:tc>
        <w:tc>
          <w:tcPr>
            <w:tcW w:w="630" w:type="pct"/>
            <w:tcBorders>
              <w:top w:val="nil"/>
              <w:left w:val="nil"/>
              <w:bottom w:val="single" w:sz="8" w:space="0" w:color="000000"/>
              <w:right w:val="single" w:sz="8" w:space="0" w:color="000000"/>
            </w:tcBorders>
            <w:noWrap/>
            <w:vAlign w:val="center"/>
            <w:hideMark/>
          </w:tcPr>
          <w:p w14:paraId="20BA5759"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7,762 </w:t>
            </w:r>
          </w:p>
        </w:tc>
        <w:tc>
          <w:tcPr>
            <w:tcW w:w="637" w:type="pct"/>
            <w:tcBorders>
              <w:top w:val="nil"/>
              <w:left w:val="nil"/>
              <w:bottom w:val="single" w:sz="8" w:space="0" w:color="000000"/>
              <w:right w:val="single" w:sz="8" w:space="0" w:color="000000"/>
            </w:tcBorders>
            <w:noWrap/>
            <w:vAlign w:val="center"/>
            <w:hideMark/>
          </w:tcPr>
          <w:p w14:paraId="27B5B538"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8,649 </w:t>
            </w:r>
          </w:p>
        </w:tc>
        <w:tc>
          <w:tcPr>
            <w:tcW w:w="637" w:type="pct"/>
            <w:tcBorders>
              <w:top w:val="nil"/>
              <w:left w:val="nil"/>
              <w:bottom w:val="single" w:sz="8" w:space="0" w:color="000000"/>
              <w:right w:val="single" w:sz="8" w:space="0" w:color="000000"/>
            </w:tcBorders>
            <w:noWrap/>
            <w:vAlign w:val="center"/>
            <w:hideMark/>
          </w:tcPr>
          <w:p w14:paraId="00F5EE8E"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8,398 </w:t>
            </w:r>
          </w:p>
        </w:tc>
      </w:tr>
      <w:tr w:rsidR="00393455" w14:paraId="41E77FB9" w14:textId="77777777">
        <w:trPr>
          <w:trHeight w:val="624"/>
        </w:trPr>
        <w:tc>
          <w:tcPr>
            <w:tcW w:w="926" w:type="pct"/>
            <w:tcBorders>
              <w:top w:val="nil"/>
              <w:left w:val="single" w:sz="4" w:space="0" w:color="auto"/>
              <w:bottom w:val="single" w:sz="4" w:space="0" w:color="auto"/>
              <w:right w:val="single" w:sz="4" w:space="0" w:color="auto"/>
            </w:tcBorders>
            <w:shd w:val="clear" w:color="auto" w:fill="C2D69B"/>
            <w:noWrap/>
            <w:vAlign w:val="center"/>
            <w:hideMark/>
          </w:tcPr>
          <w:p w14:paraId="6260C80C"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Current Ratio</w:t>
            </w:r>
          </w:p>
        </w:tc>
        <w:tc>
          <w:tcPr>
            <w:tcW w:w="383" w:type="pct"/>
            <w:tcBorders>
              <w:top w:val="nil"/>
              <w:left w:val="nil"/>
              <w:bottom w:val="single" w:sz="4" w:space="0" w:color="auto"/>
              <w:right w:val="single" w:sz="4" w:space="0" w:color="auto"/>
            </w:tcBorders>
            <w:shd w:val="clear" w:color="auto" w:fill="C2D69B"/>
            <w:noWrap/>
            <w:vAlign w:val="center"/>
            <w:hideMark/>
          </w:tcPr>
          <w:p w14:paraId="35E76E1E"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A/C</w:t>
            </w:r>
          </w:p>
        </w:tc>
        <w:tc>
          <w:tcPr>
            <w:tcW w:w="546" w:type="pct"/>
            <w:tcBorders>
              <w:top w:val="nil"/>
              <w:left w:val="nil"/>
              <w:bottom w:val="single" w:sz="4" w:space="0" w:color="auto"/>
              <w:right w:val="single" w:sz="4" w:space="0" w:color="auto"/>
            </w:tcBorders>
            <w:shd w:val="clear" w:color="auto" w:fill="C2D69B"/>
            <w:vAlign w:val="center"/>
            <w:hideMark/>
          </w:tcPr>
          <w:p w14:paraId="0A78551C"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Current assets/ Current Liabilities</w:t>
            </w:r>
          </w:p>
        </w:tc>
        <w:tc>
          <w:tcPr>
            <w:tcW w:w="610" w:type="pct"/>
            <w:tcBorders>
              <w:top w:val="nil"/>
              <w:left w:val="nil"/>
              <w:bottom w:val="single" w:sz="4" w:space="0" w:color="auto"/>
              <w:right w:val="single" w:sz="4" w:space="0" w:color="auto"/>
            </w:tcBorders>
            <w:shd w:val="clear" w:color="auto" w:fill="C2D69B"/>
            <w:noWrap/>
            <w:vAlign w:val="center"/>
            <w:hideMark/>
          </w:tcPr>
          <w:p w14:paraId="4565CF57"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0.57 </w:t>
            </w:r>
          </w:p>
        </w:tc>
        <w:tc>
          <w:tcPr>
            <w:tcW w:w="630" w:type="pct"/>
            <w:tcBorders>
              <w:top w:val="single" w:sz="4" w:space="0" w:color="auto"/>
              <w:left w:val="nil"/>
              <w:bottom w:val="single" w:sz="4" w:space="0" w:color="auto"/>
              <w:right w:val="single" w:sz="4" w:space="0" w:color="auto"/>
            </w:tcBorders>
            <w:shd w:val="clear" w:color="auto" w:fill="C2D69B"/>
            <w:noWrap/>
            <w:vAlign w:val="center"/>
            <w:hideMark/>
          </w:tcPr>
          <w:p w14:paraId="6DD010F9"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0.45 </w:t>
            </w:r>
          </w:p>
        </w:tc>
        <w:tc>
          <w:tcPr>
            <w:tcW w:w="630" w:type="pct"/>
            <w:tcBorders>
              <w:top w:val="single" w:sz="4" w:space="0" w:color="auto"/>
              <w:left w:val="nil"/>
              <w:bottom w:val="single" w:sz="4" w:space="0" w:color="auto"/>
              <w:right w:val="single" w:sz="4" w:space="0" w:color="auto"/>
            </w:tcBorders>
            <w:shd w:val="clear" w:color="auto" w:fill="C2D69B"/>
            <w:noWrap/>
            <w:vAlign w:val="center"/>
            <w:hideMark/>
          </w:tcPr>
          <w:p w14:paraId="62280E86"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0.43 </w:t>
            </w:r>
          </w:p>
        </w:tc>
        <w:tc>
          <w:tcPr>
            <w:tcW w:w="637" w:type="pct"/>
            <w:tcBorders>
              <w:top w:val="single" w:sz="4" w:space="0" w:color="auto"/>
              <w:left w:val="nil"/>
              <w:bottom w:val="single" w:sz="4" w:space="0" w:color="auto"/>
              <w:right w:val="single" w:sz="4" w:space="0" w:color="auto"/>
            </w:tcBorders>
            <w:shd w:val="clear" w:color="auto" w:fill="C2D69B"/>
            <w:noWrap/>
            <w:vAlign w:val="center"/>
            <w:hideMark/>
          </w:tcPr>
          <w:p w14:paraId="35C22470"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0.40 </w:t>
            </w:r>
          </w:p>
        </w:tc>
        <w:tc>
          <w:tcPr>
            <w:tcW w:w="637" w:type="pct"/>
            <w:tcBorders>
              <w:top w:val="single" w:sz="4" w:space="0" w:color="auto"/>
              <w:left w:val="nil"/>
              <w:bottom w:val="single" w:sz="4" w:space="0" w:color="auto"/>
              <w:right w:val="single" w:sz="4" w:space="0" w:color="auto"/>
            </w:tcBorders>
            <w:shd w:val="clear" w:color="auto" w:fill="C2D69B"/>
            <w:noWrap/>
            <w:vAlign w:val="center"/>
            <w:hideMark/>
          </w:tcPr>
          <w:p w14:paraId="73FCBCE5"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0.43 </w:t>
            </w:r>
          </w:p>
        </w:tc>
      </w:tr>
      <w:tr w:rsidR="00393455" w14:paraId="4E20A079" w14:textId="77777777">
        <w:trPr>
          <w:trHeight w:val="936"/>
        </w:trPr>
        <w:tc>
          <w:tcPr>
            <w:tcW w:w="926" w:type="pct"/>
            <w:tcBorders>
              <w:top w:val="nil"/>
              <w:left w:val="single" w:sz="4" w:space="0" w:color="auto"/>
              <w:bottom w:val="single" w:sz="4" w:space="0" w:color="auto"/>
              <w:right w:val="single" w:sz="4" w:space="0" w:color="auto"/>
            </w:tcBorders>
            <w:shd w:val="clear" w:color="auto" w:fill="C2D69B"/>
            <w:noWrap/>
            <w:vAlign w:val="center"/>
            <w:hideMark/>
          </w:tcPr>
          <w:p w14:paraId="691BB0A6"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Quick Ratio</w:t>
            </w:r>
          </w:p>
        </w:tc>
        <w:tc>
          <w:tcPr>
            <w:tcW w:w="383" w:type="pct"/>
            <w:tcBorders>
              <w:top w:val="nil"/>
              <w:left w:val="nil"/>
              <w:bottom w:val="single" w:sz="4" w:space="0" w:color="auto"/>
              <w:right w:val="single" w:sz="4" w:space="0" w:color="auto"/>
            </w:tcBorders>
            <w:shd w:val="clear" w:color="auto" w:fill="C2D69B"/>
            <w:noWrap/>
            <w:vAlign w:val="center"/>
            <w:hideMark/>
          </w:tcPr>
          <w:p w14:paraId="6654C557"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(A-B)/C</w:t>
            </w:r>
          </w:p>
        </w:tc>
        <w:tc>
          <w:tcPr>
            <w:tcW w:w="546" w:type="pct"/>
            <w:tcBorders>
              <w:top w:val="nil"/>
              <w:left w:val="nil"/>
              <w:bottom w:val="single" w:sz="4" w:space="0" w:color="auto"/>
              <w:right w:val="single" w:sz="4" w:space="0" w:color="auto"/>
            </w:tcBorders>
            <w:shd w:val="clear" w:color="auto" w:fill="C2D69B"/>
            <w:vAlign w:val="center"/>
            <w:hideMark/>
          </w:tcPr>
          <w:p w14:paraId="5D23902B"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(Current Assets - Inventories)/ Current Liabilities</w:t>
            </w:r>
          </w:p>
        </w:tc>
        <w:tc>
          <w:tcPr>
            <w:tcW w:w="610" w:type="pct"/>
            <w:tcBorders>
              <w:top w:val="nil"/>
              <w:left w:val="nil"/>
              <w:bottom w:val="single" w:sz="4" w:space="0" w:color="auto"/>
              <w:right w:val="single" w:sz="4" w:space="0" w:color="auto"/>
            </w:tcBorders>
            <w:shd w:val="clear" w:color="auto" w:fill="C2D69B"/>
            <w:noWrap/>
            <w:vAlign w:val="center"/>
            <w:hideMark/>
          </w:tcPr>
          <w:p w14:paraId="385E9B3C"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0.57 </w:t>
            </w:r>
          </w:p>
        </w:tc>
        <w:tc>
          <w:tcPr>
            <w:tcW w:w="630" w:type="pct"/>
            <w:tcBorders>
              <w:top w:val="nil"/>
              <w:left w:val="nil"/>
              <w:bottom w:val="single" w:sz="4" w:space="0" w:color="auto"/>
              <w:right w:val="single" w:sz="4" w:space="0" w:color="auto"/>
            </w:tcBorders>
            <w:shd w:val="clear" w:color="auto" w:fill="C2D69B"/>
            <w:noWrap/>
            <w:vAlign w:val="center"/>
            <w:hideMark/>
          </w:tcPr>
          <w:p w14:paraId="20762FEE"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0.45 </w:t>
            </w:r>
          </w:p>
        </w:tc>
        <w:tc>
          <w:tcPr>
            <w:tcW w:w="630" w:type="pct"/>
            <w:tcBorders>
              <w:top w:val="nil"/>
              <w:left w:val="nil"/>
              <w:bottom w:val="single" w:sz="4" w:space="0" w:color="auto"/>
              <w:right w:val="single" w:sz="4" w:space="0" w:color="auto"/>
            </w:tcBorders>
            <w:shd w:val="clear" w:color="auto" w:fill="C2D69B"/>
            <w:noWrap/>
            <w:vAlign w:val="center"/>
            <w:hideMark/>
          </w:tcPr>
          <w:p w14:paraId="71197CD9"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0.43 </w:t>
            </w:r>
          </w:p>
        </w:tc>
        <w:tc>
          <w:tcPr>
            <w:tcW w:w="637" w:type="pct"/>
            <w:tcBorders>
              <w:top w:val="nil"/>
              <w:left w:val="nil"/>
              <w:bottom w:val="single" w:sz="4" w:space="0" w:color="auto"/>
              <w:right w:val="single" w:sz="4" w:space="0" w:color="auto"/>
            </w:tcBorders>
            <w:shd w:val="clear" w:color="auto" w:fill="C2D69B"/>
            <w:noWrap/>
            <w:vAlign w:val="center"/>
            <w:hideMark/>
          </w:tcPr>
          <w:p w14:paraId="79D7844B"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0.40 </w:t>
            </w:r>
          </w:p>
        </w:tc>
        <w:tc>
          <w:tcPr>
            <w:tcW w:w="637" w:type="pct"/>
            <w:tcBorders>
              <w:top w:val="nil"/>
              <w:left w:val="nil"/>
              <w:bottom w:val="single" w:sz="4" w:space="0" w:color="auto"/>
              <w:right w:val="single" w:sz="4" w:space="0" w:color="auto"/>
            </w:tcBorders>
            <w:shd w:val="clear" w:color="auto" w:fill="C2D69B"/>
            <w:noWrap/>
            <w:vAlign w:val="center"/>
            <w:hideMark/>
          </w:tcPr>
          <w:p w14:paraId="5BFB2E00"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0.43 </w:t>
            </w:r>
          </w:p>
        </w:tc>
      </w:tr>
      <w:tr w:rsidR="00393455" w14:paraId="30848A33" w14:textId="77777777">
        <w:trPr>
          <w:trHeight w:val="324"/>
        </w:trPr>
        <w:tc>
          <w:tcPr>
            <w:tcW w:w="926" w:type="pct"/>
            <w:tcBorders>
              <w:top w:val="nil"/>
              <w:left w:val="nil"/>
              <w:bottom w:val="nil"/>
              <w:right w:val="nil"/>
            </w:tcBorders>
            <w:noWrap/>
            <w:vAlign w:val="center"/>
            <w:hideMark/>
          </w:tcPr>
          <w:p w14:paraId="54B92011" w14:textId="77777777" w:rsidR="00393455" w:rsidRDefault="00393455">
            <w:pPr>
              <w:spacing w:line="360" w:lineRule="auto"/>
              <w:jc w:val="center"/>
              <w:rPr>
                <w:rFonts w:ascii="Times New Roman" w:eastAsia="Times New Roman" w:hAnsi="Times New Roman" w:cs="Times New Roman"/>
                <w:b/>
                <w:bCs/>
                <w:sz w:val="24"/>
                <w:szCs w:val="24"/>
                <w:lang w:val="en-GB"/>
              </w:rPr>
            </w:pPr>
          </w:p>
        </w:tc>
        <w:tc>
          <w:tcPr>
            <w:tcW w:w="383" w:type="pct"/>
            <w:tcBorders>
              <w:top w:val="nil"/>
              <w:left w:val="nil"/>
              <w:bottom w:val="nil"/>
              <w:right w:val="nil"/>
            </w:tcBorders>
            <w:noWrap/>
            <w:vAlign w:val="center"/>
            <w:hideMark/>
          </w:tcPr>
          <w:p w14:paraId="5D100B68"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46" w:type="pct"/>
            <w:tcBorders>
              <w:top w:val="nil"/>
              <w:left w:val="nil"/>
              <w:bottom w:val="nil"/>
              <w:right w:val="nil"/>
            </w:tcBorders>
            <w:noWrap/>
            <w:vAlign w:val="center"/>
            <w:hideMark/>
          </w:tcPr>
          <w:p w14:paraId="4B928FD0"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610" w:type="pct"/>
            <w:tcBorders>
              <w:top w:val="nil"/>
              <w:left w:val="nil"/>
              <w:bottom w:val="nil"/>
              <w:right w:val="nil"/>
            </w:tcBorders>
            <w:noWrap/>
            <w:vAlign w:val="center"/>
            <w:hideMark/>
          </w:tcPr>
          <w:p w14:paraId="50A40224"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630" w:type="pct"/>
            <w:tcBorders>
              <w:top w:val="nil"/>
              <w:left w:val="nil"/>
              <w:bottom w:val="nil"/>
              <w:right w:val="nil"/>
            </w:tcBorders>
            <w:noWrap/>
            <w:vAlign w:val="center"/>
            <w:hideMark/>
          </w:tcPr>
          <w:p w14:paraId="3EF30847"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630" w:type="pct"/>
            <w:tcBorders>
              <w:top w:val="nil"/>
              <w:left w:val="nil"/>
              <w:bottom w:val="nil"/>
              <w:right w:val="nil"/>
            </w:tcBorders>
            <w:noWrap/>
            <w:vAlign w:val="center"/>
            <w:hideMark/>
          </w:tcPr>
          <w:p w14:paraId="0C916689"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637" w:type="pct"/>
            <w:tcBorders>
              <w:top w:val="nil"/>
              <w:left w:val="nil"/>
              <w:bottom w:val="nil"/>
              <w:right w:val="nil"/>
            </w:tcBorders>
            <w:noWrap/>
            <w:vAlign w:val="center"/>
            <w:hideMark/>
          </w:tcPr>
          <w:p w14:paraId="411747F9"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637" w:type="pct"/>
            <w:tcBorders>
              <w:top w:val="nil"/>
              <w:left w:val="nil"/>
              <w:bottom w:val="nil"/>
              <w:right w:val="nil"/>
            </w:tcBorders>
            <w:noWrap/>
            <w:vAlign w:val="center"/>
            <w:hideMark/>
          </w:tcPr>
          <w:p w14:paraId="3530E9C2" w14:textId="77777777" w:rsidR="00393455" w:rsidRDefault="00393455">
            <w:pPr>
              <w:spacing w:line="360" w:lineRule="auto"/>
              <w:jc w:val="center"/>
              <w:rPr>
                <w:rFonts w:ascii="Times New Roman" w:eastAsia="Times New Roman" w:hAnsi="Times New Roman" w:cs="Times New Roman"/>
                <w:sz w:val="24"/>
                <w:szCs w:val="24"/>
                <w:lang w:val="en-GB"/>
              </w:rPr>
            </w:pPr>
          </w:p>
        </w:tc>
      </w:tr>
      <w:tr w:rsidR="00393455" w14:paraId="618126DB" w14:textId="77777777">
        <w:trPr>
          <w:trHeight w:val="312"/>
        </w:trPr>
        <w:tc>
          <w:tcPr>
            <w:tcW w:w="5000" w:type="pct"/>
            <w:gridSpan w:val="8"/>
            <w:tcBorders>
              <w:top w:val="single" w:sz="4" w:space="0" w:color="auto"/>
              <w:left w:val="single" w:sz="4" w:space="0" w:color="auto"/>
              <w:bottom w:val="single" w:sz="4" w:space="0" w:color="auto"/>
              <w:right w:val="single" w:sz="4" w:space="0" w:color="auto"/>
            </w:tcBorders>
            <w:shd w:val="clear" w:color="auto" w:fill="D99594"/>
            <w:noWrap/>
            <w:vAlign w:val="center"/>
            <w:hideMark/>
          </w:tcPr>
          <w:p w14:paraId="67B68E62"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Gearing Ratios</w:t>
            </w:r>
          </w:p>
        </w:tc>
      </w:tr>
      <w:tr w:rsidR="00393455" w14:paraId="6DBD2A1E" w14:textId="77777777">
        <w:trPr>
          <w:trHeight w:val="636"/>
        </w:trPr>
        <w:tc>
          <w:tcPr>
            <w:tcW w:w="926" w:type="pct"/>
            <w:tcBorders>
              <w:top w:val="nil"/>
              <w:left w:val="single" w:sz="4" w:space="0" w:color="auto"/>
              <w:bottom w:val="single" w:sz="4" w:space="0" w:color="auto"/>
              <w:right w:val="single" w:sz="4" w:space="0" w:color="auto"/>
            </w:tcBorders>
            <w:shd w:val="clear" w:color="auto" w:fill="FFFF00"/>
            <w:noWrap/>
            <w:vAlign w:val="center"/>
            <w:hideMark/>
          </w:tcPr>
          <w:p w14:paraId="32BC96EC"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Particulars</w:t>
            </w:r>
          </w:p>
        </w:tc>
        <w:tc>
          <w:tcPr>
            <w:tcW w:w="383" w:type="pct"/>
            <w:tcBorders>
              <w:top w:val="nil"/>
              <w:left w:val="nil"/>
              <w:bottom w:val="single" w:sz="4" w:space="0" w:color="auto"/>
              <w:right w:val="single" w:sz="4" w:space="0" w:color="auto"/>
            </w:tcBorders>
            <w:shd w:val="clear" w:color="auto" w:fill="FFFF00"/>
            <w:noWrap/>
            <w:vAlign w:val="center"/>
            <w:hideMark/>
          </w:tcPr>
          <w:p w14:paraId="07F69CC7"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Details</w:t>
            </w:r>
          </w:p>
        </w:tc>
        <w:tc>
          <w:tcPr>
            <w:tcW w:w="546" w:type="pct"/>
            <w:tcBorders>
              <w:top w:val="nil"/>
              <w:left w:val="nil"/>
              <w:bottom w:val="single" w:sz="4" w:space="0" w:color="auto"/>
              <w:right w:val="single" w:sz="4" w:space="0" w:color="auto"/>
            </w:tcBorders>
            <w:shd w:val="clear" w:color="auto" w:fill="FFFF00"/>
            <w:noWrap/>
            <w:vAlign w:val="center"/>
            <w:hideMark/>
          </w:tcPr>
          <w:p w14:paraId="1AE924E2"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Formula </w:t>
            </w:r>
          </w:p>
        </w:tc>
        <w:tc>
          <w:tcPr>
            <w:tcW w:w="610" w:type="pct"/>
            <w:tcBorders>
              <w:top w:val="nil"/>
              <w:left w:val="nil"/>
              <w:bottom w:val="single" w:sz="4" w:space="0" w:color="auto"/>
              <w:right w:val="single" w:sz="4" w:space="0" w:color="auto"/>
            </w:tcBorders>
            <w:shd w:val="clear" w:color="auto" w:fill="FFFF00"/>
            <w:vAlign w:val="center"/>
            <w:hideMark/>
          </w:tcPr>
          <w:p w14:paraId="7D38BA7B"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2020</w:t>
            </w:r>
          </w:p>
        </w:tc>
        <w:tc>
          <w:tcPr>
            <w:tcW w:w="630" w:type="pct"/>
            <w:tcBorders>
              <w:top w:val="nil"/>
              <w:left w:val="nil"/>
              <w:bottom w:val="single" w:sz="4" w:space="0" w:color="auto"/>
              <w:right w:val="single" w:sz="4" w:space="0" w:color="auto"/>
            </w:tcBorders>
            <w:shd w:val="clear" w:color="auto" w:fill="FFFF00"/>
            <w:vAlign w:val="center"/>
            <w:hideMark/>
          </w:tcPr>
          <w:p w14:paraId="0456EC5C"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2021</w:t>
            </w:r>
          </w:p>
        </w:tc>
        <w:tc>
          <w:tcPr>
            <w:tcW w:w="630" w:type="pct"/>
            <w:tcBorders>
              <w:top w:val="nil"/>
              <w:left w:val="nil"/>
              <w:bottom w:val="single" w:sz="4" w:space="0" w:color="auto"/>
              <w:right w:val="single" w:sz="4" w:space="0" w:color="auto"/>
            </w:tcBorders>
            <w:shd w:val="clear" w:color="auto" w:fill="FFFF00"/>
            <w:vAlign w:val="center"/>
            <w:hideMark/>
          </w:tcPr>
          <w:p w14:paraId="15B639A6"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2022</w:t>
            </w:r>
          </w:p>
        </w:tc>
        <w:tc>
          <w:tcPr>
            <w:tcW w:w="637" w:type="pct"/>
            <w:tcBorders>
              <w:top w:val="nil"/>
              <w:left w:val="nil"/>
              <w:bottom w:val="single" w:sz="4" w:space="0" w:color="auto"/>
              <w:right w:val="single" w:sz="4" w:space="0" w:color="auto"/>
            </w:tcBorders>
            <w:shd w:val="clear" w:color="auto" w:fill="FFFF00"/>
            <w:vAlign w:val="center"/>
            <w:hideMark/>
          </w:tcPr>
          <w:p w14:paraId="0ACE5FF0"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2023</w:t>
            </w:r>
          </w:p>
        </w:tc>
        <w:tc>
          <w:tcPr>
            <w:tcW w:w="637" w:type="pct"/>
            <w:tcBorders>
              <w:top w:val="nil"/>
              <w:left w:val="nil"/>
              <w:bottom w:val="single" w:sz="4" w:space="0" w:color="auto"/>
              <w:right w:val="single" w:sz="4" w:space="0" w:color="auto"/>
            </w:tcBorders>
            <w:shd w:val="clear" w:color="auto" w:fill="FFFF00"/>
            <w:vAlign w:val="center"/>
            <w:hideMark/>
          </w:tcPr>
          <w:p w14:paraId="2A432A5E"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2024</w:t>
            </w:r>
          </w:p>
        </w:tc>
      </w:tr>
      <w:tr w:rsidR="00393455" w14:paraId="5B0E01E8" w14:textId="77777777">
        <w:trPr>
          <w:trHeight w:val="324"/>
        </w:trPr>
        <w:tc>
          <w:tcPr>
            <w:tcW w:w="926" w:type="pct"/>
            <w:tcBorders>
              <w:top w:val="nil"/>
              <w:left w:val="single" w:sz="4" w:space="0" w:color="auto"/>
              <w:bottom w:val="single" w:sz="4" w:space="0" w:color="auto"/>
              <w:right w:val="single" w:sz="4" w:space="0" w:color="auto"/>
            </w:tcBorders>
            <w:noWrap/>
            <w:vAlign w:val="center"/>
            <w:hideMark/>
          </w:tcPr>
          <w:p w14:paraId="0D05B62A"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Total Liabilities </w:t>
            </w:r>
          </w:p>
        </w:tc>
        <w:tc>
          <w:tcPr>
            <w:tcW w:w="383" w:type="pct"/>
            <w:tcBorders>
              <w:top w:val="nil"/>
              <w:left w:val="nil"/>
              <w:bottom w:val="single" w:sz="4" w:space="0" w:color="auto"/>
              <w:right w:val="single" w:sz="4" w:space="0" w:color="auto"/>
            </w:tcBorders>
            <w:noWrap/>
            <w:vAlign w:val="center"/>
            <w:hideMark/>
          </w:tcPr>
          <w:p w14:paraId="2F2A2713"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w:t>
            </w:r>
          </w:p>
        </w:tc>
        <w:tc>
          <w:tcPr>
            <w:tcW w:w="546" w:type="pct"/>
            <w:tcBorders>
              <w:top w:val="nil"/>
              <w:left w:val="nil"/>
              <w:bottom w:val="single" w:sz="4" w:space="0" w:color="auto"/>
              <w:right w:val="single" w:sz="4" w:space="0" w:color="auto"/>
            </w:tcBorders>
            <w:noWrap/>
            <w:vAlign w:val="center"/>
            <w:hideMark/>
          </w:tcPr>
          <w:p w14:paraId="7F29D81E"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w:t>
            </w:r>
          </w:p>
        </w:tc>
        <w:tc>
          <w:tcPr>
            <w:tcW w:w="610" w:type="pct"/>
            <w:tcBorders>
              <w:top w:val="single" w:sz="8" w:space="0" w:color="000000"/>
              <w:left w:val="single" w:sz="8" w:space="0" w:color="000000"/>
              <w:bottom w:val="single" w:sz="8" w:space="0" w:color="000000"/>
              <w:right w:val="single" w:sz="8" w:space="0" w:color="000000"/>
            </w:tcBorders>
            <w:vAlign w:val="center"/>
            <w:hideMark/>
          </w:tcPr>
          <w:p w14:paraId="0354FD66"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24,139 </w:t>
            </w:r>
          </w:p>
        </w:tc>
        <w:tc>
          <w:tcPr>
            <w:tcW w:w="630" w:type="pct"/>
            <w:tcBorders>
              <w:top w:val="nil"/>
              <w:left w:val="nil"/>
              <w:bottom w:val="single" w:sz="8" w:space="0" w:color="000000"/>
              <w:right w:val="single" w:sz="8" w:space="0" w:color="000000"/>
            </w:tcBorders>
            <w:noWrap/>
            <w:vAlign w:val="center"/>
            <w:hideMark/>
          </w:tcPr>
          <w:p w14:paraId="6E89E754"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24,247 </w:t>
            </w:r>
          </w:p>
        </w:tc>
        <w:tc>
          <w:tcPr>
            <w:tcW w:w="630" w:type="pct"/>
            <w:tcBorders>
              <w:top w:val="nil"/>
              <w:left w:val="nil"/>
              <w:bottom w:val="single" w:sz="8" w:space="0" w:color="000000"/>
              <w:right w:val="single" w:sz="8" w:space="0" w:color="000000"/>
            </w:tcBorders>
            <w:noWrap/>
            <w:vAlign w:val="center"/>
            <w:hideMark/>
          </w:tcPr>
          <w:p w14:paraId="3B7C60FA"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26,356 </w:t>
            </w:r>
          </w:p>
        </w:tc>
        <w:tc>
          <w:tcPr>
            <w:tcW w:w="637" w:type="pct"/>
            <w:tcBorders>
              <w:top w:val="nil"/>
              <w:left w:val="nil"/>
              <w:bottom w:val="single" w:sz="8" w:space="0" w:color="000000"/>
              <w:right w:val="single" w:sz="8" w:space="0" w:color="000000"/>
            </w:tcBorders>
            <w:noWrap/>
            <w:vAlign w:val="center"/>
            <w:hideMark/>
          </w:tcPr>
          <w:p w14:paraId="2DA1311C"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29,174 </w:t>
            </w:r>
          </w:p>
        </w:tc>
        <w:tc>
          <w:tcPr>
            <w:tcW w:w="637" w:type="pct"/>
            <w:tcBorders>
              <w:top w:val="nil"/>
              <w:left w:val="nil"/>
              <w:bottom w:val="single" w:sz="8" w:space="0" w:color="000000"/>
              <w:right w:val="single" w:sz="8" w:space="0" w:color="000000"/>
            </w:tcBorders>
            <w:noWrap/>
            <w:vAlign w:val="center"/>
            <w:hideMark/>
          </w:tcPr>
          <w:p w14:paraId="1BE5D44B"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31,311 </w:t>
            </w:r>
          </w:p>
        </w:tc>
      </w:tr>
      <w:tr w:rsidR="00393455" w14:paraId="48EB48FA" w14:textId="77777777">
        <w:trPr>
          <w:trHeight w:val="324"/>
        </w:trPr>
        <w:tc>
          <w:tcPr>
            <w:tcW w:w="926" w:type="pct"/>
            <w:tcBorders>
              <w:top w:val="nil"/>
              <w:left w:val="single" w:sz="4" w:space="0" w:color="auto"/>
              <w:bottom w:val="single" w:sz="4" w:space="0" w:color="auto"/>
              <w:right w:val="single" w:sz="4" w:space="0" w:color="auto"/>
            </w:tcBorders>
            <w:noWrap/>
            <w:vAlign w:val="center"/>
            <w:hideMark/>
          </w:tcPr>
          <w:p w14:paraId="436C181E"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Total Equity </w:t>
            </w:r>
          </w:p>
        </w:tc>
        <w:tc>
          <w:tcPr>
            <w:tcW w:w="383" w:type="pct"/>
            <w:tcBorders>
              <w:top w:val="nil"/>
              <w:left w:val="nil"/>
              <w:bottom w:val="single" w:sz="4" w:space="0" w:color="auto"/>
              <w:right w:val="single" w:sz="4" w:space="0" w:color="auto"/>
            </w:tcBorders>
            <w:noWrap/>
            <w:vAlign w:val="center"/>
            <w:hideMark/>
          </w:tcPr>
          <w:p w14:paraId="24E613E3"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w:t>
            </w:r>
          </w:p>
        </w:tc>
        <w:tc>
          <w:tcPr>
            <w:tcW w:w="546" w:type="pct"/>
            <w:tcBorders>
              <w:top w:val="nil"/>
              <w:left w:val="nil"/>
              <w:bottom w:val="single" w:sz="4" w:space="0" w:color="auto"/>
              <w:right w:val="single" w:sz="4" w:space="0" w:color="auto"/>
            </w:tcBorders>
            <w:noWrap/>
            <w:vAlign w:val="center"/>
            <w:hideMark/>
          </w:tcPr>
          <w:p w14:paraId="2995AEE7"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w:t>
            </w:r>
          </w:p>
        </w:tc>
        <w:tc>
          <w:tcPr>
            <w:tcW w:w="610" w:type="pct"/>
            <w:tcBorders>
              <w:top w:val="nil"/>
              <w:left w:val="single" w:sz="8" w:space="0" w:color="000000"/>
              <w:bottom w:val="single" w:sz="8" w:space="0" w:color="000000"/>
              <w:right w:val="single" w:sz="8" w:space="0" w:color="000000"/>
            </w:tcBorders>
            <w:vAlign w:val="center"/>
            <w:hideMark/>
          </w:tcPr>
          <w:p w14:paraId="6E6399AC"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1,414 </w:t>
            </w:r>
          </w:p>
        </w:tc>
        <w:tc>
          <w:tcPr>
            <w:tcW w:w="630" w:type="pct"/>
            <w:tcBorders>
              <w:top w:val="nil"/>
              <w:left w:val="nil"/>
              <w:bottom w:val="single" w:sz="8" w:space="0" w:color="000000"/>
              <w:right w:val="single" w:sz="8" w:space="0" w:color="000000"/>
            </w:tcBorders>
            <w:noWrap/>
            <w:vAlign w:val="center"/>
            <w:hideMark/>
          </w:tcPr>
          <w:p w14:paraId="7E0B5FCE"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568 </w:t>
            </w:r>
          </w:p>
        </w:tc>
        <w:tc>
          <w:tcPr>
            <w:tcW w:w="630" w:type="pct"/>
            <w:tcBorders>
              <w:top w:val="nil"/>
              <w:left w:val="nil"/>
              <w:bottom w:val="single" w:sz="8" w:space="0" w:color="000000"/>
              <w:right w:val="single" w:sz="8" w:space="0" w:color="000000"/>
            </w:tcBorders>
            <w:noWrap/>
            <w:vAlign w:val="center"/>
            <w:hideMark/>
          </w:tcPr>
          <w:p w14:paraId="156759A6"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-682 </w:t>
            </w:r>
          </w:p>
        </w:tc>
        <w:tc>
          <w:tcPr>
            <w:tcW w:w="637" w:type="pct"/>
            <w:tcBorders>
              <w:top w:val="nil"/>
              <w:left w:val="nil"/>
              <w:bottom w:val="single" w:sz="8" w:space="0" w:color="000000"/>
              <w:right w:val="single" w:sz="8" w:space="0" w:color="000000"/>
            </w:tcBorders>
            <w:noWrap/>
            <w:vAlign w:val="center"/>
            <w:hideMark/>
          </w:tcPr>
          <w:p w14:paraId="38E6F9DD"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-2,992 </w:t>
            </w:r>
          </w:p>
        </w:tc>
        <w:tc>
          <w:tcPr>
            <w:tcW w:w="637" w:type="pct"/>
            <w:tcBorders>
              <w:top w:val="nil"/>
              <w:left w:val="nil"/>
              <w:bottom w:val="single" w:sz="8" w:space="0" w:color="000000"/>
              <w:right w:val="single" w:sz="8" w:space="0" w:color="000000"/>
            </w:tcBorders>
            <w:noWrap/>
            <w:vAlign w:val="center"/>
            <w:hideMark/>
          </w:tcPr>
          <w:p w14:paraId="100C74D8"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-3,771 </w:t>
            </w:r>
          </w:p>
        </w:tc>
      </w:tr>
      <w:tr w:rsidR="00393455" w14:paraId="2DFA3C98" w14:textId="77777777">
        <w:trPr>
          <w:trHeight w:val="324"/>
        </w:trPr>
        <w:tc>
          <w:tcPr>
            <w:tcW w:w="926" w:type="pct"/>
            <w:tcBorders>
              <w:top w:val="nil"/>
              <w:left w:val="single" w:sz="4" w:space="0" w:color="auto"/>
              <w:bottom w:val="single" w:sz="4" w:space="0" w:color="auto"/>
              <w:right w:val="single" w:sz="4" w:space="0" w:color="auto"/>
            </w:tcBorders>
            <w:noWrap/>
            <w:vAlign w:val="center"/>
            <w:hideMark/>
          </w:tcPr>
          <w:p w14:paraId="055B75BE"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Operating Income</w:t>
            </w:r>
          </w:p>
        </w:tc>
        <w:tc>
          <w:tcPr>
            <w:tcW w:w="383" w:type="pct"/>
            <w:tcBorders>
              <w:top w:val="nil"/>
              <w:left w:val="nil"/>
              <w:bottom w:val="single" w:sz="4" w:space="0" w:color="auto"/>
              <w:right w:val="single" w:sz="4" w:space="0" w:color="auto"/>
            </w:tcBorders>
            <w:noWrap/>
            <w:vAlign w:val="center"/>
            <w:hideMark/>
          </w:tcPr>
          <w:p w14:paraId="20C0A21D"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w:t>
            </w:r>
          </w:p>
        </w:tc>
        <w:tc>
          <w:tcPr>
            <w:tcW w:w="546" w:type="pct"/>
            <w:tcBorders>
              <w:top w:val="nil"/>
              <w:left w:val="nil"/>
              <w:bottom w:val="single" w:sz="4" w:space="0" w:color="auto"/>
              <w:right w:val="single" w:sz="4" w:space="0" w:color="auto"/>
            </w:tcBorders>
            <w:noWrap/>
            <w:vAlign w:val="center"/>
            <w:hideMark/>
          </w:tcPr>
          <w:p w14:paraId="1917ECD5"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w:t>
            </w:r>
          </w:p>
        </w:tc>
        <w:tc>
          <w:tcPr>
            <w:tcW w:w="610" w:type="pct"/>
            <w:tcBorders>
              <w:top w:val="single" w:sz="4" w:space="0" w:color="auto"/>
              <w:left w:val="nil"/>
              <w:bottom w:val="single" w:sz="4" w:space="0" w:color="auto"/>
              <w:right w:val="single" w:sz="4" w:space="0" w:color="auto"/>
            </w:tcBorders>
            <w:noWrap/>
            <w:vAlign w:val="center"/>
            <w:hideMark/>
          </w:tcPr>
          <w:p w14:paraId="45E566FE"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1,750 </w:t>
            </w:r>
          </w:p>
        </w:tc>
        <w:tc>
          <w:tcPr>
            <w:tcW w:w="630" w:type="pct"/>
            <w:tcBorders>
              <w:top w:val="single" w:sz="4" w:space="0" w:color="auto"/>
              <w:left w:val="nil"/>
              <w:bottom w:val="single" w:sz="4" w:space="0" w:color="auto"/>
              <w:right w:val="single" w:sz="4" w:space="0" w:color="auto"/>
            </w:tcBorders>
            <w:noWrap/>
            <w:vAlign w:val="center"/>
            <w:hideMark/>
          </w:tcPr>
          <w:p w14:paraId="0CAD0048"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3,462 </w:t>
            </w:r>
          </w:p>
        </w:tc>
        <w:tc>
          <w:tcPr>
            <w:tcW w:w="630" w:type="pct"/>
            <w:tcBorders>
              <w:top w:val="single" w:sz="4" w:space="0" w:color="auto"/>
              <w:left w:val="nil"/>
              <w:bottom w:val="single" w:sz="4" w:space="0" w:color="auto"/>
              <w:right w:val="single" w:sz="4" w:space="0" w:color="auto"/>
            </w:tcBorders>
            <w:noWrap/>
            <w:vAlign w:val="center"/>
            <w:hideMark/>
          </w:tcPr>
          <w:p w14:paraId="63F0941C"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3,864 </w:t>
            </w:r>
          </w:p>
        </w:tc>
        <w:tc>
          <w:tcPr>
            <w:tcW w:w="637" w:type="pct"/>
            <w:tcBorders>
              <w:top w:val="single" w:sz="4" w:space="0" w:color="auto"/>
              <w:left w:val="nil"/>
              <w:bottom w:val="single" w:sz="4" w:space="0" w:color="auto"/>
              <w:right w:val="single" w:sz="4" w:space="0" w:color="auto"/>
            </w:tcBorders>
            <w:noWrap/>
            <w:vAlign w:val="center"/>
            <w:hideMark/>
          </w:tcPr>
          <w:p w14:paraId="1F6EDABA"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3,767 </w:t>
            </w:r>
          </w:p>
        </w:tc>
        <w:tc>
          <w:tcPr>
            <w:tcW w:w="637" w:type="pct"/>
            <w:tcBorders>
              <w:top w:val="single" w:sz="4" w:space="0" w:color="auto"/>
              <w:left w:val="nil"/>
              <w:bottom w:val="single" w:sz="4" w:space="0" w:color="auto"/>
              <w:right w:val="single" w:sz="4" w:space="0" w:color="auto"/>
            </w:tcBorders>
            <w:noWrap/>
            <w:vAlign w:val="center"/>
            <w:hideMark/>
          </w:tcPr>
          <w:p w14:paraId="7AC9E244"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4,141 </w:t>
            </w:r>
          </w:p>
        </w:tc>
      </w:tr>
      <w:tr w:rsidR="00393455" w14:paraId="1180AF69" w14:textId="77777777">
        <w:trPr>
          <w:trHeight w:val="324"/>
        </w:trPr>
        <w:tc>
          <w:tcPr>
            <w:tcW w:w="926" w:type="pct"/>
            <w:tcBorders>
              <w:top w:val="nil"/>
              <w:left w:val="single" w:sz="4" w:space="0" w:color="auto"/>
              <w:bottom w:val="single" w:sz="4" w:space="0" w:color="auto"/>
              <w:right w:val="single" w:sz="4" w:space="0" w:color="auto"/>
            </w:tcBorders>
            <w:noWrap/>
            <w:vAlign w:val="center"/>
            <w:hideMark/>
          </w:tcPr>
          <w:p w14:paraId="73F370A7"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Interest Expenses</w:t>
            </w:r>
          </w:p>
        </w:tc>
        <w:tc>
          <w:tcPr>
            <w:tcW w:w="383" w:type="pct"/>
            <w:tcBorders>
              <w:top w:val="nil"/>
              <w:left w:val="nil"/>
              <w:bottom w:val="single" w:sz="4" w:space="0" w:color="auto"/>
              <w:right w:val="single" w:sz="4" w:space="0" w:color="auto"/>
            </w:tcBorders>
            <w:noWrap/>
            <w:vAlign w:val="center"/>
            <w:hideMark/>
          </w:tcPr>
          <w:p w14:paraId="5D35A3E9"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w:t>
            </w:r>
          </w:p>
        </w:tc>
        <w:tc>
          <w:tcPr>
            <w:tcW w:w="546" w:type="pct"/>
            <w:tcBorders>
              <w:top w:val="nil"/>
              <w:left w:val="nil"/>
              <w:bottom w:val="single" w:sz="4" w:space="0" w:color="auto"/>
              <w:right w:val="single" w:sz="4" w:space="0" w:color="auto"/>
            </w:tcBorders>
            <w:noWrap/>
            <w:vAlign w:val="center"/>
            <w:hideMark/>
          </w:tcPr>
          <w:p w14:paraId="6DDE1B8D"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w:t>
            </w:r>
          </w:p>
        </w:tc>
        <w:tc>
          <w:tcPr>
            <w:tcW w:w="610" w:type="pct"/>
            <w:tcBorders>
              <w:top w:val="single" w:sz="8" w:space="0" w:color="000000"/>
              <w:left w:val="single" w:sz="8" w:space="0" w:color="000000"/>
              <w:bottom w:val="single" w:sz="8" w:space="0" w:color="000000"/>
              <w:right w:val="single" w:sz="8" w:space="0" w:color="000000"/>
            </w:tcBorders>
            <w:vAlign w:val="center"/>
            <w:hideMark/>
          </w:tcPr>
          <w:p w14:paraId="7CD3DE5D"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420 </w:t>
            </w:r>
          </w:p>
        </w:tc>
        <w:tc>
          <w:tcPr>
            <w:tcW w:w="630" w:type="pct"/>
            <w:tcBorders>
              <w:top w:val="single" w:sz="8" w:space="0" w:color="000000"/>
              <w:left w:val="nil"/>
              <w:bottom w:val="single" w:sz="8" w:space="0" w:color="000000"/>
              <w:right w:val="single" w:sz="8" w:space="0" w:color="000000"/>
            </w:tcBorders>
            <w:vAlign w:val="center"/>
            <w:hideMark/>
          </w:tcPr>
          <w:p w14:paraId="67069696"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403 </w:t>
            </w:r>
          </w:p>
        </w:tc>
        <w:tc>
          <w:tcPr>
            <w:tcW w:w="630" w:type="pct"/>
            <w:tcBorders>
              <w:top w:val="single" w:sz="8" w:space="0" w:color="000000"/>
              <w:left w:val="nil"/>
              <w:bottom w:val="single" w:sz="8" w:space="0" w:color="000000"/>
              <w:right w:val="single" w:sz="8" w:space="0" w:color="000000"/>
            </w:tcBorders>
            <w:vAlign w:val="center"/>
            <w:hideMark/>
          </w:tcPr>
          <w:p w14:paraId="02CBDBA0"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565 </w:t>
            </w:r>
          </w:p>
        </w:tc>
        <w:tc>
          <w:tcPr>
            <w:tcW w:w="637" w:type="pct"/>
            <w:tcBorders>
              <w:top w:val="single" w:sz="8" w:space="0" w:color="000000"/>
              <w:left w:val="nil"/>
              <w:bottom w:val="single" w:sz="8" w:space="0" w:color="000000"/>
              <w:right w:val="single" w:sz="8" w:space="0" w:color="000000"/>
            </w:tcBorders>
            <w:vAlign w:val="center"/>
            <w:hideMark/>
          </w:tcPr>
          <w:p w14:paraId="61B54883"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695 </w:t>
            </w:r>
          </w:p>
        </w:tc>
        <w:tc>
          <w:tcPr>
            <w:tcW w:w="637" w:type="pct"/>
            <w:tcBorders>
              <w:top w:val="single" w:sz="8" w:space="0" w:color="000000"/>
              <w:left w:val="nil"/>
              <w:bottom w:val="single" w:sz="8" w:space="0" w:color="000000"/>
              <w:right w:val="single" w:sz="8" w:space="0" w:color="000000"/>
            </w:tcBorders>
            <w:vAlign w:val="center"/>
            <w:hideMark/>
          </w:tcPr>
          <w:p w14:paraId="02ABBD10"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809 </w:t>
            </w:r>
          </w:p>
        </w:tc>
      </w:tr>
      <w:tr w:rsidR="00393455" w14:paraId="37DC7D61" w14:textId="77777777">
        <w:trPr>
          <w:trHeight w:val="624"/>
        </w:trPr>
        <w:tc>
          <w:tcPr>
            <w:tcW w:w="926" w:type="pct"/>
            <w:tcBorders>
              <w:top w:val="nil"/>
              <w:left w:val="single" w:sz="4" w:space="0" w:color="auto"/>
              <w:bottom w:val="single" w:sz="4" w:space="0" w:color="auto"/>
              <w:right w:val="single" w:sz="4" w:space="0" w:color="auto"/>
            </w:tcBorders>
            <w:shd w:val="clear" w:color="auto" w:fill="C2D69B"/>
            <w:noWrap/>
            <w:vAlign w:val="center"/>
            <w:hideMark/>
          </w:tcPr>
          <w:p w14:paraId="10D60326"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Debt/Equity Ratio</w:t>
            </w:r>
          </w:p>
        </w:tc>
        <w:tc>
          <w:tcPr>
            <w:tcW w:w="383" w:type="pct"/>
            <w:tcBorders>
              <w:top w:val="nil"/>
              <w:left w:val="nil"/>
              <w:bottom w:val="single" w:sz="4" w:space="0" w:color="auto"/>
              <w:right w:val="single" w:sz="4" w:space="0" w:color="auto"/>
            </w:tcBorders>
            <w:shd w:val="clear" w:color="auto" w:fill="C2D69B"/>
            <w:noWrap/>
            <w:vAlign w:val="center"/>
            <w:hideMark/>
          </w:tcPr>
          <w:p w14:paraId="7D439587"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A/B</w:t>
            </w:r>
          </w:p>
        </w:tc>
        <w:tc>
          <w:tcPr>
            <w:tcW w:w="546" w:type="pct"/>
            <w:tcBorders>
              <w:top w:val="nil"/>
              <w:left w:val="nil"/>
              <w:bottom w:val="single" w:sz="4" w:space="0" w:color="auto"/>
              <w:right w:val="single" w:sz="4" w:space="0" w:color="auto"/>
            </w:tcBorders>
            <w:shd w:val="clear" w:color="auto" w:fill="C2D69B"/>
            <w:vAlign w:val="center"/>
            <w:hideMark/>
          </w:tcPr>
          <w:p w14:paraId="24CC5C3F"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(Total Liabilities / Equity)</w:t>
            </w:r>
          </w:p>
        </w:tc>
        <w:tc>
          <w:tcPr>
            <w:tcW w:w="610" w:type="pct"/>
            <w:tcBorders>
              <w:top w:val="single" w:sz="4" w:space="0" w:color="auto"/>
              <w:left w:val="nil"/>
              <w:bottom w:val="single" w:sz="4" w:space="0" w:color="auto"/>
              <w:right w:val="single" w:sz="4" w:space="0" w:color="auto"/>
            </w:tcBorders>
            <w:shd w:val="clear" w:color="auto" w:fill="C2D69B"/>
            <w:noWrap/>
            <w:vAlign w:val="center"/>
            <w:hideMark/>
          </w:tcPr>
          <w:p w14:paraId="4EFBAEA2"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17.07 </w:t>
            </w:r>
          </w:p>
        </w:tc>
        <w:tc>
          <w:tcPr>
            <w:tcW w:w="630" w:type="pct"/>
            <w:tcBorders>
              <w:top w:val="single" w:sz="4" w:space="0" w:color="auto"/>
              <w:left w:val="nil"/>
              <w:bottom w:val="single" w:sz="4" w:space="0" w:color="auto"/>
              <w:right w:val="single" w:sz="4" w:space="0" w:color="auto"/>
            </w:tcBorders>
            <w:shd w:val="clear" w:color="auto" w:fill="C2D69B"/>
            <w:noWrap/>
            <w:vAlign w:val="center"/>
            <w:hideMark/>
          </w:tcPr>
          <w:p w14:paraId="28675D36"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42.69 </w:t>
            </w:r>
          </w:p>
        </w:tc>
        <w:tc>
          <w:tcPr>
            <w:tcW w:w="630" w:type="pct"/>
            <w:tcBorders>
              <w:top w:val="single" w:sz="4" w:space="0" w:color="auto"/>
              <w:left w:val="nil"/>
              <w:bottom w:val="single" w:sz="4" w:space="0" w:color="auto"/>
              <w:right w:val="single" w:sz="4" w:space="0" w:color="auto"/>
            </w:tcBorders>
            <w:shd w:val="clear" w:color="auto" w:fill="C2D69B"/>
            <w:noWrap/>
            <w:vAlign w:val="center"/>
            <w:hideMark/>
          </w:tcPr>
          <w:p w14:paraId="206FAAB9"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(38.65)</w:t>
            </w:r>
          </w:p>
        </w:tc>
        <w:tc>
          <w:tcPr>
            <w:tcW w:w="637" w:type="pct"/>
            <w:tcBorders>
              <w:top w:val="single" w:sz="4" w:space="0" w:color="auto"/>
              <w:left w:val="nil"/>
              <w:bottom w:val="single" w:sz="4" w:space="0" w:color="auto"/>
              <w:right w:val="single" w:sz="4" w:space="0" w:color="auto"/>
            </w:tcBorders>
            <w:shd w:val="clear" w:color="auto" w:fill="C2D69B"/>
            <w:noWrap/>
            <w:vAlign w:val="center"/>
            <w:hideMark/>
          </w:tcPr>
          <w:p w14:paraId="76F54755"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(9.75)</w:t>
            </w:r>
          </w:p>
        </w:tc>
        <w:tc>
          <w:tcPr>
            <w:tcW w:w="637" w:type="pct"/>
            <w:tcBorders>
              <w:top w:val="single" w:sz="4" w:space="0" w:color="auto"/>
              <w:left w:val="nil"/>
              <w:bottom w:val="single" w:sz="4" w:space="0" w:color="auto"/>
              <w:right w:val="single" w:sz="4" w:space="0" w:color="auto"/>
            </w:tcBorders>
            <w:shd w:val="clear" w:color="auto" w:fill="C2D69B"/>
            <w:noWrap/>
            <w:vAlign w:val="center"/>
            <w:hideMark/>
          </w:tcPr>
          <w:p w14:paraId="3ABE76B3"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(8.30)</w:t>
            </w:r>
          </w:p>
        </w:tc>
      </w:tr>
      <w:tr w:rsidR="00393455" w14:paraId="3CC02D80" w14:textId="77777777">
        <w:trPr>
          <w:trHeight w:val="624"/>
        </w:trPr>
        <w:tc>
          <w:tcPr>
            <w:tcW w:w="926" w:type="pct"/>
            <w:tcBorders>
              <w:top w:val="nil"/>
              <w:left w:val="single" w:sz="4" w:space="0" w:color="auto"/>
              <w:bottom w:val="single" w:sz="4" w:space="0" w:color="auto"/>
              <w:right w:val="single" w:sz="4" w:space="0" w:color="auto"/>
            </w:tcBorders>
            <w:shd w:val="clear" w:color="auto" w:fill="C2D69B"/>
            <w:noWrap/>
            <w:vAlign w:val="center"/>
            <w:hideMark/>
          </w:tcPr>
          <w:p w14:paraId="20C2CF9A"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Interest Coverage Ratio</w:t>
            </w:r>
          </w:p>
        </w:tc>
        <w:tc>
          <w:tcPr>
            <w:tcW w:w="383" w:type="pct"/>
            <w:tcBorders>
              <w:top w:val="nil"/>
              <w:left w:val="nil"/>
              <w:bottom w:val="single" w:sz="4" w:space="0" w:color="auto"/>
              <w:right w:val="single" w:sz="4" w:space="0" w:color="auto"/>
            </w:tcBorders>
            <w:shd w:val="clear" w:color="auto" w:fill="C2D69B"/>
            <w:noWrap/>
            <w:vAlign w:val="center"/>
            <w:hideMark/>
          </w:tcPr>
          <w:p w14:paraId="6CA306DB"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C/D</w:t>
            </w:r>
          </w:p>
        </w:tc>
        <w:tc>
          <w:tcPr>
            <w:tcW w:w="546" w:type="pct"/>
            <w:tcBorders>
              <w:top w:val="nil"/>
              <w:left w:val="nil"/>
              <w:bottom w:val="single" w:sz="4" w:space="0" w:color="auto"/>
              <w:right w:val="single" w:sz="4" w:space="0" w:color="auto"/>
            </w:tcBorders>
            <w:shd w:val="clear" w:color="auto" w:fill="C2D69B"/>
            <w:vAlign w:val="center"/>
            <w:hideMark/>
          </w:tcPr>
          <w:p w14:paraId="454AFD70"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(Operating Income / Interest Expense)</w:t>
            </w:r>
          </w:p>
        </w:tc>
        <w:tc>
          <w:tcPr>
            <w:tcW w:w="610" w:type="pct"/>
            <w:tcBorders>
              <w:top w:val="nil"/>
              <w:left w:val="nil"/>
              <w:bottom w:val="single" w:sz="4" w:space="0" w:color="auto"/>
              <w:right w:val="single" w:sz="4" w:space="0" w:color="auto"/>
            </w:tcBorders>
            <w:shd w:val="clear" w:color="auto" w:fill="C2D69B"/>
            <w:noWrap/>
            <w:vAlign w:val="center"/>
            <w:hideMark/>
          </w:tcPr>
          <w:p w14:paraId="68E99185"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4.17 </w:t>
            </w:r>
          </w:p>
        </w:tc>
        <w:tc>
          <w:tcPr>
            <w:tcW w:w="630" w:type="pct"/>
            <w:tcBorders>
              <w:top w:val="nil"/>
              <w:left w:val="nil"/>
              <w:bottom w:val="single" w:sz="4" w:space="0" w:color="auto"/>
              <w:right w:val="single" w:sz="4" w:space="0" w:color="auto"/>
            </w:tcBorders>
            <w:shd w:val="clear" w:color="auto" w:fill="C2D69B"/>
            <w:noWrap/>
            <w:vAlign w:val="center"/>
            <w:hideMark/>
          </w:tcPr>
          <w:p w14:paraId="6380815E"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8.59 </w:t>
            </w:r>
          </w:p>
        </w:tc>
        <w:tc>
          <w:tcPr>
            <w:tcW w:w="630" w:type="pct"/>
            <w:tcBorders>
              <w:top w:val="nil"/>
              <w:left w:val="nil"/>
              <w:bottom w:val="single" w:sz="4" w:space="0" w:color="auto"/>
              <w:right w:val="single" w:sz="4" w:space="0" w:color="auto"/>
            </w:tcBorders>
            <w:shd w:val="clear" w:color="auto" w:fill="C2D69B"/>
            <w:noWrap/>
            <w:vAlign w:val="center"/>
            <w:hideMark/>
          </w:tcPr>
          <w:p w14:paraId="53EFDC1F"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6.84 </w:t>
            </w:r>
          </w:p>
        </w:tc>
        <w:tc>
          <w:tcPr>
            <w:tcW w:w="637" w:type="pct"/>
            <w:tcBorders>
              <w:top w:val="nil"/>
              <w:left w:val="nil"/>
              <w:bottom w:val="single" w:sz="4" w:space="0" w:color="auto"/>
              <w:right w:val="single" w:sz="4" w:space="0" w:color="auto"/>
            </w:tcBorders>
            <w:shd w:val="clear" w:color="auto" w:fill="C2D69B"/>
            <w:noWrap/>
            <w:vAlign w:val="center"/>
            <w:hideMark/>
          </w:tcPr>
          <w:p w14:paraId="33DC7D76"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5.42 </w:t>
            </w:r>
          </w:p>
        </w:tc>
        <w:tc>
          <w:tcPr>
            <w:tcW w:w="637" w:type="pct"/>
            <w:tcBorders>
              <w:top w:val="nil"/>
              <w:left w:val="nil"/>
              <w:bottom w:val="single" w:sz="4" w:space="0" w:color="auto"/>
              <w:right w:val="single" w:sz="4" w:space="0" w:color="auto"/>
            </w:tcBorders>
            <w:shd w:val="clear" w:color="auto" w:fill="C2D69B"/>
            <w:noWrap/>
            <w:vAlign w:val="center"/>
            <w:hideMark/>
          </w:tcPr>
          <w:p w14:paraId="2CC5D66F"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5.12 </w:t>
            </w:r>
          </w:p>
        </w:tc>
      </w:tr>
    </w:tbl>
    <w:p w14:paraId="339E64C9" w14:textId="77777777" w:rsidR="00393455" w:rsidRDefault="00393455">
      <w:pPr>
        <w:spacing w:line="360" w:lineRule="auto"/>
        <w:rPr>
          <w:rFonts w:ascii="Times New Roman" w:hAnsi="Times New Roman" w:cs="Times New Roman"/>
          <w:b/>
          <w:bCs/>
          <w:sz w:val="24"/>
          <w:szCs w:val="24"/>
          <w:lang w:val="en-GB"/>
        </w:rPr>
      </w:pPr>
    </w:p>
    <w:tbl>
      <w:tblPr>
        <w:tblW w:w="5000" w:type="pct"/>
        <w:tblLook w:val="04A0" w:firstRow="1" w:lastRow="0" w:firstColumn="1" w:lastColumn="0" w:noHBand="0" w:noVBand="1"/>
      </w:tblPr>
      <w:tblGrid>
        <w:gridCol w:w="1839"/>
        <w:gridCol w:w="792"/>
        <w:gridCol w:w="1183"/>
        <w:gridCol w:w="1080"/>
        <w:gridCol w:w="1114"/>
        <w:gridCol w:w="1114"/>
        <w:gridCol w:w="1114"/>
        <w:gridCol w:w="1114"/>
      </w:tblGrid>
      <w:tr w:rsidR="00393455" w14:paraId="6E9C3C27" w14:textId="77777777">
        <w:trPr>
          <w:trHeight w:val="312"/>
        </w:trPr>
        <w:tc>
          <w:tcPr>
            <w:tcW w:w="5000" w:type="pct"/>
            <w:gridSpan w:val="8"/>
            <w:tcBorders>
              <w:top w:val="single" w:sz="4" w:space="0" w:color="auto"/>
              <w:left w:val="single" w:sz="4" w:space="0" w:color="auto"/>
              <w:bottom w:val="single" w:sz="4" w:space="0" w:color="auto"/>
              <w:right w:val="single" w:sz="4" w:space="0" w:color="auto"/>
            </w:tcBorders>
            <w:shd w:val="clear" w:color="auto" w:fill="D99594"/>
            <w:noWrap/>
            <w:vAlign w:val="center"/>
            <w:hideMark/>
          </w:tcPr>
          <w:p w14:paraId="5E8D5254"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Efficiency Ratios</w:t>
            </w:r>
          </w:p>
        </w:tc>
      </w:tr>
      <w:tr w:rsidR="00393455" w14:paraId="6D7798D0" w14:textId="77777777">
        <w:trPr>
          <w:trHeight w:val="312"/>
        </w:trPr>
        <w:tc>
          <w:tcPr>
            <w:tcW w:w="985" w:type="pct"/>
            <w:tcBorders>
              <w:top w:val="nil"/>
              <w:left w:val="single" w:sz="4" w:space="0" w:color="auto"/>
              <w:bottom w:val="single" w:sz="4" w:space="0" w:color="auto"/>
              <w:right w:val="single" w:sz="4" w:space="0" w:color="auto"/>
            </w:tcBorders>
            <w:shd w:val="clear" w:color="auto" w:fill="FFFF00"/>
            <w:noWrap/>
            <w:vAlign w:val="center"/>
            <w:hideMark/>
          </w:tcPr>
          <w:p w14:paraId="7ABC83A0"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Particulars</w:t>
            </w:r>
          </w:p>
        </w:tc>
        <w:tc>
          <w:tcPr>
            <w:tcW w:w="422" w:type="pct"/>
            <w:tcBorders>
              <w:top w:val="nil"/>
              <w:left w:val="nil"/>
              <w:bottom w:val="single" w:sz="4" w:space="0" w:color="auto"/>
              <w:right w:val="single" w:sz="4" w:space="0" w:color="auto"/>
            </w:tcBorders>
            <w:shd w:val="clear" w:color="auto" w:fill="FFFF00"/>
            <w:noWrap/>
            <w:vAlign w:val="center"/>
            <w:hideMark/>
          </w:tcPr>
          <w:p w14:paraId="2D127ADA"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Details</w:t>
            </w:r>
          </w:p>
        </w:tc>
        <w:tc>
          <w:tcPr>
            <w:tcW w:w="633" w:type="pct"/>
            <w:tcBorders>
              <w:top w:val="nil"/>
              <w:left w:val="nil"/>
              <w:bottom w:val="single" w:sz="4" w:space="0" w:color="auto"/>
              <w:right w:val="single" w:sz="4" w:space="0" w:color="auto"/>
            </w:tcBorders>
            <w:shd w:val="clear" w:color="auto" w:fill="FFFF00"/>
            <w:noWrap/>
            <w:vAlign w:val="center"/>
            <w:hideMark/>
          </w:tcPr>
          <w:p w14:paraId="38FFBC10"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Formula </w:t>
            </w:r>
          </w:p>
        </w:tc>
        <w:tc>
          <w:tcPr>
            <w:tcW w:w="577" w:type="pct"/>
            <w:tcBorders>
              <w:top w:val="nil"/>
              <w:left w:val="nil"/>
              <w:bottom w:val="single" w:sz="4" w:space="0" w:color="auto"/>
              <w:right w:val="single" w:sz="4" w:space="0" w:color="auto"/>
            </w:tcBorders>
            <w:shd w:val="clear" w:color="auto" w:fill="FFFF00"/>
            <w:vAlign w:val="center"/>
            <w:hideMark/>
          </w:tcPr>
          <w:p w14:paraId="45DE7480"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2020</w:t>
            </w:r>
          </w:p>
        </w:tc>
        <w:tc>
          <w:tcPr>
            <w:tcW w:w="596" w:type="pct"/>
            <w:tcBorders>
              <w:top w:val="nil"/>
              <w:left w:val="nil"/>
              <w:bottom w:val="single" w:sz="4" w:space="0" w:color="auto"/>
              <w:right w:val="single" w:sz="4" w:space="0" w:color="auto"/>
            </w:tcBorders>
            <w:shd w:val="clear" w:color="auto" w:fill="FFFF00"/>
            <w:vAlign w:val="center"/>
            <w:hideMark/>
          </w:tcPr>
          <w:p w14:paraId="02281F4E"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2021</w:t>
            </w:r>
          </w:p>
        </w:tc>
        <w:tc>
          <w:tcPr>
            <w:tcW w:w="596" w:type="pct"/>
            <w:tcBorders>
              <w:top w:val="nil"/>
              <w:left w:val="nil"/>
              <w:bottom w:val="single" w:sz="4" w:space="0" w:color="auto"/>
              <w:right w:val="single" w:sz="4" w:space="0" w:color="auto"/>
            </w:tcBorders>
            <w:shd w:val="clear" w:color="auto" w:fill="FFFF00"/>
            <w:vAlign w:val="center"/>
            <w:hideMark/>
          </w:tcPr>
          <w:p w14:paraId="5845ADC7"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2022</w:t>
            </w:r>
          </w:p>
        </w:tc>
        <w:tc>
          <w:tcPr>
            <w:tcW w:w="596" w:type="pct"/>
            <w:tcBorders>
              <w:top w:val="nil"/>
              <w:left w:val="nil"/>
              <w:bottom w:val="single" w:sz="4" w:space="0" w:color="auto"/>
              <w:right w:val="single" w:sz="4" w:space="0" w:color="auto"/>
            </w:tcBorders>
            <w:shd w:val="clear" w:color="auto" w:fill="FFFF00"/>
            <w:vAlign w:val="center"/>
            <w:hideMark/>
          </w:tcPr>
          <w:p w14:paraId="04289F37"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2023</w:t>
            </w:r>
          </w:p>
        </w:tc>
        <w:tc>
          <w:tcPr>
            <w:tcW w:w="596" w:type="pct"/>
            <w:tcBorders>
              <w:top w:val="nil"/>
              <w:left w:val="nil"/>
              <w:bottom w:val="single" w:sz="4" w:space="0" w:color="auto"/>
              <w:right w:val="single" w:sz="4" w:space="0" w:color="auto"/>
            </w:tcBorders>
            <w:shd w:val="clear" w:color="auto" w:fill="FFFF00"/>
            <w:vAlign w:val="center"/>
            <w:hideMark/>
          </w:tcPr>
          <w:p w14:paraId="2570A506"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2024</w:t>
            </w:r>
          </w:p>
        </w:tc>
      </w:tr>
      <w:tr w:rsidR="00393455" w14:paraId="41FF42DA" w14:textId="77777777">
        <w:trPr>
          <w:trHeight w:val="312"/>
        </w:trPr>
        <w:tc>
          <w:tcPr>
            <w:tcW w:w="985" w:type="pct"/>
            <w:tcBorders>
              <w:top w:val="nil"/>
              <w:left w:val="single" w:sz="4" w:space="0" w:color="auto"/>
              <w:bottom w:val="single" w:sz="4" w:space="0" w:color="auto"/>
              <w:right w:val="single" w:sz="4" w:space="0" w:color="auto"/>
            </w:tcBorders>
            <w:noWrap/>
            <w:vAlign w:val="center"/>
            <w:hideMark/>
          </w:tcPr>
          <w:p w14:paraId="202E6843"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Net Sales</w:t>
            </w:r>
          </w:p>
        </w:tc>
        <w:tc>
          <w:tcPr>
            <w:tcW w:w="422" w:type="pct"/>
            <w:tcBorders>
              <w:top w:val="nil"/>
              <w:left w:val="nil"/>
              <w:bottom w:val="single" w:sz="4" w:space="0" w:color="auto"/>
              <w:right w:val="single" w:sz="4" w:space="0" w:color="auto"/>
            </w:tcBorders>
            <w:noWrap/>
            <w:vAlign w:val="center"/>
            <w:hideMark/>
          </w:tcPr>
          <w:p w14:paraId="2F62A031"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w:t>
            </w:r>
          </w:p>
        </w:tc>
        <w:tc>
          <w:tcPr>
            <w:tcW w:w="633" w:type="pct"/>
            <w:tcBorders>
              <w:top w:val="nil"/>
              <w:left w:val="nil"/>
              <w:bottom w:val="single" w:sz="4" w:space="0" w:color="auto"/>
              <w:right w:val="single" w:sz="4" w:space="0" w:color="auto"/>
            </w:tcBorders>
            <w:noWrap/>
            <w:vAlign w:val="center"/>
            <w:hideMark/>
          </w:tcPr>
          <w:p w14:paraId="75A84712"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w:t>
            </w:r>
          </w:p>
        </w:tc>
        <w:tc>
          <w:tcPr>
            <w:tcW w:w="577" w:type="pct"/>
            <w:tcBorders>
              <w:top w:val="nil"/>
              <w:left w:val="nil"/>
              <w:bottom w:val="single" w:sz="4" w:space="0" w:color="auto"/>
              <w:right w:val="single" w:sz="4" w:space="0" w:color="auto"/>
            </w:tcBorders>
            <w:noWrap/>
            <w:vAlign w:val="center"/>
            <w:hideMark/>
          </w:tcPr>
          <w:p w14:paraId="53BB847C"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13,857 </w:t>
            </w:r>
          </w:p>
        </w:tc>
        <w:tc>
          <w:tcPr>
            <w:tcW w:w="596" w:type="pct"/>
            <w:tcBorders>
              <w:top w:val="nil"/>
              <w:left w:val="nil"/>
              <w:bottom w:val="single" w:sz="4" w:space="0" w:color="auto"/>
              <w:right w:val="single" w:sz="4" w:space="0" w:color="auto"/>
            </w:tcBorders>
            <w:noWrap/>
            <w:vAlign w:val="center"/>
            <w:hideMark/>
          </w:tcPr>
          <w:p w14:paraId="5BD66821"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20,773 </w:t>
            </w:r>
          </w:p>
        </w:tc>
        <w:tc>
          <w:tcPr>
            <w:tcW w:w="596" w:type="pct"/>
            <w:tcBorders>
              <w:top w:val="nil"/>
              <w:left w:val="nil"/>
              <w:bottom w:val="single" w:sz="4" w:space="0" w:color="auto"/>
              <w:right w:val="single" w:sz="4" w:space="0" w:color="auto"/>
            </w:tcBorders>
            <w:noWrap/>
            <w:vAlign w:val="center"/>
            <w:hideMark/>
          </w:tcPr>
          <w:p w14:paraId="4B65A715"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23,713 </w:t>
            </w:r>
          </w:p>
        </w:tc>
        <w:tc>
          <w:tcPr>
            <w:tcW w:w="596" w:type="pct"/>
            <w:tcBorders>
              <w:top w:val="nil"/>
              <w:left w:val="nil"/>
              <w:bottom w:val="single" w:sz="4" w:space="0" w:color="auto"/>
              <w:right w:val="single" w:sz="4" w:space="0" w:color="auto"/>
            </w:tcBorders>
            <w:noWrap/>
            <w:vAlign w:val="center"/>
            <w:hideMark/>
          </w:tcPr>
          <w:p w14:paraId="15C7BC74"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25,100 </w:t>
            </w:r>
          </w:p>
        </w:tc>
        <w:tc>
          <w:tcPr>
            <w:tcW w:w="596" w:type="pct"/>
            <w:tcBorders>
              <w:top w:val="nil"/>
              <w:left w:val="nil"/>
              <w:bottom w:val="single" w:sz="4" w:space="0" w:color="auto"/>
              <w:right w:val="single" w:sz="4" w:space="0" w:color="auto"/>
            </w:tcBorders>
            <w:noWrap/>
            <w:vAlign w:val="center"/>
            <w:hideMark/>
          </w:tcPr>
          <w:p w14:paraId="2A95703B"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26,186 </w:t>
            </w:r>
          </w:p>
        </w:tc>
      </w:tr>
      <w:tr w:rsidR="00393455" w14:paraId="6205534A" w14:textId="77777777">
        <w:trPr>
          <w:trHeight w:val="324"/>
        </w:trPr>
        <w:tc>
          <w:tcPr>
            <w:tcW w:w="985" w:type="pct"/>
            <w:tcBorders>
              <w:top w:val="nil"/>
              <w:left w:val="single" w:sz="4" w:space="0" w:color="auto"/>
              <w:bottom w:val="single" w:sz="4" w:space="0" w:color="auto"/>
              <w:right w:val="single" w:sz="4" w:space="0" w:color="auto"/>
            </w:tcBorders>
            <w:noWrap/>
            <w:vAlign w:val="center"/>
            <w:hideMark/>
          </w:tcPr>
          <w:p w14:paraId="78B4809B"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Cost of Sales </w:t>
            </w:r>
          </w:p>
        </w:tc>
        <w:tc>
          <w:tcPr>
            <w:tcW w:w="422" w:type="pct"/>
            <w:tcBorders>
              <w:top w:val="nil"/>
              <w:left w:val="nil"/>
              <w:bottom w:val="single" w:sz="4" w:space="0" w:color="auto"/>
              <w:right w:val="single" w:sz="4" w:space="0" w:color="auto"/>
            </w:tcBorders>
            <w:noWrap/>
            <w:vAlign w:val="center"/>
            <w:hideMark/>
          </w:tcPr>
          <w:p w14:paraId="3FB6AB3A"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w:t>
            </w:r>
          </w:p>
        </w:tc>
        <w:tc>
          <w:tcPr>
            <w:tcW w:w="633" w:type="pct"/>
            <w:tcBorders>
              <w:top w:val="nil"/>
              <w:left w:val="nil"/>
              <w:bottom w:val="single" w:sz="4" w:space="0" w:color="auto"/>
              <w:right w:val="single" w:sz="4" w:space="0" w:color="auto"/>
            </w:tcBorders>
            <w:noWrap/>
            <w:vAlign w:val="center"/>
            <w:hideMark/>
          </w:tcPr>
          <w:p w14:paraId="5DD39FB8"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w:t>
            </w:r>
          </w:p>
        </w:tc>
        <w:tc>
          <w:tcPr>
            <w:tcW w:w="577" w:type="pct"/>
            <w:tcBorders>
              <w:top w:val="nil"/>
              <w:left w:val="nil"/>
              <w:bottom w:val="single" w:sz="4" w:space="0" w:color="auto"/>
              <w:right w:val="single" w:sz="4" w:space="0" w:color="auto"/>
            </w:tcBorders>
            <w:vAlign w:val="center"/>
            <w:hideMark/>
          </w:tcPr>
          <w:p w14:paraId="1AA332E8"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11,056 </w:t>
            </w:r>
          </w:p>
        </w:tc>
        <w:tc>
          <w:tcPr>
            <w:tcW w:w="596" w:type="pct"/>
            <w:tcBorders>
              <w:top w:val="nil"/>
              <w:left w:val="nil"/>
              <w:bottom w:val="single" w:sz="8" w:space="0" w:color="000000"/>
              <w:right w:val="single" w:sz="8" w:space="0" w:color="000000"/>
            </w:tcBorders>
            <w:noWrap/>
            <w:vAlign w:val="center"/>
            <w:hideMark/>
          </w:tcPr>
          <w:p w14:paraId="01E4B8B0"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16,215 </w:t>
            </w:r>
          </w:p>
        </w:tc>
        <w:tc>
          <w:tcPr>
            <w:tcW w:w="596" w:type="pct"/>
            <w:tcBorders>
              <w:top w:val="nil"/>
              <w:left w:val="nil"/>
              <w:bottom w:val="single" w:sz="8" w:space="0" w:color="000000"/>
              <w:right w:val="single" w:sz="8" w:space="0" w:color="000000"/>
            </w:tcBorders>
            <w:noWrap/>
            <w:vAlign w:val="center"/>
            <w:hideMark/>
          </w:tcPr>
          <w:p w14:paraId="3E8DF993"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18,733 </w:t>
            </w:r>
          </w:p>
        </w:tc>
        <w:tc>
          <w:tcPr>
            <w:tcW w:w="596" w:type="pct"/>
            <w:tcBorders>
              <w:top w:val="nil"/>
              <w:left w:val="nil"/>
              <w:bottom w:val="single" w:sz="8" w:space="0" w:color="000000"/>
              <w:right w:val="single" w:sz="8" w:space="0" w:color="000000"/>
            </w:tcBorders>
            <w:noWrap/>
            <w:vAlign w:val="center"/>
            <w:hideMark/>
          </w:tcPr>
          <w:p w14:paraId="67AC5ABD"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20,128 </w:t>
            </w:r>
          </w:p>
        </w:tc>
        <w:tc>
          <w:tcPr>
            <w:tcW w:w="596" w:type="pct"/>
            <w:tcBorders>
              <w:top w:val="nil"/>
              <w:left w:val="nil"/>
              <w:bottom w:val="single" w:sz="8" w:space="0" w:color="000000"/>
              <w:right w:val="single" w:sz="8" w:space="0" w:color="000000"/>
            </w:tcBorders>
            <w:noWrap/>
            <w:vAlign w:val="center"/>
            <w:hideMark/>
          </w:tcPr>
          <w:p w14:paraId="5A21E970"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20,964 </w:t>
            </w:r>
          </w:p>
        </w:tc>
      </w:tr>
      <w:tr w:rsidR="00393455" w14:paraId="3721CCEB" w14:textId="77777777">
        <w:trPr>
          <w:trHeight w:val="324"/>
        </w:trPr>
        <w:tc>
          <w:tcPr>
            <w:tcW w:w="985" w:type="pct"/>
            <w:tcBorders>
              <w:top w:val="nil"/>
              <w:left w:val="single" w:sz="4" w:space="0" w:color="auto"/>
              <w:bottom w:val="single" w:sz="4" w:space="0" w:color="auto"/>
              <w:right w:val="single" w:sz="4" w:space="0" w:color="auto"/>
            </w:tcBorders>
            <w:noWrap/>
            <w:vAlign w:val="center"/>
            <w:hideMark/>
          </w:tcPr>
          <w:p w14:paraId="0159236A"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Account Receivable</w:t>
            </w:r>
          </w:p>
        </w:tc>
        <w:tc>
          <w:tcPr>
            <w:tcW w:w="422" w:type="pct"/>
            <w:tcBorders>
              <w:top w:val="nil"/>
              <w:left w:val="nil"/>
              <w:bottom w:val="single" w:sz="4" w:space="0" w:color="auto"/>
              <w:right w:val="single" w:sz="4" w:space="0" w:color="auto"/>
            </w:tcBorders>
            <w:noWrap/>
            <w:vAlign w:val="center"/>
            <w:hideMark/>
          </w:tcPr>
          <w:p w14:paraId="53B051B4"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w:t>
            </w:r>
          </w:p>
        </w:tc>
        <w:tc>
          <w:tcPr>
            <w:tcW w:w="633" w:type="pct"/>
            <w:tcBorders>
              <w:top w:val="nil"/>
              <w:left w:val="nil"/>
              <w:bottom w:val="single" w:sz="4" w:space="0" w:color="auto"/>
              <w:right w:val="single" w:sz="4" w:space="0" w:color="auto"/>
            </w:tcBorders>
            <w:noWrap/>
            <w:vAlign w:val="center"/>
            <w:hideMark/>
          </w:tcPr>
          <w:p w14:paraId="2E3B4913"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w:t>
            </w:r>
          </w:p>
        </w:tc>
        <w:tc>
          <w:tcPr>
            <w:tcW w:w="577" w:type="pct"/>
            <w:tcBorders>
              <w:top w:val="nil"/>
              <w:left w:val="nil"/>
              <w:bottom w:val="single" w:sz="4" w:space="0" w:color="auto"/>
              <w:right w:val="single" w:sz="4" w:space="0" w:color="auto"/>
            </w:tcBorders>
            <w:vAlign w:val="center"/>
            <w:hideMark/>
          </w:tcPr>
          <w:p w14:paraId="336F254F"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1,982 </w:t>
            </w:r>
          </w:p>
        </w:tc>
        <w:tc>
          <w:tcPr>
            <w:tcW w:w="596" w:type="pct"/>
            <w:tcBorders>
              <w:top w:val="nil"/>
              <w:left w:val="nil"/>
              <w:bottom w:val="single" w:sz="8" w:space="0" w:color="000000"/>
              <w:right w:val="single" w:sz="8" w:space="0" w:color="000000"/>
            </w:tcBorders>
            <w:noWrap/>
            <w:vAlign w:val="center"/>
            <w:hideMark/>
          </w:tcPr>
          <w:p w14:paraId="49F72582"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2,571 </w:t>
            </w:r>
          </w:p>
        </w:tc>
        <w:tc>
          <w:tcPr>
            <w:tcW w:w="596" w:type="pct"/>
            <w:tcBorders>
              <w:top w:val="nil"/>
              <w:left w:val="nil"/>
              <w:bottom w:val="single" w:sz="8" w:space="0" w:color="000000"/>
              <w:right w:val="single" w:sz="8" w:space="0" w:color="000000"/>
            </w:tcBorders>
            <w:noWrap/>
            <w:vAlign w:val="center"/>
            <w:hideMark/>
          </w:tcPr>
          <w:p w14:paraId="2966D5F4"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2,712 </w:t>
            </w:r>
          </w:p>
        </w:tc>
        <w:tc>
          <w:tcPr>
            <w:tcW w:w="596" w:type="pct"/>
            <w:tcBorders>
              <w:top w:val="nil"/>
              <w:left w:val="nil"/>
              <w:bottom w:val="single" w:sz="8" w:space="0" w:color="000000"/>
              <w:right w:val="single" w:sz="8" w:space="0" w:color="000000"/>
            </w:tcBorders>
            <w:noWrap/>
            <w:vAlign w:val="center"/>
            <w:hideMark/>
          </w:tcPr>
          <w:p w14:paraId="692AB06E"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2,795 </w:t>
            </w:r>
          </w:p>
        </w:tc>
        <w:tc>
          <w:tcPr>
            <w:tcW w:w="596" w:type="pct"/>
            <w:tcBorders>
              <w:top w:val="nil"/>
              <w:left w:val="nil"/>
              <w:bottom w:val="single" w:sz="8" w:space="0" w:color="000000"/>
              <w:right w:val="single" w:sz="8" w:space="0" w:color="000000"/>
            </w:tcBorders>
            <w:noWrap/>
            <w:vAlign w:val="center"/>
            <w:hideMark/>
          </w:tcPr>
          <w:p w14:paraId="25BF4E0B"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2,909 </w:t>
            </w:r>
          </w:p>
        </w:tc>
      </w:tr>
      <w:tr w:rsidR="00393455" w14:paraId="3C23A177" w14:textId="77777777">
        <w:trPr>
          <w:trHeight w:val="324"/>
        </w:trPr>
        <w:tc>
          <w:tcPr>
            <w:tcW w:w="985" w:type="pct"/>
            <w:tcBorders>
              <w:top w:val="nil"/>
              <w:left w:val="single" w:sz="4" w:space="0" w:color="auto"/>
              <w:bottom w:val="single" w:sz="4" w:space="0" w:color="auto"/>
              <w:right w:val="single" w:sz="4" w:space="0" w:color="auto"/>
            </w:tcBorders>
            <w:noWrap/>
            <w:vAlign w:val="center"/>
            <w:hideMark/>
          </w:tcPr>
          <w:p w14:paraId="26BF33CE"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Account Payable</w:t>
            </w:r>
          </w:p>
        </w:tc>
        <w:tc>
          <w:tcPr>
            <w:tcW w:w="422" w:type="pct"/>
            <w:tcBorders>
              <w:top w:val="nil"/>
              <w:left w:val="nil"/>
              <w:bottom w:val="single" w:sz="4" w:space="0" w:color="auto"/>
              <w:right w:val="single" w:sz="4" w:space="0" w:color="auto"/>
            </w:tcBorders>
            <w:noWrap/>
            <w:vAlign w:val="center"/>
            <w:hideMark/>
          </w:tcPr>
          <w:p w14:paraId="103336E9"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E</w:t>
            </w:r>
          </w:p>
        </w:tc>
        <w:tc>
          <w:tcPr>
            <w:tcW w:w="633" w:type="pct"/>
            <w:tcBorders>
              <w:top w:val="nil"/>
              <w:left w:val="nil"/>
              <w:bottom w:val="single" w:sz="4" w:space="0" w:color="auto"/>
              <w:right w:val="single" w:sz="4" w:space="0" w:color="auto"/>
            </w:tcBorders>
            <w:noWrap/>
            <w:vAlign w:val="center"/>
            <w:hideMark/>
          </w:tcPr>
          <w:p w14:paraId="17CE50A7"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w:t>
            </w:r>
          </w:p>
        </w:tc>
        <w:tc>
          <w:tcPr>
            <w:tcW w:w="577" w:type="pct"/>
            <w:tcBorders>
              <w:top w:val="nil"/>
              <w:left w:val="nil"/>
              <w:bottom w:val="single" w:sz="4" w:space="0" w:color="auto"/>
              <w:right w:val="single" w:sz="4" w:space="0" w:color="auto"/>
            </w:tcBorders>
            <w:vAlign w:val="center"/>
            <w:hideMark/>
          </w:tcPr>
          <w:p w14:paraId="60F8DF7F"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726 </w:t>
            </w:r>
          </w:p>
        </w:tc>
        <w:tc>
          <w:tcPr>
            <w:tcW w:w="596" w:type="pct"/>
            <w:tcBorders>
              <w:top w:val="nil"/>
              <w:left w:val="nil"/>
              <w:bottom w:val="single" w:sz="8" w:space="0" w:color="000000"/>
              <w:right w:val="single" w:sz="8" w:space="0" w:color="000000"/>
            </w:tcBorders>
            <w:noWrap/>
            <w:vAlign w:val="center"/>
            <w:hideMark/>
          </w:tcPr>
          <w:p w14:paraId="46A2FA41"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746 </w:t>
            </w:r>
          </w:p>
        </w:tc>
        <w:tc>
          <w:tcPr>
            <w:tcW w:w="596" w:type="pct"/>
            <w:tcBorders>
              <w:top w:val="nil"/>
              <w:left w:val="nil"/>
              <w:bottom w:val="single" w:sz="8" w:space="0" w:color="000000"/>
              <w:right w:val="single" w:sz="8" w:space="0" w:color="000000"/>
            </w:tcBorders>
            <w:noWrap/>
            <w:vAlign w:val="center"/>
            <w:hideMark/>
          </w:tcPr>
          <w:p w14:paraId="756777C3"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738 </w:t>
            </w:r>
          </w:p>
        </w:tc>
        <w:tc>
          <w:tcPr>
            <w:tcW w:w="596" w:type="pct"/>
            <w:tcBorders>
              <w:top w:val="nil"/>
              <w:left w:val="nil"/>
              <w:bottom w:val="single" w:sz="8" w:space="0" w:color="000000"/>
              <w:right w:val="single" w:sz="8" w:space="0" w:color="000000"/>
            </w:tcBorders>
            <w:noWrap/>
            <w:vAlign w:val="center"/>
            <w:hideMark/>
          </w:tcPr>
          <w:p w14:paraId="1D6A601D"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763 </w:t>
            </w:r>
          </w:p>
        </w:tc>
        <w:tc>
          <w:tcPr>
            <w:tcW w:w="596" w:type="pct"/>
            <w:tcBorders>
              <w:top w:val="nil"/>
              <w:left w:val="nil"/>
              <w:bottom w:val="single" w:sz="8" w:space="0" w:color="000000"/>
              <w:right w:val="single" w:sz="8" w:space="0" w:color="000000"/>
            </w:tcBorders>
            <w:noWrap/>
            <w:vAlign w:val="center"/>
            <w:hideMark/>
          </w:tcPr>
          <w:p w14:paraId="14F5FE26"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814 </w:t>
            </w:r>
          </w:p>
        </w:tc>
      </w:tr>
      <w:tr w:rsidR="00393455" w14:paraId="3D2664C2" w14:textId="77777777">
        <w:trPr>
          <w:trHeight w:val="324"/>
        </w:trPr>
        <w:tc>
          <w:tcPr>
            <w:tcW w:w="985" w:type="pct"/>
            <w:tcBorders>
              <w:top w:val="nil"/>
              <w:left w:val="single" w:sz="4" w:space="0" w:color="auto"/>
              <w:bottom w:val="single" w:sz="4" w:space="0" w:color="auto"/>
              <w:right w:val="single" w:sz="4" w:space="0" w:color="auto"/>
            </w:tcBorders>
            <w:noWrap/>
            <w:vAlign w:val="center"/>
            <w:hideMark/>
          </w:tcPr>
          <w:p w14:paraId="3DF62BC5"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Total Assets</w:t>
            </w:r>
          </w:p>
        </w:tc>
        <w:tc>
          <w:tcPr>
            <w:tcW w:w="422" w:type="pct"/>
            <w:tcBorders>
              <w:top w:val="nil"/>
              <w:left w:val="nil"/>
              <w:bottom w:val="single" w:sz="4" w:space="0" w:color="auto"/>
              <w:right w:val="single" w:sz="4" w:space="0" w:color="auto"/>
            </w:tcBorders>
            <w:noWrap/>
            <w:vAlign w:val="center"/>
            <w:hideMark/>
          </w:tcPr>
          <w:p w14:paraId="27FA00BB"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F</w:t>
            </w:r>
          </w:p>
        </w:tc>
        <w:tc>
          <w:tcPr>
            <w:tcW w:w="633" w:type="pct"/>
            <w:tcBorders>
              <w:top w:val="nil"/>
              <w:left w:val="nil"/>
              <w:bottom w:val="single" w:sz="4" w:space="0" w:color="auto"/>
              <w:right w:val="single" w:sz="4" w:space="0" w:color="auto"/>
            </w:tcBorders>
            <w:noWrap/>
            <w:vAlign w:val="center"/>
            <w:hideMark/>
          </w:tcPr>
          <w:p w14:paraId="3CFAC972"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w:t>
            </w:r>
          </w:p>
        </w:tc>
        <w:tc>
          <w:tcPr>
            <w:tcW w:w="577" w:type="pct"/>
            <w:tcBorders>
              <w:top w:val="nil"/>
              <w:left w:val="nil"/>
              <w:bottom w:val="single" w:sz="4" w:space="0" w:color="auto"/>
              <w:right w:val="single" w:sz="4" w:space="0" w:color="auto"/>
            </w:tcBorders>
            <w:noWrap/>
            <w:vAlign w:val="center"/>
            <w:hideMark/>
          </w:tcPr>
          <w:p w14:paraId="7C0EE723"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25,553 </w:t>
            </w:r>
          </w:p>
        </w:tc>
        <w:tc>
          <w:tcPr>
            <w:tcW w:w="596" w:type="pct"/>
            <w:tcBorders>
              <w:top w:val="single" w:sz="4" w:space="0" w:color="auto"/>
              <w:left w:val="nil"/>
              <w:bottom w:val="single" w:sz="4" w:space="0" w:color="auto"/>
              <w:right w:val="single" w:sz="4" w:space="0" w:color="auto"/>
            </w:tcBorders>
            <w:noWrap/>
            <w:vAlign w:val="center"/>
            <w:hideMark/>
          </w:tcPr>
          <w:p w14:paraId="62C629EA"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24,815 </w:t>
            </w:r>
          </w:p>
        </w:tc>
        <w:tc>
          <w:tcPr>
            <w:tcW w:w="596" w:type="pct"/>
            <w:tcBorders>
              <w:top w:val="single" w:sz="4" w:space="0" w:color="auto"/>
              <w:left w:val="nil"/>
              <w:bottom w:val="single" w:sz="4" w:space="0" w:color="auto"/>
              <w:right w:val="single" w:sz="4" w:space="0" w:color="auto"/>
            </w:tcBorders>
            <w:noWrap/>
            <w:vAlign w:val="center"/>
            <w:hideMark/>
          </w:tcPr>
          <w:p w14:paraId="6742EE1E"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25,674 </w:t>
            </w:r>
          </w:p>
        </w:tc>
        <w:tc>
          <w:tcPr>
            <w:tcW w:w="596" w:type="pct"/>
            <w:tcBorders>
              <w:top w:val="single" w:sz="4" w:space="0" w:color="auto"/>
              <w:left w:val="nil"/>
              <w:bottom w:val="single" w:sz="4" w:space="0" w:color="auto"/>
              <w:right w:val="single" w:sz="4" w:space="0" w:color="auto"/>
            </w:tcBorders>
            <w:noWrap/>
            <w:vAlign w:val="center"/>
            <w:hideMark/>
          </w:tcPr>
          <w:p w14:paraId="0DB5D542"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26,182 </w:t>
            </w:r>
          </w:p>
        </w:tc>
        <w:tc>
          <w:tcPr>
            <w:tcW w:w="596" w:type="pct"/>
            <w:tcBorders>
              <w:top w:val="single" w:sz="4" w:space="0" w:color="auto"/>
              <w:left w:val="nil"/>
              <w:bottom w:val="single" w:sz="4" w:space="0" w:color="auto"/>
              <w:right w:val="single" w:sz="4" w:space="0" w:color="auto"/>
            </w:tcBorders>
            <w:noWrap/>
            <w:vAlign w:val="center"/>
            <w:hideMark/>
          </w:tcPr>
          <w:p w14:paraId="13C30F15" w14:textId="77777777" w:rsidR="00393455" w:rsidRDefault="00BC616B">
            <w:pPr>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2,754 </w:t>
            </w:r>
          </w:p>
        </w:tc>
      </w:tr>
      <w:tr w:rsidR="00393455" w14:paraId="38E72E24" w14:textId="77777777">
        <w:trPr>
          <w:trHeight w:val="624"/>
        </w:trPr>
        <w:tc>
          <w:tcPr>
            <w:tcW w:w="985" w:type="pct"/>
            <w:tcBorders>
              <w:top w:val="nil"/>
              <w:left w:val="single" w:sz="4" w:space="0" w:color="auto"/>
              <w:bottom w:val="single" w:sz="4" w:space="0" w:color="auto"/>
              <w:right w:val="single" w:sz="4" w:space="0" w:color="auto"/>
            </w:tcBorders>
            <w:shd w:val="clear" w:color="auto" w:fill="C2D69B"/>
            <w:noWrap/>
            <w:vAlign w:val="bottom"/>
            <w:hideMark/>
          </w:tcPr>
          <w:p w14:paraId="04F42EF0"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lastRenderedPageBreak/>
              <w:t>Total Asset Turnover</w:t>
            </w:r>
          </w:p>
        </w:tc>
        <w:tc>
          <w:tcPr>
            <w:tcW w:w="422" w:type="pct"/>
            <w:tcBorders>
              <w:top w:val="nil"/>
              <w:left w:val="nil"/>
              <w:bottom w:val="single" w:sz="4" w:space="0" w:color="auto"/>
              <w:right w:val="single" w:sz="4" w:space="0" w:color="auto"/>
            </w:tcBorders>
            <w:shd w:val="clear" w:color="auto" w:fill="C2D69B"/>
            <w:noWrap/>
            <w:vAlign w:val="center"/>
            <w:hideMark/>
          </w:tcPr>
          <w:p w14:paraId="26B9531A"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A/F</w:t>
            </w:r>
          </w:p>
        </w:tc>
        <w:tc>
          <w:tcPr>
            <w:tcW w:w="633" w:type="pct"/>
            <w:tcBorders>
              <w:top w:val="nil"/>
              <w:left w:val="nil"/>
              <w:bottom w:val="single" w:sz="4" w:space="0" w:color="auto"/>
              <w:right w:val="single" w:sz="4" w:space="0" w:color="auto"/>
            </w:tcBorders>
            <w:shd w:val="clear" w:color="auto" w:fill="C2D69B"/>
            <w:hideMark/>
          </w:tcPr>
          <w:p w14:paraId="2EB5E2D7"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(Sales / Total Assets)</w:t>
            </w:r>
          </w:p>
        </w:tc>
        <w:tc>
          <w:tcPr>
            <w:tcW w:w="577" w:type="pct"/>
            <w:tcBorders>
              <w:top w:val="nil"/>
              <w:left w:val="nil"/>
              <w:bottom w:val="single" w:sz="4" w:space="0" w:color="auto"/>
              <w:right w:val="single" w:sz="4" w:space="0" w:color="auto"/>
            </w:tcBorders>
            <w:shd w:val="clear" w:color="auto" w:fill="C2D69B"/>
            <w:noWrap/>
            <w:vAlign w:val="center"/>
            <w:hideMark/>
          </w:tcPr>
          <w:p w14:paraId="12CC1625"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0.54 </w:t>
            </w:r>
          </w:p>
        </w:tc>
        <w:tc>
          <w:tcPr>
            <w:tcW w:w="596" w:type="pct"/>
            <w:tcBorders>
              <w:top w:val="nil"/>
              <w:left w:val="nil"/>
              <w:bottom w:val="single" w:sz="4" w:space="0" w:color="auto"/>
              <w:right w:val="single" w:sz="4" w:space="0" w:color="auto"/>
            </w:tcBorders>
            <w:shd w:val="clear" w:color="auto" w:fill="C2D69B"/>
            <w:noWrap/>
            <w:vAlign w:val="center"/>
            <w:hideMark/>
          </w:tcPr>
          <w:p w14:paraId="3A7A3A38"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0.84 </w:t>
            </w:r>
          </w:p>
        </w:tc>
        <w:tc>
          <w:tcPr>
            <w:tcW w:w="596" w:type="pct"/>
            <w:tcBorders>
              <w:top w:val="nil"/>
              <w:left w:val="nil"/>
              <w:bottom w:val="single" w:sz="4" w:space="0" w:color="auto"/>
              <w:right w:val="single" w:sz="4" w:space="0" w:color="auto"/>
            </w:tcBorders>
            <w:shd w:val="clear" w:color="auto" w:fill="C2D69B"/>
            <w:noWrap/>
            <w:vAlign w:val="center"/>
            <w:hideMark/>
          </w:tcPr>
          <w:p w14:paraId="7E1859B2"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0.92 </w:t>
            </w:r>
          </w:p>
        </w:tc>
        <w:tc>
          <w:tcPr>
            <w:tcW w:w="596" w:type="pct"/>
            <w:tcBorders>
              <w:top w:val="nil"/>
              <w:left w:val="nil"/>
              <w:bottom w:val="single" w:sz="4" w:space="0" w:color="auto"/>
              <w:right w:val="single" w:sz="4" w:space="0" w:color="auto"/>
            </w:tcBorders>
            <w:shd w:val="clear" w:color="auto" w:fill="C2D69B"/>
            <w:noWrap/>
            <w:vAlign w:val="center"/>
            <w:hideMark/>
          </w:tcPr>
          <w:p w14:paraId="0735FC53"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0.96 </w:t>
            </w:r>
          </w:p>
        </w:tc>
        <w:tc>
          <w:tcPr>
            <w:tcW w:w="596" w:type="pct"/>
            <w:tcBorders>
              <w:top w:val="nil"/>
              <w:left w:val="nil"/>
              <w:bottom w:val="single" w:sz="4" w:space="0" w:color="auto"/>
              <w:right w:val="single" w:sz="4" w:space="0" w:color="auto"/>
            </w:tcBorders>
            <w:shd w:val="clear" w:color="auto" w:fill="C2D69B"/>
            <w:noWrap/>
            <w:vAlign w:val="center"/>
            <w:hideMark/>
          </w:tcPr>
          <w:p w14:paraId="3D1DBCF7"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9.51 </w:t>
            </w:r>
          </w:p>
        </w:tc>
      </w:tr>
      <w:tr w:rsidR="00393455" w14:paraId="3BD209F7" w14:textId="77777777">
        <w:trPr>
          <w:trHeight w:val="936"/>
        </w:trPr>
        <w:tc>
          <w:tcPr>
            <w:tcW w:w="985" w:type="pct"/>
            <w:tcBorders>
              <w:top w:val="nil"/>
              <w:left w:val="single" w:sz="4" w:space="0" w:color="auto"/>
              <w:bottom w:val="single" w:sz="4" w:space="0" w:color="auto"/>
              <w:right w:val="single" w:sz="4" w:space="0" w:color="auto"/>
            </w:tcBorders>
            <w:shd w:val="clear" w:color="auto" w:fill="C2D69B"/>
            <w:noWrap/>
            <w:vAlign w:val="center"/>
            <w:hideMark/>
          </w:tcPr>
          <w:p w14:paraId="17E1EFD3"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Receivables Turnover Days</w:t>
            </w:r>
          </w:p>
        </w:tc>
        <w:tc>
          <w:tcPr>
            <w:tcW w:w="422" w:type="pct"/>
            <w:tcBorders>
              <w:top w:val="nil"/>
              <w:left w:val="nil"/>
              <w:bottom w:val="single" w:sz="4" w:space="0" w:color="auto"/>
              <w:right w:val="single" w:sz="4" w:space="0" w:color="auto"/>
            </w:tcBorders>
            <w:shd w:val="clear" w:color="auto" w:fill="C2D69B"/>
            <w:noWrap/>
            <w:vAlign w:val="center"/>
            <w:hideMark/>
          </w:tcPr>
          <w:p w14:paraId="51BA35D6"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365/(A/D)</w:t>
            </w:r>
          </w:p>
        </w:tc>
        <w:tc>
          <w:tcPr>
            <w:tcW w:w="633" w:type="pct"/>
            <w:tcBorders>
              <w:top w:val="nil"/>
              <w:left w:val="nil"/>
              <w:bottom w:val="single" w:sz="4" w:space="0" w:color="auto"/>
              <w:right w:val="single" w:sz="4" w:space="0" w:color="auto"/>
            </w:tcBorders>
            <w:shd w:val="clear" w:color="auto" w:fill="C2D69B"/>
            <w:hideMark/>
          </w:tcPr>
          <w:p w14:paraId="6FB037D1"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365/ (Net Sales/Average Receivables</w:t>
            </w:r>
          </w:p>
        </w:tc>
        <w:tc>
          <w:tcPr>
            <w:tcW w:w="577" w:type="pct"/>
            <w:tcBorders>
              <w:top w:val="nil"/>
              <w:left w:val="nil"/>
              <w:bottom w:val="single" w:sz="4" w:space="0" w:color="auto"/>
              <w:right w:val="single" w:sz="4" w:space="0" w:color="auto"/>
            </w:tcBorders>
            <w:shd w:val="clear" w:color="auto" w:fill="C2D69B"/>
            <w:noWrap/>
            <w:vAlign w:val="center"/>
            <w:hideMark/>
          </w:tcPr>
          <w:p w14:paraId="565A4E67"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52 </w:t>
            </w:r>
          </w:p>
        </w:tc>
        <w:tc>
          <w:tcPr>
            <w:tcW w:w="596" w:type="pct"/>
            <w:tcBorders>
              <w:top w:val="nil"/>
              <w:left w:val="nil"/>
              <w:bottom w:val="single" w:sz="4" w:space="0" w:color="auto"/>
              <w:right w:val="single" w:sz="4" w:space="0" w:color="auto"/>
            </w:tcBorders>
            <w:shd w:val="clear" w:color="auto" w:fill="C2D69B"/>
            <w:noWrap/>
            <w:vAlign w:val="center"/>
            <w:hideMark/>
          </w:tcPr>
          <w:p w14:paraId="617E9A76"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45 </w:t>
            </w:r>
          </w:p>
        </w:tc>
        <w:tc>
          <w:tcPr>
            <w:tcW w:w="596" w:type="pct"/>
            <w:tcBorders>
              <w:top w:val="nil"/>
              <w:left w:val="nil"/>
              <w:bottom w:val="single" w:sz="4" w:space="0" w:color="auto"/>
              <w:right w:val="single" w:sz="4" w:space="0" w:color="auto"/>
            </w:tcBorders>
            <w:shd w:val="clear" w:color="auto" w:fill="C2D69B"/>
            <w:noWrap/>
            <w:vAlign w:val="center"/>
            <w:hideMark/>
          </w:tcPr>
          <w:p w14:paraId="50F880ED"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42 </w:t>
            </w:r>
          </w:p>
        </w:tc>
        <w:tc>
          <w:tcPr>
            <w:tcW w:w="596" w:type="pct"/>
            <w:tcBorders>
              <w:top w:val="nil"/>
              <w:left w:val="nil"/>
              <w:bottom w:val="single" w:sz="4" w:space="0" w:color="auto"/>
              <w:right w:val="single" w:sz="4" w:space="0" w:color="auto"/>
            </w:tcBorders>
            <w:shd w:val="clear" w:color="auto" w:fill="C2D69B"/>
            <w:noWrap/>
            <w:vAlign w:val="center"/>
            <w:hideMark/>
          </w:tcPr>
          <w:p w14:paraId="6876D8B1"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41 </w:t>
            </w:r>
          </w:p>
        </w:tc>
        <w:tc>
          <w:tcPr>
            <w:tcW w:w="596" w:type="pct"/>
            <w:tcBorders>
              <w:top w:val="nil"/>
              <w:left w:val="nil"/>
              <w:bottom w:val="single" w:sz="4" w:space="0" w:color="auto"/>
              <w:right w:val="single" w:sz="4" w:space="0" w:color="auto"/>
            </w:tcBorders>
            <w:shd w:val="clear" w:color="auto" w:fill="C2D69B"/>
            <w:noWrap/>
            <w:vAlign w:val="center"/>
            <w:hideMark/>
          </w:tcPr>
          <w:p w14:paraId="3263DAEA"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41 </w:t>
            </w:r>
          </w:p>
        </w:tc>
      </w:tr>
      <w:tr w:rsidR="00393455" w14:paraId="77D64496" w14:textId="77777777">
        <w:trPr>
          <w:trHeight w:val="936"/>
        </w:trPr>
        <w:tc>
          <w:tcPr>
            <w:tcW w:w="985" w:type="pct"/>
            <w:tcBorders>
              <w:top w:val="nil"/>
              <w:left w:val="single" w:sz="4" w:space="0" w:color="auto"/>
              <w:bottom w:val="single" w:sz="4" w:space="0" w:color="auto"/>
              <w:right w:val="single" w:sz="4" w:space="0" w:color="auto"/>
            </w:tcBorders>
            <w:shd w:val="clear" w:color="auto" w:fill="C2D69B"/>
            <w:noWrap/>
            <w:vAlign w:val="center"/>
            <w:hideMark/>
          </w:tcPr>
          <w:p w14:paraId="03D52319"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Payables Turnover Days</w:t>
            </w:r>
          </w:p>
        </w:tc>
        <w:tc>
          <w:tcPr>
            <w:tcW w:w="422" w:type="pct"/>
            <w:tcBorders>
              <w:top w:val="nil"/>
              <w:left w:val="nil"/>
              <w:bottom w:val="single" w:sz="4" w:space="0" w:color="auto"/>
              <w:right w:val="single" w:sz="4" w:space="0" w:color="auto"/>
            </w:tcBorders>
            <w:shd w:val="clear" w:color="auto" w:fill="C2D69B"/>
            <w:noWrap/>
            <w:vAlign w:val="center"/>
            <w:hideMark/>
          </w:tcPr>
          <w:p w14:paraId="22B02BCF"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365/(B/E)</w:t>
            </w:r>
          </w:p>
        </w:tc>
        <w:tc>
          <w:tcPr>
            <w:tcW w:w="633" w:type="pct"/>
            <w:tcBorders>
              <w:top w:val="nil"/>
              <w:left w:val="nil"/>
              <w:bottom w:val="single" w:sz="4" w:space="0" w:color="auto"/>
              <w:right w:val="single" w:sz="4" w:space="0" w:color="auto"/>
            </w:tcBorders>
            <w:shd w:val="clear" w:color="auto" w:fill="C2D69B"/>
            <w:hideMark/>
          </w:tcPr>
          <w:p w14:paraId="5B8D60BD"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365/ (COGS/Average Payable)</w:t>
            </w:r>
          </w:p>
        </w:tc>
        <w:tc>
          <w:tcPr>
            <w:tcW w:w="577" w:type="pct"/>
            <w:tcBorders>
              <w:top w:val="nil"/>
              <w:left w:val="nil"/>
              <w:bottom w:val="single" w:sz="4" w:space="0" w:color="auto"/>
              <w:right w:val="single" w:sz="4" w:space="0" w:color="auto"/>
            </w:tcBorders>
            <w:shd w:val="clear" w:color="auto" w:fill="C2D69B"/>
            <w:noWrap/>
            <w:vAlign w:val="center"/>
            <w:hideMark/>
          </w:tcPr>
          <w:p w14:paraId="59C529DF"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24 </w:t>
            </w:r>
          </w:p>
        </w:tc>
        <w:tc>
          <w:tcPr>
            <w:tcW w:w="596" w:type="pct"/>
            <w:tcBorders>
              <w:top w:val="nil"/>
              <w:left w:val="nil"/>
              <w:bottom w:val="single" w:sz="4" w:space="0" w:color="auto"/>
              <w:right w:val="single" w:sz="4" w:space="0" w:color="auto"/>
            </w:tcBorders>
            <w:shd w:val="clear" w:color="auto" w:fill="C2D69B"/>
            <w:noWrap/>
            <w:vAlign w:val="center"/>
            <w:hideMark/>
          </w:tcPr>
          <w:p w14:paraId="7BE42979"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17 </w:t>
            </w:r>
          </w:p>
        </w:tc>
        <w:tc>
          <w:tcPr>
            <w:tcW w:w="596" w:type="pct"/>
            <w:tcBorders>
              <w:top w:val="nil"/>
              <w:left w:val="nil"/>
              <w:bottom w:val="single" w:sz="4" w:space="0" w:color="auto"/>
              <w:right w:val="single" w:sz="4" w:space="0" w:color="auto"/>
            </w:tcBorders>
            <w:shd w:val="clear" w:color="auto" w:fill="C2D69B"/>
            <w:noWrap/>
            <w:vAlign w:val="center"/>
            <w:hideMark/>
          </w:tcPr>
          <w:p w14:paraId="7B180283"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14 </w:t>
            </w:r>
          </w:p>
        </w:tc>
        <w:tc>
          <w:tcPr>
            <w:tcW w:w="596" w:type="pct"/>
            <w:tcBorders>
              <w:top w:val="nil"/>
              <w:left w:val="nil"/>
              <w:bottom w:val="single" w:sz="4" w:space="0" w:color="auto"/>
              <w:right w:val="single" w:sz="4" w:space="0" w:color="auto"/>
            </w:tcBorders>
            <w:shd w:val="clear" w:color="auto" w:fill="C2D69B"/>
            <w:noWrap/>
            <w:vAlign w:val="center"/>
            <w:hideMark/>
          </w:tcPr>
          <w:p w14:paraId="632549A8"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14 </w:t>
            </w:r>
          </w:p>
        </w:tc>
        <w:tc>
          <w:tcPr>
            <w:tcW w:w="596" w:type="pct"/>
            <w:tcBorders>
              <w:top w:val="nil"/>
              <w:left w:val="nil"/>
              <w:bottom w:val="single" w:sz="4" w:space="0" w:color="auto"/>
              <w:right w:val="single" w:sz="4" w:space="0" w:color="auto"/>
            </w:tcBorders>
            <w:shd w:val="clear" w:color="auto" w:fill="C2D69B"/>
            <w:noWrap/>
            <w:vAlign w:val="center"/>
            <w:hideMark/>
          </w:tcPr>
          <w:p w14:paraId="2887ABCB"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14 </w:t>
            </w:r>
          </w:p>
        </w:tc>
      </w:tr>
      <w:tr w:rsidR="00393455" w14:paraId="1CFEDFFF" w14:textId="77777777">
        <w:trPr>
          <w:trHeight w:val="624"/>
        </w:trPr>
        <w:tc>
          <w:tcPr>
            <w:tcW w:w="985" w:type="pct"/>
            <w:tcBorders>
              <w:top w:val="nil"/>
              <w:left w:val="nil"/>
              <w:bottom w:val="nil"/>
              <w:right w:val="nil"/>
            </w:tcBorders>
            <w:noWrap/>
            <w:vAlign w:val="center"/>
            <w:hideMark/>
          </w:tcPr>
          <w:p w14:paraId="72123762" w14:textId="77777777" w:rsidR="00393455" w:rsidRDefault="00393455">
            <w:pPr>
              <w:spacing w:line="360" w:lineRule="auto"/>
              <w:jc w:val="center"/>
              <w:rPr>
                <w:rFonts w:ascii="Times New Roman" w:eastAsia="Times New Roman" w:hAnsi="Times New Roman" w:cs="Times New Roman"/>
                <w:b/>
                <w:bCs/>
                <w:sz w:val="24"/>
                <w:szCs w:val="24"/>
                <w:lang w:val="en-GB"/>
              </w:rPr>
            </w:pPr>
          </w:p>
        </w:tc>
        <w:tc>
          <w:tcPr>
            <w:tcW w:w="422" w:type="pct"/>
            <w:tcBorders>
              <w:top w:val="nil"/>
              <w:left w:val="nil"/>
              <w:bottom w:val="nil"/>
              <w:right w:val="nil"/>
            </w:tcBorders>
            <w:noWrap/>
            <w:vAlign w:val="center"/>
            <w:hideMark/>
          </w:tcPr>
          <w:p w14:paraId="3FE3A569"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633" w:type="pct"/>
            <w:tcBorders>
              <w:top w:val="nil"/>
              <w:left w:val="nil"/>
              <w:bottom w:val="nil"/>
              <w:right w:val="nil"/>
            </w:tcBorders>
            <w:noWrap/>
            <w:vAlign w:val="center"/>
            <w:hideMark/>
          </w:tcPr>
          <w:p w14:paraId="1B4D7BE6"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77" w:type="pct"/>
            <w:tcBorders>
              <w:top w:val="nil"/>
              <w:left w:val="nil"/>
              <w:bottom w:val="nil"/>
              <w:right w:val="nil"/>
            </w:tcBorders>
            <w:noWrap/>
            <w:vAlign w:val="center"/>
            <w:hideMark/>
          </w:tcPr>
          <w:p w14:paraId="0696D65D"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96" w:type="pct"/>
            <w:tcBorders>
              <w:top w:val="nil"/>
              <w:left w:val="nil"/>
              <w:bottom w:val="nil"/>
              <w:right w:val="nil"/>
            </w:tcBorders>
            <w:noWrap/>
            <w:vAlign w:val="center"/>
            <w:hideMark/>
          </w:tcPr>
          <w:p w14:paraId="63AA5CEA"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96" w:type="pct"/>
            <w:tcBorders>
              <w:top w:val="nil"/>
              <w:left w:val="nil"/>
              <w:bottom w:val="nil"/>
              <w:right w:val="nil"/>
            </w:tcBorders>
            <w:noWrap/>
            <w:vAlign w:val="center"/>
            <w:hideMark/>
          </w:tcPr>
          <w:p w14:paraId="19BB6084"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96" w:type="pct"/>
            <w:tcBorders>
              <w:top w:val="nil"/>
              <w:left w:val="nil"/>
              <w:bottom w:val="nil"/>
              <w:right w:val="nil"/>
            </w:tcBorders>
            <w:noWrap/>
            <w:vAlign w:val="center"/>
            <w:hideMark/>
          </w:tcPr>
          <w:p w14:paraId="447263D2"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96" w:type="pct"/>
            <w:tcBorders>
              <w:top w:val="nil"/>
              <w:left w:val="nil"/>
              <w:bottom w:val="nil"/>
              <w:right w:val="nil"/>
            </w:tcBorders>
            <w:noWrap/>
            <w:vAlign w:val="center"/>
            <w:hideMark/>
          </w:tcPr>
          <w:p w14:paraId="736C4E25" w14:textId="77777777" w:rsidR="00393455" w:rsidRDefault="00393455">
            <w:pPr>
              <w:spacing w:line="360" w:lineRule="auto"/>
              <w:jc w:val="center"/>
              <w:rPr>
                <w:rFonts w:ascii="Times New Roman" w:eastAsia="Times New Roman" w:hAnsi="Times New Roman" w:cs="Times New Roman"/>
                <w:sz w:val="24"/>
                <w:szCs w:val="24"/>
                <w:lang w:val="en-GB"/>
              </w:rPr>
            </w:pPr>
          </w:p>
        </w:tc>
      </w:tr>
      <w:tr w:rsidR="00393455" w14:paraId="5ADCCD94" w14:textId="77777777">
        <w:trPr>
          <w:trHeight w:val="312"/>
        </w:trPr>
        <w:tc>
          <w:tcPr>
            <w:tcW w:w="985" w:type="pct"/>
            <w:tcBorders>
              <w:top w:val="nil"/>
              <w:left w:val="nil"/>
              <w:bottom w:val="nil"/>
              <w:right w:val="nil"/>
            </w:tcBorders>
            <w:noWrap/>
            <w:vAlign w:val="center"/>
            <w:hideMark/>
          </w:tcPr>
          <w:p w14:paraId="78E40B88"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422" w:type="pct"/>
            <w:tcBorders>
              <w:top w:val="nil"/>
              <w:left w:val="nil"/>
              <w:bottom w:val="nil"/>
              <w:right w:val="nil"/>
            </w:tcBorders>
            <w:noWrap/>
            <w:vAlign w:val="center"/>
            <w:hideMark/>
          </w:tcPr>
          <w:p w14:paraId="5F9B4EB3"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633" w:type="pct"/>
            <w:tcBorders>
              <w:top w:val="nil"/>
              <w:left w:val="nil"/>
              <w:bottom w:val="nil"/>
              <w:right w:val="nil"/>
            </w:tcBorders>
            <w:noWrap/>
            <w:vAlign w:val="center"/>
            <w:hideMark/>
          </w:tcPr>
          <w:p w14:paraId="64271140"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77" w:type="pct"/>
            <w:tcBorders>
              <w:top w:val="nil"/>
              <w:left w:val="nil"/>
              <w:bottom w:val="nil"/>
              <w:right w:val="nil"/>
            </w:tcBorders>
            <w:noWrap/>
            <w:vAlign w:val="center"/>
            <w:hideMark/>
          </w:tcPr>
          <w:p w14:paraId="49CDB77D"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96" w:type="pct"/>
            <w:tcBorders>
              <w:top w:val="nil"/>
              <w:left w:val="nil"/>
              <w:bottom w:val="nil"/>
              <w:right w:val="nil"/>
            </w:tcBorders>
            <w:noWrap/>
            <w:vAlign w:val="center"/>
            <w:hideMark/>
          </w:tcPr>
          <w:p w14:paraId="74051E2F"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96" w:type="pct"/>
            <w:tcBorders>
              <w:top w:val="nil"/>
              <w:left w:val="nil"/>
              <w:bottom w:val="nil"/>
              <w:right w:val="nil"/>
            </w:tcBorders>
            <w:noWrap/>
            <w:vAlign w:val="center"/>
            <w:hideMark/>
          </w:tcPr>
          <w:p w14:paraId="0363E0DF"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96" w:type="pct"/>
            <w:tcBorders>
              <w:top w:val="nil"/>
              <w:left w:val="nil"/>
              <w:bottom w:val="nil"/>
              <w:right w:val="nil"/>
            </w:tcBorders>
            <w:noWrap/>
            <w:vAlign w:val="center"/>
            <w:hideMark/>
          </w:tcPr>
          <w:p w14:paraId="29B67ECA"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96" w:type="pct"/>
            <w:tcBorders>
              <w:top w:val="nil"/>
              <w:left w:val="nil"/>
              <w:bottom w:val="nil"/>
              <w:right w:val="nil"/>
            </w:tcBorders>
            <w:noWrap/>
            <w:vAlign w:val="center"/>
            <w:hideMark/>
          </w:tcPr>
          <w:p w14:paraId="592AD290" w14:textId="77777777" w:rsidR="00393455" w:rsidRDefault="00393455">
            <w:pPr>
              <w:spacing w:line="360" w:lineRule="auto"/>
              <w:jc w:val="center"/>
              <w:rPr>
                <w:rFonts w:ascii="Times New Roman" w:eastAsia="Times New Roman" w:hAnsi="Times New Roman" w:cs="Times New Roman"/>
                <w:sz w:val="24"/>
                <w:szCs w:val="24"/>
                <w:lang w:val="en-GB"/>
              </w:rPr>
            </w:pPr>
          </w:p>
        </w:tc>
      </w:tr>
      <w:tr w:rsidR="00393455" w14:paraId="6F835D7F" w14:textId="77777777">
        <w:trPr>
          <w:trHeight w:val="312"/>
        </w:trPr>
        <w:tc>
          <w:tcPr>
            <w:tcW w:w="985" w:type="pct"/>
            <w:tcBorders>
              <w:top w:val="nil"/>
              <w:left w:val="nil"/>
              <w:bottom w:val="nil"/>
              <w:right w:val="nil"/>
            </w:tcBorders>
            <w:noWrap/>
            <w:vAlign w:val="center"/>
            <w:hideMark/>
          </w:tcPr>
          <w:p w14:paraId="63C79CDA"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422" w:type="pct"/>
            <w:tcBorders>
              <w:top w:val="nil"/>
              <w:left w:val="nil"/>
              <w:bottom w:val="nil"/>
              <w:right w:val="nil"/>
            </w:tcBorders>
            <w:noWrap/>
            <w:vAlign w:val="center"/>
            <w:hideMark/>
          </w:tcPr>
          <w:p w14:paraId="7BD93B39"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633" w:type="pct"/>
            <w:tcBorders>
              <w:top w:val="nil"/>
              <w:left w:val="nil"/>
              <w:bottom w:val="nil"/>
              <w:right w:val="nil"/>
            </w:tcBorders>
            <w:noWrap/>
            <w:vAlign w:val="center"/>
            <w:hideMark/>
          </w:tcPr>
          <w:p w14:paraId="57C1E65A"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77" w:type="pct"/>
            <w:tcBorders>
              <w:top w:val="nil"/>
              <w:left w:val="nil"/>
              <w:bottom w:val="nil"/>
              <w:right w:val="nil"/>
            </w:tcBorders>
            <w:noWrap/>
            <w:vAlign w:val="center"/>
            <w:hideMark/>
          </w:tcPr>
          <w:p w14:paraId="44AEF338"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96" w:type="pct"/>
            <w:tcBorders>
              <w:top w:val="nil"/>
              <w:left w:val="nil"/>
              <w:bottom w:val="nil"/>
              <w:right w:val="nil"/>
            </w:tcBorders>
            <w:noWrap/>
            <w:vAlign w:val="center"/>
            <w:hideMark/>
          </w:tcPr>
          <w:p w14:paraId="06B59419"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96" w:type="pct"/>
            <w:tcBorders>
              <w:top w:val="nil"/>
              <w:left w:val="nil"/>
              <w:bottom w:val="nil"/>
              <w:right w:val="nil"/>
            </w:tcBorders>
            <w:noWrap/>
            <w:vAlign w:val="center"/>
            <w:hideMark/>
          </w:tcPr>
          <w:p w14:paraId="7EFF3402"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96" w:type="pct"/>
            <w:tcBorders>
              <w:top w:val="nil"/>
              <w:left w:val="nil"/>
              <w:bottom w:val="nil"/>
              <w:right w:val="nil"/>
            </w:tcBorders>
            <w:noWrap/>
            <w:vAlign w:val="center"/>
            <w:hideMark/>
          </w:tcPr>
          <w:p w14:paraId="1F7B2205"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96" w:type="pct"/>
            <w:tcBorders>
              <w:top w:val="nil"/>
              <w:left w:val="nil"/>
              <w:bottom w:val="nil"/>
              <w:right w:val="nil"/>
            </w:tcBorders>
            <w:noWrap/>
            <w:vAlign w:val="center"/>
            <w:hideMark/>
          </w:tcPr>
          <w:p w14:paraId="51D4E5DE" w14:textId="77777777" w:rsidR="00393455" w:rsidRDefault="00393455">
            <w:pPr>
              <w:spacing w:line="360" w:lineRule="auto"/>
              <w:jc w:val="center"/>
              <w:rPr>
                <w:rFonts w:ascii="Times New Roman" w:eastAsia="Times New Roman" w:hAnsi="Times New Roman" w:cs="Times New Roman"/>
                <w:sz w:val="24"/>
                <w:szCs w:val="24"/>
                <w:lang w:val="en-GB"/>
              </w:rPr>
            </w:pPr>
          </w:p>
        </w:tc>
      </w:tr>
      <w:tr w:rsidR="00393455" w14:paraId="224F98A6" w14:textId="77777777">
        <w:trPr>
          <w:trHeight w:val="312"/>
        </w:trPr>
        <w:tc>
          <w:tcPr>
            <w:tcW w:w="5000" w:type="pct"/>
            <w:gridSpan w:val="8"/>
            <w:tcBorders>
              <w:top w:val="single" w:sz="4" w:space="0" w:color="auto"/>
              <w:left w:val="single" w:sz="4" w:space="0" w:color="auto"/>
              <w:bottom w:val="single" w:sz="4" w:space="0" w:color="auto"/>
              <w:right w:val="single" w:sz="4" w:space="0" w:color="auto"/>
            </w:tcBorders>
            <w:shd w:val="clear" w:color="auto" w:fill="D99594"/>
            <w:noWrap/>
            <w:vAlign w:val="center"/>
            <w:hideMark/>
          </w:tcPr>
          <w:p w14:paraId="1DA6C7E7"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Investment Ratios</w:t>
            </w:r>
          </w:p>
        </w:tc>
      </w:tr>
      <w:tr w:rsidR="00393455" w14:paraId="3402BA4C" w14:textId="77777777">
        <w:trPr>
          <w:trHeight w:val="324"/>
        </w:trPr>
        <w:tc>
          <w:tcPr>
            <w:tcW w:w="985" w:type="pct"/>
            <w:tcBorders>
              <w:top w:val="nil"/>
              <w:left w:val="single" w:sz="4" w:space="0" w:color="auto"/>
              <w:bottom w:val="single" w:sz="4" w:space="0" w:color="auto"/>
              <w:right w:val="single" w:sz="4" w:space="0" w:color="auto"/>
            </w:tcBorders>
            <w:shd w:val="clear" w:color="auto" w:fill="FFFF00"/>
            <w:noWrap/>
            <w:vAlign w:val="center"/>
            <w:hideMark/>
          </w:tcPr>
          <w:p w14:paraId="629FE6D4"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Particulars</w:t>
            </w:r>
          </w:p>
        </w:tc>
        <w:tc>
          <w:tcPr>
            <w:tcW w:w="422" w:type="pct"/>
            <w:tcBorders>
              <w:top w:val="nil"/>
              <w:left w:val="nil"/>
              <w:bottom w:val="single" w:sz="4" w:space="0" w:color="auto"/>
              <w:right w:val="single" w:sz="4" w:space="0" w:color="auto"/>
            </w:tcBorders>
            <w:shd w:val="clear" w:color="auto" w:fill="FFFF00"/>
            <w:noWrap/>
            <w:vAlign w:val="center"/>
            <w:hideMark/>
          </w:tcPr>
          <w:p w14:paraId="2B673AA5"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Details</w:t>
            </w:r>
          </w:p>
        </w:tc>
        <w:tc>
          <w:tcPr>
            <w:tcW w:w="633" w:type="pct"/>
            <w:tcBorders>
              <w:top w:val="nil"/>
              <w:left w:val="nil"/>
              <w:bottom w:val="single" w:sz="4" w:space="0" w:color="auto"/>
              <w:right w:val="single" w:sz="4" w:space="0" w:color="auto"/>
            </w:tcBorders>
            <w:shd w:val="clear" w:color="auto" w:fill="FFFF00"/>
            <w:noWrap/>
            <w:vAlign w:val="center"/>
            <w:hideMark/>
          </w:tcPr>
          <w:p w14:paraId="32418770"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Formula </w:t>
            </w:r>
          </w:p>
        </w:tc>
        <w:tc>
          <w:tcPr>
            <w:tcW w:w="577" w:type="pct"/>
            <w:tcBorders>
              <w:top w:val="nil"/>
              <w:left w:val="nil"/>
              <w:bottom w:val="single" w:sz="4" w:space="0" w:color="auto"/>
              <w:right w:val="single" w:sz="4" w:space="0" w:color="auto"/>
            </w:tcBorders>
            <w:shd w:val="clear" w:color="auto" w:fill="FFFF00"/>
            <w:vAlign w:val="center"/>
            <w:hideMark/>
          </w:tcPr>
          <w:p w14:paraId="16F58FB5"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2020</w:t>
            </w:r>
          </w:p>
        </w:tc>
        <w:tc>
          <w:tcPr>
            <w:tcW w:w="596" w:type="pct"/>
            <w:tcBorders>
              <w:top w:val="nil"/>
              <w:left w:val="nil"/>
              <w:bottom w:val="single" w:sz="4" w:space="0" w:color="auto"/>
              <w:right w:val="single" w:sz="4" w:space="0" w:color="auto"/>
            </w:tcBorders>
            <w:shd w:val="clear" w:color="auto" w:fill="FFFF00"/>
            <w:vAlign w:val="center"/>
            <w:hideMark/>
          </w:tcPr>
          <w:p w14:paraId="6596D92F"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2021</w:t>
            </w:r>
          </w:p>
        </w:tc>
        <w:tc>
          <w:tcPr>
            <w:tcW w:w="596" w:type="pct"/>
            <w:tcBorders>
              <w:top w:val="nil"/>
              <w:left w:val="nil"/>
              <w:bottom w:val="single" w:sz="4" w:space="0" w:color="auto"/>
              <w:right w:val="single" w:sz="4" w:space="0" w:color="auto"/>
            </w:tcBorders>
            <w:shd w:val="clear" w:color="auto" w:fill="FFFF00"/>
            <w:vAlign w:val="center"/>
            <w:hideMark/>
          </w:tcPr>
          <w:p w14:paraId="6716D662"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2022</w:t>
            </w:r>
          </w:p>
        </w:tc>
        <w:tc>
          <w:tcPr>
            <w:tcW w:w="596" w:type="pct"/>
            <w:tcBorders>
              <w:top w:val="nil"/>
              <w:left w:val="nil"/>
              <w:bottom w:val="single" w:sz="4" w:space="0" w:color="auto"/>
              <w:right w:val="single" w:sz="4" w:space="0" w:color="auto"/>
            </w:tcBorders>
            <w:shd w:val="clear" w:color="auto" w:fill="FFFF00"/>
            <w:vAlign w:val="center"/>
            <w:hideMark/>
          </w:tcPr>
          <w:p w14:paraId="722B6688"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2023</w:t>
            </w:r>
          </w:p>
        </w:tc>
        <w:tc>
          <w:tcPr>
            <w:tcW w:w="596" w:type="pct"/>
            <w:tcBorders>
              <w:top w:val="nil"/>
              <w:left w:val="nil"/>
              <w:bottom w:val="single" w:sz="4" w:space="0" w:color="auto"/>
              <w:right w:val="single" w:sz="4" w:space="0" w:color="auto"/>
            </w:tcBorders>
            <w:shd w:val="clear" w:color="auto" w:fill="FFFF00"/>
            <w:vAlign w:val="center"/>
            <w:hideMark/>
          </w:tcPr>
          <w:p w14:paraId="0609760E"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2024</w:t>
            </w:r>
          </w:p>
        </w:tc>
      </w:tr>
      <w:tr w:rsidR="00393455" w14:paraId="69CFB031" w14:textId="77777777">
        <w:trPr>
          <w:trHeight w:val="324"/>
        </w:trPr>
        <w:tc>
          <w:tcPr>
            <w:tcW w:w="985" w:type="pct"/>
            <w:tcBorders>
              <w:top w:val="nil"/>
              <w:left w:val="single" w:sz="4" w:space="0" w:color="auto"/>
              <w:bottom w:val="single" w:sz="4" w:space="0" w:color="auto"/>
              <w:right w:val="single" w:sz="4" w:space="0" w:color="auto"/>
            </w:tcBorders>
            <w:shd w:val="clear" w:color="auto" w:fill="C2D69B"/>
            <w:noWrap/>
            <w:vAlign w:val="center"/>
            <w:hideMark/>
          </w:tcPr>
          <w:p w14:paraId="67B1CCD3"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Earning Per Share</w:t>
            </w:r>
          </w:p>
        </w:tc>
        <w:tc>
          <w:tcPr>
            <w:tcW w:w="422" w:type="pct"/>
            <w:tcBorders>
              <w:top w:val="nil"/>
              <w:left w:val="nil"/>
              <w:bottom w:val="single" w:sz="4" w:space="0" w:color="auto"/>
              <w:right w:val="single" w:sz="4" w:space="0" w:color="auto"/>
            </w:tcBorders>
            <w:shd w:val="clear" w:color="auto" w:fill="C2D69B"/>
            <w:noWrap/>
            <w:vAlign w:val="center"/>
            <w:hideMark/>
          </w:tcPr>
          <w:p w14:paraId="2B0BA4FA"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w:t>
            </w:r>
          </w:p>
        </w:tc>
        <w:tc>
          <w:tcPr>
            <w:tcW w:w="633" w:type="pct"/>
            <w:tcBorders>
              <w:top w:val="nil"/>
              <w:left w:val="nil"/>
              <w:bottom w:val="single" w:sz="4" w:space="0" w:color="auto"/>
              <w:right w:val="single" w:sz="4" w:space="0" w:color="auto"/>
            </w:tcBorders>
            <w:shd w:val="clear" w:color="auto" w:fill="C2D69B"/>
            <w:noWrap/>
            <w:vAlign w:val="center"/>
            <w:hideMark/>
          </w:tcPr>
          <w:p w14:paraId="78C4DAFE"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Provided</w:t>
            </w:r>
          </w:p>
        </w:tc>
        <w:tc>
          <w:tcPr>
            <w:tcW w:w="577" w:type="pct"/>
            <w:tcBorders>
              <w:top w:val="single" w:sz="8" w:space="0" w:color="000000"/>
              <w:left w:val="single" w:sz="8" w:space="0" w:color="000000"/>
              <w:bottom w:val="single" w:sz="8" w:space="0" w:color="000000"/>
              <w:right w:val="single" w:sz="8" w:space="0" w:color="000000"/>
            </w:tcBorders>
            <w:shd w:val="clear" w:color="auto" w:fill="C2D69B"/>
            <w:vAlign w:val="center"/>
            <w:hideMark/>
          </w:tcPr>
          <w:p w14:paraId="331229C0"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3.36</w:t>
            </w:r>
          </w:p>
        </w:tc>
        <w:tc>
          <w:tcPr>
            <w:tcW w:w="596" w:type="pct"/>
            <w:tcBorders>
              <w:top w:val="single" w:sz="8" w:space="0" w:color="000000"/>
              <w:left w:val="nil"/>
              <w:bottom w:val="single" w:sz="8" w:space="0" w:color="000000"/>
              <w:right w:val="single" w:sz="8" w:space="0" w:color="000000"/>
            </w:tcBorders>
            <w:shd w:val="clear" w:color="auto" w:fill="C2D69B"/>
            <w:vAlign w:val="center"/>
            <w:hideMark/>
          </w:tcPr>
          <w:p w14:paraId="5AD87EBE"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7.27</w:t>
            </w:r>
          </w:p>
        </w:tc>
        <w:tc>
          <w:tcPr>
            <w:tcW w:w="596" w:type="pct"/>
            <w:tcBorders>
              <w:top w:val="single" w:sz="8" w:space="0" w:color="000000"/>
              <w:left w:val="nil"/>
              <w:bottom w:val="single" w:sz="8" w:space="0" w:color="000000"/>
              <w:right w:val="single" w:sz="8" w:space="0" w:color="000000"/>
            </w:tcBorders>
            <w:shd w:val="clear" w:color="auto" w:fill="C2D69B"/>
            <w:vAlign w:val="center"/>
            <w:hideMark/>
          </w:tcPr>
          <w:p w14:paraId="3E83309D"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10.23</w:t>
            </w:r>
          </w:p>
        </w:tc>
        <w:tc>
          <w:tcPr>
            <w:tcW w:w="596" w:type="pct"/>
            <w:tcBorders>
              <w:top w:val="single" w:sz="8" w:space="0" w:color="000000"/>
              <w:left w:val="nil"/>
              <w:bottom w:val="single" w:sz="8" w:space="0" w:color="000000"/>
              <w:right w:val="single" w:sz="8" w:space="0" w:color="000000"/>
            </w:tcBorders>
            <w:shd w:val="clear" w:color="auto" w:fill="C2D69B"/>
            <w:vAlign w:val="center"/>
            <w:hideMark/>
          </w:tcPr>
          <w:p w14:paraId="49ECDEF6"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8.36</w:t>
            </w:r>
          </w:p>
        </w:tc>
        <w:tc>
          <w:tcPr>
            <w:tcW w:w="596" w:type="pct"/>
            <w:tcBorders>
              <w:top w:val="single" w:sz="8" w:space="0" w:color="000000"/>
              <w:left w:val="nil"/>
              <w:bottom w:val="single" w:sz="8" w:space="0" w:color="000000"/>
              <w:right w:val="single" w:sz="8" w:space="0" w:color="000000"/>
            </w:tcBorders>
            <w:shd w:val="clear" w:color="auto" w:fill="C2D69B"/>
            <w:vAlign w:val="center"/>
            <w:hideMark/>
          </w:tcPr>
          <w:p w14:paraId="1F325ABC"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9.53</w:t>
            </w:r>
          </w:p>
        </w:tc>
      </w:tr>
      <w:tr w:rsidR="00393455" w14:paraId="11E4C544" w14:textId="77777777">
        <w:trPr>
          <w:trHeight w:val="312"/>
        </w:trPr>
        <w:tc>
          <w:tcPr>
            <w:tcW w:w="985" w:type="pct"/>
            <w:tcBorders>
              <w:top w:val="nil"/>
              <w:left w:val="nil"/>
              <w:bottom w:val="nil"/>
              <w:right w:val="nil"/>
            </w:tcBorders>
            <w:noWrap/>
            <w:vAlign w:val="center"/>
            <w:hideMark/>
          </w:tcPr>
          <w:p w14:paraId="5FA73618" w14:textId="77777777" w:rsidR="00393455" w:rsidRDefault="00393455">
            <w:pPr>
              <w:spacing w:line="360" w:lineRule="auto"/>
              <w:jc w:val="center"/>
              <w:rPr>
                <w:rFonts w:ascii="Times New Roman" w:eastAsia="Times New Roman" w:hAnsi="Times New Roman" w:cs="Times New Roman"/>
                <w:b/>
                <w:bCs/>
                <w:sz w:val="24"/>
                <w:szCs w:val="24"/>
                <w:lang w:val="en-GB"/>
              </w:rPr>
            </w:pPr>
          </w:p>
        </w:tc>
        <w:tc>
          <w:tcPr>
            <w:tcW w:w="422" w:type="pct"/>
            <w:tcBorders>
              <w:top w:val="nil"/>
              <w:left w:val="nil"/>
              <w:bottom w:val="nil"/>
              <w:right w:val="nil"/>
            </w:tcBorders>
            <w:noWrap/>
            <w:vAlign w:val="center"/>
            <w:hideMark/>
          </w:tcPr>
          <w:p w14:paraId="2CD31EF2"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633" w:type="pct"/>
            <w:tcBorders>
              <w:top w:val="nil"/>
              <w:left w:val="nil"/>
              <w:bottom w:val="nil"/>
              <w:right w:val="nil"/>
            </w:tcBorders>
            <w:noWrap/>
            <w:vAlign w:val="center"/>
            <w:hideMark/>
          </w:tcPr>
          <w:p w14:paraId="3A56F6CB"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77" w:type="pct"/>
            <w:tcBorders>
              <w:top w:val="nil"/>
              <w:left w:val="nil"/>
              <w:bottom w:val="nil"/>
              <w:right w:val="nil"/>
            </w:tcBorders>
            <w:noWrap/>
            <w:vAlign w:val="center"/>
            <w:hideMark/>
          </w:tcPr>
          <w:p w14:paraId="35468B29"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96" w:type="pct"/>
            <w:tcBorders>
              <w:top w:val="nil"/>
              <w:left w:val="nil"/>
              <w:bottom w:val="nil"/>
              <w:right w:val="nil"/>
            </w:tcBorders>
            <w:noWrap/>
            <w:vAlign w:val="center"/>
            <w:hideMark/>
          </w:tcPr>
          <w:p w14:paraId="6E556D52"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96" w:type="pct"/>
            <w:tcBorders>
              <w:top w:val="nil"/>
              <w:left w:val="nil"/>
              <w:bottom w:val="nil"/>
              <w:right w:val="nil"/>
            </w:tcBorders>
            <w:noWrap/>
            <w:vAlign w:val="center"/>
            <w:hideMark/>
          </w:tcPr>
          <w:p w14:paraId="5E4FE34A"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96" w:type="pct"/>
            <w:tcBorders>
              <w:top w:val="nil"/>
              <w:left w:val="nil"/>
              <w:bottom w:val="nil"/>
              <w:right w:val="nil"/>
            </w:tcBorders>
            <w:noWrap/>
            <w:vAlign w:val="center"/>
            <w:hideMark/>
          </w:tcPr>
          <w:p w14:paraId="39CF7B81"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96" w:type="pct"/>
            <w:tcBorders>
              <w:top w:val="nil"/>
              <w:left w:val="nil"/>
              <w:bottom w:val="nil"/>
              <w:right w:val="nil"/>
            </w:tcBorders>
            <w:noWrap/>
            <w:vAlign w:val="center"/>
            <w:hideMark/>
          </w:tcPr>
          <w:p w14:paraId="67C1D3BC" w14:textId="77777777" w:rsidR="00393455" w:rsidRDefault="00393455">
            <w:pPr>
              <w:spacing w:line="360" w:lineRule="auto"/>
              <w:jc w:val="center"/>
              <w:rPr>
                <w:rFonts w:ascii="Times New Roman" w:eastAsia="Times New Roman" w:hAnsi="Times New Roman" w:cs="Times New Roman"/>
                <w:sz w:val="24"/>
                <w:szCs w:val="24"/>
                <w:lang w:val="en-GB"/>
              </w:rPr>
            </w:pPr>
          </w:p>
        </w:tc>
      </w:tr>
      <w:tr w:rsidR="00393455" w14:paraId="501241E3" w14:textId="77777777">
        <w:trPr>
          <w:trHeight w:val="324"/>
        </w:trPr>
        <w:tc>
          <w:tcPr>
            <w:tcW w:w="985" w:type="pct"/>
            <w:tcBorders>
              <w:top w:val="nil"/>
              <w:left w:val="nil"/>
              <w:bottom w:val="nil"/>
              <w:right w:val="nil"/>
            </w:tcBorders>
            <w:noWrap/>
            <w:vAlign w:val="center"/>
            <w:hideMark/>
          </w:tcPr>
          <w:p w14:paraId="10707FBF"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422" w:type="pct"/>
            <w:tcBorders>
              <w:top w:val="nil"/>
              <w:left w:val="nil"/>
              <w:bottom w:val="nil"/>
              <w:right w:val="nil"/>
            </w:tcBorders>
            <w:noWrap/>
            <w:vAlign w:val="center"/>
            <w:hideMark/>
          </w:tcPr>
          <w:p w14:paraId="46E18526"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633" w:type="pct"/>
            <w:tcBorders>
              <w:top w:val="nil"/>
              <w:left w:val="nil"/>
              <w:bottom w:val="nil"/>
              <w:right w:val="nil"/>
            </w:tcBorders>
            <w:noWrap/>
            <w:vAlign w:val="center"/>
            <w:hideMark/>
          </w:tcPr>
          <w:p w14:paraId="54BDD693"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77" w:type="pct"/>
            <w:tcBorders>
              <w:top w:val="nil"/>
              <w:left w:val="nil"/>
              <w:bottom w:val="nil"/>
              <w:right w:val="nil"/>
            </w:tcBorders>
            <w:noWrap/>
            <w:vAlign w:val="center"/>
            <w:hideMark/>
          </w:tcPr>
          <w:p w14:paraId="11DDA217"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96" w:type="pct"/>
            <w:tcBorders>
              <w:top w:val="nil"/>
              <w:left w:val="nil"/>
              <w:bottom w:val="nil"/>
              <w:right w:val="nil"/>
            </w:tcBorders>
            <w:noWrap/>
            <w:vAlign w:val="center"/>
            <w:hideMark/>
          </w:tcPr>
          <w:p w14:paraId="7EA01A47"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96" w:type="pct"/>
            <w:tcBorders>
              <w:top w:val="nil"/>
              <w:left w:val="nil"/>
              <w:bottom w:val="nil"/>
              <w:right w:val="nil"/>
            </w:tcBorders>
            <w:noWrap/>
            <w:vAlign w:val="center"/>
            <w:hideMark/>
          </w:tcPr>
          <w:p w14:paraId="5F1D1266"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96" w:type="pct"/>
            <w:tcBorders>
              <w:top w:val="nil"/>
              <w:left w:val="nil"/>
              <w:bottom w:val="nil"/>
              <w:right w:val="nil"/>
            </w:tcBorders>
            <w:noWrap/>
            <w:vAlign w:val="center"/>
            <w:hideMark/>
          </w:tcPr>
          <w:p w14:paraId="7957AF97" w14:textId="77777777" w:rsidR="00393455" w:rsidRDefault="00393455">
            <w:pPr>
              <w:spacing w:line="360" w:lineRule="auto"/>
              <w:jc w:val="center"/>
              <w:rPr>
                <w:rFonts w:ascii="Times New Roman" w:eastAsia="Times New Roman" w:hAnsi="Times New Roman" w:cs="Times New Roman"/>
                <w:sz w:val="24"/>
                <w:szCs w:val="24"/>
                <w:lang w:val="en-GB"/>
              </w:rPr>
            </w:pPr>
          </w:p>
        </w:tc>
        <w:tc>
          <w:tcPr>
            <w:tcW w:w="596" w:type="pct"/>
            <w:tcBorders>
              <w:top w:val="nil"/>
              <w:left w:val="nil"/>
              <w:bottom w:val="nil"/>
              <w:right w:val="nil"/>
            </w:tcBorders>
            <w:noWrap/>
            <w:vAlign w:val="center"/>
            <w:hideMark/>
          </w:tcPr>
          <w:p w14:paraId="33F81A35" w14:textId="77777777" w:rsidR="00393455" w:rsidRDefault="00393455">
            <w:pPr>
              <w:spacing w:line="360" w:lineRule="auto"/>
              <w:jc w:val="center"/>
              <w:rPr>
                <w:rFonts w:ascii="Times New Roman" w:eastAsia="Times New Roman" w:hAnsi="Times New Roman" w:cs="Times New Roman"/>
                <w:sz w:val="24"/>
                <w:szCs w:val="24"/>
                <w:lang w:val="en-GB"/>
              </w:rPr>
            </w:pPr>
          </w:p>
        </w:tc>
      </w:tr>
      <w:tr w:rsidR="00393455" w14:paraId="49C3B5B8" w14:textId="77777777">
        <w:trPr>
          <w:trHeight w:val="624"/>
        </w:trPr>
        <w:tc>
          <w:tcPr>
            <w:tcW w:w="5000" w:type="pct"/>
            <w:gridSpan w:val="8"/>
            <w:tcBorders>
              <w:top w:val="single" w:sz="4" w:space="0" w:color="auto"/>
              <w:left w:val="single" w:sz="4" w:space="0" w:color="auto"/>
              <w:bottom w:val="single" w:sz="4" w:space="0" w:color="auto"/>
              <w:right w:val="single" w:sz="4" w:space="0" w:color="auto"/>
            </w:tcBorders>
            <w:shd w:val="clear" w:color="auto" w:fill="D99594"/>
            <w:noWrap/>
            <w:vAlign w:val="center"/>
            <w:hideMark/>
          </w:tcPr>
          <w:p w14:paraId="67768B1D"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Cash Flow Ratios</w:t>
            </w:r>
          </w:p>
        </w:tc>
      </w:tr>
      <w:tr w:rsidR="00393455" w14:paraId="54FCE797" w14:textId="77777777">
        <w:trPr>
          <w:trHeight w:val="936"/>
        </w:trPr>
        <w:tc>
          <w:tcPr>
            <w:tcW w:w="985" w:type="pct"/>
            <w:tcBorders>
              <w:top w:val="nil"/>
              <w:left w:val="single" w:sz="4" w:space="0" w:color="auto"/>
              <w:bottom w:val="single" w:sz="4" w:space="0" w:color="auto"/>
              <w:right w:val="single" w:sz="4" w:space="0" w:color="auto"/>
            </w:tcBorders>
            <w:shd w:val="clear" w:color="auto" w:fill="FFFF00"/>
            <w:noWrap/>
            <w:vAlign w:val="center"/>
            <w:hideMark/>
          </w:tcPr>
          <w:p w14:paraId="741F3A0B"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Particulars</w:t>
            </w:r>
          </w:p>
        </w:tc>
        <w:tc>
          <w:tcPr>
            <w:tcW w:w="422" w:type="pct"/>
            <w:tcBorders>
              <w:top w:val="nil"/>
              <w:left w:val="nil"/>
              <w:bottom w:val="single" w:sz="4" w:space="0" w:color="auto"/>
              <w:right w:val="single" w:sz="4" w:space="0" w:color="auto"/>
            </w:tcBorders>
            <w:shd w:val="clear" w:color="auto" w:fill="FFFF00"/>
            <w:noWrap/>
            <w:vAlign w:val="center"/>
            <w:hideMark/>
          </w:tcPr>
          <w:p w14:paraId="6D02AEE8"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Details</w:t>
            </w:r>
          </w:p>
        </w:tc>
        <w:tc>
          <w:tcPr>
            <w:tcW w:w="633" w:type="pct"/>
            <w:tcBorders>
              <w:top w:val="nil"/>
              <w:left w:val="nil"/>
              <w:bottom w:val="single" w:sz="4" w:space="0" w:color="auto"/>
              <w:right w:val="single" w:sz="4" w:space="0" w:color="auto"/>
            </w:tcBorders>
            <w:shd w:val="clear" w:color="auto" w:fill="FFFF00"/>
            <w:noWrap/>
            <w:vAlign w:val="center"/>
            <w:hideMark/>
          </w:tcPr>
          <w:p w14:paraId="1AFCDE50"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Formula </w:t>
            </w:r>
          </w:p>
        </w:tc>
        <w:tc>
          <w:tcPr>
            <w:tcW w:w="577" w:type="pct"/>
            <w:tcBorders>
              <w:top w:val="nil"/>
              <w:left w:val="nil"/>
              <w:bottom w:val="single" w:sz="4" w:space="0" w:color="auto"/>
              <w:right w:val="single" w:sz="4" w:space="0" w:color="auto"/>
            </w:tcBorders>
            <w:shd w:val="clear" w:color="auto" w:fill="FFFF00"/>
            <w:vAlign w:val="center"/>
            <w:hideMark/>
          </w:tcPr>
          <w:p w14:paraId="71E9696B"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w:t>
            </w:r>
            <w:r>
              <w:rPr>
                <w:rFonts w:ascii="Times New Roman" w:eastAsia="Times New Roman" w:hAnsi="Times New Roman" w:cs="Times New Roman"/>
                <w:b/>
                <w:bCs/>
                <w:sz w:val="24"/>
                <w:szCs w:val="24"/>
                <w:lang w:val="en-GB"/>
              </w:rPr>
              <w:t>0</w:t>
            </w:r>
          </w:p>
        </w:tc>
        <w:tc>
          <w:tcPr>
            <w:tcW w:w="596" w:type="pct"/>
            <w:tcBorders>
              <w:top w:val="nil"/>
              <w:left w:val="nil"/>
              <w:bottom w:val="single" w:sz="4" w:space="0" w:color="auto"/>
              <w:right w:val="single" w:sz="4" w:space="0" w:color="auto"/>
            </w:tcBorders>
            <w:shd w:val="clear" w:color="auto" w:fill="FFFF00"/>
            <w:vAlign w:val="center"/>
            <w:hideMark/>
          </w:tcPr>
          <w:p w14:paraId="227E1D37"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2021</w:t>
            </w:r>
          </w:p>
        </w:tc>
        <w:tc>
          <w:tcPr>
            <w:tcW w:w="596" w:type="pct"/>
            <w:tcBorders>
              <w:top w:val="nil"/>
              <w:left w:val="nil"/>
              <w:bottom w:val="single" w:sz="4" w:space="0" w:color="auto"/>
              <w:right w:val="single" w:sz="4" w:space="0" w:color="auto"/>
            </w:tcBorders>
            <w:shd w:val="clear" w:color="auto" w:fill="FFFF00"/>
            <w:vAlign w:val="center"/>
            <w:hideMark/>
          </w:tcPr>
          <w:p w14:paraId="5B339DD2"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2022</w:t>
            </w:r>
          </w:p>
        </w:tc>
        <w:tc>
          <w:tcPr>
            <w:tcW w:w="596" w:type="pct"/>
            <w:tcBorders>
              <w:top w:val="nil"/>
              <w:left w:val="nil"/>
              <w:bottom w:val="single" w:sz="4" w:space="0" w:color="auto"/>
              <w:right w:val="single" w:sz="4" w:space="0" w:color="auto"/>
            </w:tcBorders>
            <w:shd w:val="clear" w:color="auto" w:fill="FFFF00"/>
            <w:vAlign w:val="center"/>
            <w:hideMark/>
          </w:tcPr>
          <w:p w14:paraId="663A6F22"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2023</w:t>
            </w:r>
          </w:p>
        </w:tc>
        <w:tc>
          <w:tcPr>
            <w:tcW w:w="596" w:type="pct"/>
            <w:tcBorders>
              <w:top w:val="nil"/>
              <w:left w:val="nil"/>
              <w:bottom w:val="single" w:sz="4" w:space="0" w:color="auto"/>
              <w:right w:val="single" w:sz="4" w:space="0" w:color="auto"/>
            </w:tcBorders>
            <w:shd w:val="clear" w:color="auto" w:fill="FFFF00"/>
            <w:vAlign w:val="center"/>
            <w:hideMark/>
          </w:tcPr>
          <w:p w14:paraId="6AC65021"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2024</w:t>
            </w:r>
          </w:p>
        </w:tc>
      </w:tr>
      <w:tr w:rsidR="00393455" w14:paraId="5303F1D4" w14:textId="77777777">
        <w:trPr>
          <w:trHeight w:val="324"/>
        </w:trPr>
        <w:tc>
          <w:tcPr>
            <w:tcW w:w="985" w:type="pct"/>
            <w:tcBorders>
              <w:top w:val="nil"/>
              <w:left w:val="single" w:sz="4" w:space="0" w:color="auto"/>
              <w:bottom w:val="single" w:sz="4" w:space="0" w:color="auto"/>
              <w:right w:val="single" w:sz="4" w:space="0" w:color="auto"/>
            </w:tcBorders>
            <w:noWrap/>
            <w:vAlign w:val="center"/>
            <w:hideMark/>
          </w:tcPr>
          <w:p w14:paraId="054D7163"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Operating Cash Flow</w:t>
            </w:r>
          </w:p>
        </w:tc>
        <w:tc>
          <w:tcPr>
            <w:tcW w:w="422" w:type="pct"/>
            <w:tcBorders>
              <w:top w:val="nil"/>
              <w:left w:val="nil"/>
              <w:bottom w:val="single" w:sz="4" w:space="0" w:color="auto"/>
              <w:right w:val="single" w:sz="4" w:space="0" w:color="auto"/>
            </w:tcBorders>
            <w:noWrap/>
            <w:vAlign w:val="center"/>
            <w:hideMark/>
          </w:tcPr>
          <w:p w14:paraId="07039B2A"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A</w:t>
            </w:r>
          </w:p>
        </w:tc>
        <w:tc>
          <w:tcPr>
            <w:tcW w:w="633" w:type="pct"/>
            <w:tcBorders>
              <w:top w:val="nil"/>
              <w:left w:val="nil"/>
              <w:bottom w:val="single" w:sz="4" w:space="0" w:color="auto"/>
              <w:right w:val="single" w:sz="4" w:space="0" w:color="auto"/>
            </w:tcBorders>
            <w:noWrap/>
            <w:vAlign w:val="center"/>
            <w:hideMark/>
          </w:tcPr>
          <w:p w14:paraId="30645694"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w:t>
            </w:r>
          </w:p>
        </w:tc>
        <w:tc>
          <w:tcPr>
            <w:tcW w:w="577" w:type="pct"/>
            <w:tcBorders>
              <w:top w:val="nil"/>
              <w:left w:val="single" w:sz="8" w:space="0" w:color="000000"/>
              <w:bottom w:val="single" w:sz="8" w:space="0" w:color="000000"/>
              <w:right w:val="single" w:sz="8" w:space="0" w:color="000000"/>
            </w:tcBorders>
            <w:vAlign w:val="center"/>
            <w:hideMark/>
          </w:tcPr>
          <w:p w14:paraId="145A27B6"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1,177 </w:t>
            </w:r>
          </w:p>
        </w:tc>
        <w:tc>
          <w:tcPr>
            <w:tcW w:w="596" w:type="pct"/>
            <w:tcBorders>
              <w:top w:val="nil"/>
              <w:left w:val="nil"/>
              <w:bottom w:val="single" w:sz="8" w:space="0" w:color="000000"/>
              <w:right w:val="single" w:sz="8" w:space="0" w:color="000000"/>
            </w:tcBorders>
            <w:noWrap/>
            <w:vAlign w:val="center"/>
            <w:hideMark/>
          </w:tcPr>
          <w:p w14:paraId="61B23094"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2,363 </w:t>
            </w:r>
          </w:p>
        </w:tc>
        <w:tc>
          <w:tcPr>
            <w:tcW w:w="596" w:type="pct"/>
            <w:tcBorders>
              <w:top w:val="nil"/>
              <w:left w:val="nil"/>
              <w:bottom w:val="single" w:sz="8" w:space="0" w:color="000000"/>
              <w:right w:val="single" w:sz="8" w:space="0" w:color="000000"/>
            </w:tcBorders>
            <w:noWrap/>
            <w:vAlign w:val="center"/>
            <w:hideMark/>
          </w:tcPr>
          <w:p w14:paraId="0BFE9834"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3,170 </w:t>
            </w:r>
          </w:p>
        </w:tc>
        <w:tc>
          <w:tcPr>
            <w:tcW w:w="596" w:type="pct"/>
            <w:tcBorders>
              <w:top w:val="nil"/>
              <w:left w:val="nil"/>
              <w:bottom w:val="single" w:sz="8" w:space="0" w:color="000000"/>
              <w:right w:val="single" w:sz="8" w:space="0" w:color="000000"/>
            </w:tcBorders>
            <w:noWrap/>
            <w:vAlign w:val="center"/>
            <w:hideMark/>
          </w:tcPr>
          <w:p w14:paraId="4121AEB9"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2,749 </w:t>
            </w:r>
          </w:p>
        </w:tc>
        <w:tc>
          <w:tcPr>
            <w:tcW w:w="596" w:type="pct"/>
            <w:tcBorders>
              <w:top w:val="nil"/>
              <w:left w:val="nil"/>
              <w:bottom w:val="single" w:sz="8" w:space="0" w:color="000000"/>
              <w:right w:val="single" w:sz="8" w:space="0" w:color="000000"/>
            </w:tcBorders>
            <w:noWrap/>
            <w:vAlign w:val="center"/>
            <w:hideMark/>
          </w:tcPr>
          <w:p w14:paraId="4438D303"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3,212 </w:t>
            </w:r>
          </w:p>
        </w:tc>
      </w:tr>
      <w:tr w:rsidR="00393455" w14:paraId="7DD7CC76" w14:textId="77777777">
        <w:trPr>
          <w:trHeight w:val="312"/>
        </w:trPr>
        <w:tc>
          <w:tcPr>
            <w:tcW w:w="985" w:type="pct"/>
            <w:tcBorders>
              <w:top w:val="nil"/>
              <w:left w:val="single" w:sz="4" w:space="0" w:color="auto"/>
              <w:bottom w:val="single" w:sz="4" w:space="0" w:color="auto"/>
              <w:right w:val="single" w:sz="4" w:space="0" w:color="auto"/>
            </w:tcBorders>
            <w:noWrap/>
            <w:vAlign w:val="center"/>
            <w:hideMark/>
          </w:tcPr>
          <w:p w14:paraId="596146C1"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Current Liabilities</w:t>
            </w:r>
          </w:p>
        </w:tc>
        <w:tc>
          <w:tcPr>
            <w:tcW w:w="422" w:type="pct"/>
            <w:tcBorders>
              <w:top w:val="nil"/>
              <w:left w:val="nil"/>
              <w:bottom w:val="single" w:sz="4" w:space="0" w:color="auto"/>
              <w:right w:val="single" w:sz="4" w:space="0" w:color="auto"/>
            </w:tcBorders>
            <w:noWrap/>
            <w:vAlign w:val="center"/>
            <w:hideMark/>
          </w:tcPr>
          <w:p w14:paraId="03E433CE"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B</w:t>
            </w:r>
          </w:p>
        </w:tc>
        <w:tc>
          <w:tcPr>
            <w:tcW w:w="633" w:type="pct"/>
            <w:tcBorders>
              <w:top w:val="nil"/>
              <w:left w:val="nil"/>
              <w:bottom w:val="single" w:sz="4" w:space="0" w:color="auto"/>
              <w:right w:val="single" w:sz="4" w:space="0" w:color="auto"/>
            </w:tcBorders>
            <w:noWrap/>
            <w:vAlign w:val="center"/>
            <w:hideMark/>
          </w:tcPr>
          <w:p w14:paraId="64A42992" w14:textId="77777777" w:rsidR="00393455" w:rsidRDefault="00BC61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w:t>
            </w:r>
          </w:p>
        </w:tc>
        <w:tc>
          <w:tcPr>
            <w:tcW w:w="577" w:type="pct"/>
            <w:tcBorders>
              <w:top w:val="nil"/>
              <w:left w:val="nil"/>
              <w:bottom w:val="single" w:sz="4" w:space="0" w:color="auto"/>
              <w:right w:val="nil"/>
            </w:tcBorders>
            <w:noWrap/>
            <w:vAlign w:val="center"/>
            <w:hideMark/>
          </w:tcPr>
          <w:p w14:paraId="08DBA7AD"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6,407 </w:t>
            </w:r>
          </w:p>
        </w:tc>
        <w:tc>
          <w:tcPr>
            <w:tcW w:w="596" w:type="pct"/>
            <w:tcBorders>
              <w:top w:val="nil"/>
              <w:left w:val="nil"/>
              <w:bottom w:val="single" w:sz="4" w:space="0" w:color="auto"/>
              <w:right w:val="nil"/>
            </w:tcBorders>
            <w:noWrap/>
            <w:vAlign w:val="center"/>
            <w:hideMark/>
          </w:tcPr>
          <w:p w14:paraId="6DBC3EF5"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7,339 </w:t>
            </w:r>
          </w:p>
        </w:tc>
        <w:tc>
          <w:tcPr>
            <w:tcW w:w="596" w:type="pct"/>
            <w:tcBorders>
              <w:top w:val="nil"/>
              <w:left w:val="nil"/>
              <w:bottom w:val="single" w:sz="4" w:space="0" w:color="auto"/>
              <w:right w:val="nil"/>
            </w:tcBorders>
            <w:noWrap/>
            <w:vAlign w:val="center"/>
            <w:hideMark/>
          </w:tcPr>
          <w:p w14:paraId="69C83629"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7,762 </w:t>
            </w:r>
          </w:p>
        </w:tc>
        <w:tc>
          <w:tcPr>
            <w:tcW w:w="596" w:type="pct"/>
            <w:tcBorders>
              <w:top w:val="nil"/>
              <w:left w:val="nil"/>
              <w:bottom w:val="single" w:sz="4" w:space="0" w:color="auto"/>
              <w:right w:val="nil"/>
            </w:tcBorders>
            <w:noWrap/>
            <w:vAlign w:val="center"/>
            <w:hideMark/>
          </w:tcPr>
          <w:p w14:paraId="40D2B828"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8,649 </w:t>
            </w:r>
          </w:p>
        </w:tc>
        <w:tc>
          <w:tcPr>
            <w:tcW w:w="596" w:type="pct"/>
            <w:tcBorders>
              <w:top w:val="nil"/>
              <w:left w:val="nil"/>
              <w:bottom w:val="single" w:sz="4" w:space="0" w:color="auto"/>
              <w:right w:val="nil"/>
            </w:tcBorders>
            <w:noWrap/>
            <w:vAlign w:val="center"/>
            <w:hideMark/>
          </w:tcPr>
          <w:p w14:paraId="6EEFBAA2" w14:textId="77777777" w:rsidR="00393455" w:rsidRDefault="00BC616B">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8,398 </w:t>
            </w:r>
          </w:p>
        </w:tc>
      </w:tr>
      <w:tr w:rsidR="00393455" w14:paraId="4EF26D41" w14:textId="77777777">
        <w:trPr>
          <w:trHeight w:val="636"/>
        </w:trPr>
        <w:tc>
          <w:tcPr>
            <w:tcW w:w="985" w:type="pct"/>
            <w:tcBorders>
              <w:top w:val="single" w:sz="4" w:space="0" w:color="auto"/>
              <w:left w:val="single" w:sz="4" w:space="0" w:color="auto"/>
              <w:right w:val="single" w:sz="4" w:space="0" w:color="auto"/>
            </w:tcBorders>
            <w:shd w:val="clear" w:color="auto" w:fill="C2D69B"/>
            <w:noWrap/>
            <w:vAlign w:val="bottom"/>
            <w:hideMark/>
          </w:tcPr>
          <w:p w14:paraId="5ACBD58F"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lastRenderedPageBreak/>
              <w:t>Operating Cash Flow Ratio</w:t>
            </w:r>
          </w:p>
        </w:tc>
        <w:tc>
          <w:tcPr>
            <w:tcW w:w="422" w:type="pct"/>
            <w:tcBorders>
              <w:top w:val="single" w:sz="4" w:space="0" w:color="auto"/>
              <w:left w:val="nil"/>
              <w:right w:val="single" w:sz="4" w:space="0" w:color="auto"/>
            </w:tcBorders>
            <w:shd w:val="clear" w:color="auto" w:fill="C2D69B"/>
            <w:noWrap/>
            <w:vAlign w:val="center"/>
            <w:hideMark/>
          </w:tcPr>
          <w:p w14:paraId="58CCB12E"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A/B</w:t>
            </w:r>
          </w:p>
        </w:tc>
        <w:tc>
          <w:tcPr>
            <w:tcW w:w="633" w:type="pct"/>
            <w:tcBorders>
              <w:top w:val="single" w:sz="4" w:space="0" w:color="auto"/>
              <w:left w:val="nil"/>
              <w:right w:val="single" w:sz="4" w:space="0" w:color="auto"/>
            </w:tcBorders>
            <w:shd w:val="clear" w:color="auto" w:fill="C2D69B"/>
            <w:vAlign w:val="center"/>
            <w:hideMark/>
          </w:tcPr>
          <w:p w14:paraId="3FB61092"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(OCF / Current Liabilities)</w:t>
            </w:r>
          </w:p>
        </w:tc>
        <w:tc>
          <w:tcPr>
            <w:tcW w:w="577" w:type="pct"/>
            <w:tcBorders>
              <w:top w:val="single" w:sz="4" w:space="0" w:color="auto"/>
              <w:left w:val="nil"/>
              <w:right w:val="single" w:sz="4" w:space="0" w:color="auto"/>
            </w:tcBorders>
            <w:shd w:val="clear" w:color="auto" w:fill="C2D69B"/>
            <w:noWrap/>
            <w:vAlign w:val="center"/>
            <w:hideMark/>
          </w:tcPr>
          <w:p w14:paraId="46A6893B"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0.18 </w:t>
            </w:r>
          </w:p>
        </w:tc>
        <w:tc>
          <w:tcPr>
            <w:tcW w:w="596" w:type="pct"/>
            <w:tcBorders>
              <w:top w:val="single" w:sz="4" w:space="0" w:color="auto"/>
              <w:left w:val="nil"/>
              <w:right w:val="single" w:sz="4" w:space="0" w:color="auto"/>
            </w:tcBorders>
            <w:shd w:val="clear" w:color="auto" w:fill="C2D69B"/>
            <w:noWrap/>
            <w:vAlign w:val="center"/>
            <w:hideMark/>
          </w:tcPr>
          <w:p w14:paraId="7DEB6E40"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0.32 </w:t>
            </w:r>
          </w:p>
        </w:tc>
        <w:tc>
          <w:tcPr>
            <w:tcW w:w="596" w:type="pct"/>
            <w:tcBorders>
              <w:top w:val="single" w:sz="4" w:space="0" w:color="auto"/>
              <w:left w:val="nil"/>
              <w:right w:val="single" w:sz="4" w:space="0" w:color="auto"/>
            </w:tcBorders>
            <w:shd w:val="clear" w:color="auto" w:fill="C2D69B"/>
            <w:noWrap/>
            <w:vAlign w:val="center"/>
            <w:hideMark/>
          </w:tcPr>
          <w:p w14:paraId="4BF19AF0"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0.41 </w:t>
            </w:r>
          </w:p>
        </w:tc>
        <w:tc>
          <w:tcPr>
            <w:tcW w:w="596" w:type="pct"/>
            <w:tcBorders>
              <w:top w:val="single" w:sz="4" w:space="0" w:color="auto"/>
              <w:left w:val="nil"/>
              <w:right w:val="single" w:sz="4" w:space="0" w:color="auto"/>
            </w:tcBorders>
            <w:shd w:val="clear" w:color="auto" w:fill="C2D69B"/>
            <w:noWrap/>
            <w:vAlign w:val="center"/>
            <w:hideMark/>
          </w:tcPr>
          <w:p w14:paraId="0ED1D59D"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0.32 </w:t>
            </w:r>
          </w:p>
        </w:tc>
        <w:tc>
          <w:tcPr>
            <w:tcW w:w="596" w:type="pct"/>
            <w:tcBorders>
              <w:top w:val="single" w:sz="4" w:space="0" w:color="auto"/>
              <w:left w:val="nil"/>
              <w:right w:val="single" w:sz="4" w:space="0" w:color="auto"/>
            </w:tcBorders>
            <w:shd w:val="clear" w:color="auto" w:fill="C2D69B"/>
            <w:noWrap/>
            <w:vAlign w:val="center"/>
            <w:hideMark/>
          </w:tcPr>
          <w:p w14:paraId="22FC9525"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0.38 </w:t>
            </w:r>
          </w:p>
        </w:tc>
      </w:tr>
    </w:tbl>
    <w:p w14:paraId="45563506" w14:textId="77777777" w:rsidR="00393455" w:rsidRDefault="00393455">
      <w:pPr>
        <w:spacing w:line="360" w:lineRule="auto"/>
        <w:rPr>
          <w:rFonts w:ascii="Times New Roman" w:hAnsi="Times New Roman" w:cs="Times New Roman"/>
          <w:b/>
          <w:bCs/>
          <w:sz w:val="24"/>
          <w:szCs w:val="24"/>
          <w:lang w:val="en-GB"/>
        </w:rPr>
      </w:pPr>
    </w:p>
    <w:p w14:paraId="173CFBED" w14:textId="77777777" w:rsidR="00393455" w:rsidRDefault="00BC616B">
      <w:pPr>
        <w:spacing w:line="36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br w:type="page"/>
      </w:r>
    </w:p>
    <w:p w14:paraId="19997749" w14:textId="77777777" w:rsidR="00393455" w:rsidRDefault="00BC616B">
      <w:pPr>
        <w:pStyle w:val="Heading2"/>
        <w:spacing w:before="0" w:after="0"/>
        <w:rPr>
          <w:rFonts w:cs="Times New Roman"/>
          <w:color w:val="auto"/>
          <w:szCs w:val="24"/>
          <w:lang w:val="en-GB"/>
        </w:rPr>
      </w:pPr>
      <w:bookmarkStart w:id="25" w:name="_Toc236912247"/>
      <w:r>
        <w:rPr>
          <w:rFonts w:cs="Times New Roman"/>
          <w:color w:val="auto"/>
          <w:szCs w:val="24"/>
          <w:lang w:val="en-GB"/>
        </w:rPr>
        <w:lastRenderedPageBreak/>
        <w:t>Appendix 2: Trend analysis</w:t>
      </w:r>
      <w:bookmarkEnd w:id="25"/>
    </w:p>
    <w:tbl>
      <w:tblPr>
        <w:tblW w:w="0" w:type="auto"/>
        <w:tblInd w:w="113" w:type="dxa"/>
        <w:tblLook w:val="04A0" w:firstRow="1" w:lastRow="0" w:firstColumn="1" w:lastColumn="0" w:noHBand="0" w:noVBand="1"/>
      </w:tblPr>
      <w:tblGrid>
        <w:gridCol w:w="1378"/>
        <w:gridCol w:w="970"/>
        <w:gridCol w:w="982"/>
        <w:gridCol w:w="970"/>
        <w:gridCol w:w="970"/>
        <w:gridCol w:w="963"/>
        <w:gridCol w:w="751"/>
        <w:gridCol w:w="751"/>
        <w:gridCol w:w="751"/>
        <w:gridCol w:w="751"/>
      </w:tblGrid>
      <w:tr w:rsidR="00393455" w14:paraId="4187C5DC" w14:textId="77777777">
        <w:trPr>
          <w:trHeight w:val="828"/>
        </w:trPr>
        <w:tc>
          <w:tcPr>
            <w:tcW w:w="0" w:type="auto"/>
            <w:tcBorders>
              <w:top w:val="single" w:sz="4" w:space="0" w:color="auto"/>
              <w:left w:val="single" w:sz="4" w:space="0" w:color="auto"/>
              <w:bottom w:val="single" w:sz="4" w:space="0" w:color="auto"/>
              <w:right w:val="single" w:sz="4" w:space="0" w:color="auto"/>
            </w:tcBorders>
            <w:shd w:val="clear" w:color="000000" w:fill="F8CBAD"/>
            <w:vAlign w:val="center"/>
            <w:hideMark/>
          </w:tcPr>
          <w:p w14:paraId="2F81EA3C" w14:textId="77777777" w:rsidR="00393455" w:rsidRDefault="00BC616B">
            <w:pPr>
              <w:spacing w:line="360" w:lineRule="auto"/>
              <w:jc w:val="center"/>
              <w:rPr>
                <w:rFonts w:ascii="Times New Roman" w:eastAsia="Times New Roman" w:hAnsi="Times New Roman" w:cs="Times New Roman"/>
                <w:b/>
                <w:bCs/>
                <w:lang w:val="en-GB"/>
              </w:rPr>
            </w:pPr>
            <w:r>
              <w:rPr>
                <w:rFonts w:ascii="Times New Roman" w:eastAsia="Times New Roman" w:hAnsi="Times New Roman" w:cs="Times New Roman"/>
                <w:b/>
                <w:bCs/>
                <w:lang w:val="en-GB"/>
              </w:rPr>
              <w:t xml:space="preserve">Particular </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2603DAE9" w14:textId="77777777" w:rsidR="00393455" w:rsidRDefault="00BC616B">
            <w:pPr>
              <w:spacing w:line="360" w:lineRule="auto"/>
              <w:jc w:val="center"/>
              <w:rPr>
                <w:rFonts w:ascii="Times New Roman" w:eastAsia="Times New Roman" w:hAnsi="Times New Roman" w:cs="Times New Roman"/>
                <w:b/>
                <w:bCs/>
                <w:lang w:val="en-GB"/>
              </w:rPr>
            </w:pPr>
            <w:r>
              <w:rPr>
                <w:rFonts w:ascii="Times New Roman" w:eastAsia="Times New Roman" w:hAnsi="Times New Roman" w:cs="Times New Roman"/>
                <w:b/>
                <w:bCs/>
                <w:sz w:val="24"/>
                <w:szCs w:val="24"/>
                <w:lang w:val="en-GB"/>
              </w:rPr>
              <w:t>2020</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7CF1F1AF" w14:textId="77777777" w:rsidR="00393455" w:rsidRDefault="00BC616B">
            <w:pPr>
              <w:spacing w:line="360" w:lineRule="auto"/>
              <w:jc w:val="center"/>
              <w:rPr>
                <w:rFonts w:ascii="Times New Roman" w:eastAsia="Times New Roman" w:hAnsi="Times New Roman" w:cs="Times New Roman"/>
                <w:b/>
                <w:bCs/>
                <w:lang w:val="en-GB"/>
              </w:rPr>
            </w:pPr>
            <w:r>
              <w:rPr>
                <w:rFonts w:ascii="Times New Roman" w:eastAsia="Times New Roman" w:hAnsi="Times New Roman" w:cs="Times New Roman"/>
                <w:b/>
                <w:bCs/>
                <w:sz w:val="24"/>
                <w:szCs w:val="24"/>
                <w:lang w:val="en-GB"/>
              </w:rPr>
              <w:t>2021</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68D1CCFE" w14:textId="77777777" w:rsidR="00393455" w:rsidRDefault="00BC616B">
            <w:pPr>
              <w:spacing w:line="360" w:lineRule="auto"/>
              <w:jc w:val="center"/>
              <w:rPr>
                <w:rFonts w:ascii="Times New Roman" w:eastAsia="Times New Roman" w:hAnsi="Times New Roman" w:cs="Times New Roman"/>
                <w:b/>
                <w:bCs/>
                <w:lang w:val="en-GB"/>
              </w:rPr>
            </w:pPr>
            <w:r>
              <w:rPr>
                <w:rFonts w:ascii="Times New Roman" w:eastAsia="Times New Roman" w:hAnsi="Times New Roman" w:cs="Times New Roman"/>
                <w:b/>
                <w:bCs/>
                <w:sz w:val="24"/>
                <w:szCs w:val="24"/>
                <w:lang w:val="en-GB"/>
              </w:rPr>
              <w:t>2022</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53B22761" w14:textId="77777777" w:rsidR="00393455" w:rsidRDefault="00BC616B">
            <w:pPr>
              <w:spacing w:line="360" w:lineRule="auto"/>
              <w:jc w:val="center"/>
              <w:rPr>
                <w:rFonts w:ascii="Times New Roman" w:eastAsia="Times New Roman" w:hAnsi="Times New Roman" w:cs="Times New Roman"/>
                <w:b/>
                <w:bCs/>
                <w:lang w:val="en-GB"/>
              </w:rPr>
            </w:pPr>
            <w:r>
              <w:rPr>
                <w:rFonts w:ascii="Times New Roman" w:eastAsia="Times New Roman" w:hAnsi="Times New Roman" w:cs="Times New Roman"/>
                <w:b/>
                <w:bCs/>
                <w:sz w:val="24"/>
                <w:szCs w:val="24"/>
                <w:lang w:val="en-GB"/>
              </w:rPr>
              <w:t>2023</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749D9EC9" w14:textId="77777777" w:rsidR="00393455" w:rsidRDefault="00BC616B">
            <w:pPr>
              <w:spacing w:line="360" w:lineRule="auto"/>
              <w:jc w:val="center"/>
              <w:rPr>
                <w:rFonts w:ascii="Times New Roman" w:eastAsia="Times New Roman" w:hAnsi="Times New Roman" w:cs="Times New Roman"/>
                <w:b/>
                <w:bCs/>
                <w:lang w:val="en-GB"/>
              </w:rPr>
            </w:pPr>
            <w:r>
              <w:rPr>
                <w:rFonts w:ascii="Times New Roman" w:eastAsia="Times New Roman" w:hAnsi="Times New Roman" w:cs="Times New Roman"/>
                <w:b/>
                <w:bCs/>
                <w:sz w:val="24"/>
                <w:szCs w:val="24"/>
                <w:lang w:val="en-GB"/>
              </w:rPr>
              <w:t>2024</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5DE16A19"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hAnsi="Times New Roman" w:cs="Times New Roman"/>
                <w:b/>
                <w:bCs/>
                <w:color w:val="000000"/>
                <w:sz w:val="24"/>
                <w:szCs w:val="24"/>
              </w:rPr>
              <w:t>Trend Analysis (2020-2021)</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2BB01C45"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hAnsi="Times New Roman" w:cs="Times New Roman"/>
                <w:b/>
                <w:bCs/>
                <w:color w:val="000000"/>
                <w:sz w:val="24"/>
                <w:szCs w:val="24"/>
              </w:rPr>
              <w:t>Trend Analysis  (2021- 2022)</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1E395F15"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hAnsi="Times New Roman" w:cs="Times New Roman"/>
                <w:b/>
                <w:bCs/>
                <w:color w:val="000000"/>
                <w:sz w:val="24"/>
                <w:szCs w:val="24"/>
              </w:rPr>
              <w:t>Trend Analysis  (2022- 2023)</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1A015E35" w14:textId="77777777" w:rsidR="00393455" w:rsidRDefault="00BC616B">
            <w:pPr>
              <w:spacing w:line="360" w:lineRule="auto"/>
              <w:jc w:val="center"/>
              <w:rPr>
                <w:rFonts w:ascii="Times New Roman" w:eastAsia="Times New Roman" w:hAnsi="Times New Roman" w:cs="Times New Roman"/>
                <w:b/>
                <w:bCs/>
                <w:sz w:val="24"/>
                <w:szCs w:val="24"/>
                <w:lang w:val="en-GB"/>
              </w:rPr>
            </w:pPr>
            <w:r>
              <w:rPr>
                <w:rFonts w:ascii="Times New Roman" w:hAnsi="Times New Roman" w:cs="Times New Roman"/>
                <w:b/>
                <w:bCs/>
                <w:color w:val="000000"/>
                <w:sz w:val="24"/>
                <w:szCs w:val="24"/>
              </w:rPr>
              <w:t>Trend Analysis  (2023- 2024)</w:t>
            </w:r>
          </w:p>
        </w:tc>
      </w:tr>
      <w:tr w:rsidR="00393455" w14:paraId="3E4F18AE" w14:textId="77777777">
        <w:trPr>
          <w:trHeight w:val="288"/>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0BE6204" w14:textId="77777777" w:rsidR="00393455" w:rsidRDefault="00BC616B">
            <w:pPr>
              <w:spacing w:line="360" w:lineRule="auto"/>
              <w:rPr>
                <w:rFonts w:ascii="Times New Roman" w:eastAsia="Times New Roman" w:hAnsi="Times New Roman" w:cs="Times New Roman"/>
                <w:b/>
                <w:bCs/>
                <w:lang w:val="en-GB"/>
              </w:rPr>
            </w:pPr>
            <w:r>
              <w:rPr>
                <w:rFonts w:ascii="Times New Roman" w:eastAsia="Times New Roman" w:hAnsi="Times New Roman" w:cs="Times New Roman"/>
                <w:b/>
                <w:bCs/>
                <w:lang w:val="en-GB"/>
              </w:rPr>
              <w:t>Net Sales</w:t>
            </w:r>
          </w:p>
        </w:tc>
        <w:tc>
          <w:tcPr>
            <w:tcW w:w="0" w:type="auto"/>
            <w:tcBorders>
              <w:top w:val="nil"/>
              <w:left w:val="nil"/>
              <w:bottom w:val="single" w:sz="4" w:space="0" w:color="auto"/>
              <w:right w:val="single" w:sz="4" w:space="0" w:color="auto"/>
            </w:tcBorders>
            <w:shd w:val="clear" w:color="000000" w:fill="FFFFFF"/>
            <w:noWrap/>
            <w:vAlign w:val="bottom"/>
            <w:hideMark/>
          </w:tcPr>
          <w:p w14:paraId="72C2E5CD" w14:textId="77777777" w:rsidR="00393455" w:rsidRDefault="00BC616B">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 $       13,857 </w:t>
            </w:r>
          </w:p>
        </w:tc>
        <w:tc>
          <w:tcPr>
            <w:tcW w:w="0" w:type="auto"/>
            <w:tcBorders>
              <w:top w:val="nil"/>
              <w:left w:val="nil"/>
              <w:bottom w:val="single" w:sz="4" w:space="0" w:color="auto"/>
              <w:right w:val="single" w:sz="4" w:space="0" w:color="auto"/>
            </w:tcBorders>
            <w:shd w:val="clear" w:color="000000" w:fill="FFFFFF"/>
            <w:noWrap/>
            <w:vAlign w:val="bottom"/>
            <w:hideMark/>
          </w:tcPr>
          <w:p w14:paraId="39F6EC13" w14:textId="77777777" w:rsidR="00393455" w:rsidRDefault="00BC616B">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 $       20,773 </w:t>
            </w:r>
          </w:p>
        </w:tc>
        <w:tc>
          <w:tcPr>
            <w:tcW w:w="0" w:type="auto"/>
            <w:tcBorders>
              <w:top w:val="nil"/>
              <w:left w:val="nil"/>
              <w:bottom w:val="single" w:sz="4" w:space="0" w:color="auto"/>
              <w:right w:val="single" w:sz="4" w:space="0" w:color="auto"/>
            </w:tcBorders>
            <w:shd w:val="clear" w:color="000000" w:fill="FFFFFF"/>
            <w:noWrap/>
            <w:vAlign w:val="bottom"/>
            <w:hideMark/>
          </w:tcPr>
          <w:p w14:paraId="50CB5F75" w14:textId="77777777" w:rsidR="00393455" w:rsidRDefault="00BC616B">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 $       23,713 </w:t>
            </w:r>
          </w:p>
        </w:tc>
        <w:tc>
          <w:tcPr>
            <w:tcW w:w="0" w:type="auto"/>
            <w:tcBorders>
              <w:top w:val="nil"/>
              <w:left w:val="nil"/>
              <w:bottom w:val="single" w:sz="4" w:space="0" w:color="auto"/>
              <w:right w:val="single" w:sz="4" w:space="0" w:color="auto"/>
            </w:tcBorders>
            <w:shd w:val="clear" w:color="000000" w:fill="FFFFFF"/>
            <w:noWrap/>
            <w:vAlign w:val="bottom"/>
            <w:hideMark/>
          </w:tcPr>
          <w:p w14:paraId="2519DB14" w14:textId="77777777" w:rsidR="00393455" w:rsidRDefault="00BC616B">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 $       25,100 </w:t>
            </w:r>
          </w:p>
        </w:tc>
        <w:tc>
          <w:tcPr>
            <w:tcW w:w="0" w:type="auto"/>
            <w:tcBorders>
              <w:top w:val="nil"/>
              <w:left w:val="nil"/>
              <w:bottom w:val="single" w:sz="4" w:space="0" w:color="auto"/>
              <w:right w:val="single" w:sz="4" w:space="0" w:color="auto"/>
            </w:tcBorders>
            <w:shd w:val="clear" w:color="000000" w:fill="FFFFFF"/>
            <w:noWrap/>
            <w:vAlign w:val="bottom"/>
            <w:hideMark/>
          </w:tcPr>
          <w:p w14:paraId="6BF6645B" w14:textId="77777777" w:rsidR="00393455" w:rsidRDefault="00BC616B">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 $       26,186 </w:t>
            </w:r>
          </w:p>
        </w:tc>
        <w:tc>
          <w:tcPr>
            <w:tcW w:w="0" w:type="auto"/>
            <w:tcBorders>
              <w:top w:val="nil"/>
              <w:left w:val="nil"/>
              <w:bottom w:val="single" w:sz="4" w:space="0" w:color="auto"/>
              <w:right w:val="single" w:sz="4" w:space="0" w:color="auto"/>
            </w:tcBorders>
            <w:shd w:val="clear" w:color="000000" w:fill="FFD966"/>
            <w:noWrap/>
            <w:vAlign w:val="bottom"/>
            <w:hideMark/>
          </w:tcPr>
          <w:p w14:paraId="6674EBF2" w14:textId="77777777" w:rsidR="00393455" w:rsidRDefault="00BC616B">
            <w:pPr>
              <w:spacing w:line="360" w:lineRule="auto"/>
              <w:jc w:val="right"/>
              <w:rPr>
                <w:rFonts w:ascii="Times New Roman" w:eastAsia="Times New Roman" w:hAnsi="Times New Roman" w:cs="Times New Roman"/>
                <w:b/>
                <w:bCs/>
                <w:lang w:val="en-GB"/>
              </w:rPr>
            </w:pPr>
            <w:r>
              <w:rPr>
                <w:rFonts w:ascii="Times New Roman" w:eastAsia="Times New Roman" w:hAnsi="Times New Roman" w:cs="Times New Roman"/>
                <w:b/>
                <w:bCs/>
                <w:lang w:val="en-GB"/>
              </w:rPr>
              <w:t>50%</w:t>
            </w:r>
          </w:p>
        </w:tc>
        <w:tc>
          <w:tcPr>
            <w:tcW w:w="0" w:type="auto"/>
            <w:tcBorders>
              <w:top w:val="nil"/>
              <w:left w:val="nil"/>
              <w:bottom w:val="single" w:sz="4" w:space="0" w:color="auto"/>
              <w:right w:val="single" w:sz="4" w:space="0" w:color="auto"/>
            </w:tcBorders>
            <w:shd w:val="clear" w:color="000000" w:fill="FFD966"/>
            <w:noWrap/>
            <w:vAlign w:val="bottom"/>
            <w:hideMark/>
          </w:tcPr>
          <w:p w14:paraId="2E8C8A8B" w14:textId="77777777" w:rsidR="00393455" w:rsidRDefault="00BC616B">
            <w:pPr>
              <w:spacing w:line="360" w:lineRule="auto"/>
              <w:jc w:val="right"/>
              <w:rPr>
                <w:rFonts w:ascii="Times New Roman" w:eastAsia="Times New Roman" w:hAnsi="Times New Roman" w:cs="Times New Roman"/>
                <w:b/>
                <w:bCs/>
                <w:lang w:val="en-GB"/>
              </w:rPr>
            </w:pPr>
            <w:r>
              <w:rPr>
                <w:rFonts w:ascii="Times New Roman" w:eastAsia="Times New Roman" w:hAnsi="Times New Roman" w:cs="Times New Roman"/>
                <w:b/>
                <w:bCs/>
                <w:lang w:val="en-GB"/>
              </w:rPr>
              <w:t>14%</w:t>
            </w:r>
          </w:p>
        </w:tc>
        <w:tc>
          <w:tcPr>
            <w:tcW w:w="0" w:type="auto"/>
            <w:tcBorders>
              <w:top w:val="nil"/>
              <w:left w:val="nil"/>
              <w:bottom w:val="single" w:sz="4" w:space="0" w:color="auto"/>
              <w:right w:val="single" w:sz="4" w:space="0" w:color="auto"/>
            </w:tcBorders>
            <w:shd w:val="clear" w:color="000000" w:fill="FFD966"/>
            <w:noWrap/>
            <w:vAlign w:val="bottom"/>
            <w:hideMark/>
          </w:tcPr>
          <w:p w14:paraId="60ABB1FD" w14:textId="77777777" w:rsidR="00393455" w:rsidRDefault="00BC616B">
            <w:pPr>
              <w:spacing w:line="360" w:lineRule="auto"/>
              <w:jc w:val="right"/>
              <w:rPr>
                <w:rFonts w:ascii="Times New Roman" w:eastAsia="Times New Roman" w:hAnsi="Times New Roman" w:cs="Times New Roman"/>
                <w:b/>
                <w:bCs/>
                <w:lang w:val="en-GB"/>
              </w:rPr>
            </w:pPr>
            <w:r>
              <w:rPr>
                <w:rFonts w:ascii="Times New Roman" w:eastAsia="Times New Roman" w:hAnsi="Times New Roman" w:cs="Times New Roman"/>
                <w:b/>
                <w:bCs/>
                <w:lang w:val="en-GB"/>
              </w:rPr>
              <w:t>6%</w:t>
            </w:r>
          </w:p>
        </w:tc>
        <w:tc>
          <w:tcPr>
            <w:tcW w:w="0" w:type="auto"/>
            <w:tcBorders>
              <w:top w:val="nil"/>
              <w:left w:val="nil"/>
              <w:bottom w:val="single" w:sz="4" w:space="0" w:color="auto"/>
              <w:right w:val="single" w:sz="4" w:space="0" w:color="auto"/>
            </w:tcBorders>
            <w:shd w:val="clear" w:color="000000" w:fill="FFD966"/>
            <w:noWrap/>
            <w:vAlign w:val="bottom"/>
            <w:hideMark/>
          </w:tcPr>
          <w:p w14:paraId="35D8194B" w14:textId="77777777" w:rsidR="00393455" w:rsidRDefault="00BC616B">
            <w:pPr>
              <w:spacing w:line="360" w:lineRule="auto"/>
              <w:jc w:val="right"/>
              <w:rPr>
                <w:rFonts w:ascii="Times New Roman" w:eastAsia="Times New Roman" w:hAnsi="Times New Roman" w:cs="Times New Roman"/>
                <w:b/>
                <w:bCs/>
                <w:lang w:val="en-GB"/>
              </w:rPr>
            </w:pPr>
            <w:r>
              <w:rPr>
                <w:rFonts w:ascii="Times New Roman" w:eastAsia="Times New Roman" w:hAnsi="Times New Roman" w:cs="Times New Roman"/>
                <w:b/>
                <w:bCs/>
                <w:lang w:val="en-GB"/>
              </w:rPr>
              <w:t>4%</w:t>
            </w:r>
          </w:p>
        </w:tc>
      </w:tr>
      <w:tr w:rsidR="00393455" w14:paraId="5FBCF84F" w14:textId="77777777">
        <w:trPr>
          <w:trHeight w:val="288"/>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B729B28" w14:textId="77777777" w:rsidR="00393455" w:rsidRDefault="00BC616B">
            <w:pPr>
              <w:spacing w:line="360" w:lineRule="auto"/>
              <w:rPr>
                <w:rFonts w:ascii="Times New Roman" w:eastAsia="Times New Roman" w:hAnsi="Times New Roman" w:cs="Times New Roman"/>
                <w:b/>
                <w:bCs/>
                <w:lang w:val="en-GB"/>
              </w:rPr>
            </w:pPr>
            <w:r>
              <w:rPr>
                <w:rFonts w:ascii="Times New Roman" w:eastAsia="Times New Roman" w:hAnsi="Times New Roman" w:cs="Times New Roman"/>
                <w:b/>
                <w:bCs/>
                <w:lang w:val="en-GB"/>
              </w:rPr>
              <w:t>Operating Income</w:t>
            </w:r>
          </w:p>
        </w:tc>
        <w:tc>
          <w:tcPr>
            <w:tcW w:w="0" w:type="auto"/>
            <w:tcBorders>
              <w:top w:val="nil"/>
              <w:left w:val="nil"/>
              <w:bottom w:val="single" w:sz="4" w:space="0" w:color="auto"/>
              <w:right w:val="single" w:sz="4" w:space="0" w:color="auto"/>
            </w:tcBorders>
            <w:shd w:val="clear" w:color="000000" w:fill="FFFFFF"/>
            <w:noWrap/>
            <w:vAlign w:val="bottom"/>
            <w:hideMark/>
          </w:tcPr>
          <w:p w14:paraId="76B74676" w14:textId="77777777" w:rsidR="00393455" w:rsidRDefault="00BC616B">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 $        1,750 </w:t>
            </w:r>
          </w:p>
        </w:tc>
        <w:tc>
          <w:tcPr>
            <w:tcW w:w="0" w:type="auto"/>
            <w:tcBorders>
              <w:top w:val="nil"/>
              <w:left w:val="nil"/>
              <w:bottom w:val="single" w:sz="4" w:space="0" w:color="auto"/>
              <w:right w:val="single" w:sz="4" w:space="0" w:color="auto"/>
            </w:tcBorders>
            <w:shd w:val="clear" w:color="000000" w:fill="FFFFFF"/>
            <w:noWrap/>
            <w:vAlign w:val="bottom"/>
            <w:hideMark/>
          </w:tcPr>
          <w:p w14:paraId="701723A9" w14:textId="77777777" w:rsidR="00393455" w:rsidRDefault="00BC616B">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 $        3,462 </w:t>
            </w:r>
          </w:p>
        </w:tc>
        <w:tc>
          <w:tcPr>
            <w:tcW w:w="0" w:type="auto"/>
            <w:tcBorders>
              <w:top w:val="nil"/>
              <w:left w:val="nil"/>
              <w:bottom w:val="single" w:sz="4" w:space="0" w:color="auto"/>
              <w:right w:val="single" w:sz="4" w:space="0" w:color="auto"/>
            </w:tcBorders>
            <w:shd w:val="clear" w:color="000000" w:fill="FFFFFF"/>
            <w:noWrap/>
            <w:vAlign w:val="bottom"/>
            <w:hideMark/>
          </w:tcPr>
          <w:p w14:paraId="42C001E8" w14:textId="77777777" w:rsidR="00393455" w:rsidRDefault="00BC616B">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 $        3,864 </w:t>
            </w:r>
          </w:p>
        </w:tc>
        <w:tc>
          <w:tcPr>
            <w:tcW w:w="0" w:type="auto"/>
            <w:tcBorders>
              <w:top w:val="nil"/>
              <w:left w:val="nil"/>
              <w:bottom w:val="single" w:sz="4" w:space="0" w:color="auto"/>
              <w:right w:val="single" w:sz="4" w:space="0" w:color="auto"/>
            </w:tcBorders>
            <w:shd w:val="clear" w:color="000000" w:fill="FFFFFF"/>
            <w:noWrap/>
            <w:vAlign w:val="bottom"/>
            <w:hideMark/>
          </w:tcPr>
          <w:p w14:paraId="5B15F054" w14:textId="77777777" w:rsidR="00393455" w:rsidRDefault="00BC616B">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 $        3,767 </w:t>
            </w:r>
          </w:p>
        </w:tc>
        <w:tc>
          <w:tcPr>
            <w:tcW w:w="0" w:type="auto"/>
            <w:tcBorders>
              <w:top w:val="nil"/>
              <w:left w:val="nil"/>
              <w:bottom w:val="single" w:sz="4" w:space="0" w:color="auto"/>
              <w:right w:val="single" w:sz="4" w:space="0" w:color="auto"/>
            </w:tcBorders>
            <w:shd w:val="clear" w:color="000000" w:fill="FFFFFF"/>
            <w:noWrap/>
            <w:vAlign w:val="bottom"/>
            <w:hideMark/>
          </w:tcPr>
          <w:p w14:paraId="73B1B88E" w14:textId="77777777" w:rsidR="00393455" w:rsidRDefault="00BC616B">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 $        4,141 </w:t>
            </w:r>
          </w:p>
        </w:tc>
        <w:tc>
          <w:tcPr>
            <w:tcW w:w="0" w:type="auto"/>
            <w:tcBorders>
              <w:top w:val="nil"/>
              <w:left w:val="nil"/>
              <w:bottom w:val="single" w:sz="4" w:space="0" w:color="auto"/>
              <w:right w:val="single" w:sz="4" w:space="0" w:color="auto"/>
            </w:tcBorders>
            <w:shd w:val="clear" w:color="000000" w:fill="FFD966"/>
            <w:noWrap/>
            <w:vAlign w:val="bottom"/>
            <w:hideMark/>
          </w:tcPr>
          <w:p w14:paraId="04020AF6" w14:textId="77777777" w:rsidR="00393455" w:rsidRDefault="00BC616B">
            <w:pPr>
              <w:spacing w:line="360" w:lineRule="auto"/>
              <w:jc w:val="right"/>
              <w:rPr>
                <w:rFonts w:ascii="Times New Roman" w:eastAsia="Times New Roman" w:hAnsi="Times New Roman" w:cs="Times New Roman"/>
                <w:b/>
                <w:bCs/>
                <w:lang w:val="en-GB"/>
              </w:rPr>
            </w:pPr>
            <w:r>
              <w:rPr>
                <w:rFonts w:ascii="Times New Roman" w:eastAsia="Times New Roman" w:hAnsi="Times New Roman" w:cs="Times New Roman"/>
                <w:b/>
                <w:bCs/>
                <w:lang w:val="en-GB"/>
              </w:rPr>
              <w:t>98%</w:t>
            </w:r>
          </w:p>
        </w:tc>
        <w:tc>
          <w:tcPr>
            <w:tcW w:w="0" w:type="auto"/>
            <w:tcBorders>
              <w:top w:val="nil"/>
              <w:left w:val="nil"/>
              <w:bottom w:val="single" w:sz="4" w:space="0" w:color="auto"/>
              <w:right w:val="single" w:sz="4" w:space="0" w:color="auto"/>
            </w:tcBorders>
            <w:shd w:val="clear" w:color="000000" w:fill="FFD966"/>
            <w:noWrap/>
            <w:vAlign w:val="bottom"/>
            <w:hideMark/>
          </w:tcPr>
          <w:p w14:paraId="5D6B3E15" w14:textId="77777777" w:rsidR="00393455" w:rsidRDefault="00BC616B">
            <w:pPr>
              <w:spacing w:line="360" w:lineRule="auto"/>
              <w:jc w:val="right"/>
              <w:rPr>
                <w:rFonts w:ascii="Times New Roman" w:eastAsia="Times New Roman" w:hAnsi="Times New Roman" w:cs="Times New Roman"/>
                <w:b/>
                <w:bCs/>
                <w:lang w:val="en-GB"/>
              </w:rPr>
            </w:pPr>
            <w:r>
              <w:rPr>
                <w:rFonts w:ascii="Times New Roman" w:eastAsia="Times New Roman" w:hAnsi="Times New Roman" w:cs="Times New Roman"/>
                <w:b/>
                <w:bCs/>
                <w:lang w:val="en-GB"/>
              </w:rPr>
              <w:t>12%</w:t>
            </w:r>
          </w:p>
        </w:tc>
        <w:tc>
          <w:tcPr>
            <w:tcW w:w="0" w:type="auto"/>
            <w:tcBorders>
              <w:top w:val="nil"/>
              <w:left w:val="nil"/>
              <w:bottom w:val="single" w:sz="4" w:space="0" w:color="auto"/>
              <w:right w:val="single" w:sz="4" w:space="0" w:color="auto"/>
            </w:tcBorders>
            <w:shd w:val="clear" w:color="000000" w:fill="FFD966"/>
            <w:noWrap/>
            <w:vAlign w:val="bottom"/>
            <w:hideMark/>
          </w:tcPr>
          <w:p w14:paraId="763986BD" w14:textId="77777777" w:rsidR="00393455" w:rsidRDefault="00BC616B">
            <w:pPr>
              <w:spacing w:line="360" w:lineRule="auto"/>
              <w:jc w:val="right"/>
              <w:rPr>
                <w:rFonts w:ascii="Times New Roman" w:eastAsia="Times New Roman" w:hAnsi="Times New Roman" w:cs="Times New Roman"/>
                <w:b/>
                <w:bCs/>
                <w:lang w:val="en-GB"/>
              </w:rPr>
            </w:pPr>
            <w:r>
              <w:rPr>
                <w:rFonts w:ascii="Times New Roman" w:eastAsia="Times New Roman" w:hAnsi="Times New Roman" w:cs="Times New Roman"/>
                <w:b/>
                <w:bCs/>
                <w:lang w:val="en-GB"/>
              </w:rPr>
              <w:t>-3%</w:t>
            </w:r>
          </w:p>
        </w:tc>
        <w:tc>
          <w:tcPr>
            <w:tcW w:w="0" w:type="auto"/>
            <w:tcBorders>
              <w:top w:val="nil"/>
              <w:left w:val="nil"/>
              <w:bottom w:val="single" w:sz="4" w:space="0" w:color="auto"/>
              <w:right w:val="single" w:sz="4" w:space="0" w:color="auto"/>
            </w:tcBorders>
            <w:shd w:val="clear" w:color="000000" w:fill="FFD966"/>
            <w:noWrap/>
            <w:vAlign w:val="bottom"/>
            <w:hideMark/>
          </w:tcPr>
          <w:p w14:paraId="17F2FC12" w14:textId="77777777" w:rsidR="00393455" w:rsidRDefault="00BC616B">
            <w:pPr>
              <w:spacing w:line="360" w:lineRule="auto"/>
              <w:jc w:val="right"/>
              <w:rPr>
                <w:rFonts w:ascii="Times New Roman" w:eastAsia="Times New Roman" w:hAnsi="Times New Roman" w:cs="Times New Roman"/>
                <w:b/>
                <w:bCs/>
                <w:lang w:val="en-GB"/>
              </w:rPr>
            </w:pPr>
            <w:r>
              <w:rPr>
                <w:rFonts w:ascii="Times New Roman" w:eastAsia="Times New Roman" w:hAnsi="Times New Roman" w:cs="Times New Roman"/>
                <w:b/>
                <w:bCs/>
                <w:lang w:val="en-GB"/>
              </w:rPr>
              <w:t>10%</w:t>
            </w:r>
          </w:p>
        </w:tc>
      </w:tr>
      <w:tr w:rsidR="00393455" w14:paraId="09BCFCFD" w14:textId="77777777">
        <w:trPr>
          <w:trHeight w:val="288"/>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F8ECA42" w14:textId="77777777" w:rsidR="00393455" w:rsidRDefault="00BC616B">
            <w:pPr>
              <w:spacing w:line="360" w:lineRule="auto"/>
              <w:rPr>
                <w:rFonts w:ascii="Times New Roman" w:eastAsia="Times New Roman" w:hAnsi="Times New Roman" w:cs="Times New Roman"/>
                <w:b/>
                <w:bCs/>
                <w:lang w:val="en-GB"/>
              </w:rPr>
            </w:pPr>
            <w:r>
              <w:rPr>
                <w:rFonts w:ascii="Times New Roman" w:eastAsia="Times New Roman" w:hAnsi="Times New Roman" w:cs="Times New Roman"/>
                <w:b/>
                <w:bCs/>
                <w:lang w:val="en-GB"/>
              </w:rPr>
              <w:t xml:space="preserve">Total Liabilities </w:t>
            </w:r>
          </w:p>
        </w:tc>
        <w:tc>
          <w:tcPr>
            <w:tcW w:w="0" w:type="auto"/>
            <w:tcBorders>
              <w:top w:val="nil"/>
              <w:left w:val="nil"/>
              <w:bottom w:val="single" w:sz="4" w:space="0" w:color="auto"/>
              <w:right w:val="single" w:sz="4" w:space="0" w:color="auto"/>
            </w:tcBorders>
            <w:shd w:val="clear" w:color="000000" w:fill="FFFFFF"/>
            <w:noWrap/>
            <w:vAlign w:val="bottom"/>
            <w:hideMark/>
          </w:tcPr>
          <w:p w14:paraId="53F244D4" w14:textId="77777777" w:rsidR="00393455" w:rsidRDefault="00BC616B">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 $       24,139 </w:t>
            </w:r>
          </w:p>
        </w:tc>
        <w:tc>
          <w:tcPr>
            <w:tcW w:w="0" w:type="auto"/>
            <w:tcBorders>
              <w:top w:val="nil"/>
              <w:left w:val="nil"/>
              <w:bottom w:val="single" w:sz="4" w:space="0" w:color="auto"/>
              <w:right w:val="single" w:sz="4" w:space="0" w:color="auto"/>
            </w:tcBorders>
            <w:shd w:val="clear" w:color="000000" w:fill="FFFFFF"/>
            <w:noWrap/>
            <w:vAlign w:val="bottom"/>
            <w:hideMark/>
          </w:tcPr>
          <w:p w14:paraId="104766CA" w14:textId="77777777" w:rsidR="00393455" w:rsidRDefault="00BC616B">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 $       24,s247 </w:t>
            </w:r>
          </w:p>
        </w:tc>
        <w:tc>
          <w:tcPr>
            <w:tcW w:w="0" w:type="auto"/>
            <w:tcBorders>
              <w:top w:val="nil"/>
              <w:left w:val="nil"/>
              <w:bottom w:val="single" w:sz="4" w:space="0" w:color="auto"/>
              <w:right w:val="single" w:sz="4" w:space="0" w:color="auto"/>
            </w:tcBorders>
            <w:shd w:val="clear" w:color="000000" w:fill="FFFFFF"/>
            <w:noWrap/>
            <w:vAlign w:val="bottom"/>
            <w:hideMark/>
          </w:tcPr>
          <w:p w14:paraId="1E3F0AD5" w14:textId="77777777" w:rsidR="00393455" w:rsidRDefault="00BC616B">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 $       26,356 </w:t>
            </w:r>
          </w:p>
        </w:tc>
        <w:tc>
          <w:tcPr>
            <w:tcW w:w="0" w:type="auto"/>
            <w:tcBorders>
              <w:top w:val="nil"/>
              <w:left w:val="nil"/>
              <w:bottom w:val="single" w:sz="4" w:space="0" w:color="auto"/>
              <w:right w:val="single" w:sz="4" w:space="0" w:color="auto"/>
            </w:tcBorders>
            <w:shd w:val="clear" w:color="000000" w:fill="FFFFFF"/>
            <w:noWrap/>
            <w:vAlign w:val="bottom"/>
            <w:hideMark/>
          </w:tcPr>
          <w:p w14:paraId="738F50BD" w14:textId="77777777" w:rsidR="00393455" w:rsidRDefault="00BC616B">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 $       29,174 </w:t>
            </w:r>
          </w:p>
        </w:tc>
        <w:tc>
          <w:tcPr>
            <w:tcW w:w="0" w:type="auto"/>
            <w:tcBorders>
              <w:top w:val="nil"/>
              <w:left w:val="nil"/>
              <w:bottom w:val="single" w:sz="4" w:space="0" w:color="auto"/>
              <w:right w:val="single" w:sz="4" w:space="0" w:color="auto"/>
            </w:tcBorders>
            <w:shd w:val="clear" w:color="000000" w:fill="FFFFFF"/>
            <w:noWrap/>
            <w:vAlign w:val="bottom"/>
            <w:hideMark/>
          </w:tcPr>
          <w:p w14:paraId="5C1947D0" w14:textId="77777777" w:rsidR="00393455" w:rsidRDefault="00BC616B">
            <w:pPr>
              <w:spacing w:line="360"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 $       31,311 </w:t>
            </w:r>
          </w:p>
        </w:tc>
        <w:tc>
          <w:tcPr>
            <w:tcW w:w="0" w:type="auto"/>
            <w:tcBorders>
              <w:top w:val="nil"/>
              <w:left w:val="nil"/>
              <w:bottom w:val="single" w:sz="4" w:space="0" w:color="auto"/>
              <w:right w:val="single" w:sz="4" w:space="0" w:color="auto"/>
            </w:tcBorders>
            <w:shd w:val="clear" w:color="000000" w:fill="FFD966"/>
            <w:noWrap/>
            <w:vAlign w:val="bottom"/>
            <w:hideMark/>
          </w:tcPr>
          <w:p w14:paraId="50E4D8CB" w14:textId="77777777" w:rsidR="00393455" w:rsidRDefault="00BC616B">
            <w:pPr>
              <w:spacing w:line="360" w:lineRule="auto"/>
              <w:jc w:val="right"/>
              <w:rPr>
                <w:rFonts w:ascii="Times New Roman" w:eastAsia="Times New Roman" w:hAnsi="Times New Roman" w:cs="Times New Roman"/>
                <w:b/>
                <w:bCs/>
                <w:lang w:val="en-GB"/>
              </w:rPr>
            </w:pPr>
            <w:r>
              <w:rPr>
                <w:rFonts w:ascii="Times New Roman" w:eastAsia="Times New Roman" w:hAnsi="Times New Roman" w:cs="Times New Roman"/>
                <w:b/>
                <w:bCs/>
                <w:lang w:val="en-GB"/>
              </w:rPr>
              <w:t>0%</w:t>
            </w:r>
          </w:p>
        </w:tc>
        <w:tc>
          <w:tcPr>
            <w:tcW w:w="0" w:type="auto"/>
            <w:tcBorders>
              <w:top w:val="nil"/>
              <w:left w:val="nil"/>
              <w:bottom w:val="single" w:sz="4" w:space="0" w:color="auto"/>
              <w:right w:val="single" w:sz="4" w:space="0" w:color="auto"/>
            </w:tcBorders>
            <w:shd w:val="clear" w:color="000000" w:fill="FFD966"/>
            <w:noWrap/>
            <w:vAlign w:val="bottom"/>
            <w:hideMark/>
          </w:tcPr>
          <w:p w14:paraId="765DC29A" w14:textId="77777777" w:rsidR="00393455" w:rsidRDefault="00BC616B">
            <w:pPr>
              <w:spacing w:line="360" w:lineRule="auto"/>
              <w:jc w:val="right"/>
              <w:rPr>
                <w:rFonts w:ascii="Times New Roman" w:eastAsia="Times New Roman" w:hAnsi="Times New Roman" w:cs="Times New Roman"/>
                <w:b/>
                <w:bCs/>
                <w:lang w:val="en-GB"/>
              </w:rPr>
            </w:pPr>
            <w:r>
              <w:rPr>
                <w:rFonts w:ascii="Times New Roman" w:eastAsia="Times New Roman" w:hAnsi="Times New Roman" w:cs="Times New Roman"/>
                <w:b/>
                <w:bCs/>
                <w:lang w:val="en-GB"/>
              </w:rPr>
              <w:t>9%</w:t>
            </w:r>
          </w:p>
        </w:tc>
        <w:tc>
          <w:tcPr>
            <w:tcW w:w="0" w:type="auto"/>
            <w:tcBorders>
              <w:top w:val="nil"/>
              <w:left w:val="nil"/>
              <w:bottom w:val="single" w:sz="4" w:space="0" w:color="auto"/>
              <w:right w:val="single" w:sz="4" w:space="0" w:color="auto"/>
            </w:tcBorders>
            <w:shd w:val="clear" w:color="000000" w:fill="FFD966"/>
            <w:noWrap/>
            <w:vAlign w:val="bottom"/>
            <w:hideMark/>
          </w:tcPr>
          <w:p w14:paraId="05FF8C81" w14:textId="77777777" w:rsidR="00393455" w:rsidRDefault="00BC616B">
            <w:pPr>
              <w:spacing w:line="360" w:lineRule="auto"/>
              <w:jc w:val="right"/>
              <w:rPr>
                <w:rFonts w:ascii="Times New Roman" w:eastAsia="Times New Roman" w:hAnsi="Times New Roman" w:cs="Times New Roman"/>
                <w:b/>
                <w:bCs/>
                <w:lang w:val="en-GB"/>
              </w:rPr>
            </w:pPr>
            <w:r>
              <w:rPr>
                <w:rFonts w:ascii="Times New Roman" w:eastAsia="Times New Roman" w:hAnsi="Times New Roman" w:cs="Times New Roman"/>
                <w:b/>
                <w:bCs/>
                <w:lang w:val="en-GB"/>
              </w:rPr>
              <w:t>11%</w:t>
            </w:r>
          </w:p>
        </w:tc>
        <w:tc>
          <w:tcPr>
            <w:tcW w:w="0" w:type="auto"/>
            <w:tcBorders>
              <w:top w:val="nil"/>
              <w:left w:val="nil"/>
              <w:bottom w:val="single" w:sz="4" w:space="0" w:color="auto"/>
              <w:right w:val="single" w:sz="4" w:space="0" w:color="auto"/>
            </w:tcBorders>
            <w:shd w:val="clear" w:color="000000" w:fill="FFD966"/>
            <w:noWrap/>
            <w:vAlign w:val="bottom"/>
            <w:hideMark/>
          </w:tcPr>
          <w:p w14:paraId="37BDDC66" w14:textId="77777777" w:rsidR="00393455" w:rsidRDefault="00BC616B">
            <w:pPr>
              <w:spacing w:line="360" w:lineRule="auto"/>
              <w:jc w:val="right"/>
              <w:rPr>
                <w:rFonts w:ascii="Times New Roman" w:eastAsia="Times New Roman" w:hAnsi="Times New Roman" w:cs="Times New Roman"/>
                <w:b/>
                <w:bCs/>
                <w:lang w:val="en-GB"/>
              </w:rPr>
            </w:pPr>
            <w:r>
              <w:rPr>
                <w:rFonts w:ascii="Times New Roman" w:eastAsia="Times New Roman" w:hAnsi="Times New Roman" w:cs="Times New Roman"/>
                <w:b/>
                <w:bCs/>
                <w:lang w:val="en-GB"/>
              </w:rPr>
              <w:t>7%</w:t>
            </w:r>
          </w:p>
        </w:tc>
      </w:tr>
      <w:tr w:rsidR="00393455" w14:paraId="0559FEA1" w14:textId="77777777">
        <w:trPr>
          <w:trHeight w:val="288"/>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24237C6" w14:textId="77777777" w:rsidR="00393455" w:rsidRDefault="00BC616B">
            <w:pPr>
              <w:spacing w:line="360" w:lineRule="auto"/>
              <w:rPr>
                <w:rFonts w:ascii="Calibri" w:eastAsia="Times New Roman" w:hAnsi="Calibri" w:cs="Calibri"/>
                <w:b/>
                <w:bCs/>
                <w:lang w:val="en-GB"/>
              </w:rPr>
            </w:pPr>
            <w:r>
              <w:rPr>
                <w:rFonts w:ascii="Calibri" w:eastAsia="Times New Roman" w:hAnsi="Calibri" w:cs="Calibri"/>
                <w:b/>
                <w:bCs/>
                <w:lang w:val="en-GB"/>
              </w:rPr>
              <w:t xml:space="preserve">Total Assets </w:t>
            </w:r>
          </w:p>
        </w:tc>
        <w:tc>
          <w:tcPr>
            <w:tcW w:w="0" w:type="auto"/>
            <w:tcBorders>
              <w:top w:val="nil"/>
              <w:left w:val="nil"/>
              <w:bottom w:val="single" w:sz="4" w:space="0" w:color="auto"/>
              <w:right w:val="single" w:sz="4" w:space="0" w:color="auto"/>
            </w:tcBorders>
            <w:shd w:val="clear" w:color="000000" w:fill="FFFFFF"/>
            <w:noWrap/>
            <w:vAlign w:val="bottom"/>
            <w:hideMark/>
          </w:tcPr>
          <w:p w14:paraId="316273CF" w14:textId="77777777" w:rsidR="00393455" w:rsidRDefault="00BC616B">
            <w:pPr>
              <w:spacing w:line="360" w:lineRule="auto"/>
              <w:rPr>
                <w:rFonts w:ascii="Calibri" w:eastAsia="Times New Roman" w:hAnsi="Calibri" w:cs="Calibri"/>
                <w:lang w:val="en-GB"/>
              </w:rPr>
            </w:pPr>
            <w:r>
              <w:rPr>
                <w:rFonts w:ascii="Calibri" w:eastAsia="Times New Roman" w:hAnsi="Calibri" w:cs="Calibri"/>
                <w:lang w:val="en-GB"/>
              </w:rPr>
              <w:t xml:space="preserve"> $         25,553 </w:t>
            </w:r>
          </w:p>
        </w:tc>
        <w:tc>
          <w:tcPr>
            <w:tcW w:w="0" w:type="auto"/>
            <w:tcBorders>
              <w:top w:val="nil"/>
              <w:left w:val="nil"/>
              <w:bottom w:val="single" w:sz="4" w:space="0" w:color="auto"/>
              <w:right w:val="single" w:sz="4" w:space="0" w:color="auto"/>
            </w:tcBorders>
            <w:shd w:val="clear" w:color="000000" w:fill="FFFFFF"/>
            <w:noWrap/>
            <w:vAlign w:val="bottom"/>
            <w:hideMark/>
          </w:tcPr>
          <w:p w14:paraId="29018D9D" w14:textId="77777777" w:rsidR="00393455" w:rsidRDefault="00BC616B">
            <w:pPr>
              <w:spacing w:line="360" w:lineRule="auto"/>
              <w:rPr>
                <w:rFonts w:ascii="Calibri" w:eastAsia="Times New Roman" w:hAnsi="Calibri" w:cs="Calibri"/>
                <w:lang w:val="en-GB"/>
              </w:rPr>
            </w:pPr>
            <w:r>
              <w:rPr>
                <w:rFonts w:ascii="Calibri" w:eastAsia="Times New Roman" w:hAnsi="Calibri" w:cs="Calibri"/>
                <w:lang w:val="en-GB"/>
              </w:rPr>
              <w:t xml:space="preserve"> $         24,815 </w:t>
            </w:r>
          </w:p>
        </w:tc>
        <w:tc>
          <w:tcPr>
            <w:tcW w:w="0" w:type="auto"/>
            <w:tcBorders>
              <w:top w:val="nil"/>
              <w:left w:val="nil"/>
              <w:bottom w:val="single" w:sz="4" w:space="0" w:color="auto"/>
              <w:right w:val="single" w:sz="4" w:space="0" w:color="auto"/>
            </w:tcBorders>
            <w:shd w:val="clear" w:color="000000" w:fill="FFFFFF"/>
            <w:noWrap/>
            <w:vAlign w:val="bottom"/>
            <w:hideMark/>
          </w:tcPr>
          <w:p w14:paraId="3BA28977" w14:textId="77777777" w:rsidR="00393455" w:rsidRDefault="00BC616B">
            <w:pPr>
              <w:spacing w:line="360" w:lineRule="auto"/>
              <w:rPr>
                <w:rFonts w:ascii="Calibri" w:eastAsia="Times New Roman" w:hAnsi="Calibri" w:cs="Calibri"/>
                <w:lang w:val="en-GB"/>
              </w:rPr>
            </w:pPr>
            <w:r>
              <w:rPr>
                <w:rFonts w:ascii="Calibri" w:eastAsia="Times New Roman" w:hAnsi="Calibri" w:cs="Calibri"/>
                <w:lang w:val="en-GB"/>
              </w:rPr>
              <w:t xml:space="preserve"> $         25,674 </w:t>
            </w:r>
          </w:p>
        </w:tc>
        <w:tc>
          <w:tcPr>
            <w:tcW w:w="0" w:type="auto"/>
            <w:tcBorders>
              <w:top w:val="nil"/>
              <w:left w:val="nil"/>
              <w:bottom w:val="single" w:sz="4" w:space="0" w:color="auto"/>
              <w:right w:val="single" w:sz="4" w:space="0" w:color="auto"/>
            </w:tcBorders>
            <w:shd w:val="clear" w:color="000000" w:fill="FFFFFF"/>
            <w:noWrap/>
            <w:vAlign w:val="bottom"/>
            <w:hideMark/>
          </w:tcPr>
          <w:p w14:paraId="6580745E" w14:textId="77777777" w:rsidR="00393455" w:rsidRDefault="00BC616B">
            <w:pPr>
              <w:spacing w:line="360" w:lineRule="auto"/>
              <w:rPr>
                <w:rFonts w:ascii="Calibri" w:eastAsia="Times New Roman" w:hAnsi="Calibri" w:cs="Calibri"/>
                <w:lang w:val="en-GB"/>
              </w:rPr>
            </w:pPr>
            <w:r>
              <w:rPr>
                <w:rFonts w:ascii="Calibri" w:eastAsia="Times New Roman" w:hAnsi="Calibri" w:cs="Calibri"/>
                <w:lang w:val="en-GB"/>
              </w:rPr>
              <w:t xml:space="preserve"> $         26,182 </w:t>
            </w:r>
          </w:p>
        </w:tc>
        <w:tc>
          <w:tcPr>
            <w:tcW w:w="0" w:type="auto"/>
            <w:tcBorders>
              <w:top w:val="nil"/>
              <w:left w:val="nil"/>
              <w:bottom w:val="single" w:sz="4" w:space="0" w:color="auto"/>
              <w:right w:val="single" w:sz="4" w:space="0" w:color="auto"/>
            </w:tcBorders>
            <w:shd w:val="clear" w:color="000000" w:fill="FFFFFF"/>
            <w:noWrap/>
            <w:vAlign w:val="bottom"/>
            <w:hideMark/>
          </w:tcPr>
          <w:p w14:paraId="0BFD27B2" w14:textId="77777777" w:rsidR="00393455" w:rsidRDefault="00BC616B">
            <w:pPr>
              <w:spacing w:line="360" w:lineRule="auto"/>
              <w:rPr>
                <w:rFonts w:ascii="Calibri" w:eastAsia="Times New Roman" w:hAnsi="Calibri" w:cs="Calibri"/>
                <w:lang w:val="en-GB"/>
              </w:rPr>
            </w:pPr>
            <w:r>
              <w:rPr>
                <w:rFonts w:ascii="Calibri" w:eastAsia="Times New Roman" w:hAnsi="Calibri" w:cs="Calibri"/>
                <w:lang w:val="en-GB"/>
              </w:rPr>
              <w:t xml:space="preserve"> $           2,754 </w:t>
            </w:r>
          </w:p>
        </w:tc>
        <w:tc>
          <w:tcPr>
            <w:tcW w:w="0" w:type="auto"/>
            <w:tcBorders>
              <w:top w:val="nil"/>
              <w:left w:val="nil"/>
              <w:bottom w:val="single" w:sz="4" w:space="0" w:color="auto"/>
              <w:right w:val="single" w:sz="4" w:space="0" w:color="auto"/>
            </w:tcBorders>
            <w:shd w:val="clear" w:color="000000" w:fill="FFD966"/>
            <w:noWrap/>
            <w:vAlign w:val="bottom"/>
            <w:hideMark/>
          </w:tcPr>
          <w:p w14:paraId="09E8A093" w14:textId="77777777" w:rsidR="00393455" w:rsidRDefault="00BC616B">
            <w:pPr>
              <w:spacing w:line="360" w:lineRule="auto"/>
              <w:jc w:val="right"/>
              <w:rPr>
                <w:rFonts w:ascii="Times New Roman" w:eastAsia="Times New Roman" w:hAnsi="Times New Roman" w:cs="Times New Roman"/>
                <w:b/>
                <w:bCs/>
                <w:lang w:val="en-GB"/>
              </w:rPr>
            </w:pPr>
            <w:r>
              <w:rPr>
                <w:rFonts w:ascii="Times New Roman" w:eastAsia="Times New Roman" w:hAnsi="Times New Roman" w:cs="Times New Roman"/>
                <w:b/>
                <w:bCs/>
                <w:lang w:val="en-GB"/>
              </w:rPr>
              <w:t>-3%</w:t>
            </w:r>
          </w:p>
        </w:tc>
        <w:tc>
          <w:tcPr>
            <w:tcW w:w="0" w:type="auto"/>
            <w:tcBorders>
              <w:top w:val="nil"/>
              <w:left w:val="nil"/>
              <w:bottom w:val="single" w:sz="4" w:space="0" w:color="auto"/>
              <w:right w:val="single" w:sz="4" w:space="0" w:color="auto"/>
            </w:tcBorders>
            <w:shd w:val="clear" w:color="000000" w:fill="FFD966"/>
            <w:noWrap/>
            <w:vAlign w:val="bottom"/>
            <w:hideMark/>
          </w:tcPr>
          <w:p w14:paraId="3C64D0C3" w14:textId="77777777" w:rsidR="00393455" w:rsidRDefault="00BC616B">
            <w:pPr>
              <w:spacing w:line="360" w:lineRule="auto"/>
              <w:jc w:val="right"/>
              <w:rPr>
                <w:rFonts w:ascii="Times New Roman" w:eastAsia="Times New Roman" w:hAnsi="Times New Roman" w:cs="Times New Roman"/>
                <w:b/>
                <w:bCs/>
                <w:lang w:val="en-GB"/>
              </w:rPr>
            </w:pPr>
            <w:r>
              <w:rPr>
                <w:rFonts w:ascii="Times New Roman" w:eastAsia="Times New Roman" w:hAnsi="Times New Roman" w:cs="Times New Roman"/>
                <w:b/>
                <w:bCs/>
                <w:lang w:val="en-GB"/>
              </w:rPr>
              <w:t>3%</w:t>
            </w:r>
          </w:p>
        </w:tc>
        <w:tc>
          <w:tcPr>
            <w:tcW w:w="0" w:type="auto"/>
            <w:tcBorders>
              <w:top w:val="nil"/>
              <w:left w:val="nil"/>
              <w:bottom w:val="single" w:sz="4" w:space="0" w:color="auto"/>
              <w:right w:val="single" w:sz="4" w:space="0" w:color="auto"/>
            </w:tcBorders>
            <w:shd w:val="clear" w:color="000000" w:fill="FFD966"/>
            <w:noWrap/>
            <w:vAlign w:val="bottom"/>
            <w:hideMark/>
          </w:tcPr>
          <w:p w14:paraId="02A9ACE0" w14:textId="77777777" w:rsidR="00393455" w:rsidRDefault="00BC616B">
            <w:pPr>
              <w:spacing w:line="360" w:lineRule="auto"/>
              <w:jc w:val="right"/>
              <w:rPr>
                <w:rFonts w:ascii="Times New Roman" w:eastAsia="Times New Roman" w:hAnsi="Times New Roman" w:cs="Times New Roman"/>
                <w:b/>
                <w:bCs/>
                <w:lang w:val="en-GB"/>
              </w:rPr>
            </w:pPr>
            <w:r>
              <w:rPr>
                <w:rFonts w:ascii="Times New Roman" w:eastAsia="Times New Roman" w:hAnsi="Times New Roman" w:cs="Times New Roman"/>
                <w:b/>
                <w:bCs/>
                <w:lang w:val="en-GB"/>
              </w:rPr>
              <w:t>2%</w:t>
            </w:r>
          </w:p>
        </w:tc>
        <w:tc>
          <w:tcPr>
            <w:tcW w:w="0" w:type="auto"/>
            <w:tcBorders>
              <w:top w:val="nil"/>
              <w:left w:val="nil"/>
              <w:bottom w:val="single" w:sz="4" w:space="0" w:color="auto"/>
              <w:right w:val="single" w:sz="4" w:space="0" w:color="auto"/>
            </w:tcBorders>
            <w:shd w:val="clear" w:color="000000" w:fill="FFD966"/>
            <w:noWrap/>
            <w:vAlign w:val="bottom"/>
            <w:hideMark/>
          </w:tcPr>
          <w:p w14:paraId="4259AD4B" w14:textId="77777777" w:rsidR="00393455" w:rsidRDefault="00BC616B">
            <w:pPr>
              <w:spacing w:line="360" w:lineRule="auto"/>
              <w:jc w:val="right"/>
              <w:rPr>
                <w:rFonts w:ascii="Times New Roman" w:eastAsia="Times New Roman" w:hAnsi="Times New Roman" w:cs="Times New Roman"/>
                <w:b/>
                <w:bCs/>
                <w:lang w:val="en-GB"/>
              </w:rPr>
            </w:pPr>
            <w:r>
              <w:rPr>
                <w:rFonts w:ascii="Times New Roman" w:eastAsia="Times New Roman" w:hAnsi="Times New Roman" w:cs="Times New Roman"/>
                <w:b/>
                <w:bCs/>
                <w:lang w:val="en-GB"/>
              </w:rPr>
              <w:t>-89%</w:t>
            </w:r>
          </w:p>
        </w:tc>
      </w:tr>
      <w:tr w:rsidR="00393455" w14:paraId="765453B3" w14:textId="77777777">
        <w:trPr>
          <w:trHeight w:val="288"/>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88A0B93" w14:textId="77777777" w:rsidR="00393455" w:rsidRDefault="00BC616B">
            <w:pPr>
              <w:spacing w:line="360" w:lineRule="auto"/>
              <w:rPr>
                <w:rFonts w:ascii="Calibri" w:eastAsia="Times New Roman" w:hAnsi="Calibri" w:cs="Calibri"/>
                <w:b/>
                <w:bCs/>
                <w:lang w:val="en-GB"/>
              </w:rPr>
            </w:pPr>
            <w:r>
              <w:rPr>
                <w:rFonts w:ascii="Calibri" w:eastAsia="Times New Roman" w:hAnsi="Calibri" w:cs="Calibri"/>
                <w:b/>
                <w:bCs/>
                <w:lang w:val="en-GB"/>
              </w:rPr>
              <w:t>Operating Cash Flow</w:t>
            </w:r>
          </w:p>
        </w:tc>
        <w:tc>
          <w:tcPr>
            <w:tcW w:w="0" w:type="auto"/>
            <w:tcBorders>
              <w:top w:val="nil"/>
              <w:left w:val="nil"/>
              <w:bottom w:val="single" w:sz="4" w:space="0" w:color="auto"/>
              <w:right w:val="single" w:sz="4" w:space="0" w:color="auto"/>
            </w:tcBorders>
            <w:shd w:val="clear" w:color="000000" w:fill="FFFFFF"/>
            <w:noWrap/>
            <w:vAlign w:val="bottom"/>
            <w:hideMark/>
          </w:tcPr>
          <w:p w14:paraId="12EB033C" w14:textId="77777777" w:rsidR="00393455" w:rsidRDefault="00BC616B">
            <w:pPr>
              <w:spacing w:line="360" w:lineRule="auto"/>
              <w:rPr>
                <w:rFonts w:ascii="Calibri" w:eastAsia="Times New Roman" w:hAnsi="Calibri" w:cs="Calibri"/>
                <w:lang w:val="en-GB"/>
              </w:rPr>
            </w:pPr>
            <w:r>
              <w:rPr>
                <w:rFonts w:ascii="Calibri" w:eastAsia="Times New Roman" w:hAnsi="Calibri" w:cs="Calibri"/>
                <w:lang w:val="en-GB"/>
              </w:rPr>
              <w:t xml:space="preserve"> $           1,177 </w:t>
            </w:r>
          </w:p>
        </w:tc>
        <w:tc>
          <w:tcPr>
            <w:tcW w:w="0" w:type="auto"/>
            <w:tcBorders>
              <w:top w:val="nil"/>
              <w:left w:val="nil"/>
              <w:bottom w:val="single" w:sz="4" w:space="0" w:color="auto"/>
              <w:right w:val="single" w:sz="4" w:space="0" w:color="auto"/>
            </w:tcBorders>
            <w:shd w:val="clear" w:color="000000" w:fill="FFFFFF"/>
            <w:noWrap/>
            <w:vAlign w:val="bottom"/>
            <w:hideMark/>
          </w:tcPr>
          <w:p w14:paraId="5CE7DFCC" w14:textId="77777777" w:rsidR="00393455" w:rsidRDefault="00BC616B">
            <w:pPr>
              <w:spacing w:line="360" w:lineRule="auto"/>
              <w:rPr>
                <w:rFonts w:ascii="Calibri" w:eastAsia="Times New Roman" w:hAnsi="Calibri" w:cs="Calibri"/>
                <w:lang w:val="en-GB"/>
              </w:rPr>
            </w:pPr>
            <w:r>
              <w:rPr>
                <w:rFonts w:ascii="Calibri" w:eastAsia="Times New Roman" w:hAnsi="Calibri" w:cs="Calibri"/>
                <w:lang w:val="en-GB"/>
              </w:rPr>
              <w:t xml:space="preserve"> $           2,363 </w:t>
            </w:r>
          </w:p>
        </w:tc>
        <w:tc>
          <w:tcPr>
            <w:tcW w:w="0" w:type="auto"/>
            <w:tcBorders>
              <w:top w:val="nil"/>
              <w:left w:val="nil"/>
              <w:bottom w:val="single" w:sz="4" w:space="0" w:color="auto"/>
              <w:right w:val="single" w:sz="4" w:space="0" w:color="auto"/>
            </w:tcBorders>
            <w:shd w:val="clear" w:color="000000" w:fill="FFFFFF"/>
            <w:noWrap/>
            <w:vAlign w:val="bottom"/>
            <w:hideMark/>
          </w:tcPr>
          <w:p w14:paraId="46818E7E" w14:textId="77777777" w:rsidR="00393455" w:rsidRDefault="00BC616B">
            <w:pPr>
              <w:spacing w:line="360" w:lineRule="auto"/>
              <w:rPr>
                <w:rFonts w:ascii="Calibri" w:eastAsia="Times New Roman" w:hAnsi="Calibri" w:cs="Calibri"/>
                <w:lang w:val="en-GB"/>
              </w:rPr>
            </w:pPr>
            <w:r>
              <w:rPr>
                <w:rFonts w:ascii="Calibri" w:eastAsia="Times New Roman" w:hAnsi="Calibri" w:cs="Calibri"/>
                <w:lang w:val="en-GB"/>
              </w:rPr>
              <w:t xml:space="preserve"> $           3,170 </w:t>
            </w:r>
          </w:p>
        </w:tc>
        <w:tc>
          <w:tcPr>
            <w:tcW w:w="0" w:type="auto"/>
            <w:tcBorders>
              <w:top w:val="nil"/>
              <w:left w:val="nil"/>
              <w:bottom w:val="single" w:sz="4" w:space="0" w:color="auto"/>
              <w:right w:val="single" w:sz="4" w:space="0" w:color="auto"/>
            </w:tcBorders>
            <w:shd w:val="clear" w:color="000000" w:fill="FFFFFF"/>
            <w:noWrap/>
            <w:vAlign w:val="bottom"/>
            <w:hideMark/>
          </w:tcPr>
          <w:p w14:paraId="73445B80" w14:textId="77777777" w:rsidR="00393455" w:rsidRDefault="00BC616B">
            <w:pPr>
              <w:spacing w:line="360" w:lineRule="auto"/>
              <w:rPr>
                <w:rFonts w:ascii="Calibri" w:eastAsia="Times New Roman" w:hAnsi="Calibri" w:cs="Calibri"/>
                <w:lang w:val="en-GB"/>
              </w:rPr>
            </w:pPr>
            <w:r>
              <w:rPr>
                <w:rFonts w:ascii="Calibri" w:eastAsia="Times New Roman" w:hAnsi="Calibri" w:cs="Calibri"/>
                <w:lang w:val="en-GB"/>
              </w:rPr>
              <w:t xml:space="preserve"> $           2,749 </w:t>
            </w:r>
          </w:p>
        </w:tc>
        <w:tc>
          <w:tcPr>
            <w:tcW w:w="0" w:type="auto"/>
            <w:tcBorders>
              <w:top w:val="nil"/>
              <w:left w:val="nil"/>
              <w:bottom w:val="single" w:sz="4" w:space="0" w:color="auto"/>
              <w:right w:val="single" w:sz="4" w:space="0" w:color="auto"/>
            </w:tcBorders>
            <w:shd w:val="clear" w:color="000000" w:fill="FFFFFF"/>
            <w:noWrap/>
            <w:vAlign w:val="bottom"/>
            <w:hideMark/>
          </w:tcPr>
          <w:p w14:paraId="207734A3" w14:textId="77777777" w:rsidR="00393455" w:rsidRDefault="00BC616B">
            <w:pPr>
              <w:spacing w:line="360" w:lineRule="auto"/>
              <w:rPr>
                <w:rFonts w:ascii="Calibri" w:eastAsia="Times New Roman" w:hAnsi="Calibri" w:cs="Calibri"/>
                <w:lang w:val="en-GB"/>
              </w:rPr>
            </w:pPr>
            <w:r>
              <w:rPr>
                <w:rFonts w:ascii="Calibri" w:eastAsia="Times New Roman" w:hAnsi="Calibri" w:cs="Calibri"/>
                <w:lang w:val="en-GB"/>
              </w:rPr>
              <w:t xml:space="preserve"> $           3,212 </w:t>
            </w:r>
          </w:p>
        </w:tc>
        <w:tc>
          <w:tcPr>
            <w:tcW w:w="0" w:type="auto"/>
            <w:tcBorders>
              <w:top w:val="nil"/>
              <w:left w:val="nil"/>
              <w:bottom w:val="single" w:sz="4" w:space="0" w:color="auto"/>
              <w:right w:val="single" w:sz="4" w:space="0" w:color="auto"/>
            </w:tcBorders>
            <w:shd w:val="clear" w:color="000000" w:fill="FFD966"/>
            <w:noWrap/>
            <w:vAlign w:val="bottom"/>
            <w:hideMark/>
          </w:tcPr>
          <w:p w14:paraId="182B23DD" w14:textId="77777777" w:rsidR="00393455" w:rsidRDefault="00BC616B">
            <w:pPr>
              <w:spacing w:line="360" w:lineRule="auto"/>
              <w:jc w:val="right"/>
              <w:rPr>
                <w:rFonts w:ascii="Times New Roman" w:eastAsia="Times New Roman" w:hAnsi="Times New Roman" w:cs="Times New Roman"/>
                <w:b/>
                <w:bCs/>
                <w:lang w:val="en-GB"/>
              </w:rPr>
            </w:pPr>
            <w:r>
              <w:rPr>
                <w:rFonts w:ascii="Times New Roman" w:eastAsia="Times New Roman" w:hAnsi="Times New Roman" w:cs="Times New Roman"/>
                <w:b/>
                <w:bCs/>
                <w:lang w:val="en-GB"/>
              </w:rPr>
              <w:t>101%</w:t>
            </w:r>
          </w:p>
        </w:tc>
        <w:tc>
          <w:tcPr>
            <w:tcW w:w="0" w:type="auto"/>
            <w:tcBorders>
              <w:top w:val="nil"/>
              <w:left w:val="nil"/>
              <w:bottom w:val="single" w:sz="4" w:space="0" w:color="auto"/>
              <w:right w:val="single" w:sz="4" w:space="0" w:color="auto"/>
            </w:tcBorders>
            <w:shd w:val="clear" w:color="000000" w:fill="FFD966"/>
            <w:noWrap/>
            <w:vAlign w:val="bottom"/>
            <w:hideMark/>
          </w:tcPr>
          <w:p w14:paraId="4A0B962C" w14:textId="77777777" w:rsidR="00393455" w:rsidRDefault="00BC616B">
            <w:pPr>
              <w:spacing w:line="360" w:lineRule="auto"/>
              <w:jc w:val="right"/>
              <w:rPr>
                <w:rFonts w:ascii="Times New Roman" w:eastAsia="Times New Roman" w:hAnsi="Times New Roman" w:cs="Times New Roman"/>
                <w:b/>
                <w:bCs/>
                <w:lang w:val="en-GB"/>
              </w:rPr>
            </w:pPr>
            <w:r>
              <w:rPr>
                <w:rFonts w:ascii="Times New Roman" w:eastAsia="Times New Roman" w:hAnsi="Times New Roman" w:cs="Times New Roman"/>
                <w:b/>
                <w:bCs/>
                <w:lang w:val="en-GB"/>
              </w:rPr>
              <w:t>34%</w:t>
            </w:r>
          </w:p>
        </w:tc>
        <w:tc>
          <w:tcPr>
            <w:tcW w:w="0" w:type="auto"/>
            <w:tcBorders>
              <w:top w:val="nil"/>
              <w:left w:val="nil"/>
              <w:bottom w:val="single" w:sz="4" w:space="0" w:color="auto"/>
              <w:right w:val="single" w:sz="4" w:space="0" w:color="auto"/>
            </w:tcBorders>
            <w:shd w:val="clear" w:color="000000" w:fill="FFD966"/>
            <w:noWrap/>
            <w:vAlign w:val="bottom"/>
            <w:hideMark/>
          </w:tcPr>
          <w:p w14:paraId="398CFB5D" w14:textId="77777777" w:rsidR="00393455" w:rsidRDefault="00BC616B">
            <w:pPr>
              <w:spacing w:line="360" w:lineRule="auto"/>
              <w:jc w:val="right"/>
              <w:rPr>
                <w:rFonts w:ascii="Times New Roman" w:eastAsia="Times New Roman" w:hAnsi="Times New Roman" w:cs="Times New Roman"/>
                <w:b/>
                <w:bCs/>
                <w:lang w:val="en-GB"/>
              </w:rPr>
            </w:pPr>
            <w:r>
              <w:rPr>
                <w:rFonts w:ascii="Times New Roman" w:eastAsia="Times New Roman" w:hAnsi="Times New Roman" w:cs="Times New Roman"/>
                <w:b/>
                <w:bCs/>
                <w:lang w:val="en-GB"/>
              </w:rPr>
              <w:t>-13%</w:t>
            </w:r>
          </w:p>
        </w:tc>
        <w:tc>
          <w:tcPr>
            <w:tcW w:w="0" w:type="auto"/>
            <w:tcBorders>
              <w:top w:val="nil"/>
              <w:left w:val="nil"/>
              <w:bottom w:val="single" w:sz="4" w:space="0" w:color="auto"/>
              <w:right w:val="single" w:sz="4" w:space="0" w:color="auto"/>
            </w:tcBorders>
            <w:shd w:val="clear" w:color="000000" w:fill="FFD966"/>
            <w:noWrap/>
            <w:vAlign w:val="bottom"/>
            <w:hideMark/>
          </w:tcPr>
          <w:p w14:paraId="7093EF68" w14:textId="77777777" w:rsidR="00393455" w:rsidRDefault="00BC616B">
            <w:pPr>
              <w:spacing w:line="360" w:lineRule="auto"/>
              <w:jc w:val="right"/>
              <w:rPr>
                <w:rFonts w:ascii="Times New Roman" w:eastAsia="Times New Roman" w:hAnsi="Times New Roman" w:cs="Times New Roman"/>
                <w:b/>
                <w:bCs/>
                <w:lang w:val="en-GB"/>
              </w:rPr>
            </w:pPr>
            <w:r>
              <w:rPr>
                <w:rFonts w:ascii="Times New Roman" w:eastAsia="Times New Roman" w:hAnsi="Times New Roman" w:cs="Times New Roman"/>
                <w:b/>
                <w:bCs/>
                <w:lang w:val="en-GB"/>
              </w:rPr>
              <w:t>17%</w:t>
            </w:r>
          </w:p>
        </w:tc>
      </w:tr>
    </w:tbl>
    <w:p w14:paraId="1C1C0206"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79866DBA" w14:textId="77777777" w:rsidR="00393455" w:rsidRDefault="00BC616B">
      <w:pPr>
        <w:pStyle w:val="Heading2"/>
        <w:spacing w:before="0" w:after="0"/>
        <w:rPr>
          <w:rFonts w:cs="Times New Roman"/>
          <w:color w:val="auto"/>
          <w:szCs w:val="24"/>
          <w:lang w:val="en-GB"/>
        </w:rPr>
      </w:pPr>
      <w:bookmarkStart w:id="26" w:name="_Toc236912248"/>
      <w:r>
        <w:rPr>
          <w:rFonts w:cs="Times New Roman"/>
          <w:color w:val="auto"/>
          <w:szCs w:val="24"/>
          <w:lang w:val="en-GB"/>
        </w:rPr>
        <w:lastRenderedPageBreak/>
        <w:t>Appendix 3: Project summary</w:t>
      </w:r>
      <w:bookmarkEnd w:id="26"/>
    </w:p>
    <w:p w14:paraId="352C78B3" w14:textId="77777777" w:rsidR="00393455" w:rsidRDefault="00BC616B">
      <w:pPr>
        <w:autoSpaceDE w:val="0"/>
        <w:autoSpaceDN w:val="0"/>
        <w:adjustRightInd w:val="0"/>
        <w:spacing w:line="360" w:lineRule="auto"/>
        <w:jc w:val="both"/>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7B52E25C" wp14:editId="35C2E918">
            <wp:extent cx="5943600" cy="1945005"/>
            <wp:effectExtent l="0" t="0" r="0" b="0"/>
            <wp:docPr id="103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1"/>
                    <pic:cNvPicPr/>
                  </pic:nvPicPr>
                  <pic:blipFill>
                    <a:blip r:embed="rId44" cstate="print"/>
                    <a:srcRect/>
                    <a:stretch/>
                  </pic:blipFill>
                  <pic:spPr>
                    <a:xfrm>
                      <a:off x="0" y="0"/>
                      <a:ext cx="5943600" cy="1945005"/>
                    </a:xfrm>
                    <a:prstGeom prst="rect">
                      <a:avLst/>
                    </a:prstGeom>
                  </pic:spPr>
                </pic:pic>
              </a:graphicData>
            </a:graphic>
          </wp:inline>
        </w:drawing>
      </w:r>
    </w:p>
    <w:p w14:paraId="061F35E2" w14:textId="77777777" w:rsidR="00393455" w:rsidRDefault="00BC616B">
      <w:pPr>
        <w:pStyle w:val="Heading2"/>
        <w:rPr>
          <w:color w:val="auto"/>
          <w:lang w:val="en-GB"/>
        </w:rPr>
      </w:pPr>
      <w:bookmarkStart w:id="27" w:name="_Toc236912249"/>
      <w:r>
        <w:rPr>
          <w:color w:val="auto"/>
          <w:lang w:val="en-GB"/>
        </w:rPr>
        <w:t>Appendix 4: Working capital</w:t>
      </w:r>
      <w:bookmarkEnd w:id="27"/>
    </w:p>
    <w:tbl>
      <w:tblPr>
        <w:tblW w:w="9401" w:type="dxa"/>
        <w:tblCellMar>
          <w:left w:w="0" w:type="dxa"/>
          <w:right w:w="0" w:type="dxa"/>
        </w:tblCellMar>
        <w:tblLook w:val="04A0" w:firstRow="1" w:lastRow="0" w:firstColumn="1" w:lastColumn="0" w:noHBand="0" w:noVBand="1"/>
      </w:tblPr>
      <w:tblGrid>
        <w:gridCol w:w="4432"/>
        <w:gridCol w:w="4969"/>
      </w:tblGrid>
      <w:tr w:rsidR="00393455" w14:paraId="79F25B74" w14:textId="77777777">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548DD4"/>
            <w:tcMar>
              <w:top w:w="30" w:type="dxa"/>
              <w:left w:w="45" w:type="dxa"/>
              <w:bottom w:w="30" w:type="dxa"/>
              <w:right w:w="45" w:type="dxa"/>
            </w:tcMar>
            <w:hideMark/>
          </w:tcPr>
          <w:p w14:paraId="7662E42F" w14:textId="77777777" w:rsidR="00393455" w:rsidRDefault="00BC616B">
            <w:pPr>
              <w:spacing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Current Assets</w:t>
            </w:r>
          </w:p>
        </w:tc>
        <w:tc>
          <w:tcPr>
            <w:tcW w:w="4969" w:type="dxa"/>
            <w:tcBorders>
              <w:top w:val="single" w:sz="6" w:space="0" w:color="CCCCCC"/>
              <w:left w:val="single" w:sz="6" w:space="0" w:color="CCCCCC"/>
              <w:bottom w:val="single" w:sz="6" w:space="0" w:color="CCCCCC"/>
              <w:right w:val="single" w:sz="6" w:space="0" w:color="CCCCCC"/>
            </w:tcBorders>
            <w:shd w:val="clear" w:color="auto" w:fill="548DD4"/>
            <w:tcMar>
              <w:top w:w="30" w:type="dxa"/>
              <w:left w:w="45" w:type="dxa"/>
              <w:bottom w:w="30" w:type="dxa"/>
              <w:right w:w="45" w:type="dxa"/>
            </w:tcMar>
            <w:hideMark/>
          </w:tcPr>
          <w:p w14:paraId="4AD8CB0C" w14:textId="77777777" w:rsidR="00393455" w:rsidRDefault="00BC616B">
            <w:pPr>
              <w:spacing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2024 (US$ Million)</w:t>
            </w:r>
          </w:p>
        </w:tc>
      </w:tr>
      <w:tr w:rsidR="00393455" w14:paraId="3741533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61AB7803"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Cash and Cash Equivalents</w:t>
            </w:r>
          </w:p>
        </w:tc>
        <w:tc>
          <w:tcPr>
            <w:tcW w:w="496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0A27E322"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396</w:t>
            </w:r>
          </w:p>
        </w:tc>
      </w:tr>
      <w:tr w:rsidR="00393455" w14:paraId="3DADC626"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6023145D"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Restricted Cash</w:t>
            </w:r>
          </w:p>
        </w:tc>
        <w:tc>
          <w:tcPr>
            <w:tcW w:w="496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CD11F62"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29</w:t>
            </w:r>
          </w:p>
        </w:tc>
      </w:tr>
      <w:tr w:rsidR="00393455" w14:paraId="0A6330C7"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4E976796"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Accounts and Notes Receivable</w:t>
            </w:r>
          </w:p>
        </w:tc>
        <w:tc>
          <w:tcPr>
            <w:tcW w:w="496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216DBFC8"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2,795</w:t>
            </w:r>
          </w:p>
        </w:tc>
      </w:tr>
      <w:tr w:rsidR="00393455" w14:paraId="47CDC24E"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1A5302F5"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Prepaid Expenses and Other Current Assets</w:t>
            </w:r>
          </w:p>
        </w:tc>
        <w:tc>
          <w:tcPr>
            <w:tcW w:w="496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7DA54179"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265</w:t>
            </w:r>
          </w:p>
        </w:tc>
      </w:tr>
      <w:tr w:rsidR="00393455" w14:paraId="6E2091CE"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BA41436"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Total Current Assets (A)</w:t>
            </w:r>
          </w:p>
        </w:tc>
        <w:tc>
          <w:tcPr>
            <w:tcW w:w="496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20A82859"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3,485</w:t>
            </w:r>
          </w:p>
        </w:tc>
      </w:tr>
      <w:tr w:rsidR="00393455" w14:paraId="505C8C75" w14:textId="77777777">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548DD4"/>
            <w:tcMar>
              <w:top w:w="30" w:type="dxa"/>
              <w:left w:w="45" w:type="dxa"/>
              <w:bottom w:w="30" w:type="dxa"/>
              <w:right w:w="45" w:type="dxa"/>
            </w:tcMar>
            <w:hideMark/>
          </w:tcPr>
          <w:p w14:paraId="728683DE" w14:textId="77777777" w:rsidR="00393455" w:rsidRDefault="00BC616B">
            <w:pPr>
              <w:spacing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Current Liabilities</w:t>
            </w:r>
          </w:p>
        </w:tc>
        <w:tc>
          <w:tcPr>
            <w:tcW w:w="4969" w:type="dxa"/>
            <w:tcBorders>
              <w:top w:val="single" w:sz="6" w:space="0" w:color="CCCCCC"/>
              <w:left w:val="single" w:sz="6" w:space="0" w:color="CCCCCC"/>
              <w:bottom w:val="single" w:sz="6" w:space="0" w:color="CCCCCC"/>
              <w:right w:val="single" w:sz="6" w:space="0" w:color="CCCCCC"/>
            </w:tcBorders>
            <w:shd w:val="clear" w:color="auto" w:fill="548DD4"/>
            <w:tcMar>
              <w:top w:w="30" w:type="dxa"/>
              <w:left w:w="45" w:type="dxa"/>
              <w:bottom w:w="30" w:type="dxa"/>
              <w:right w:w="45" w:type="dxa"/>
            </w:tcMar>
            <w:hideMark/>
          </w:tcPr>
          <w:p w14:paraId="2D7DDB8D" w14:textId="77777777" w:rsidR="00393455" w:rsidRDefault="00BC616B">
            <w:pPr>
              <w:spacing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2024 (US$ Million)</w:t>
            </w:r>
          </w:p>
        </w:tc>
      </w:tr>
      <w:tr w:rsidR="00393455" w14:paraId="28927467"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09855559"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Current Portion of Long-term Debt</w:t>
            </w:r>
          </w:p>
        </w:tc>
        <w:tc>
          <w:tcPr>
            <w:tcW w:w="496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5B27FFF0"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12</w:t>
            </w:r>
          </w:p>
        </w:tc>
      </w:tr>
      <w:tr w:rsidR="00393455" w14:paraId="11F188C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15886192"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Accounts Payable</w:t>
            </w:r>
          </w:p>
        </w:tc>
        <w:tc>
          <w:tcPr>
            <w:tcW w:w="496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2C13E2D3"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424</w:t>
            </w:r>
          </w:p>
        </w:tc>
      </w:tr>
      <w:tr w:rsidR="00393455" w14:paraId="6370CDC6"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7A180E41"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Accrued Payroll and Benefits</w:t>
            </w:r>
          </w:p>
        </w:tc>
        <w:tc>
          <w:tcPr>
            <w:tcW w:w="496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07E7D205"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1,181</w:t>
            </w:r>
          </w:p>
        </w:tc>
      </w:tr>
      <w:tr w:rsidR="00393455" w14:paraId="39A972C0"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79931B77"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Liability for Guest Loyalty Program</w:t>
            </w:r>
          </w:p>
        </w:tc>
        <w:tc>
          <w:tcPr>
            <w:tcW w:w="496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1B918BB6"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1,311</w:t>
            </w:r>
          </w:p>
        </w:tc>
      </w:tr>
      <w:tr w:rsidR="00393455" w14:paraId="60BAE6C0"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4A3FAFB"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Accrued Expenses and Other</w:t>
            </w:r>
          </w:p>
        </w:tc>
        <w:tc>
          <w:tcPr>
            <w:tcW w:w="496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11E030C0"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4,618</w:t>
            </w:r>
          </w:p>
        </w:tc>
      </w:tr>
      <w:tr w:rsidR="00393455" w14:paraId="4600C30B"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7D334C02"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Deferred Revenue</w:t>
            </w:r>
          </w:p>
        </w:tc>
        <w:tc>
          <w:tcPr>
            <w:tcW w:w="496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3F7D706"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1,103</w:t>
            </w:r>
          </w:p>
        </w:tc>
      </w:tr>
      <w:tr w:rsidR="00393455" w14:paraId="010829D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264749E0"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Total Current Liabilities (B)</w:t>
            </w:r>
          </w:p>
        </w:tc>
        <w:tc>
          <w:tcPr>
            <w:tcW w:w="496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17E9D7CA" w14:textId="77777777" w:rsidR="00393455" w:rsidRDefault="00BC616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8,649</w:t>
            </w:r>
          </w:p>
        </w:tc>
      </w:tr>
    </w:tbl>
    <w:p w14:paraId="3138EAB4" w14:textId="77777777" w:rsidR="00393455" w:rsidRDefault="00393455">
      <w:pPr>
        <w:spacing w:line="360" w:lineRule="auto"/>
        <w:rPr>
          <w:rFonts w:ascii="Times New Roman" w:hAnsi="Times New Roman" w:cs="Times New Roman"/>
          <w:sz w:val="24"/>
          <w:szCs w:val="24"/>
          <w:lang w:val="en-GB"/>
        </w:rPr>
      </w:pPr>
    </w:p>
    <w:sectPr w:rsidR="00393455">
      <w:footerReference w:type="default" r:id="rId45"/>
      <w:footerReference w:type="first" r:id="rId4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7BBC9" w14:textId="77777777" w:rsidR="00BC616B" w:rsidRDefault="00BC616B">
      <w:pPr>
        <w:spacing w:line="240" w:lineRule="auto"/>
      </w:pPr>
      <w:r>
        <w:separator/>
      </w:r>
    </w:p>
  </w:endnote>
  <w:endnote w:type="continuationSeparator" w:id="0">
    <w:p w14:paraId="5E7F9688" w14:textId="77777777" w:rsidR="00BC616B" w:rsidRDefault="00BC61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Lucida Sans Unicode">
    <w:altName w:val="Lucida Sans Unicode"/>
    <w:panose1 w:val="020B0602030504020204"/>
    <w:charset w:val="00"/>
    <w:family w:val="swiss"/>
    <w:pitch w:val="variable"/>
    <w:sig w:usb0="80000AFF" w:usb1="0000396B" w:usb2="00000000" w:usb3="00000000" w:csb0="000000BF" w:csb1="00000000"/>
  </w:font>
  <w:font w:name="Tahoma">
    <w:altName w:val="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7E8EA" w14:textId="77777777" w:rsidR="00393455" w:rsidRDefault="00BC616B">
    <w:pPr>
      <w:pStyle w:val="Footer"/>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noProof/>
        <w:sz w:val="20"/>
        <w:szCs w:val="20"/>
      </w:rPr>
      <w:t>15</w:t>
    </w:r>
    <w:r>
      <w:rPr>
        <w:rFonts w:ascii="Times New Roman" w:hAnsi="Times New Roman" w:cs="Times New Roman"/>
        <w:noProof/>
        <w:sz w:val="20"/>
        <w:szCs w:val="20"/>
      </w:rPr>
      <w:fldChar w:fldCharType="end"/>
    </w:r>
  </w:p>
  <w:p w14:paraId="0DBF09CA" w14:textId="77777777" w:rsidR="00393455" w:rsidRDefault="003934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022B" w14:textId="77777777" w:rsidR="00393455" w:rsidRDefault="00BC616B">
    <w:pPr>
      <w:pStyle w:val="Footer"/>
      <w:jc w:val="right"/>
      <w:rPr>
        <w:rFonts w:ascii="Times New Roman" w:hAnsi="Times New Roman" w:cs="Times New Roman"/>
        <w:sz w:val="20"/>
      </w:rPr>
    </w:pPr>
    <w:r>
      <w:rPr>
        <w:rFonts w:ascii="Times New Roman" w:hAnsi="Times New Roman" w:cs="Times New Roman"/>
        <w:sz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3F12C" w14:textId="77777777" w:rsidR="00BC616B" w:rsidRDefault="00BC616B">
      <w:pPr>
        <w:spacing w:line="240" w:lineRule="auto"/>
      </w:pPr>
      <w:r>
        <w:separator/>
      </w:r>
    </w:p>
  </w:footnote>
  <w:footnote w:type="continuationSeparator" w:id="0">
    <w:p w14:paraId="4B7B54CA" w14:textId="77777777" w:rsidR="00BC616B" w:rsidRDefault="00BC61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hybridMultilevel"/>
    <w:tmpl w:val="CD6E75D0"/>
    <w:lvl w:ilvl="0" w:tplc="8FB22F32">
      <w:start w:val="1"/>
      <w:numFmt w:val="decimal"/>
      <w:lvlText w:val="%1."/>
      <w:lvlJc w:val="left"/>
      <w:pPr>
        <w:ind w:left="360" w:hanging="360"/>
      </w:pPr>
      <w:rPr>
        <w:rFonts w:hint="default"/>
      </w:rPr>
    </w:lvl>
    <w:lvl w:ilvl="1" w:tplc="F0F219C6" w:tentative="1">
      <w:start w:val="1"/>
      <w:numFmt w:val="bullet"/>
      <w:lvlText w:val="o"/>
      <w:lvlJc w:val="left"/>
      <w:pPr>
        <w:ind w:left="1080" w:hanging="360"/>
      </w:pPr>
      <w:rPr>
        <w:rFonts w:ascii="Courier New" w:hAnsi="Courier New" w:cs="Courier New" w:hint="default"/>
      </w:rPr>
    </w:lvl>
    <w:lvl w:ilvl="2" w:tplc="338AAF6E" w:tentative="1">
      <w:start w:val="1"/>
      <w:numFmt w:val="bullet"/>
      <w:lvlText w:val=""/>
      <w:lvlJc w:val="left"/>
      <w:pPr>
        <w:ind w:left="1800" w:hanging="360"/>
      </w:pPr>
      <w:rPr>
        <w:rFonts w:ascii="Wingdings" w:hAnsi="Wingdings" w:hint="default"/>
      </w:rPr>
    </w:lvl>
    <w:lvl w:ilvl="3" w:tplc="7E3672C6" w:tentative="1">
      <w:start w:val="1"/>
      <w:numFmt w:val="bullet"/>
      <w:lvlText w:val=""/>
      <w:lvlJc w:val="left"/>
      <w:pPr>
        <w:ind w:left="2520" w:hanging="360"/>
      </w:pPr>
      <w:rPr>
        <w:rFonts w:ascii="Symbol" w:hAnsi="Symbol" w:hint="default"/>
      </w:rPr>
    </w:lvl>
    <w:lvl w:ilvl="4" w:tplc="9E04A570" w:tentative="1">
      <w:start w:val="1"/>
      <w:numFmt w:val="bullet"/>
      <w:lvlText w:val="o"/>
      <w:lvlJc w:val="left"/>
      <w:pPr>
        <w:ind w:left="3240" w:hanging="360"/>
      </w:pPr>
      <w:rPr>
        <w:rFonts w:ascii="Courier New" w:hAnsi="Courier New" w:cs="Courier New" w:hint="default"/>
      </w:rPr>
    </w:lvl>
    <w:lvl w:ilvl="5" w:tplc="62F2474A" w:tentative="1">
      <w:start w:val="1"/>
      <w:numFmt w:val="bullet"/>
      <w:lvlText w:val=""/>
      <w:lvlJc w:val="left"/>
      <w:pPr>
        <w:ind w:left="3960" w:hanging="360"/>
      </w:pPr>
      <w:rPr>
        <w:rFonts w:ascii="Wingdings" w:hAnsi="Wingdings" w:hint="default"/>
      </w:rPr>
    </w:lvl>
    <w:lvl w:ilvl="6" w:tplc="67A6A6E0" w:tentative="1">
      <w:start w:val="1"/>
      <w:numFmt w:val="bullet"/>
      <w:lvlText w:val=""/>
      <w:lvlJc w:val="left"/>
      <w:pPr>
        <w:ind w:left="4680" w:hanging="360"/>
      </w:pPr>
      <w:rPr>
        <w:rFonts w:ascii="Symbol" w:hAnsi="Symbol" w:hint="default"/>
      </w:rPr>
    </w:lvl>
    <w:lvl w:ilvl="7" w:tplc="78E08FAC" w:tentative="1">
      <w:start w:val="1"/>
      <w:numFmt w:val="bullet"/>
      <w:lvlText w:val="o"/>
      <w:lvlJc w:val="left"/>
      <w:pPr>
        <w:ind w:left="5400" w:hanging="360"/>
      </w:pPr>
      <w:rPr>
        <w:rFonts w:ascii="Courier New" w:hAnsi="Courier New" w:cs="Courier New" w:hint="default"/>
      </w:rPr>
    </w:lvl>
    <w:lvl w:ilvl="8" w:tplc="37B6D34A" w:tentative="1">
      <w:start w:val="1"/>
      <w:numFmt w:val="bullet"/>
      <w:lvlText w:val=""/>
      <w:lvlJc w:val="left"/>
      <w:pPr>
        <w:ind w:left="6120" w:hanging="360"/>
      </w:pPr>
      <w:rPr>
        <w:rFonts w:ascii="Wingdings" w:hAnsi="Wingdings" w:hint="default"/>
      </w:rPr>
    </w:lvl>
  </w:abstractNum>
  <w:abstractNum w:abstractNumId="1" w15:restartNumberingAfterBreak="0">
    <w:nsid w:val="00000001"/>
    <w:multiLevelType w:val="multilevel"/>
    <w:tmpl w:val="F5A2EC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0000002"/>
    <w:multiLevelType w:val="multilevel"/>
    <w:tmpl w:val="84BC7F1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03"/>
    <w:multiLevelType w:val="multilevel"/>
    <w:tmpl w:val="9C9A5DD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4"/>
    <w:multiLevelType w:val="multilevel"/>
    <w:tmpl w:val="A676982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05"/>
    <w:multiLevelType w:val="multilevel"/>
    <w:tmpl w:val="2BD055B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06"/>
    <w:multiLevelType w:val="multilevel"/>
    <w:tmpl w:val="48624E5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07"/>
    <w:multiLevelType w:val="hybridMultilevel"/>
    <w:tmpl w:val="0C4C3694"/>
    <w:lvl w:ilvl="0" w:tplc="E460CFA8">
      <w:start w:val="1"/>
      <w:numFmt w:val="bullet"/>
      <w:lvlText w:val=""/>
      <w:lvlJc w:val="left"/>
      <w:pPr>
        <w:ind w:left="720" w:hanging="360"/>
      </w:pPr>
      <w:rPr>
        <w:rFonts w:ascii="Symbol" w:hAnsi="Symbol" w:hint="default"/>
      </w:rPr>
    </w:lvl>
    <w:lvl w:ilvl="1" w:tplc="18AA8E92" w:tentative="1">
      <w:start w:val="1"/>
      <w:numFmt w:val="bullet"/>
      <w:lvlText w:val="o"/>
      <w:lvlJc w:val="left"/>
      <w:pPr>
        <w:ind w:left="1440" w:hanging="360"/>
      </w:pPr>
      <w:rPr>
        <w:rFonts w:ascii="Courier New" w:hAnsi="Courier New" w:cs="Courier New" w:hint="default"/>
      </w:rPr>
    </w:lvl>
    <w:lvl w:ilvl="2" w:tplc="EB721FD8" w:tentative="1">
      <w:start w:val="1"/>
      <w:numFmt w:val="bullet"/>
      <w:lvlText w:val=""/>
      <w:lvlJc w:val="left"/>
      <w:pPr>
        <w:ind w:left="2160" w:hanging="360"/>
      </w:pPr>
      <w:rPr>
        <w:rFonts w:ascii="Wingdings" w:hAnsi="Wingdings" w:hint="default"/>
      </w:rPr>
    </w:lvl>
    <w:lvl w:ilvl="3" w:tplc="1D72F49A" w:tentative="1">
      <w:start w:val="1"/>
      <w:numFmt w:val="bullet"/>
      <w:lvlText w:val=""/>
      <w:lvlJc w:val="left"/>
      <w:pPr>
        <w:ind w:left="2880" w:hanging="360"/>
      </w:pPr>
      <w:rPr>
        <w:rFonts w:ascii="Symbol" w:hAnsi="Symbol" w:hint="default"/>
      </w:rPr>
    </w:lvl>
    <w:lvl w:ilvl="4" w:tplc="41945C9E" w:tentative="1">
      <w:start w:val="1"/>
      <w:numFmt w:val="bullet"/>
      <w:lvlText w:val="o"/>
      <w:lvlJc w:val="left"/>
      <w:pPr>
        <w:ind w:left="3600" w:hanging="360"/>
      </w:pPr>
      <w:rPr>
        <w:rFonts w:ascii="Courier New" w:hAnsi="Courier New" w:cs="Courier New" w:hint="default"/>
      </w:rPr>
    </w:lvl>
    <w:lvl w:ilvl="5" w:tplc="7294F30C" w:tentative="1">
      <w:start w:val="1"/>
      <w:numFmt w:val="bullet"/>
      <w:lvlText w:val=""/>
      <w:lvlJc w:val="left"/>
      <w:pPr>
        <w:ind w:left="4320" w:hanging="360"/>
      </w:pPr>
      <w:rPr>
        <w:rFonts w:ascii="Wingdings" w:hAnsi="Wingdings" w:hint="default"/>
      </w:rPr>
    </w:lvl>
    <w:lvl w:ilvl="6" w:tplc="B7585E0E" w:tentative="1">
      <w:start w:val="1"/>
      <w:numFmt w:val="bullet"/>
      <w:lvlText w:val=""/>
      <w:lvlJc w:val="left"/>
      <w:pPr>
        <w:ind w:left="5040" w:hanging="360"/>
      </w:pPr>
      <w:rPr>
        <w:rFonts w:ascii="Symbol" w:hAnsi="Symbol" w:hint="default"/>
      </w:rPr>
    </w:lvl>
    <w:lvl w:ilvl="7" w:tplc="B2C47930" w:tentative="1">
      <w:start w:val="1"/>
      <w:numFmt w:val="bullet"/>
      <w:lvlText w:val="o"/>
      <w:lvlJc w:val="left"/>
      <w:pPr>
        <w:ind w:left="5760" w:hanging="360"/>
      </w:pPr>
      <w:rPr>
        <w:rFonts w:ascii="Courier New" w:hAnsi="Courier New" w:cs="Courier New" w:hint="default"/>
      </w:rPr>
    </w:lvl>
    <w:lvl w:ilvl="8" w:tplc="8DAEEA7E" w:tentative="1">
      <w:start w:val="1"/>
      <w:numFmt w:val="bullet"/>
      <w:lvlText w:val=""/>
      <w:lvlJc w:val="left"/>
      <w:pPr>
        <w:ind w:left="6480" w:hanging="360"/>
      </w:pPr>
      <w:rPr>
        <w:rFonts w:ascii="Wingdings" w:hAnsi="Wingdings" w:hint="default"/>
      </w:rPr>
    </w:lvl>
  </w:abstractNum>
  <w:abstractNum w:abstractNumId="8" w15:restartNumberingAfterBreak="0">
    <w:nsid w:val="00000008"/>
    <w:multiLevelType w:val="multilevel"/>
    <w:tmpl w:val="B0D096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0000009"/>
    <w:multiLevelType w:val="hybridMultilevel"/>
    <w:tmpl w:val="EA764738"/>
    <w:lvl w:ilvl="0" w:tplc="0D9A36EC">
      <w:start w:val="1"/>
      <w:numFmt w:val="decimal"/>
      <w:lvlText w:val="%1."/>
      <w:lvlJc w:val="left"/>
      <w:pPr>
        <w:ind w:left="720" w:hanging="360"/>
      </w:pPr>
    </w:lvl>
    <w:lvl w:ilvl="1" w:tplc="8464580C" w:tentative="1">
      <w:start w:val="1"/>
      <w:numFmt w:val="lowerLetter"/>
      <w:lvlText w:val="%2."/>
      <w:lvlJc w:val="left"/>
      <w:pPr>
        <w:ind w:left="1440" w:hanging="360"/>
      </w:pPr>
    </w:lvl>
    <w:lvl w:ilvl="2" w:tplc="496AB3E4" w:tentative="1">
      <w:start w:val="1"/>
      <w:numFmt w:val="lowerRoman"/>
      <w:lvlText w:val="%3."/>
      <w:lvlJc w:val="right"/>
      <w:pPr>
        <w:ind w:left="2160" w:hanging="180"/>
      </w:pPr>
    </w:lvl>
    <w:lvl w:ilvl="3" w:tplc="BA9ED2A2" w:tentative="1">
      <w:start w:val="1"/>
      <w:numFmt w:val="decimal"/>
      <w:lvlText w:val="%4."/>
      <w:lvlJc w:val="left"/>
      <w:pPr>
        <w:ind w:left="2880" w:hanging="360"/>
      </w:pPr>
    </w:lvl>
    <w:lvl w:ilvl="4" w:tplc="23A60224" w:tentative="1">
      <w:start w:val="1"/>
      <w:numFmt w:val="lowerLetter"/>
      <w:lvlText w:val="%5."/>
      <w:lvlJc w:val="left"/>
      <w:pPr>
        <w:ind w:left="3600" w:hanging="360"/>
      </w:pPr>
    </w:lvl>
    <w:lvl w:ilvl="5" w:tplc="97B215D8" w:tentative="1">
      <w:start w:val="1"/>
      <w:numFmt w:val="lowerRoman"/>
      <w:lvlText w:val="%6."/>
      <w:lvlJc w:val="right"/>
      <w:pPr>
        <w:ind w:left="4320" w:hanging="180"/>
      </w:pPr>
    </w:lvl>
    <w:lvl w:ilvl="6" w:tplc="66148BE0" w:tentative="1">
      <w:start w:val="1"/>
      <w:numFmt w:val="decimal"/>
      <w:lvlText w:val="%7."/>
      <w:lvlJc w:val="left"/>
      <w:pPr>
        <w:ind w:left="5040" w:hanging="360"/>
      </w:pPr>
    </w:lvl>
    <w:lvl w:ilvl="7" w:tplc="953E01C8" w:tentative="1">
      <w:start w:val="1"/>
      <w:numFmt w:val="lowerLetter"/>
      <w:lvlText w:val="%8."/>
      <w:lvlJc w:val="left"/>
      <w:pPr>
        <w:ind w:left="5760" w:hanging="360"/>
      </w:pPr>
    </w:lvl>
    <w:lvl w:ilvl="8" w:tplc="AF6C6298" w:tentative="1">
      <w:start w:val="1"/>
      <w:numFmt w:val="lowerRoman"/>
      <w:lvlText w:val="%9."/>
      <w:lvlJc w:val="right"/>
      <w:pPr>
        <w:ind w:left="6480" w:hanging="180"/>
      </w:pPr>
    </w:lvl>
  </w:abstractNum>
  <w:abstractNum w:abstractNumId="10" w15:restartNumberingAfterBreak="0">
    <w:nsid w:val="0000000A"/>
    <w:multiLevelType w:val="multilevel"/>
    <w:tmpl w:val="69C076F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B"/>
    <w:multiLevelType w:val="multilevel"/>
    <w:tmpl w:val="FA12323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C"/>
    <w:multiLevelType w:val="multilevel"/>
    <w:tmpl w:val="36445E2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0000000D"/>
    <w:multiLevelType w:val="multilevel"/>
    <w:tmpl w:val="9542AF0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0000000E"/>
    <w:multiLevelType w:val="multilevel"/>
    <w:tmpl w:val="171868F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0000000F"/>
    <w:multiLevelType w:val="multilevel"/>
    <w:tmpl w:val="34BA1F8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00000010"/>
    <w:multiLevelType w:val="multilevel"/>
    <w:tmpl w:val="C464EA1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1"/>
    <w:multiLevelType w:val="multilevel"/>
    <w:tmpl w:val="09A07E6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00000012"/>
    <w:multiLevelType w:val="multilevel"/>
    <w:tmpl w:val="E806CD8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3"/>
    <w:multiLevelType w:val="multilevel"/>
    <w:tmpl w:val="1CAC72D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14"/>
    <w:multiLevelType w:val="multilevel"/>
    <w:tmpl w:val="5CF0CDD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00000015"/>
    <w:multiLevelType w:val="multilevel"/>
    <w:tmpl w:val="5D1EC8B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00000016"/>
    <w:multiLevelType w:val="multilevel"/>
    <w:tmpl w:val="2484222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3" w15:restartNumberingAfterBreak="0">
    <w:nsid w:val="00000017"/>
    <w:multiLevelType w:val="multilevel"/>
    <w:tmpl w:val="5C62728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00000018"/>
    <w:multiLevelType w:val="multilevel"/>
    <w:tmpl w:val="D4541FA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5" w15:restartNumberingAfterBreak="0">
    <w:nsid w:val="00000019"/>
    <w:multiLevelType w:val="multilevel"/>
    <w:tmpl w:val="BF54B4C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0000001A"/>
    <w:multiLevelType w:val="hybridMultilevel"/>
    <w:tmpl w:val="A95486B2"/>
    <w:lvl w:ilvl="0" w:tplc="646605C0">
      <w:start w:val="1"/>
      <w:numFmt w:val="bullet"/>
      <w:lvlText w:val=""/>
      <w:lvlJc w:val="left"/>
      <w:pPr>
        <w:ind w:left="720" w:hanging="360"/>
      </w:pPr>
      <w:rPr>
        <w:rFonts w:ascii="Symbol" w:hAnsi="Symbol" w:hint="default"/>
      </w:rPr>
    </w:lvl>
    <w:lvl w:ilvl="1" w:tplc="E3E69B76" w:tentative="1">
      <w:start w:val="1"/>
      <w:numFmt w:val="bullet"/>
      <w:lvlText w:val="o"/>
      <w:lvlJc w:val="left"/>
      <w:pPr>
        <w:ind w:left="1440" w:hanging="360"/>
      </w:pPr>
      <w:rPr>
        <w:rFonts w:ascii="Courier New" w:hAnsi="Courier New" w:cs="Courier New" w:hint="default"/>
      </w:rPr>
    </w:lvl>
    <w:lvl w:ilvl="2" w:tplc="77683E7E" w:tentative="1">
      <w:start w:val="1"/>
      <w:numFmt w:val="bullet"/>
      <w:lvlText w:val=""/>
      <w:lvlJc w:val="left"/>
      <w:pPr>
        <w:ind w:left="2160" w:hanging="360"/>
      </w:pPr>
      <w:rPr>
        <w:rFonts w:ascii="Wingdings" w:hAnsi="Wingdings" w:hint="default"/>
      </w:rPr>
    </w:lvl>
    <w:lvl w:ilvl="3" w:tplc="C99E64B6" w:tentative="1">
      <w:start w:val="1"/>
      <w:numFmt w:val="bullet"/>
      <w:lvlText w:val=""/>
      <w:lvlJc w:val="left"/>
      <w:pPr>
        <w:ind w:left="2880" w:hanging="360"/>
      </w:pPr>
      <w:rPr>
        <w:rFonts w:ascii="Symbol" w:hAnsi="Symbol" w:hint="default"/>
      </w:rPr>
    </w:lvl>
    <w:lvl w:ilvl="4" w:tplc="0786E0D6" w:tentative="1">
      <w:start w:val="1"/>
      <w:numFmt w:val="bullet"/>
      <w:lvlText w:val="o"/>
      <w:lvlJc w:val="left"/>
      <w:pPr>
        <w:ind w:left="3600" w:hanging="360"/>
      </w:pPr>
      <w:rPr>
        <w:rFonts w:ascii="Courier New" w:hAnsi="Courier New" w:cs="Courier New" w:hint="default"/>
      </w:rPr>
    </w:lvl>
    <w:lvl w:ilvl="5" w:tplc="1E3C5698" w:tentative="1">
      <w:start w:val="1"/>
      <w:numFmt w:val="bullet"/>
      <w:lvlText w:val=""/>
      <w:lvlJc w:val="left"/>
      <w:pPr>
        <w:ind w:left="4320" w:hanging="360"/>
      </w:pPr>
      <w:rPr>
        <w:rFonts w:ascii="Wingdings" w:hAnsi="Wingdings" w:hint="default"/>
      </w:rPr>
    </w:lvl>
    <w:lvl w:ilvl="6" w:tplc="75FCB6E8" w:tentative="1">
      <w:start w:val="1"/>
      <w:numFmt w:val="bullet"/>
      <w:lvlText w:val=""/>
      <w:lvlJc w:val="left"/>
      <w:pPr>
        <w:ind w:left="5040" w:hanging="360"/>
      </w:pPr>
      <w:rPr>
        <w:rFonts w:ascii="Symbol" w:hAnsi="Symbol" w:hint="default"/>
      </w:rPr>
    </w:lvl>
    <w:lvl w:ilvl="7" w:tplc="6F5696E8" w:tentative="1">
      <w:start w:val="1"/>
      <w:numFmt w:val="bullet"/>
      <w:lvlText w:val="o"/>
      <w:lvlJc w:val="left"/>
      <w:pPr>
        <w:ind w:left="5760" w:hanging="360"/>
      </w:pPr>
      <w:rPr>
        <w:rFonts w:ascii="Courier New" w:hAnsi="Courier New" w:cs="Courier New" w:hint="default"/>
      </w:rPr>
    </w:lvl>
    <w:lvl w:ilvl="8" w:tplc="E7CE56EC" w:tentative="1">
      <w:start w:val="1"/>
      <w:numFmt w:val="bullet"/>
      <w:lvlText w:val=""/>
      <w:lvlJc w:val="left"/>
      <w:pPr>
        <w:ind w:left="6480" w:hanging="360"/>
      </w:pPr>
      <w:rPr>
        <w:rFonts w:ascii="Wingdings" w:hAnsi="Wingdings" w:hint="default"/>
      </w:rPr>
    </w:lvl>
  </w:abstractNum>
  <w:abstractNum w:abstractNumId="27" w15:restartNumberingAfterBreak="0">
    <w:nsid w:val="0000001B"/>
    <w:multiLevelType w:val="multilevel"/>
    <w:tmpl w:val="F30CB8A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8" w15:restartNumberingAfterBreak="0">
    <w:nsid w:val="0000001C"/>
    <w:multiLevelType w:val="multilevel"/>
    <w:tmpl w:val="3A84379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9" w15:restartNumberingAfterBreak="0">
    <w:nsid w:val="0000001D"/>
    <w:multiLevelType w:val="multilevel"/>
    <w:tmpl w:val="C0FE6E9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0" w15:restartNumberingAfterBreak="0">
    <w:nsid w:val="0000001E"/>
    <w:multiLevelType w:val="multilevel"/>
    <w:tmpl w:val="D29C245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1" w15:restartNumberingAfterBreak="0">
    <w:nsid w:val="0000001F"/>
    <w:multiLevelType w:val="multilevel"/>
    <w:tmpl w:val="05F26F7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2" w15:restartNumberingAfterBreak="0">
    <w:nsid w:val="00000020"/>
    <w:multiLevelType w:val="multilevel"/>
    <w:tmpl w:val="A31877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00000021"/>
    <w:multiLevelType w:val="hybridMultilevel"/>
    <w:tmpl w:val="2B501FA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00000022"/>
    <w:multiLevelType w:val="multilevel"/>
    <w:tmpl w:val="A0CC3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00000023"/>
    <w:multiLevelType w:val="multilevel"/>
    <w:tmpl w:val="0F4C174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6" w15:restartNumberingAfterBreak="0">
    <w:nsid w:val="00000024"/>
    <w:multiLevelType w:val="multilevel"/>
    <w:tmpl w:val="B728F8C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7" w15:restartNumberingAfterBreak="0">
    <w:nsid w:val="00000025"/>
    <w:multiLevelType w:val="multilevel"/>
    <w:tmpl w:val="5150E56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num w:numId="1" w16cid:durableId="139539884">
    <w:abstractNumId w:val="33"/>
  </w:num>
  <w:num w:numId="2" w16cid:durableId="1722290590">
    <w:abstractNumId w:val="1"/>
  </w:num>
  <w:num w:numId="3" w16cid:durableId="63063473">
    <w:abstractNumId w:val="32"/>
  </w:num>
  <w:num w:numId="4" w16cid:durableId="998003413">
    <w:abstractNumId w:val="34"/>
  </w:num>
  <w:num w:numId="5" w16cid:durableId="575438742">
    <w:abstractNumId w:val="8"/>
  </w:num>
  <w:num w:numId="6" w16cid:durableId="202254979">
    <w:abstractNumId w:val="17"/>
  </w:num>
  <w:num w:numId="7" w16cid:durableId="1465923778">
    <w:abstractNumId w:val="7"/>
  </w:num>
  <w:num w:numId="8" w16cid:durableId="1316184804">
    <w:abstractNumId w:val="0"/>
  </w:num>
  <w:num w:numId="9" w16cid:durableId="1661154280">
    <w:abstractNumId w:val="23"/>
  </w:num>
  <w:num w:numId="10" w16cid:durableId="494339393">
    <w:abstractNumId w:val="10"/>
  </w:num>
  <w:num w:numId="11" w16cid:durableId="38166504">
    <w:abstractNumId w:val="27"/>
  </w:num>
  <w:num w:numId="12" w16cid:durableId="996301864">
    <w:abstractNumId w:val="19"/>
  </w:num>
  <w:num w:numId="13" w16cid:durableId="1533684980">
    <w:abstractNumId w:val="35"/>
  </w:num>
  <w:num w:numId="14" w16cid:durableId="1517959260">
    <w:abstractNumId w:val="15"/>
  </w:num>
  <w:num w:numId="15" w16cid:durableId="1783724558">
    <w:abstractNumId w:val="4"/>
  </w:num>
  <w:num w:numId="16" w16cid:durableId="404423225">
    <w:abstractNumId w:val="24"/>
  </w:num>
  <w:num w:numId="17" w16cid:durableId="1036780646">
    <w:abstractNumId w:val="3"/>
  </w:num>
  <w:num w:numId="18" w16cid:durableId="1783453761">
    <w:abstractNumId w:val="37"/>
  </w:num>
  <w:num w:numId="19" w16cid:durableId="1100612974">
    <w:abstractNumId w:val="14"/>
  </w:num>
  <w:num w:numId="20" w16cid:durableId="805465162">
    <w:abstractNumId w:val="30"/>
  </w:num>
  <w:num w:numId="21" w16cid:durableId="1556743064">
    <w:abstractNumId w:val="16"/>
  </w:num>
  <w:num w:numId="22" w16cid:durableId="1511800607">
    <w:abstractNumId w:val="5"/>
  </w:num>
  <w:num w:numId="23" w16cid:durableId="1995062961">
    <w:abstractNumId w:val="22"/>
  </w:num>
  <w:num w:numId="24" w16cid:durableId="740057745">
    <w:abstractNumId w:val="20"/>
  </w:num>
  <w:num w:numId="25" w16cid:durableId="88820827">
    <w:abstractNumId w:val="9"/>
  </w:num>
  <w:num w:numId="26" w16cid:durableId="468284067">
    <w:abstractNumId w:val="2"/>
  </w:num>
  <w:num w:numId="27" w16cid:durableId="1629505598">
    <w:abstractNumId w:val="6"/>
  </w:num>
  <w:num w:numId="28" w16cid:durableId="1730617357">
    <w:abstractNumId w:val="21"/>
  </w:num>
  <w:num w:numId="29" w16cid:durableId="429008625">
    <w:abstractNumId w:val="13"/>
  </w:num>
  <w:num w:numId="30" w16cid:durableId="1227642143">
    <w:abstractNumId w:val="11"/>
  </w:num>
  <w:num w:numId="31" w16cid:durableId="885262520">
    <w:abstractNumId w:val="12"/>
  </w:num>
  <w:num w:numId="32" w16cid:durableId="563956572">
    <w:abstractNumId w:val="18"/>
  </w:num>
  <w:num w:numId="33" w16cid:durableId="868030360">
    <w:abstractNumId w:val="28"/>
  </w:num>
  <w:num w:numId="34" w16cid:durableId="1984384066">
    <w:abstractNumId w:val="36"/>
  </w:num>
  <w:num w:numId="35" w16cid:durableId="257450841">
    <w:abstractNumId w:val="25"/>
  </w:num>
  <w:num w:numId="36" w16cid:durableId="66149577">
    <w:abstractNumId w:val="31"/>
  </w:num>
  <w:num w:numId="37" w16cid:durableId="1819957685">
    <w:abstractNumId w:val="29"/>
  </w:num>
  <w:num w:numId="38" w16cid:durableId="52817942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455"/>
    <w:rsid w:val="001539F0"/>
    <w:rsid w:val="00341BAC"/>
    <w:rsid w:val="00393455"/>
    <w:rsid w:val="00425D38"/>
    <w:rsid w:val="00562F28"/>
    <w:rsid w:val="00654482"/>
    <w:rsid w:val="0083036D"/>
    <w:rsid w:val="00AA1E5F"/>
    <w:rsid w:val="00AE1963"/>
    <w:rsid w:val="00B46B75"/>
    <w:rsid w:val="00BC616B"/>
    <w:rsid w:val="00D00FE3"/>
    <w:rsid w:val="00D144DE"/>
    <w:rsid w:val="00D206E7"/>
    <w:rsid w:val="00E558BC"/>
    <w:rsid w:val="00E613C5"/>
    <w:rsid w:val="00F10A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EF5992"/>
  <w15:docId w15:val="{61FED1F3-C33D-49F4-A814-EB1A23A57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360" w:lineRule="auto"/>
      <w:jc w:val="both"/>
      <w:outlineLvl w:val="0"/>
    </w:pPr>
    <w:rPr>
      <w:rFonts w:ascii="Times New Roman" w:hAnsi="Times New Roman"/>
      <w:b/>
      <w:color w:val="000000"/>
      <w:sz w:val="24"/>
      <w:szCs w:val="40"/>
    </w:rPr>
  </w:style>
  <w:style w:type="paragraph" w:styleId="Heading2">
    <w:name w:val="heading 2"/>
    <w:basedOn w:val="Normal"/>
    <w:next w:val="Normal"/>
    <w:uiPriority w:val="9"/>
    <w:unhideWhenUsed/>
    <w:qFormat/>
    <w:pPr>
      <w:keepNext/>
      <w:keepLines/>
      <w:spacing w:before="360" w:after="120" w:line="360" w:lineRule="auto"/>
      <w:jc w:val="both"/>
      <w:outlineLvl w:val="1"/>
    </w:pPr>
    <w:rPr>
      <w:rFonts w:ascii="Times New Roman" w:hAnsi="Times New Roman"/>
      <w:b/>
      <w:color w:val="000000"/>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qFormat/>
    <w:pPr>
      <w:spacing w:before="240" w:after="0" w:line="259" w:lineRule="auto"/>
      <w:jc w:val="left"/>
      <w:outlineLvl w:val="9"/>
    </w:pPr>
    <w:rPr>
      <w:rFonts w:eastAsia="SimSun" w:cs="SimSun"/>
      <w:b w:val="0"/>
      <w:color w:val="365F91"/>
      <w:sz w:val="32"/>
      <w:szCs w:val="32"/>
      <w:lang w:eastAsia="en-US"/>
    </w:rPr>
  </w:style>
  <w:style w:type="paragraph" w:styleId="TOC1">
    <w:name w:val="toc 1"/>
    <w:basedOn w:val="Normal"/>
    <w:next w:val="Normal"/>
    <w:uiPriority w:val="39"/>
    <w:pPr>
      <w:tabs>
        <w:tab w:val="right" w:leader="dot" w:pos="9350"/>
      </w:tabs>
      <w:spacing w:after="100" w:line="480" w:lineRule="auto"/>
    </w:p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0000FF"/>
      <w:u w:val="single"/>
    </w:rPr>
  </w:style>
  <w:style w:type="paragraph" w:styleId="BodyText">
    <w:name w:val="Body Text"/>
    <w:basedOn w:val="Normal"/>
    <w:link w:val="BodyTextChar"/>
    <w:uiPriority w:val="1"/>
    <w:qFormat/>
    <w:pPr>
      <w:widowControl w:val="0"/>
      <w:autoSpaceDE w:val="0"/>
      <w:autoSpaceDN w:val="0"/>
      <w:spacing w:line="240" w:lineRule="auto"/>
    </w:pPr>
    <w:rPr>
      <w:rFonts w:ascii="Lucida Sans Unicode" w:eastAsia="Lucida Sans Unicode" w:hAnsi="Lucida Sans Unicode" w:cs="Lucida Sans Unicode"/>
      <w:sz w:val="20"/>
      <w:szCs w:val="20"/>
      <w:lang w:eastAsia="en-US"/>
    </w:rPr>
  </w:style>
  <w:style w:type="character" w:customStyle="1" w:styleId="BodyTextChar">
    <w:name w:val="Body Text Char"/>
    <w:basedOn w:val="DefaultParagraphFont"/>
    <w:link w:val="BodyText"/>
    <w:uiPriority w:val="1"/>
    <w:rPr>
      <w:rFonts w:ascii="Lucida Sans Unicode" w:eastAsia="Lucida Sans Unicode" w:hAnsi="Lucida Sans Unicode" w:cs="Lucida Sans Unicode"/>
      <w:sz w:val="20"/>
      <w:szCs w:val="20"/>
      <w:lang w:val="en-US" w:eastAsia="en-US"/>
    </w:rPr>
  </w:style>
  <w:style w:type="paragraph" w:styleId="Header">
    <w:name w:val="header"/>
    <w:basedOn w:val="Normal"/>
    <w:link w:val="HeaderChar"/>
    <w:uiPriority w:val="99"/>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spacing w:line="240" w:lineRule="auto"/>
    </w:pPr>
    <w:rPr>
      <w:rFonts w:ascii="Cambria" w:hAnsi="Cambria" w:cs="Cambria"/>
      <w:color w:val="000000"/>
      <w:sz w:val="24"/>
      <w:szCs w:val="24"/>
    </w:rPr>
  </w:style>
  <w:style w:type="paragraph" w:styleId="TOC3">
    <w:name w:val="toc 3"/>
    <w:basedOn w:val="Normal"/>
    <w:next w:val="Normal"/>
    <w:uiPriority w:val="39"/>
    <w:pPr>
      <w:spacing w:after="100"/>
      <w:ind w:left="440"/>
    </w:pPr>
  </w:style>
  <w:style w:type="paragraph" w:customStyle="1" w:styleId="Normal1">
    <w:name w:val="Normal1"/>
    <w:rPr>
      <w:lang w:eastAsia="en-US"/>
    </w:rPr>
  </w:style>
  <w:style w:type="paragraph" w:customStyle="1" w:styleId="TableParagraph">
    <w:name w:val="Table Paragraph"/>
    <w:basedOn w:val="Normal"/>
    <w:uiPriority w:val="1"/>
    <w:pPr>
      <w:widowControl w:val="0"/>
      <w:autoSpaceDE w:val="0"/>
      <w:autoSpaceDN w:val="0"/>
      <w:spacing w:line="240" w:lineRule="auto"/>
      <w:ind w:left="110"/>
    </w:pPr>
    <w:rPr>
      <w:rFonts w:ascii="Calibri" w:eastAsia="Calibri" w:hAnsi="Calibri" w:cs="Calibri"/>
      <w:lang w:eastAsia="en-US"/>
    </w:rPr>
  </w:style>
  <w:style w:type="character" w:customStyle="1" w:styleId="anchor-text">
    <w:name w:val="anchor-text"/>
    <w:basedOn w:val="DefaultParagraphFont"/>
  </w:style>
  <w:style w:type="table" w:styleId="TableGrid">
    <w:name w:val="Table Grid"/>
    <w:basedOn w:val="TableNormal"/>
    <w:uiPriority w:val="39"/>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1">
    <w:name w:val="Unresolved Mention1"/>
    <w:basedOn w:val="DefaultParagraphFont"/>
    <w:uiPriority w:val="99"/>
    <w:rPr>
      <w:color w:val="605E5C"/>
      <w:shd w:val="clear" w:color="auto" w:fill="E1DFDD"/>
    </w:rPr>
  </w:style>
  <w:style w:type="character" w:customStyle="1" w:styleId="UnresolvedMention2">
    <w:name w:val="Unresolved Mention2"/>
    <w:basedOn w:val="DefaultParagraphFont"/>
    <w:uiPriority w:val="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oleObject" Target="embeddings/Microsoft_Excel_Chart.xls"/><Relationship Id="rId18" Type="http://schemas.openxmlformats.org/officeDocument/2006/relationships/image" Target="media/image6.png"/><Relationship Id="rId26" Type="http://schemas.openxmlformats.org/officeDocument/2006/relationships/hyperlink" Target="http://advancesinresearch.id/index.php/AMFR/article/view/384" TargetMode="External"/><Relationship Id="rId39" Type="http://schemas.openxmlformats.org/officeDocument/2006/relationships/hyperlink" Target="https://scholar.archive.org/work/c3u6l5dtijemnjyvzegipfajbq/access/wayback/https:/journal.rescollacomm.com/index.php/ijbesd/article/download/916/pdf" TargetMode="External"/><Relationship Id="rId21" Type="http://schemas.openxmlformats.org/officeDocument/2006/relationships/hyperlink" Target="https://www.academia.edu/download/115377930/Capital_Budgeting_and_Financial_Investme.pdf" TargetMode="External"/><Relationship Id="rId34" Type="http://schemas.openxmlformats.org/officeDocument/2006/relationships/hyperlink" Target="https://marriott.gcs-web.com/static-files/c0fb865c-15b1-4166-9846-49b548da1ce4" TargetMode="External"/><Relationship Id="rId42" Type="http://schemas.openxmlformats.org/officeDocument/2006/relationships/hyperlink" Target="https://www.sciencedirect.com/science/article/pii/S2214845025000183"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books.google.com/books?hl=en&amp;lr=&amp;id=9d1fEQAAQBAJ&amp;oi=fnd&amp;pg=PP1&amp;dq=management+needs+to+invest+in+projects+that+will+increase+sustainable+profitability+more+than+those+that+create+the+lowest+value+since+the+liabilities+have+increased+and+shareholder+equity+has+been+negative&amp;ots=BWpp-3ORSo&amp;sig=GEq4w8jT5sZ3DMIWMFVfgfHQRX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hyperlink" Target="https://www.atlantis-press.com/proceedings/icdeba-24/126008558" TargetMode="External"/><Relationship Id="rId32" Type="http://schemas.openxmlformats.org/officeDocument/2006/relationships/hyperlink" Target="https://www.macrotrends.net/stocks/charts/MAR/marriott/net-income" TargetMode="External"/><Relationship Id="rId37" Type="http://schemas.openxmlformats.org/officeDocument/2006/relationships/hyperlink" Target="https://marriott.gcs-web.com/static-files/9cf0e9b0-bbfa-48a6-9e21-ffbdbc4b2d78" TargetMode="External"/><Relationship Id="rId40" Type="http://schemas.openxmlformats.org/officeDocument/2006/relationships/hyperlink" Target="https://books.google.com/books?hl=en&amp;lr=&amp;id=gmNYEQAAQBAJ&amp;oi=fnd&amp;pg=PA27&amp;dq=Capital+rationing+also+involves+the+management+having+to+spend+scarce+financial+resources+on+investments+that+will+maximise+the+value+of+the+shareholders+instead+of+only+depleting+the+available+financial+resources&amp;ots=zgeJGhcIOQ&amp;sig=CvvvWgWWEgEvTgtKYMTaE5ztoHg"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yperlink" Target="https://www.tandfonline.com/doi/abs/10.1080/23322039.2026.2678718" TargetMode="External"/><Relationship Id="rId28" Type="http://schemas.openxmlformats.org/officeDocument/2006/relationships/hyperlink" Target="https://www.researchgate.net/profile/Onyinye-Ezeilo/publication/393453311_A_Framework_for_Managing_Currency_Risk_and_Exchange_Rate_Exposure_in_International_Energy_Investment_Portfolios/links/686af3d5b991270ef301dc5f/A-Framework-for-Managing-Currency-Risk-and-Exchange-Rate-Exposure-in-International-Energy-Investment-Portfolios.pdf" TargetMode="External"/><Relationship Id="rId36" Type="http://schemas.openxmlformats.org/officeDocument/2006/relationships/hyperlink" Target="https://marriott.gcs-web.com/annual" TargetMode="External"/><Relationship Id="rId10" Type="http://schemas.openxmlformats.org/officeDocument/2006/relationships/image" Target="media/image3.png"/><Relationship Id="rId19" Type="http://schemas.openxmlformats.org/officeDocument/2006/relationships/image" Target="media/image7.png"/><Relationship Id="rId31" Type="http://schemas.openxmlformats.org/officeDocument/2006/relationships/hyperlink" Target="https://www.researchgate.net/profile/Arul-Kurian/publication/363728560_The_evolution_of_international_tax_regime_and_the_OECD_Two-_Pillar_solution_Analysis_from_a_developing_country_perspective/links/6310cdacacd814437ff52591/The-evolution-of-international-tax-regime-and-the-OECD-Two-Pillar-solution-Analysis-from-a-developing-country-perspective.pdf" TargetMode="External"/><Relationship Id="rId44"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hyperlink" Target="https://journals.iarn.or.id/index.php/ARJ/article/view/208" TargetMode="External"/><Relationship Id="rId27" Type="http://schemas.openxmlformats.org/officeDocument/2006/relationships/hyperlink" Target="https://digitalcommons.unl.edu/honorstheses/632/" TargetMode="External"/><Relationship Id="rId30" Type="http://schemas.openxmlformats.org/officeDocument/2006/relationships/hyperlink" Target="https://eprints.glos.ac.uk/12354/" TargetMode="External"/><Relationship Id="rId35" Type="http://schemas.openxmlformats.org/officeDocument/2006/relationships/hyperlink" Target="https://www.marriott.com/marriott/aboutmarriott.mi" TargetMode="External"/><Relationship Id="rId43" Type="http://schemas.openxmlformats.org/officeDocument/2006/relationships/hyperlink" Target="https://www.mdpi.com/1911-8074/16/11/468"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oleObject" Target="embeddings/Microsoft_Excel_Chart1.xls"/><Relationship Id="rId25" Type="http://schemas.openxmlformats.org/officeDocument/2006/relationships/hyperlink" Target="https://www.mdpi.com/1996-1073/15/1/353" TargetMode="External"/><Relationship Id="rId33" Type="http://schemas.openxmlformats.org/officeDocument/2006/relationships/hyperlink" Target="https://marriott.gcs-web.com/static-files/90ac617a-ef5f-4438-97ec-2e7cf4f8a41e" TargetMode="External"/><Relationship Id="rId38" Type="http://schemas.openxmlformats.org/officeDocument/2006/relationships/hyperlink" Target="https://marriott.africa-newsroom.com/press/marriott-international-announces-robust-growth-momentum-across-europe-middle-east-and-africa-in-2025?lang=en" TargetMode="External"/><Relationship Id="rId46" Type="http://schemas.openxmlformats.org/officeDocument/2006/relationships/footer" Target="footer2.xml"/><Relationship Id="rId20" Type="http://schemas.openxmlformats.org/officeDocument/2006/relationships/hyperlink" Target="https://www.sciencedirect.com/science/article/pii/S2666188823000333" TargetMode="External"/><Relationship Id="rId41" Type="http://schemas.openxmlformats.org/officeDocument/2006/relationships/hyperlink" Target="https://journals.sagepub.com/doi/abs/10.1177/00472875231219240"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C:/Users/User/Downloads/Exce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C:/Users/User/Downloads/Exce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C:/Users/User/Downloads/Excel.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IN"/>
              <a:t>Efficiency ratio</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'Marriott International'!$L$9</c:f>
              <c:strCache>
                <c:ptCount val="1"/>
                <c:pt idx="0">
                  <c:v>Total Asset Turnover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'Marriott International'!$O$3:$S$3</c:f>
              <c:numCache>
                <c:formatCode>General</c:formatCode>
                <c:ptCount val="5"/>
                <c:pt idx="0">
                  <c:v>2020</c:v>
                </c:pt>
                <c:pt idx="1">
                  <c:v>2021</c:v>
                </c:pt>
                <c:pt idx="2">
                  <c:v>2022</c:v>
                </c:pt>
                <c:pt idx="3">
                  <c:v>2023</c:v>
                </c:pt>
                <c:pt idx="4">
                  <c:v>2024</c:v>
                </c:pt>
              </c:numCache>
            </c:numRef>
          </c:cat>
          <c:val>
            <c:numRef>
              <c:f>'Marriott International'!$O$9:$S$9</c:f>
              <c:numCache>
                <c:formatCode>_(* #,##0.00_);_(* \(#,##0.00\);_(* "-"??_);_(@_)</c:formatCode>
                <c:ptCount val="5"/>
                <c:pt idx="0">
                  <c:v>0.54228466324893398</c:v>
                </c:pt>
                <c:pt idx="1">
                  <c:v>0.83711464839814598</c:v>
                </c:pt>
                <c:pt idx="2">
                  <c:v>0.92361922567578103</c:v>
                </c:pt>
                <c:pt idx="3">
                  <c:v>0.95867389809793002</c:v>
                </c:pt>
                <c:pt idx="4">
                  <c:v>9.5083514887436493</c:v>
                </c:pt>
              </c:numCache>
            </c:numRef>
          </c:val>
          <c:extLst>
            <c:ext xmlns:c16="http://schemas.microsoft.com/office/drawing/2014/chart" uri="{C3380CC4-5D6E-409C-BE32-E72D297353CC}">
              <c16:uniqueId val="{00000000-D667-4C05-AA45-73576549AEBD}"/>
            </c:ext>
          </c:extLst>
        </c:ser>
        <c:ser>
          <c:idx val="1"/>
          <c:order val="1"/>
          <c:tx>
            <c:strRef>
              <c:f>'Marriott International'!$L$10</c:f>
              <c:strCache>
                <c:ptCount val="1"/>
                <c:pt idx="0">
                  <c:v>Receivables Turnover Days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'Marriott International'!$O$3:$S$3</c:f>
              <c:numCache>
                <c:formatCode>General</c:formatCode>
                <c:ptCount val="5"/>
                <c:pt idx="0">
                  <c:v>2020</c:v>
                </c:pt>
                <c:pt idx="1">
                  <c:v>2021</c:v>
                </c:pt>
                <c:pt idx="2">
                  <c:v>2022</c:v>
                </c:pt>
                <c:pt idx="3">
                  <c:v>2023</c:v>
                </c:pt>
                <c:pt idx="4">
                  <c:v>2024</c:v>
                </c:pt>
              </c:numCache>
            </c:numRef>
          </c:cat>
          <c:val>
            <c:numRef>
              <c:f>'Marriott International'!$O$10:$S$10</c:f>
              <c:numCache>
                <c:formatCode>_(* #,##0_);_(* \(#,##0\);_(* "-"??_);_(@_)</c:formatCode>
                <c:ptCount val="5"/>
                <c:pt idx="0">
                  <c:v>52.206826874503903</c:v>
                </c:pt>
                <c:pt idx="1">
                  <c:v>45.174746064603099</c:v>
                </c:pt>
                <c:pt idx="2">
                  <c:v>41.7441909501118</c:v>
                </c:pt>
                <c:pt idx="3">
                  <c:v>40.644422310757001</c:v>
                </c:pt>
                <c:pt idx="4">
                  <c:v>40.547811807836197</c:v>
                </c:pt>
              </c:numCache>
            </c:numRef>
          </c:val>
          <c:extLst>
            <c:ext xmlns:c16="http://schemas.microsoft.com/office/drawing/2014/chart" uri="{C3380CC4-5D6E-409C-BE32-E72D297353CC}">
              <c16:uniqueId val="{00000001-D667-4C05-AA45-73576549AEBD}"/>
            </c:ext>
          </c:extLst>
        </c:ser>
        <c:ser>
          <c:idx val="2"/>
          <c:order val="2"/>
          <c:tx>
            <c:strRef>
              <c:f>'Marriott International'!$L$11</c:f>
              <c:strCache>
                <c:ptCount val="1"/>
                <c:pt idx="0">
                  <c:v>Payables Turnover Days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'Marriott International'!$O$3:$S$3</c:f>
              <c:numCache>
                <c:formatCode>General</c:formatCode>
                <c:ptCount val="5"/>
                <c:pt idx="0">
                  <c:v>2020</c:v>
                </c:pt>
                <c:pt idx="1">
                  <c:v>2021</c:v>
                </c:pt>
                <c:pt idx="2">
                  <c:v>2022</c:v>
                </c:pt>
                <c:pt idx="3">
                  <c:v>2023</c:v>
                </c:pt>
                <c:pt idx="4">
                  <c:v>2024</c:v>
                </c:pt>
              </c:numCache>
            </c:numRef>
          </c:cat>
          <c:val>
            <c:numRef>
              <c:f>'Marriott International'!$O$11:$S$11</c:f>
              <c:numCache>
                <c:formatCode>_(* #,##0_);_(* \(#,##0\);_(* "-"??_);_(@_)</c:formatCode>
                <c:ptCount val="5"/>
                <c:pt idx="0">
                  <c:v>23.967981186686</c:v>
                </c:pt>
                <c:pt idx="1">
                  <c:v>16.792476102374302</c:v>
                </c:pt>
                <c:pt idx="2">
                  <c:v>14.3794373565366</c:v>
                </c:pt>
                <c:pt idx="3">
                  <c:v>13.836198330683599</c:v>
                </c:pt>
                <c:pt idx="4">
                  <c:v>14.1723907651212</c:v>
                </c:pt>
              </c:numCache>
            </c:numRef>
          </c:val>
          <c:extLst>
            <c:ext xmlns:c16="http://schemas.microsoft.com/office/drawing/2014/chart" uri="{C3380CC4-5D6E-409C-BE32-E72D297353CC}">
              <c16:uniqueId val="{00000002-D667-4C05-AA45-73576549AEBD}"/>
            </c:ext>
          </c:extLst>
        </c:ser>
        <c:dLbls>
          <c:dLblPos val="outEnd"/>
          <c:showLegendKey val="0"/>
          <c:showVal val="1"/>
          <c:showCatName val="0"/>
          <c:showSerName val="0"/>
          <c:showPercent val="0"/>
          <c:showBubbleSize val="0"/>
        </c:dLbls>
        <c:gapWidth val="267"/>
        <c:overlap val="-43"/>
        <c:axId val="1856206351"/>
        <c:axId val="1856212111"/>
      </c:barChart>
      <c:catAx>
        <c:axId val="1856206351"/>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856212111"/>
        <c:crosses val="autoZero"/>
        <c:auto val="1"/>
        <c:lblAlgn val="ctr"/>
        <c:lblOffset val="100"/>
        <c:noMultiLvlLbl val="0"/>
      </c:catAx>
      <c:valAx>
        <c:axId val="1856212111"/>
        <c:scaling>
          <c:orientation val="minMax"/>
        </c:scaling>
        <c:delete val="0"/>
        <c:axPos val="l"/>
        <c:majorGridlines>
          <c:spPr>
            <a:ln w="9525" cap="flat" cmpd="sng" algn="ctr">
              <a:solidFill>
                <a:schemeClr val="dk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856206351"/>
        <c:crosses val="autoZero"/>
        <c:crossBetween val="between"/>
      </c:valAx>
      <c:dTable>
        <c:showHorzBorder val="1"/>
        <c:showVertBorder val="1"/>
        <c:showOutline val="1"/>
        <c:showKeys val="1"/>
        <c:spPr>
          <a:noFill/>
          <a:ln w="9525" cap="flat" cmpd="sng" algn="ctr">
            <a:solidFill>
              <a:schemeClr val="dk1">
                <a:lumMod val="15000"/>
                <a:lumOff val="85000"/>
              </a:schemeClr>
            </a:solidFill>
            <a:round/>
          </a:ln>
          <a:effectLst/>
        </c:spPr>
        <c:txPr>
          <a:bodyPr rot="0" spcFirstLastPara="1" vertOverflow="ellipsis" vert="horz" wrap="square" anchor="ctr" anchorCtr="1"/>
          <a:lstStyle/>
          <a:p>
            <a:pPr rtl="0">
              <a:defRPr sz="800" b="0" i="0" u="none" strike="noStrike" kern="1200" baseline="0">
                <a:solidFill>
                  <a:schemeClr val="dk1">
                    <a:lumMod val="65000"/>
                    <a:lumOff val="35000"/>
                  </a:schemeClr>
                </a:solidFill>
                <a:latin typeface="+mn-lt"/>
                <a:ea typeface="+mn-ea"/>
                <a:cs typeface="+mn-cs"/>
              </a:defRPr>
            </a:pPr>
            <a:endParaRPr lang="en-US"/>
          </a:p>
        </c:txPr>
      </c:dTable>
      <c:spPr>
        <a:pattFill prst="ltDnDiag">
          <a:fgClr>
            <a:schemeClr val="dk1">
              <a:lumMod val="15000"/>
              <a:lumOff val="85000"/>
            </a:schemeClr>
          </a:fgClr>
          <a:bgClr>
            <a:schemeClr val="lt1"/>
          </a:bgClr>
        </a:patt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40" b="0" i="0" u="none" strike="noStrike" kern="1200" cap="all" spc="0" baseline="0">
              <a:gradFill>
                <a:gsLst>
                  <a:gs pos="0">
                    <a:schemeClr val="dk1">
                      <a:lumMod val="50000"/>
                      <a:lumOff val="50000"/>
                    </a:schemeClr>
                  </a:gs>
                  <a:gs pos="100000">
                    <a:schemeClr val="dk1">
                      <a:lumMod val="85000"/>
                      <a:lumOff val="15000"/>
                    </a:schemeClr>
                  </a:gs>
                </a:gsLst>
                <a:lin ang="5400000" scaled="0"/>
              </a:gradFill>
              <a:latin typeface="+mn-lt"/>
              <a:ea typeface="+mn-ea"/>
              <a:cs typeface="+mn-cs"/>
            </a:defRPr>
          </a:pPr>
          <a:endParaRPr lang="en-US"/>
        </a:p>
      </c:txPr>
    </c:title>
    <c:autoTitleDeleted val="0"/>
    <c:plotArea>
      <c:layout/>
      <c:lineChart>
        <c:grouping val="standard"/>
        <c:varyColors val="0"/>
        <c:ser>
          <c:idx val="0"/>
          <c:order val="0"/>
          <c:tx>
            <c:strRef>
              <c:f>'Marriott International'!$L$17</c:f>
              <c:strCache>
                <c:ptCount val="1"/>
                <c:pt idx="0">
                  <c:v>Earning Per Share</c:v>
                </c:pt>
              </c:strCache>
            </c:strRef>
          </c:tx>
          <c:spPr>
            <a:ln w="19050" cap="rnd" cmpd="sng" algn="ctr">
              <a:solidFill>
                <a:schemeClr val="accent1">
                  <a:shade val="95000"/>
                  <a:satMod val="105000"/>
                </a:schemeClr>
              </a:solidFill>
              <a:round/>
            </a:ln>
            <a:effectLst/>
          </c:spPr>
          <c:marker>
            <c:symbol val="circle"/>
            <c:size val="17"/>
            <c:spPr>
              <a:solidFill>
                <a:schemeClr val="l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'Marriott International'!$O$16:$S$16</c:f>
              <c:numCache>
                <c:formatCode>General</c:formatCode>
                <c:ptCount val="5"/>
                <c:pt idx="0">
                  <c:v>2020</c:v>
                </c:pt>
                <c:pt idx="1">
                  <c:v>2021</c:v>
                </c:pt>
                <c:pt idx="2">
                  <c:v>2022</c:v>
                </c:pt>
                <c:pt idx="3">
                  <c:v>2023</c:v>
                </c:pt>
                <c:pt idx="4">
                  <c:v>2024</c:v>
                </c:pt>
              </c:numCache>
            </c:numRef>
          </c:cat>
          <c:val>
            <c:numRef>
              <c:f>'Marriott International'!$O$17:$S$17</c:f>
              <c:numCache>
                <c:formatCode>General</c:formatCode>
                <c:ptCount val="5"/>
                <c:pt idx="0">
                  <c:v>3.36</c:v>
                </c:pt>
                <c:pt idx="1">
                  <c:v>7.27</c:v>
                </c:pt>
                <c:pt idx="2">
                  <c:v>10.23</c:v>
                </c:pt>
                <c:pt idx="3">
                  <c:v>8.36</c:v>
                </c:pt>
                <c:pt idx="4">
                  <c:v>9.5299999999999994</c:v>
                </c:pt>
              </c:numCache>
            </c:numRef>
          </c:val>
          <c:smooth val="0"/>
          <c:extLst>
            <c:ext xmlns:c16="http://schemas.microsoft.com/office/drawing/2014/chart" uri="{C3380CC4-5D6E-409C-BE32-E72D297353CC}">
              <c16:uniqueId val="{00000000-2ED3-449B-BD13-816BE26EC350}"/>
            </c:ext>
          </c:extLst>
        </c:ser>
        <c:dLbls>
          <c:dLblPos val="ctr"/>
          <c:showLegendKey val="0"/>
          <c:showVal val="1"/>
          <c:showCatName val="0"/>
          <c:showSerName val="0"/>
          <c:showPercent val="0"/>
          <c:showBubbleSize val="0"/>
        </c:dLbls>
        <c:marker val="1"/>
        <c:smooth val="0"/>
        <c:axId val="437075880"/>
        <c:axId val="437076664"/>
      </c:lineChart>
      <c:catAx>
        <c:axId val="437075880"/>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dk1">
                    <a:lumMod val="65000"/>
                    <a:lumOff val="35000"/>
                  </a:schemeClr>
                </a:solidFill>
                <a:latin typeface="+mn-lt"/>
                <a:ea typeface="+mn-ea"/>
                <a:cs typeface="+mn-cs"/>
              </a:defRPr>
            </a:pPr>
            <a:endParaRPr lang="en-US"/>
          </a:p>
        </c:txPr>
        <c:crossAx val="437076664"/>
        <c:crosses val="autoZero"/>
        <c:auto val="1"/>
        <c:lblAlgn val="ctr"/>
        <c:lblOffset val="100"/>
        <c:noMultiLvlLbl val="0"/>
      </c:catAx>
      <c:valAx>
        <c:axId val="437076664"/>
        <c:scaling>
          <c:orientation val="minMax"/>
        </c:scaling>
        <c:delete val="1"/>
        <c:axPos val="l"/>
        <c:numFmt formatCode="General" sourceLinked="1"/>
        <c:majorTickMark val="none"/>
        <c:minorTickMark val="none"/>
        <c:tickLblPos val="nextTo"/>
        <c:crossAx val="437075880"/>
        <c:crosses val="autoZero"/>
        <c:crossBetween val="between"/>
      </c:valAx>
      <c:dTable>
        <c:showHorzBorder val="1"/>
        <c:showVertBorder val="1"/>
        <c:showOutline val="1"/>
        <c:showKeys val="1"/>
        <c:spPr>
          <a:noFill/>
          <a:ln w="9525">
            <a:solidFill>
              <a:schemeClr val="dk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dk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lineChart>
        <c:grouping val="standard"/>
        <c:varyColors val="0"/>
        <c:ser>
          <c:idx val="0"/>
          <c:order val="0"/>
          <c:tx>
            <c:strRef>
              <c:f>'Marriott International'!$L$24</c:f>
              <c:strCache>
                <c:ptCount val="1"/>
                <c:pt idx="0">
                  <c:v>Operating Cash Flow Ratio</c:v>
                </c:pt>
              </c:strCache>
            </c:strRef>
          </c:tx>
          <c:spPr>
            <a:ln w="34925" cap="rnd">
              <a:solidFill>
                <a:schemeClr val="lt1"/>
              </a:solidFill>
              <a:round/>
            </a:ln>
            <a:effectLst>
              <a:outerShdw dist="25400" dir="2700000" algn="tl" rotWithShape="0">
                <a:schemeClr val="accent1"/>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numRef>
              <c:f>'Marriott International'!$O$21:$S$21</c:f>
              <c:numCache>
                <c:formatCode>General</c:formatCode>
                <c:ptCount val="5"/>
                <c:pt idx="0">
                  <c:v>2020</c:v>
                </c:pt>
                <c:pt idx="1">
                  <c:v>2021</c:v>
                </c:pt>
                <c:pt idx="2">
                  <c:v>2022</c:v>
                </c:pt>
                <c:pt idx="3">
                  <c:v>2023</c:v>
                </c:pt>
                <c:pt idx="4">
                  <c:v>2024</c:v>
                </c:pt>
              </c:numCache>
            </c:numRef>
          </c:cat>
          <c:val>
            <c:numRef>
              <c:f>'Marriott International'!$O$24:$S$24</c:f>
              <c:numCache>
                <c:formatCode>_(* #,##0.00_);_(* \(#,##0.00\);_(* "-"??_);_(@_)</c:formatCode>
                <c:ptCount val="5"/>
                <c:pt idx="0">
                  <c:v>0.18370532230372999</c:v>
                </c:pt>
                <c:pt idx="1">
                  <c:v>0.32197847118136003</c:v>
                </c:pt>
                <c:pt idx="2">
                  <c:v>0.40839989693377998</c:v>
                </c:pt>
                <c:pt idx="3">
                  <c:v>0.31784021274135699</c:v>
                </c:pt>
                <c:pt idx="4">
                  <c:v>0.38247201714694001</c:v>
                </c:pt>
              </c:numCache>
            </c:numRef>
          </c:val>
          <c:smooth val="0"/>
          <c:extLst>
            <c:ext xmlns:c16="http://schemas.microsoft.com/office/drawing/2014/chart" uri="{C3380CC4-5D6E-409C-BE32-E72D297353CC}">
              <c16:uniqueId val="{00000000-EC9A-473A-9F21-41C7DC1D74BC}"/>
            </c:ext>
          </c:extLst>
        </c:ser>
        <c:dLbls>
          <c:dLblPos val="t"/>
          <c:showLegendKey val="0"/>
          <c:showVal val="1"/>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338817727"/>
        <c:axId val="338818687"/>
      </c:lineChart>
      <c:catAx>
        <c:axId val="338817727"/>
        <c:scaling>
          <c:orientation val="minMax"/>
        </c:scaling>
        <c:delete val="0"/>
        <c:axPos val="b"/>
        <c:numFmt formatCode="General" sourceLinked="1"/>
        <c:majorTickMark val="none"/>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en-US"/>
          </a:p>
        </c:txPr>
        <c:crossAx val="338818687"/>
        <c:crosses val="autoZero"/>
        <c:auto val="1"/>
        <c:lblAlgn val="ctr"/>
        <c:lblOffset val="100"/>
        <c:noMultiLvlLbl val="0"/>
      </c:catAx>
      <c:valAx>
        <c:axId val="338818687"/>
        <c:scaling>
          <c:orientation val="minMax"/>
        </c:scaling>
        <c:delete val="0"/>
        <c:axPos val="l"/>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338817727"/>
        <c:crosses val="autoZero"/>
        <c:crossBetween val="between"/>
      </c:valAx>
      <c:dTable>
        <c:showHorzBorder val="1"/>
        <c:showVertBorder val="1"/>
        <c:showOutline val="1"/>
        <c:showKeys val="1"/>
        <c:spPr>
          <a:noFill/>
          <a:ln w="9525">
            <a:solidFill>
              <a:schemeClr val="accent1">
                <a:lumMod val="60000"/>
                <a:lumOff val="40000"/>
              </a:schemeClr>
            </a:solidFill>
          </a:ln>
          <a:effectLst/>
        </c:spPr>
        <c:txPr>
          <a:bodyPr rot="0" spcFirstLastPara="1" vertOverflow="ellipsis" vert="horz" wrap="square" anchor="ctr" anchorCtr="1"/>
          <a:lstStyle/>
          <a:p>
            <a:pPr rtl="0">
              <a:defRPr sz="900" b="0" i="0" u="none" strike="noStrike" kern="1200" baseline="0">
                <a:solidFill>
                  <a:schemeClr val="lt1"/>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34">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1000" kern="120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cs:styleClr val="auto"/>
    </cs:fontRef>
    <cs:defRPr sz="900" b="1" i="0" u="none" strike="noStrike" kern="1200" baseline="0"/>
  </cs:dataLabel>
  <cs:dataLabelCallout>
    <cs:lnRef idx="0"/>
    <cs:fillRef idx="0"/>
    <cs:effectRef idx="0"/>
    <cs:fontRef idx="minor">
      <a:schemeClr val="dk1">
        <a:lumMod val="65000"/>
        <a:lumOff val="35000"/>
      </a:schemeClr>
    </cs:fontRef>
    <cs:spPr>
      <a:solidFill>
        <a:schemeClr val="lt1"/>
      </a:solidFill>
      <a:ln w="9575">
        <a:solidFill>
          <a:schemeClr val="lt1">
            <a:lumMod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19050" cap="rnd" cmpd="sng" algn="ctr">
        <a:solidFill>
          <a:schemeClr val="phClr">
            <a:shade val="95000"/>
            <a:satMod val="105000"/>
          </a:schemeClr>
        </a:solidFill>
        <a:round/>
      </a:ln>
    </cs:spPr>
  </cs:dataPointLine>
  <cs:dataPointMarker>
    <cs:lnRef idx="0"/>
    <cs:fillRef idx="0"/>
    <cs:effectRef idx="0"/>
    <cs:fontRef idx="minor">
      <a:schemeClr val="dk1"/>
    </cs:fontRef>
    <cs:spPr>
      <a:solidFill>
        <a:schemeClr val="lt1"/>
      </a:solidFill>
    </cs:spPr>
  </cs:dataPointMarker>
  <cs:dataPointMarkerLayout symbol="circle" size="17"/>
  <cs:dataPointWireframe>
    <cs:lnRef idx="0">
      <cs:styleClr val="auto"/>
    </cs:lnRef>
    <cs:fillRef idx="1"/>
    <cs:effectRef idx="0"/>
    <cs:fontRef idx="minor">
      <a:schemeClr val="dk1"/>
    </cs:fontRef>
    <cs:spPr>
      <a:ln w="9525">
        <a:solidFill>
          <a:schemeClr val="phClr"/>
        </a:solidFill>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35000"/>
            <a:lumOff val="65000"/>
          </a:schemeClr>
        </a:solidFill>
      </a:ln>
    </cs:spPr>
  </cs:dropLine>
  <cs:errorBar>
    <cs:lnRef idx="0"/>
    <cs:fillRef idx="0"/>
    <cs:effectRef idx="0"/>
    <cs:fontRef idx="minor">
      <a:schemeClr val="dk1"/>
    </cs:fontRef>
    <cs:spPr>
      <a:ln w="9525">
        <a:solidFill>
          <a:schemeClr val="dk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ln>
    </cs:spPr>
  </cs:seriesLine>
  <cs:title>
    <cs:lnRef idx="0"/>
    <cs:fillRef idx="0"/>
    <cs:effectRef idx="0"/>
    <cs:fontRef idx="minor">
      <a:schemeClr val="dk1"/>
    </cs:fontRef>
    <cs:defRPr sz="1440" b="0" kern="1200" cap="all" spc="0" baseline="0">
      <a:gradFill>
        <a:gsLst>
          <a:gs pos="0">
            <a:schemeClr val="dk1">
              <a:lumMod val="50000"/>
              <a:lumOff val="50000"/>
            </a:schemeClr>
          </a:gs>
          <a:gs pos="100000">
            <a:schemeClr val="dk1">
              <a:lumMod val="85000"/>
              <a:lumOff val="15000"/>
            </a:schemeClr>
          </a:gs>
        </a:gsLst>
        <a:lin ang="5400000" scaled="0"/>
      </a:gradFill>
    </cs:defRPr>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50000"/>
            <a:lumOff val="50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2A51F-995E-4657-9728-0D1403BA2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8678</Words>
  <Characters>49466</Characters>
  <Application>Microsoft Office Word</Application>
  <DocSecurity>0</DocSecurity>
  <Lines>412</Lines>
  <Paragraphs>116</Paragraphs>
  <ScaleCrop>false</ScaleCrop>
  <Company/>
  <LinksUpToDate>false</LinksUpToDate>
  <CharactersWithSpaces>58028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vaishak kalarikkal</cp:lastModifiedBy>
  <cp:revision>2</cp:revision>
  <dcterms:created xsi:type="dcterms:W3CDTF">2026-08-11T23:20:00Z</dcterms:created>
  <dcterms:modified xsi:type="dcterms:W3CDTF">2026-08-11T23:20:00Z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f88dc27010450913b386c7a75e31081ebb44c075070df077a3644798d22e81a4</vt:lpwstr>
  </property>
  <property fmtid="{D5CDD505-2E9C-101B-9397-08002B2CF9AE}" pid="3" name="ICV">
    <vt:lpwstr>ba1be9352793465690d61491af9cfb57_23</vt:lpwstr>
  </property>
</Properties>
</file>