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Open Sans" w:cs="Open Sans" w:eastAsia="Open Sans" w:hAnsi="Open Sans"/>
          <w:b w:val="1"/>
          <w:sz w:val="28"/>
          <w:szCs w:val="28"/>
          <w:highlight w:val="white"/>
          <w:u w:val="single"/>
        </w:rPr>
      </w:pPr>
      <w:r w:rsidDel="00000000" w:rsidR="00000000" w:rsidRPr="00000000">
        <w:rPr>
          <w:rFonts w:ascii="Open Sans" w:cs="Open Sans" w:eastAsia="Open Sans" w:hAnsi="Open Sans"/>
          <w:b w:val="1"/>
          <w:sz w:val="28"/>
          <w:szCs w:val="28"/>
          <w:highlight w:val="white"/>
          <w:u w:val="single"/>
          <w:rtl w:val="0"/>
        </w:rPr>
        <w:t xml:space="preserve"> Analyse the contribution of the Middle Ages to Jewish-Christian relations</w:t>
      </w:r>
    </w:p>
    <w:p w:rsidR="00000000" w:rsidDel="00000000" w:rsidP="00000000" w:rsidRDefault="00000000" w:rsidRPr="00000000" w14:paraId="00000001">
      <w:pPr>
        <w:contextualSpacing w:val="0"/>
        <w:rPr>
          <w:rFonts w:ascii="Open Sans" w:cs="Open Sans" w:eastAsia="Open Sans" w:hAnsi="Open Sans"/>
          <w:b w:val="1"/>
          <w:sz w:val="18"/>
          <w:szCs w:val="18"/>
          <w:highlight w:val="white"/>
        </w:rPr>
      </w:pPr>
      <w:r w:rsidDel="00000000" w:rsidR="00000000" w:rsidRPr="00000000">
        <w:rPr>
          <w:rtl w:val="0"/>
        </w:rPr>
      </w:r>
    </w:p>
    <w:p w:rsidR="00000000" w:rsidDel="00000000" w:rsidP="00000000" w:rsidRDefault="00000000" w:rsidRPr="00000000" w14:paraId="00000002">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Throughout history, the relationship between The Jews and Christians has been known to be a volatile and turbulent one, marked by periods of intense hatred and violence, followed by co-existence and peace. The Middle Ages are of particular</w:t>
      </w:r>
      <w:r w:rsidDel="00000000" w:rsidR="00000000" w:rsidRPr="00000000">
        <w:rPr>
          <w:rFonts w:ascii="Open Sans" w:cs="Open Sans" w:eastAsia="Open Sans" w:hAnsi="Open Sans"/>
          <w:highlight w:val="white"/>
          <w:rtl w:val="0"/>
        </w:rPr>
        <w:t xml:space="preserve"> importance in this respect</w:t>
      </w:r>
      <w:r w:rsidDel="00000000" w:rsidR="00000000" w:rsidRPr="00000000">
        <w:rPr>
          <w:rFonts w:ascii="Open Sans" w:cs="Open Sans" w:eastAsia="Open Sans" w:hAnsi="Open Sans"/>
          <w:highlight w:val="white"/>
          <w:rtl w:val="0"/>
        </w:rPr>
        <w:t xml:space="preserve">, due to the overwhelming negative impact these interactions had on their overall quality of life, and ability to live and function within European society. These times are often thought to be the worst experienced by the European Jews, before The Shoah (Holocaust) took place. This essay will focus on a selection of developments, firstly examining the impact of the Crusades on Jewish/Christian relations, their role as Moneylenders and and merchants, Jewish stereotypes, rumours of ritual murder, the Black death, and finally, the attitudes displayed in medieval art and architecture.</w:t>
      </w:r>
    </w:p>
    <w:p w:rsidR="00000000" w:rsidDel="00000000" w:rsidP="00000000" w:rsidRDefault="00000000" w:rsidRPr="00000000" w14:paraId="00000003">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04">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The first Crusade occurred as a  result of the Byzantine Empire losing considerable territory to the Seljuk Turks, which led to Emperor Alexius I (formerly a general in the army) to request Pope Urban II to send envoys to assist in facing the Turkish threat. Urban’s plea for a Crusade at the Council of Clermont-Ferrand was met with overwhelming support, from both military and religious officials, as well as the commoners, and by August 1096, the troops had set off for Byzantium. However, the commoners had rallied together to create a group known as ‘People’s Crusade’, and one particular group (led by Count Emicho)</w:t>
      </w:r>
      <w:r w:rsidDel="00000000" w:rsidR="00000000" w:rsidRPr="00000000">
        <w:rPr>
          <w:rFonts w:ascii="Open Sans" w:cs="Open Sans" w:eastAsia="Open Sans" w:hAnsi="Open Sans"/>
          <w:highlight w:val="white"/>
          <w:vertAlign w:val="superscript"/>
        </w:rPr>
        <w:footnoteReference w:customMarkFollows="0" w:id="0"/>
      </w:r>
      <w:r w:rsidDel="00000000" w:rsidR="00000000" w:rsidRPr="00000000">
        <w:rPr>
          <w:rFonts w:ascii="Open Sans" w:cs="Open Sans" w:eastAsia="Open Sans" w:hAnsi="Open Sans"/>
          <w:highlight w:val="white"/>
          <w:rtl w:val="0"/>
        </w:rPr>
        <w:t xml:space="preserve"> were responsible for a series of massacres occurring in the Rhineland in 1096, engaging in spontaneous acts of violence against the Jews, subsequently destroying the communities, and slaughtering hundreds of innocent citizens. While the Church did not condone these acts of violence against the Jews, naturally the relationship between the two became strained, as these incidents demonstrate the beginning of a time of major crisis in Jewish and Christian relations. Future crusades were often preached alongside an anti-Jewish agenda, calling for the death and forced conversion of the Jews, and throughout these missions, many communities were offered baptism or death. The anti-Jewish attacks reveal an interesting trend in medieval Jewry, which is the willingness of the people to die for their faith rather than convert. The act was known as Kiddush ha-shem (sanctification of the divine name) and was relatively common in situations of forced baptism, with reports of Jewish parents killing their children in a similar fashion to Abraham’s near sacrifice of Isaac</w:t>
      </w:r>
      <w:r w:rsidDel="00000000" w:rsidR="00000000" w:rsidRPr="00000000">
        <w:rPr>
          <w:rFonts w:ascii="Open Sans" w:cs="Open Sans" w:eastAsia="Open Sans" w:hAnsi="Open Sans"/>
          <w:highlight w:val="white"/>
          <w:vertAlign w:val="superscript"/>
        </w:rPr>
        <w:footnoteReference w:customMarkFollows="0" w:id="1"/>
      </w:r>
      <w:r w:rsidDel="00000000" w:rsidR="00000000" w:rsidRPr="00000000">
        <w:rPr>
          <w:rFonts w:ascii="Open Sans" w:cs="Open Sans" w:eastAsia="Open Sans" w:hAnsi="Open Sans"/>
          <w:highlight w:val="white"/>
          <w:rtl w:val="0"/>
        </w:rPr>
        <w:t xml:space="preserve">.</w:t>
      </w:r>
      <w:r w:rsidDel="00000000" w:rsidR="00000000" w:rsidRPr="00000000">
        <w:rPr>
          <w:rtl w:val="0"/>
        </w:rPr>
      </w:r>
    </w:p>
    <w:p w:rsidR="00000000" w:rsidDel="00000000" w:rsidP="00000000" w:rsidRDefault="00000000" w:rsidRPr="00000000" w14:paraId="00000005">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06">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During the more peaceful years between the Jews and Christians, it was not uncommon for religious debates and discussion to take place, it was often thought of as tradition between the two. However, these debates were not just reserved for well-versed theologians, these conversations often took place in everyday life amongst the people, when conducting business or running errands. As there was an abundance of Jews in professional positions such as doctors in the beginning of the middle ages, it was often common practise for Christians to seek treatment/services from them, despite many church councils disapproving of this relationship. The disapproval of this relationship stemmed from fear, due to the Jews being extremely well-versed in the Old Testament, and having a reputation for being skilled in philosophical debates, the Church authorities were concerned that they would be able to somehow ‘seduce’ the ‘simple’</w:t>
      </w:r>
      <w:r w:rsidDel="00000000" w:rsidR="00000000" w:rsidRPr="00000000">
        <w:rPr>
          <w:rFonts w:ascii="Open Sans" w:cs="Open Sans" w:eastAsia="Open Sans" w:hAnsi="Open Sans"/>
          <w:highlight w:val="white"/>
          <w:vertAlign w:val="superscript"/>
        </w:rPr>
        <w:footnoteReference w:customMarkFollows="0" w:id="2"/>
      </w:r>
      <w:r w:rsidDel="00000000" w:rsidR="00000000" w:rsidRPr="00000000">
        <w:rPr>
          <w:rFonts w:ascii="Open Sans" w:cs="Open Sans" w:eastAsia="Open Sans" w:hAnsi="Open Sans"/>
          <w:highlight w:val="white"/>
          <w:rtl w:val="0"/>
        </w:rPr>
        <w:t xml:space="preserve"> (and often illiterate) Christians, who would not be prepared to go up against such opponents. </w:t>
      </w:r>
    </w:p>
    <w:p w:rsidR="00000000" w:rsidDel="00000000" w:rsidP="00000000" w:rsidRDefault="00000000" w:rsidRPr="00000000" w14:paraId="00000007">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08">
      <w:pPr>
        <w:contextualSpacing w:val="0"/>
        <w:rPr>
          <w:rFonts w:ascii="Open Sans" w:cs="Open Sans" w:eastAsia="Open Sans" w:hAnsi="Open Sans"/>
          <w:b w:val="1"/>
          <w:highlight w:val="white"/>
        </w:rPr>
      </w:pPr>
      <w:r w:rsidDel="00000000" w:rsidR="00000000" w:rsidRPr="00000000">
        <w:rPr>
          <w:rFonts w:ascii="Open Sans" w:cs="Open Sans" w:eastAsia="Open Sans" w:hAnsi="Open Sans"/>
          <w:highlight w:val="white"/>
          <w:rtl w:val="0"/>
        </w:rPr>
        <w:t xml:space="preserve">There were also</w:t>
      </w:r>
      <w:r w:rsidDel="00000000" w:rsidR="00000000" w:rsidRPr="00000000">
        <w:rPr>
          <w:rFonts w:ascii="Open Sans" w:cs="Open Sans" w:eastAsia="Open Sans" w:hAnsi="Open Sans"/>
          <w:b w:val="1"/>
          <w:highlight w:val="white"/>
          <w:rtl w:val="0"/>
        </w:rPr>
        <w:t xml:space="preserve"> </w:t>
      </w:r>
      <w:r w:rsidDel="00000000" w:rsidR="00000000" w:rsidRPr="00000000">
        <w:rPr>
          <w:rFonts w:ascii="Open Sans" w:cs="Open Sans" w:eastAsia="Open Sans" w:hAnsi="Open Sans"/>
          <w:highlight w:val="white"/>
          <w:rtl w:val="0"/>
        </w:rPr>
        <w:t xml:space="preserve">a large percentage of Jews in the business of money lending, or ‘usury’, as well as merchants, which Christians despised because of the profession itself,as well as the traditional antipathy had towards Jews. These views served only to alienate Jews from society, causing them to be seen as sub-human by Christians. Despite this, it is undeniable that there was a need for Jews in these professions, the main reason for this being that the accumulation of wealth was frowned upon by Christians, being classed as secondary to spiritual wealth. By allowing the Jews to participate, they eradicated any religious guilt they might feel. Additionally, the Jew’s status as merchants and moneylenders resulting in the stabilisation of the economy, as well as satisfying the aristocracy’s needs for luxury items, which ultimately won them favour and protection for a time. An example of this can be seen by </w:t>
      </w:r>
      <w:r w:rsidDel="00000000" w:rsidR="00000000" w:rsidRPr="00000000">
        <w:rPr>
          <w:rFonts w:ascii="Open Sans" w:cs="Open Sans" w:eastAsia="Open Sans" w:hAnsi="Open Sans"/>
          <w:color w:val="010000"/>
          <w:highlight w:val="white"/>
          <w:rtl w:val="0"/>
        </w:rPr>
        <w:t xml:space="preserve">Carolingian King Louis the Pious, who granted travelling Jewish trading families privileges,designed solely to encourage them to establish a permanent base of operations on Christian soil</w:t>
      </w:r>
      <w:r w:rsidDel="00000000" w:rsidR="00000000" w:rsidRPr="00000000">
        <w:rPr>
          <w:rFonts w:ascii="Open Sans" w:cs="Open Sans" w:eastAsia="Open Sans" w:hAnsi="Open Sans"/>
          <w:color w:val="010000"/>
          <w:highlight w:val="white"/>
          <w:vertAlign w:val="superscript"/>
        </w:rPr>
        <w:footnoteReference w:customMarkFollows="0" w:id="3"/>
      </w:r>
      <w:r w:rsidDel="00000000" w:rsidR="00000000" w:rsidRPr="00000000">
        <w:rPr>
          <w:rFonts w:ascii="Open Sans" w:cs="Open Sans" w:eastAsia="Open Sans" w:hAnsi="Open Sans"/>
          <w:color w:val="010000"/>
          <w:highlight w:val="white"/>
          <w:rtl w:val="0"/>
        </w:rPr>
        <w:t xml:space="preserve">.</w:t>
      </w:r>
      <w:r w:rsidDel="00000000" w:rsidR="00000000" w:rsidRPr="00000000">
        <w:rPr>
          <w:rtl w:val="0"/>
        </w:rPr>
      </w:r>
    </w:p>
    <w:p w:rsidR="00000000" w:rsidDel="00000000" w:rsidP="00000000" w:rsidRDefault="00000000" w:rsidRPr="00000000" w14:paraId="00000009">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Despite this, the Church took an increasingly aggressive approach to the ‘issue’ of the Jews, the ultimate goal being to convert as many as possible, and  find a way to segregate the others, controlling how they were perceived and therefore minimizing the day-to-day interactions with Christians.</w:t>
      </w:r>
    </w:p>
    <w:p w:rsidR="00000000" w:rsidDel="00000000" w:rsidP="00000000" w:rsidRDefault="00000000" w:rsidRPr="00000000" w14:paraId="0000000A">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0B">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The Fourth Lateran Council (1215), which was under the leadership of Pope Innocent III, introduced canon laws, dictating that Jews were to be prohibited from appearing publicly during the feast of Passover (especially Good Friday), as well as Passion Sunday. Innocent III also wrote an encyclical (a papal letter sent to all bishops) which stated the following: “</w:t>
      </w:r>
      <w:r w:rsidDel="00000000" w:rsidR="00000000" w:rsidRPr="00000000">
        <w:rPr>
          <w:rFonts w:ascii="Open Sans" w:cs="Open Sans" w:eastAsia="Open Sans" w:hAnsi="Open Sans"/>
          <w:rtl w:val="0"/>
        </w:rPr>
        <w:t xml:space="preserve">However, even though one should not kill the Jews for shedding the blood of Jesus Christ… they must wander the earth until they are filled with shame and are prepared to call on the name of Jesus Christ the Lord”</w:t>
      </w:r>
      <w:r w:rsidDel="00000000" w:rsidR="00000000" w:rsidRPr="00000000">
        <w:rPr>
          <w:rFonts w:ascii="Open Sans" w:cs="Open Sans" w:eastAsia="Open Sans" w:hAnsi="Open Sans"/>
          <w:vertAlign w:val="superscript"/>
        </w:rPr>
        <w:footnoteReference w:customMarkFollows="0" w:id="4"/>
      </w:r>
      <w:r w:rsidDel="00000000" w:rsidR="00000000" w:rsidRPr="00000000">
        <w:rPr>
          <w:rFonts w:ascii="Open Sans" w:cs="Open Sans" w:eastAsia="Open Sans" w:hAnsi="Open Sans"/>
          <w:rtl w:val="0"/>
        </w:rPr>
        <w:t xml:space="preserve">. With this statement, Pope Innocent III acknowledges that it would be wrong to kill the Jews, but condones and even encourages forced conversion and baptism, and ultimately did nothing to protect them from the subsequent attacks led by fellow Christians, in the hopes that this would persuade them to abandon their faith. The council also explicitly vilified Jewish moneylenders for ‘exhausting the financial strength of Christians’</w:t>
      </w:r>
      <w:r w:rsidDel="00000000" w:rsidR="00000000" w:rsidRPr="00000000">
        <w:rPr>
          <w:rFonts w:ascii="Open Sans" w:cs="Open Sans" w:eastAsia="Open Sans" w:hAnsi="Open Sans"/>
          <w:vertAlign w:val="superscript"/>
        </w:rPr>
        <w:footnoteReference w:customMarkFollows="0" w:id="5"/>
      </w:r>
      <w:r w:rsidDel="00000000" w:rsidR="00000000" w:rsidRPr="00000000">
        <w:rPr>
          <w:rFonts w:ascii="Open Sans" w:cs="Open Sans" w:eastAsia="Open Sans" w:hAnsi="Open Sans"/>
          <w:rtl w:val="0"/>
        </w:rPr>
        <w:t xml:space="preserve">.</w:t>
      </w:r>
      <w:r w:rsidDel="00000000" w:rsidR="00000000" w:rsidRPr="00000000">
        <w:rPr>
          <w:rtl w:val="0"/>
        </w:rPr>
      </w:r>
    </w:p>
    <w:p w:rsidR="00000000" w:rsidDel="00000000" w:rsidP="00000000" w:rsidRDefault="00000000" w:rsidRPr="00000000" w14:paraId="0000000C">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0D">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In addition to this, the council also decreed that the Jews were required to dress in a way that distinguished them from Christian members of society, the purpose of doing so primarily being to prevent inter-religious sexual relations. The enforcement of this regulation differed from country to country. For example, in France, Jews were only required to wear a yellow rota (circular) badge</w:t>
      </w:r>
      <w:r w:rsidDel="00000000" w:rsidR="00000000" w:rsidRPr="00000000">
        <w:rPr>
          <w:rFonts w:ascii="Open Sans" w:cs="Open Sans" w:eastAsia="Open Sans" w:hAnsi="Open Sans"/>
          <w:highlight w:val="white"/>
          <w:vertAlign w:val="superscript"/>
        </w:rPr>
        <w:footnoteReference w:customMarkFollows="0" w:id="6"/>
      </w:r>
      <w:r w:rsidDel="00000000" w:rsidR="00000000" w:rsidRPr="00000000">
        <w:rPr>
          <w:rFonts w:ascii="Open Sans" w:cs="Open Sans" w:eastAsia="Open Sans" w:hAnsi="Open Sans"/>
          <w:highlight w:val="white"/>
          <w:rtl w:val="0"/>
        </w:rPr>
        <w:t xml:space="preserve">, and in Germanic countries, the pointed hat was introduced (subsequently known as the Jewish hat), and became a symbol synonymous with Jews in allegorical representations of Judaism, as well as being worn by Jews in everyday life. Interestingly, it is often concluded that it was the Jews themselves who instituted this article of clothing in order to distinguish themselves.</w:t>
      </w:r>
    </w:p>
    <w:p w:rsidR="00000000" w:rsidDel="00000000" w:rsidP="00000000" w:rsidRDefault="00000000" w:rsidRPr="00000000" w14:paraId="0000000E">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A further example of the implementation of distinct clothing is 13th century England, where papal influence was particularly strong, and the recommendations of the Lateran Council had become officially instated on March 30th 1218</w:t>
      </w:r>
      <w:r w:rsidDel="00000000" w:rsidR="00000000" w:rsidRPr="00000000">
        <w:rPr>
          <w:rFonts w:ascii="Open Sans" w:cs="Open Sans" w:eastAsia="Open Sans" w:hAnsi="Open Sans"/>
          <w:highlight w:val="white"/>
          <w:vertAlign w:val="superscript"/>
        </w:rPr>
        <w:footnoteReference w:customMarkFollows="0" w:id="7"/>
      </w:r>
      <w:r w:rsidDel="00000000" w:rsidR="00000000" w:rsidRPr="00000000">
        <w:rPr>
          <w:rFonts w:ascii="Open Sans" w:cs="Open Sans" w:eastAsia="Open Sans" w:hAnsi="Open Sans"/>
          <w:highlight w:val="white"/>
          <w:rtl w:val="0"/>
        </w:rPr>
        <w:t xml:space="preserve">. However, it was not long before the wealthier Jews were able to exempt themselves and entire communities from these regulations via substantial payments, until 1253,  when the obligation to wear a badge was reinstated by Henry III, who insisted the tabula (badge) be worn in a prominent location so that it could be easily seen. In 1275, it was decreed by Edward I that the badge be increased in size, and be made of yellow taffeta, to be worn above the heart of every Jew above the age of seven, and depicting the Tablets of the Law, which was said to symbolize the Old Testament</w:t>
      </w:r>
      <w:r w:rsidDel="00000000" w:rsidR="00000000" w:rsidRPr="00000000">
        <w:rPr>
          <w:rFonts w:ascii="Open Sans" w:cs="Open Sans" w:eastAsia="Open Sans" w:hAnsi="Open Sans"/>
          <w:highlight w:val="white"/>
          <w:vertAlign w:val="superscript"/>
        </w:rPr>
        <w:footnoteReference w:customMarkFollows="0" w:id="8"/>
      </w:r>
      <w:r w:rsidDel="00000000" w:rsidR="00000000" w:rsidRPr="00000000">
        <w:rPr>
          <w:rFonts w:ascii="Open Sans" w:cs="Open Sans" w:eastAsia="Open Sans" w:hAnsi="Open Sans"/>
          <w:highlight w:val="white"/>
          <w:rtl w:val="0"/>
        </w:rPr>
        <w:t xml:space="preserve">. Overall, the decrees made by the Fourth Lateran Council and Pope Innocent III had a significant impact on Jews all over the Christian world, with approximately 1,500 Churchmen endorsing and implementing the proposed changes in their lands</w:t>
      </w:r>
      <w:r w:rsidDel="00000000" w:rsidR="00000000" w:rsidRPr="00000000">
        <w:rPr>
          <w:rFonts w:ascii="Open Sans" w:cs="Open Sans" w:eastAsia="Open Sans" w:hAnsi="Open Sans"/>
          <w:highlight w:val="white"/>
          <w:vertAlign w:val="superscript"/>
        </w:rPr>
        <w:footnoteReference w:customMarkFollows="0" w:id="9"/>
      </w:r>
      <w:r w:rsidDel="00000000" w:rsidR="00000000" w:rsidRPr="00000000">
        <w:rPr>
          <w:rFonts w:ascii="Open Sans" w:cs="Open Sans" w:eastAsia="Open Sans" w:hAnsi="Open Sans"/>
          <w:highlight w:val="white"/>
          <w:rtl w:val="0"/>
        </w:rPr>
        <w:t xml:space="preserve">, representing a marked deterioration in the reputation and attitudes towards Jews.</w:t>
      </w:r>
    </w:p>
    <w:p w:rsidR="00000000" w:rsidDel="00000000" w:rsidP="00000000" w:rsidRDefault="00000000" w:rsidRPr="00000000" w14:paraId="0000000F">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0">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Accusations against the Jews soon began to surface. At first, quotes were taken from the New Testament, that simply reflected the attitudes of the time, particularly the notion that the Jews ‘who killed both the Lord Jesus and the Prophets...they displease God and oppose everyone’ ( 1 Thess 2:15), and one of the more prominent accusations against them was that they were the children of Satan (John 8:44).  Jews were often accused of possessing attributes of both the Devil and witches, and therefore assumed they were performing spells and hexes against the Christians. It is because of this stereotype that Jews were often perceived to have large, crooked noses, misshapen, and ugly faces with horns and the beard of a goat, all combined with a vile and putrid odour (known as foetor judaicus). Additionally, Jews were rumoured to be riddled with malignant diseases that could only be cured with Christian blood</w:t>
      </w:r>
      <w:r w:rsidDel="00000000" w:rsidR="00000000" w:rsidRPr="00000000">
        <w:rPr>
          <w:rFonts w:ascii="Open Sans" w:cs="Open Sans" w:eastAsia="Open Sans" w:hAnsi="Open Sans"/>
          <w:highlight w:val="white"/>
          <w:vertAlign w:val="superscript"/>
        </w:rPr>
        <w:footnoteReference w:customMarkFollows="0" w:id="10"/>
      </w:r>
      <w:r w:rsidDel="00000000" w:rsidR="00000000" w:rsidRPr="00000000">
        <w:rPr>
          <w:rFonts w:ascii="Open Sans" w:cs="Open Sans" w:eastAsia="Open Sans" w:hAnsi="Open Sans"/>
          <w:highlight w:val="white"/>
          <w:rtl w:val="0"/>
        </w:rPr>
        <w:t xml:space="preserve">, which was propagating the idea that Christianity was the solution, or ‘cure’ to Judaism, which was arguably seen as an affliction of European, Christian society. Unfortunately for the Jews, the accusations  would only become more serious as time went on.</w:t>
      </w:r>
    </w:p>
    <w:p w:rsidR="00000000" w:rsidDel="00000000" w:rsidP="00000000" w:rsidRDefault="00000000" w:rsidRPr="00000000" w14:paraId="00000011">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2">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As previously mentioned, Jews in the medieval period were thought to possess the attributes of both the Devil and witches. It is because of this beli</w:t>
      </w:r>
      <w:r w:rsidDel="00000000" w:rsidR="00000000" w:rsidRPr="00000000">
        <w:rPr>
          <w:rFonts w:ascii="Open Sans" w:cs="Open Sans" w:eastAsia="Open Sans" w:hAnsi="Open Sans"/>
          <w:highlight w:val="white"/>
          <w:rtl w:val="0"/>
        </w:rPr>
        <w:t xml:space="preserve">e</w:t>
      </w:r>
      <w:r w:rsidDel="00000000" w:rsidR="00000000" w:rsidRPr="00000000">
        <w:rPr>
          <w:rFonts w:ascii="Open Sans" w:cs="Open Sans" w:eastAsia="Open Sans" w:hAnsi="Open Sans"/>
          <w:highlight w:val="white"/>
          <w:rtl w:val="0"/>
        </w:rPr>
        <w:t xml:space="preserve">f that whenever misfortune struck, the Jews were often the first to be blamed, and there are many examples of this occurring. The first instance take place in 1144 CE in Norwich, England, where a body of a young apprentice was found on the evening of Good Friday, and it had been rumoured that the boy had been a victim of ritual murder by Jews as an imitation of Christ’s passion</w:t>
      </w:r>
      <w:r w:rsidDel="00000000" w:rsidR="00000000" w:rsidRPr="00000000">
        <w:rPr>
          <w:rFonts w:ascii="Open Sans" w:cs="Open Sans" w:eastAsia="Open Sans" w:hAnsi="Open Sans"/>
          <w:highlight w:val="white"/>
          <w:vertAlign w:val="superscript"/>
        </w:rPr>
        <w:footnoteReference w:customMarkFollows="0" w:id="11"/>
      </w:r>
      <w:r w:rsidDel="00000000" w:rsidR="00000000" w:rsidRPr="00000000">
        <w:rPr>
          <w:rFonts w:ascii="Open Sans" w:cs="Open Sans" w:eastAsia="Open Sans" w:hAnsi="Open Sans"/>
          <w:highlight w:val="white"/>
          <w:rtl w:val="0"/>
        </w:rPr>
        <w:t xml:space="preserve">, as well as using the blood to mix into the dough of their unleavened bread. As a result of this, hate crimes against the Jews suddenly increased, with riots breaking out across the country. Rumours continued to circulate about the Jew’s Blood Libels, with the children in question usually either being later found alive and well, or found to be killed by other means. But it was in 1255 (CE) when the Jews were again officially charged with the murder of ‘Saint Hugh the Small’ in Lincoln, where it was said he had been tortured, imprisoned and murdered by the Jews in order to parody the crucifixion. As a result of this, eighteen Jews were killed, attacks on Jewish communities continued, and tensions were running higher than ever, which subsequently led to the expulsion of the Jews from England in 1270 (CE). It is worth noting that it is thought highly probable that the accusations of blood libels had ulterior motives (it most likely the desire to eradicate the Jews they were indebted to, and therefore destroying any evidence that may associate them with this debt)</w:t>
      </w:r>
      <w:r w:rsidDel="00000000" w:rsidR="00000000" w:rsidRPr="00000000">
        <w:rPr>
          <w:rFonts w:ascii="Open Sans" w:cs="Open Sans" w:eastAsia="Open Sans" w:hAnsi="Open Sans"/>
          <w:highlight w:val="white"/>
          <w:vertAlign w:val="superscript"/>
        </w:rPr>
        <w:footnoteReference w:customMarkFollows="0" w:id="12"/>
      </w:r>
      <w:r w:rsidDel="00000000" w:rsidR="00000000" w:rsidRPr="00000000">
        <w:rPr>
          <w:rFonts w:ascii="Open Sans" w:cs="Open Sans" w:eastAsia="Open Sans" w:hAnsi="Open Sans"/>
          <w:highlight w:val="white"/>
          <w:rtl w:val="0"/>
        </w:rPr>
        <w:t xml:space="preserve">. In addition to this, it must be acknowledged that word of Blood Libels spread all across the Christian world, with thirty-eight Jews in Blois being burned at the stake due to similar allegations in 1171 (CE), as well as Bray-sur-Seine  in 1191 (CE) where 100 Jews were also accused of Ritual murder and burned at the stake</w:t>
      </w:r>
      <w:r w:rsidDel="00000000" w:rsidR="00000000" w:rsidRPr="00000000">
        <w:rPr>
          <w:rFonts w:ascii="Open Sans" w:cs="Open Sans" w:eastAsia="Open Sans" w:hAnsi="Open Sans"/>
          <w:highlight w:val="white"/>
          <w:vertAlign w:val="superscript"/>
        </w:rPr>
        <w:footnoteReference w:customMarkFollows="0" w:id="13"/>
      </w:r>
      <w:r w:rsidDel="00000000" w:rsidR="00000000" w:rsidRPr="00000000">
        <w:rPr>
          <w:rFonts w:ascii="Open Sans" w:cs="Open Sans" w:eastAsia="Open Sans" w:hAnsi="Open Sans"/>
          <w:highlight w:val="white"/>
          <w:rtl w:val="0"/>
        </w:rPr>
        <w:t xml:space="preserve">.</w:t>
        <w:br w:type="textWrapping"/>
        <w:br w:type="textWrapping"/>
        <w:t xml:space="preserve">From 1347-1350 (CE), The Black Plague’s devastating effects resulted in the death of one third of Europe’s population. Medieval scholars speculated that the cause of the plague was due to an unfavourable alignment of the planets, as well as the pollution of water and the air</w:t>
      </w:r>
      <w:r w:rsidDel="00000000" w:rsidR="00000000" w:rsidRPr="00000000">
        <w:rPr>
          <w:rFonts w:ascii="Open Sans" w:cs="Open Sans" w:eastAsia="Open Sans" w:hAnsi="Open Sans"/>
          <w:highlight w:val="white"/>
          <w:vertAlign w:val="superscript"/>
        </w:rPr>
        <w:footnoteReference w:customMarkFollows="0" w:id="14"/>
      </w:r>
      <w:r w:rsidDel="00000000" w:rsidR="00000000" w:rsidRPr="00000000">
        <w:rPr>
          <w:rFonts w:ascii="Open Sans" w:cs="Open Sans" w:eastAsia="Open Sans" w:hAnsi="Open Sans"/>
          <w:highlight w:val="white"/>
          <w:rtl w:val="0"/>
        </w:rPr>
        <w:t xml:space="preserve">. Due to the perpetuated stereotypes of Jews being associated with all things evil, dirty and diseased, naturally the people assumed that the Jews were at fault, and rumours began to emerge that it was them who had poisoned the water, which sparked a great deal of violence towards the Jewish communities all over Europe, but the communities in Germany suffered the most, with thousands of Jews being massacred in Colmar, Worms, Oppenheim, Frankfurt and Cologne. Surprisingly, Pope Clement VI (1342-52 CE) issued two papal bulls in 1348, in which he condemned the violence against the Jews and proclaimed that all who blamed the Jews for the plague were seduced by the Devil</w:t>
      </w:r>
      <w:r w:rsidDel="00000000" w:rsidR="00000000" w:rsidRPr="00000000">
        <w:rPr>
          <w:rFonts w:ascii="Open Sans" w:cs="Open Sans" w:eastAsia="Open Sans" w:hAnsi="Open Sans"/>
          <w:highlight w:val="white"/>
          <w:vertAlign w:val="superscript"/>
        </w:rPr>
        <w:footnoteReference w:customMarkFollows="0" w:id="15"/>
      </w:r>
      <w:r w:rsidDel="00000000" w:rsidR="00000000" w:rsidRPr="00000000">
        <w:rPr>
          <w:rFonts w:ascii="Open Sans" w:cs="Open Sans" w:eastAsia="Open Sans" w:hAnsi="Open Sans"/>
          <w:highlight w:val="white"/>
          <w:rtl w:val="0"/>
        </w:rPr>
        <w:t xml:space="preserve">. This was a rare moment of tolerance on behalf of the Catholic Church, but unfortunately it did not have the desired effect, and Jewish communities across Europe were decimated.</w:t>
      </w:r>
      <w:r w:rsidDel="00000000" w:rsidR="00000000" w:rsidRPr="00000000">
        <w:rPr>
          <w:rtl w:val="0"/>
        </w:rPr>
      </w:r>
    </w:p>
    <w:p w:rsidR="00000000" w:rsidDel="00000000" w:rsidP="00000000" w:rsidRDefault="00000000" w:rsidRPr="00000000" w14:paraId="00000013">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4">
      <w:pPr>
        <w:contextualSpacing w:val="0"/>
        <w:rPr>
          <w:rFonts w:ascii="Open Sans" w:cs="Open Sans" w:eastAsia="Open Sans" w:hAnsi="Open Sans"/>
          <w:b w:val="1"/>
          <w:i w:val="1"/>
          <w:highlight w:val="white"/>
          <w:u w:val="single"/>
        </w:rPr>
      </w:pPr>
      <w:r w:rsidDel="00000000" w:rsidR="00000000" w:rsidRPr="00000000">
        <w:rPr>
          <w:rFonts w:ascii="Open Sans" w:cs="Open Sans" w:eastAsia="Open Sans" w:hAnsi="Open Sans"/>
          <w:highlight w:val="white"/>
          <w:rtl w:val="0"/>
        </w:rPr>
        <w:t xml:space="preserve">Medieval Christian a</w:t>
      </w:r>
      <w:r w:rsidDel="00000000" w:rsidR="00000000" w:rsidRPr="00000000">
        <w:rPr>
          <w:rFonts w:ascii="Open Sans" w:cs="Open Sans" w:eastAsia="Open Sans" w:hAnsi="Open Sans"/>
          <w:highlight w:val="white"/>
          <w:rtl w:val="0"/>
        </w:rPr>
        <w:t xml:space="preserve">rt was often utilized to express the anti-jewish sentiments and stereotypes previously mentioned, and can be used to track the steady deterioration of the opinion of the Jews. They are often depicted with pointed hats, beards, with twisted features, hook noses, and interestingly, in many paintings the Jews have replaced the Romans as the ones torturing Christ on the Cross</w:t>
      </w:r>
      <w:r w:rsidDel="00000000" w:rsidR="00000000" w:rsidRPr="00000000">
        <w:rPr>
          <w:rFonts w:ascii="Open Sans" w:cs="Open Sans" w:eastAsia="Open Sans" w:hAnsi="Open Sans"/>
          <w:highlight w:val="white"/>
          <w:vertAlign w:val="superscript"/>
        </w:rPr>
        <w:footnoteReference w:customMarkFollows="0" w:id="16"/>
      </w:r>
      <w:r w:rsidDel="00000000" w:rsidR="00000000" w:rsidRPr="00000000">
        <w:rPr>
          <w:rFonts w:ascii="Open Sans" w:cs="Open Sans" w:eastAsia="Open Sans" w:hAnsi="Open Sans"/>
          <w:highlight w:val="white"/>
          <w:rtl w:val="0"/>
        </w:rPr>
        <w:t xml:space="preserve">, demonstrating the theological viewpoint that  at this period in time, the Jews were held accountable for the death of Jesus. The rumours of Jews performing blood libels were also depicted.However, the inclusion of the Jews in Christian art was not just to promote stereotypes, it also served another purpose. It is speculated that Jews were included in Christian art to demonstrate their blindness to Jesus’s divinity, and also to act as ‘witnesses’ in order to confirm the superiority of Christianity by fulfilling the role of the low status, wretched and scattered Diaspora Jews</w:t>
      </w:r>
      <w:r w:rsidDel="00000000" w:rsidR="00000000" w:rsidRPr="00000000">
        <w:rPr>
          <w:rFonts w:ascii="Open Sans" w:cs="Open Sans" w:eastAsia="Open Sans" w:hAnsi="Open Sans"/>
          <w:highlight w:val="white"/>
          <w:vertAlign w:val="superscript"/>
        </w:rPr>
        <w:footnoteReference w:customMarkFollows="0" w:id="17"/>
      </w:r>
      <w:r w:rsidDel="00000000" w:rsidR="00000000" w:rsidRPr="00000000">
        <w:rPr>
          <w:rFonts w:ascii="Open Sans" w:cs="Open Sans" w:eastAsia="Open Sans" w:hAnsi="Open Sans"/>
          <w:highlight w:val="white"/>
          <w:rtl w:val="0"/>
        </w:rPr>
        <w:t xml:space="preserve">, who are forced to wander as part of God’s punishment to them for being blind to the true Messiah.</w:t>
      </w:r>
      <w:r w:rsidDel="00000000" w:rsidR="00000000" w:rsidRPr="00000000">
        <w:rPr>
          <w:rtl w:val="0"/>
        </w:rPr>
      </w:r>
    </w:p>
    <w:p w:rsidR="00000000" w:rsidDel="00000000" w:rsidP="00000000" w:rsidRDefault="00000000" w:rsidRPr="00000000" w14:paraId="00000015">
      <w:pPr>
        <w:contextualSpacing w:val="0"/>
        <w:rPr>
          <w:rFonts w:ascii="Open Sans" w:cs="Open Sans" w:eastAsia="Open Sans" w:hAnsi="Open Sans"/>
          <w:b w:val="1"/>
          <w:i w:val="1"/>
          <w:highlight w:val="white"/>
          <w:u w:val="single"/>
        </w:rPr>
      </w:pPr>
      <w:r w:rsidDel="00000000" w:rsidR="00000000" w:rsidRPr="00000000">
        <w:rPr>
          <w:rtl w:val="0"/>
        </w:rPr>
      </w:r>
    </w:p>
    <w:p w:rsidR="00000000" w:rsidDel="00000000" w:rsidP="00000000" w:rsidRDefault="00000000" w:rsidRPr="00000000" w14:paraId="00000016">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Architecture was also used to convey the Christian ideology about Judaism,  the most prominent being the symbolic, personified representation of The Church and Synagogue, known as the latin Ecclesia et Synagoga. These became a popular decoration for many medieval churches and cathedrals, particularly France, England and Germany, (with the statues in Strasbourg and Bamberg perhaps being the most well known) and consists of two elegant female figures, (usually placed on the outside of the building). Ecclesia usually stands on the right, has a powerful and confident stance, bearing a cross and a crown on her head, depicting her as a ruler, with her dress falling neatly and orderly at her feet. No part of her appearance communicates anything other than absolute power and strength, which ultimately depicts the status of the Church and Catholicism at the time. In contrast to this image, Synagoga is the embodiment of weakness and uncertainty. While her beauty matches Ecclesia’s, she appears weaker, frail, and overall less elegant. Her stance is usually hunched over, her elbows protruding out, her robes falling at a muddled pile at her feet, giving the illusion that she could trip up on them. She is depicted either with a broken crown falling over her eyes, or with no crown and a blindfold covering her eyes, and holds the Tablets of the Law, which represents the Old Testament,  which is  slipping out of her hands. The blindfold symbolizes the inability of the Jews to recognise Christ as the Messiah, and the presence of the broken crown and her overall awkward and uncertain demeanor demonstrate the Christian view that Judaism had been defeated, and that it was once powerful but is now obsolete and not necessary</w:t>
      </w:r>
      <w:r w:rsidDel="00000000" w:rsidR="00000000" w:rsidRPr="00000000">
        <w:rPr>
          <w:rFonts w:ascii="Open Sans" w:cs="Open Sans" w:eastAsia="Open Sans" w:hAnsi="Open Sans"/>
          <w:highlight w:val="white"/>
          <w:vertAlign w:val="superscript"/>
        </w:rPr>
        <w:footnoteReference w:customMarkFollows="0" w:id="18"/>
      </w:r>
      <w:r w:rsidDel="00000000" w:rsidR="00000000" w:rsidRPr="00000000">
        <w:rPr>
          <w:rFonts w:ascii="Open Sans" w:cs="Open Sans" w:eastAsia="Open Sans" w:hAnsi="Open Sans"/>
          <w:highlight w:val="white"/>
          <w:rtl w:val="0"/>
        </w:rPr>
        <w:t xml:space="preserve">. </w:t>
      </w:r>
    </w:p>
    <w:p w:rsidR="00000000" w:rsidDel="00000000" w:rsidP="00000000" w:rsidRDefault="00000000" w:rsidRPr="00000000" w14:paraId="00000017">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8">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t xml:space="preserve">In conclusion,  It is evident that the Middle Ages represent a crucial time for Jewish-Christian relations, albeit overwhelmingly negative, marking the rise in violent interactions, as well as increasing levels of intolerance amongst the majority of the population, largely due to the stereotypes propagated by the Catholic Church. These stereotypes led to rumours concerning ritual murder and sorcery, resulting in the blaming of Jews for any misfortunes occurring at the time, most notably, the Black Plague. While it is true that the Church did not condone all of the atrocities suffered by the Jews at this time, what can be noted is also the inability of the Church to effectively protect them, or perhaps the overall reluctance to help them because they feared the Jew’s ability to persuade the ’simple’, often  illiterate commoners, leading them to take such extreme actions in the first place. Overall, these events have had a lasting impact on the Jews, particularly the use of stereotypes, which still exist and have been used in more recent times.</w:t>
      </w:r>
    </w:p>
    <w:p w:rsidR="00000000" w:rsidDel="00000000" w:rsidP="00000000" w:rsidRDefault="00000000" w:rsidRPr="00000000" w14:paraId="00000019">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A">
      <w:pPr>
        <w:contextualSpacing w:val="0"/>
        <w:rPr>
          <w:rFonts w:ascii="Times New Roman" w:cs="Times New Roman" w:eastAsia="Times New Roman" w:hAnsi="Times New Roman"/>
          <w:b w:val="1"/>
          <w:color w:val="1d2936"/>
          <w:highlight w:val="white"/>
        </w:rPr>
      </w:pPr>
      <w:r w:rsidDel="00000000" w:rsidR="00000000" w:rsidRPr="00000000">
        <w:rPr>
          <w:rFonts w:ascii="Open Sans" w:cs="Open Sans" w:eastAsia="Open Sans" w:hAnsi="Open Sans"/>
          <w:b w:val="1"/>
          <w:sz w:val="28"/>
          <w:szCs w:val="28"/>
          <w:highlight w:val="white"/>
          <w:u w:val="single"/>
          <w:rtl w:val="0"/>
        </w:rPr>
        <w:br w:type="textWrapping"/>
        <w:br w:type="textWrapping"/>
      </w:r>
      <w:r w:rsidDel="00000000" w:rsidR="00000000" w:rsidRPr="00000000">
        <w:rPr>
          <w:rtl w:val="0"/>
        </w:rPr>
      </w:r>
    </w:p>
    <w:p w:rsidR="00000000" w:rsidDel="00000000" w:rsidP="00000000" w:rsidRDefault="00000000" w:rsidRPr="00000000" w14:paraId="0000001B">
      <w:pPr>
        <w:spacing w:after="220" w:lineRule="auto"/>
        <w:contextualSpacing w:val="0"/>
        <w:rPr>
          <w:rFonts w:ascii="Open Sans" w:cs="Open Sans" w:eastAsia="Open Sans" w:hAnsi="Open Sans"/>
          <w:b w:val="1"/>
          <w:color w:val="1d2936"/>
          <w:highlight w:val="white"/>
          <w:u w:val="single"/>
        </w:rPr>
      </w:pPr>
      <w:r w:rsidDel="00000000" w:rsidR="00000000" w:rsidRPr="00000000">
        <w:rPr>
          <w:rtl w:val="0"/>
        </w:rPr>
      </w:r>
    </w:p>
    <w:p w:rsidR="00000000" w:rsidDel="00000000" w:rsidP="00000000" w:rsidRDefault="00000000" w:rsidRPr="00000000" w14:paraId="0000001C">
      <w:pPr>
        <w:contextualSpacing w:val="0"/>
        <w:rPr>
          <w:rFonts w:ascii="Open Sans" w:cs="Open Sans" w:eastAsia="Open Sans" w:hAnsi="Open Sans"/>
          <w:highlight w:val="white"/>
        </w:rPr>
      </w:pPr>
      <w:r w:rsidDel="00000000" w:rsidR="00000000" w:rsidRPr="00000000">
        <w:rPr>
          <w:rFonts w:ascii="Open Sans" w:cs="Open Sans" w:eastAsia="Open Sans" w:hAnsi="Open Sans"/>
          <w:highlight w:val="white"/>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p>
    <w:p w:rsidR="00000000" w:rsidDel="00000000" w:rsidP="00000000" w:rsidRDefault="00000000" w:rsidRPr="00000000" w14:paraId="0000001D">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E">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1F">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0">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1">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2">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3">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4">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5">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6">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7">
      <w:pPr>
        <w:contextualSpacing w:val="0"/>
        <w:rPr>
          <w:rFonts w:ascii="Open Sans" w:cs="Open Sans" w:eastAsia="Open Sans" w:hAnsi="Open Sans"/>
          <w:b w:val="1"/>
          <w:sz w:val="28"/>
          <w:szCs w:val="28"/>
          <w:highlight w:val="white"/>
        </w:rPr>
      </w:pPr>
      <w:r w:rsidDel="00000000" w:rsidR="00000000" w:rsidRPr="00000000">
        <w:rPr>
          <w:rFonts w:ascii="Open Sans" w:cs="Open Sans" w:eastAsia="Open Sans" w:hAnsi="Open Sans"/>
          <w:b w:val="1"/>
          <w:sz w:val="28"/>
          <w:szCs w:val="28"/>
          <w:highlight w:val="white"/>
          <w:rtl w:val="0"/>
        </w:rPr>
        <w:t xml:space="preserve"> Bibliography</w:t>
      </w:r>
    </w:p>
    <w:p w:rsidR="00000000" w:rsidDel="00000000" w:rsidP="00000000" w:rsidRDefault="00000000" w:rsidRPr="00000000" w14:paraId="00000028">
      <w:pPr>
        <w:contextualSpacing w:val="0"/>
        <w:rPr>
          <w:rFonts w:ascii="Open Sans" w:cs="Open Sans" w:eastAsia="Open Sans" w:hAnsi="Open Sans"/>
          <w:highlight w:val="white"/>
        </w:rPr>
      </w:pPr>
      <w:r w:rsidDel="00000000" w:rsidR="00000000" w:rsidRPr="00000000">
        <w:rPr>
          <w:rtl w:val="0"/>
        </w:rPr>
      </w:r>
    </w:p>
    <w:p w:rsidR="00000000" w:rsidDel="00000000" w:rsidP="00000000" w:rsidRDefault="00000000" w:rsidRPr="00000000" w14:paraId="00000029">
      <w:pPr>
        <w:contextualSpacing w:val="0"/>
        <w:rPr>
          <w:rFonts w:ascii="Open Sans" w:cs="Open Sans" w:eastAsia="Open Sans" w:hAnsi="Open Sans"/>
          <w:b w:val="1"/>
          <w:sz w:val="24"/>
          <w:szCs w:val="24"/>
          <w:highlight w:val="white"/>
        </w:rPr>
      </w:pPr>
      <w:r w:rsidDel="00000000" w:rsidR="00000000" w:rsidRPr="00000000">
        <w:rPr>
          <w:rFonts w:ascii="Open Sans" w:cs="Open Sans" w:eastAsia="Open Sans" w:hAnsi="Open Sans"/>
          <w:b w:val="1"/>
          <w:sz w:val="24"/>
          <w:szCs w:val="24"/>
          <w:highlight w:val="white"/>
          <w:rtl w:val="0"/>
        </w:rPr>
        <w:t xml:space="preserve">Books:</w:t>
      </w:r>
    </w:p>
    <w:p w:rsidR="00000000" w:rsidDel="00000000" w:rsidP="00000000" w:rsidRDefault="00000000" w:rsidRPr="00000000" w14:paraId="0000002A">
      <w:pPr>
        <w:contextualSpacing w:val="0"/>
        <w:rPr>
          <w:sz w:val="18"/>
          <w:szCs w:val="18"/>
          <w:highlight w:val="white"/>
        </w:rPr>
      </w:pPr>
      <w:r w:rsidDel="00000000" w:rsidR="00000000" w:rsidRPr="00000000">
        <w:rPr>
          <w:sz w:val="18"/>
          <w:szCs w:val="18"/>
          <w:highlight w:val="white"/>
          <w:rtl w:val="0"/>
        </w:rPr>
        <w:t xml:space="preserve">Cohen, Mark </w:t>
      </w:r>
      <w:r w:rsidDel="00000000" w:rsidR="00000000" w:rsidRPr="00000000">
        <w:rPr>
          <w:i w:val="1"/>
          <w:sz w:val="18"/>
          <w:szCs w:val="18"/>
          <w:highlight w:val="white"/>
          <w:rtl w:val="0"/>
        </w:rPr>
        <w:t xml:space="preserve">Under Crescent and Cross </w:t>
      </w:r>
      <w:r w:rsidDel="00000000" w:rsidR="00000000" w:rsidRPr="00000000">
        <w:rPr>
          <w:sz w:val="18"/>
          <w:szCs w:val="18"/>
          <w:highlight w:val="white"/>
          <w:rtl w:val="0"/>
        </w:rPr>
        <w:t xml:space="preserve">Princeton University Press, Oxford, UK (1994)</w:t>
      </w:r>
    </w:p>
    <w:p w:rsidR="00000000" w:rsidDel="00000000" w:rsidP="00000000" w:rsidRDefault="00000000" w:rsidRPr="00000000" w14:paraId="0000002B">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2C">
      <w:pPr>
        <w:spacing w:line="240" w:lineRule="auto"/>
        <w:contextualSpacing w:val="0"/>
        <w:rPr>
          <w:sz w:val="18"/>
          <w:szCs w:val="18"/>
        </w:rPr>
      </w:pPr>
      <w:r w:rsidDel="00000000" w:rsidR="00000000" w:rsidRPr="00000000">
        <w:rPr>
          <w:sz w:val="18"/>
          <w:szCs w:val="18"/>
          <w:rtl w:val="0"/>
        </w:rPr>
        <w:t xml:space="preserve">Cohn-Sherbok, Dan </w:t>
      </w:r>
      <w:r w:rsidDel="00000000" w:rsidR="00000000" w:rsidRPr="00000000">
        <w:rPr>
          <w:i w:val="1"/>
          <w:sz w:val="18"/>
          <w:szCs w:val="18"/>
          <w:rtl w:val="0"/>
        </w:rPr>
        <w:t xml:space="preserve">The Crucified Jew: Twenty Centuries of Christian Anti-Semitism </w:t>
      </w:r>
      <w:r w:rsidDel="00000000" w:rsidR="00000000" w:rsidRPr="00000000">
        <w:rPr>
          <w:sz w:val="18"/>
          <w:szCs w:val="18"/>
          <w:rtl w:val="0"/>
        </w:rPr>
        <w:t xml:space="preserve">Fount, 1st edition, UK (1993)</w:t>
      </w:r>
    </w:p>
    <w:p w:rsidR="00000000" w:rsidDel="00000000" w:rsidP="00000000" w:rsidRDefault="00000000" w:rsidRPr="00000000" w14:paraId="0000002D">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2E">
      <w:pPr>
        <w:spacing w:line="240" w:lineRule="auto"/>
        <w:contextualSpacing w:val="0"/>
        <w:rPr>
          <w:sz w:val="18"/>
          <w:szCs w:val="18"/>
        </w:rPr>
      </w:pPr>
      <w:r w:rsidDel="00000000" w:rsidR="00000000" w:rsidRPr="00000000">
        <w:rPr>
          <w:sz w:val="18"/>
          <w:szCs w:val="18"/>
          <w:rtl w:val="0"/>
        </w:rPr>
        <w:t xml:space="preserve">Dahan, Gilbert </w:t>
      </w:r>
      <w:r w:rsidDel="00000000" w:rsidR="00000000" w:rsidRPr="00000000">
        <w:rPr>
          <w:i w:val="1"/>
          <w:sz w:val="18"/>
          <w:szCs w:val="18"/>
          <w:rtl w:val="0"/>
        </w:rPr>
        <w:t xml:space="preserve">The Christian Polemic Against the Jews in the Middle Ages </w:t>
      </w:r>
      <w:r w:rsidDel="00000000" w:rsidR="00000000" w:rsidRPr="00000000">
        <w:rPr>
          <w:sz w:val="18"/>
          <w:szCs w:val="18"/>
          <w:rtl w:val="0"/>
        </w:rPr>
        <w:t xml:space="preserve">English edition, University of Notre Dame Press, USA (1998)</w:t>
      </w:r>
    </w:p>
    <w:p w:rsidR="00000000" w:rsidDel="00000000" w:rsidP="00000000" w:rsidRDefault="00000000" w:rsidRPr="00000000" w14:paraId="0000002F">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30">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31">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32">
      <w:pPr>
        <w:spacing w:line="240" w:lineRule="auto"/>
        <w:contextualSpacing w:val="0"/>
        <w:rPr>
          <w:sz w:val="18"/>
          <w:szCs w:val="18"/>
        </w:rPr>
      </w:pPr>
      <w:r w:rsidDel="00000000" w:rsidR="00000000" w:rsidRPr="00000000">
        <w:rPr>
          <w:sz w:val="18"/>
          <w:szCs w:val="18"/>
          <w:rtl w:val="0"/>
        </w:rPr>
        <w:t xml:space="preserve">Watt, A.J “The Crusades and The Persecution of the Jews” in </w:t>
      </w:r>
      <w:r w:rsidDel="00000000" w:rsidR="00000000" w:rsidRPr="00000000">
        <w:rPr>
          <w:i w:val="1"/>
          <w:sz w:val="18"/>
          <w:szCs w:val="18"/>
          <w:rtl w:val="0"/>
        </w:rPr>
        <w:t xml:space="preserve">The Medieval World </w:t>
      </w:r>
      <w:r w:rsidDel="00000000" w:rsidR="00000000" w:rsidRPr="00000000">
        <w:rPr>
          <w:sz w:val="18"/>
          <w:szCs w:val="18"/>
          <w:rtl w:val="0"/>
        </w:rPr>
        <w:t xml:space="preserve">Ed. by Peter Linehan and Janet L. Nelson Routledge, 2nd edition, UK (2018)</w:t>
      </w:r>
    </w:p>
    <w:p w:rsidR="00000000" w:rsidDel="00000000" w:rsidP="00000000" w:rsidRDefault="00000000" w:rsidRPr="00000000" w14:paraId="00000033">
      <w:pPr>
        <w:contextualSpacing w:val="0"/>
        <w:rPr>
          <w:rFonts w:ascii="Open Sans" w:cs="Open Sans" w:eastAsia="Open Sans" w:hAnsi="Open Sans"/>
          <w:sz w:val="18"/>
          <w:szCs w:val="18"/>
          <w:highlight w:val="white"/>
        </w:rPr>
      </w:pPr>
      <w:r w:rsidDel="00000000" w:rsidR="00000000" w:rsidRPr="00000000">
        <w:rPr>
          <w:rtl w:val="0"/>
        </w:rPr>
      </w:r>
    </w:p>
    <w:p w:rsidR="00000000" w:rsidDel="00000000" w:rsidP="00000000" w:rsidRDefault="00000000" w:rsidRPr="00000000" w14:paraId="00000034">
      <w:pPr>
        <w:contextualSpacing w:val="0"/>
        <w:rPr>
          <w:rFonts w:ascii="Open Sans" w:cs="Open Sans" w:eastAsia="Open Sans" w:hAnsi="Open Sans"/>
          <w:sz w:val="18"/>
          <w:szCs w:val="18"/>
          <w:highlight w:val="white"/>
        </w:rPr>
      </w:pPr>
      <w:r w:rsidDel="00000000" w:rsidR="00000000" w:rsidRPr="00000000">
        <w:rPr>
          <w:rtl w:val="0"/>
        </w:rPr>
      </w:r>
    </w:p>
    <w:p w:rsidR="00000000" w:rsidDel="00000000" w:rsidP="00000000" w:rsidRDefault="00000000" w:rsidRPr="00000000" w14:paraId="00000035">
      <w:pPr>
        <w:contextualSpacing w:val="0"/>
        <w:rPr>
          <w:sz w:val="18"/>
          <w:szCs w:val="18"/>
        </w:rPr>
      </w:pPr>
      <w:r w:rsidDel="00000000" w:rsidR="00000000" w:rsidRPr="00000000">
        <w:rPr>
          <w:rFonts w:ascii="Open Sans" w:cs="Open Sans" w:eastAsia="Open Sans" w:hAnsi="Open Sans"/>
          <w:b w:val="1"/>
          <w:sz w:val="24"/>
          <w:szCs w:val="24"/>
          <w:highlight w:val="white"/>
          <w:rtl w:val="0"/>
        </w:rPr>
        <w:t xml:space="preserve">Websites:</w:t>
      </w:r>
      <w:r w:rsidDel="00000000" w:rsidR="00000000" w:rsidRPr="00000000">
        <w:rPr>
          <w:rFonts w:ascii="Open Sans" w:cs="Open Sans" w:eastAsia="Open Sans" w:hAnsi="Open Sans"/>
          <w:sz w:val="18"/>
          <w:szCs w:val="18"/>
          <w:highlight w:val="white"/>
          <w:rtl w:val="0"/>
        </w:rPr>
        <w:br w:type="textWrapping"/>
      </w:r>
      <w:r w:rsidDel="00000000" w:rsidR="00000000" w:rsidRPr="00000000">
        <w:rPr>
          <w:sz w:val="18"/>
          <w:szCs w:val="18"/>
          <w:rtl w:val="0"/>
        </w:rPr>
        <w:t xml:space="preserve">Chazan, Robert: </w:t>
      </w:r>
      <w:r w:rsidDel="00000000" w:rsidR="00000000" w:rsidRPr="00000000">
        <w:rPr>
          <w:i w:val="1"/>
          <w:sz w:val="18"/>
          <w:szCs w:val="18"/>
          <w:rtl w:val="0"/>
        </w:rPr>
        <w:t xml:space="preserve">Why Medieval Art is so Unflattering to Jews </w:t>
      </w:r>
      <w:r w:rsidDel="00000000" w:rsidR="00000000" w:rsidRPr="00000000">
        <w:rPr>
          <w:sz w:val="18"/>
          <w:szCs w:val="18"/>
          <w:rtl w:val="0"/>
        </w:rPr>
        <w:t xml:space="preserve">Schmooze, April 2015</w:t>
      </w:r>
    </w:p>
    <w:p w:rsidR="00000000" w:rsidDel="00000000" w:rsidP="00000000" w:rsidRDefault="00000000" w:rsidRPr="00000000" w14:paraId="00000036">
      <w:pPr>
        <w:spacing w:line="240" w:lineRule="auto"/>
        <w:contextualSpacing w:val="0"/>
        <w:rPr>
          <w:sz w:val="18"/>
          <w:szCs w:val="18"/>
        </w:rPr>
      </w:pPr>
      <w:r w:rsidDel="00000000" w:rsidR="00000000" w:rsidRPr="00000000">
        <w:rPr>
          <w:sz w:val="18"/>
          <w:szCs w:val="18"/>
          <w:rtl w:val="0"/>
        </w:rPr>
        <w:t xml:space="preserve">Date Accessed: 22/04/18</w:t>
      </w:r>
    </w:p>
    <w:p w:rsidR="00000000" w:rsidDel="00000000" w:rsidP="00000000" w:rsidRDefault="00000000" w:rsidRPr="00000000" w14:paraId="00000037">
      <w:pPr>
        <w:contextualSpacing w:val="0"/>
        <w:rPr>
          <w:sz w:val="18"/>
          <w:szCs w:val="18"/>
        </w:rPr>
      </w:pPr>
      <w:hyperlink r:id="rId7">
        <w:r w:rsidDel="00000000" w:rsidR="00000000" w:rsidRPr="00000000">
          <w:rPr>
            <w:color w:val="1155cc"/>
            <w:sz w:val="18"/>
            <w:szCs w:val="18"/>
            <w:u w:val="single"/>
            <w:rtl w:val="0"/>
          </w:rPr>
          <w:t xml:space="preserve">https://forward.com/schmooze/218198/why-medieval-art-is-so-unflattering-to-jews/</w:t>
        </w:r>
      </w:hyperlink>
      <w:r w:rsidDel="00000000" w:rsidR="00000000" w:rsidRPr="00000000">
        <w:rPr>
          <w:sz w:val="18"/>
          <w:szCs w:val="18"/>
          <w:rtl w:val="0"/>
        </w:rPr>
        <w:t xml:space="preserve"> </w:t>
      </w:r>
    </w:p>
    <w:p w:rsidR="00000000" w:rsidDel="00000000" w:rsidP="00000000" w:rsidRDefault="00000000" w:rsidRPr="00000000" w14:paraId="00000038">
      <w:pPr>
        <w:contextualSpacing w:val="0"/>
        <w:rPr>
          <w:sz w:val="18"/>
          <w:szCs w:val="18"/>
        </w:rPr>
      </w:pPr>
      <w:r w:rsidDel="00000000" w:rsidR="00000000" w:rsidRPr="00000000">
        <w:rPr>
          <w:rtl w:val="0"/>
        </w:rPr>
      </w:r>
    </w:p>
    <w:p w:rsidR="00000000" w:rsidDel="00000000" w:rsidP="00000000" w:rsidRDefault="00000000" w:rsidRPr="00000000" w14:paraId="00000039">
      <w:pPr>
        <w:spacing w:line="240" w:lineRule="auto"/>
        <w:contextualSpacing w:val="0"/>
        <w:rPr>
          <w:sz w:val="18"/>
          <w:szCs w:val="18"/>
          <w:highlight w:val="white"/>
        </w:rPr>
      </w:pPr>
      <w:r w:rsidDel="00000000" w:rsidR="00000000" w:rsidRPr="00000000">
        <w:rPr>
          <w:sz w:val="18"/>
          <w:szCs w:val="18"/>
          <w:highlight w:val="white"/>
          <w:rtl w:val="0"/>
        </w:rPr>
        <w:t xml:space="preserve"> Grayzel, Solomon</w:t>
      </w:r>
      <w:r w:rsidDel="00000000" w:rsidR="00000000" w:rsidRPr="00000000">
        <w:rPr>
          <w:i w:val="1"/>
          <w:sz w:val="18"/>
          <w:szCs w:val="18"/>
          <w:highlight w:val="white"/>
          <w:rtl w:val="0"/>
        </w:rPr>
        <w:t xml:space="preserve"> The Church and the Jews in the XIIIth Century – A Study of Their Relations during the</w:t>
      </w:r>
      <w:r w:rsidDel="00000000" w:rsidR="00000000" w:rsidRPr="00000000">
        <w:rPr>
          <w:i w:val="1"/>
          <w:sz w:val="18"/>
          <w:szCs w:val="18"/>
          <w:highlight w:val="white"/>
          <w:rtl w:val="0"/>
        </w:rPr>
        <w:t xml:space="preserve"> Y</w:t>
      </w:r>
      <w:r w:rsidDel="00000000" w:rsidR="00000000" w:rsidRPr="00000000">
        <w:rPr>
          <w:i w:val="1"/>
          <w:sz w:val="18"/>
          <w:szCs w:val="18"/>
          <w:highlight w:val="white"/>
          <w:rtl w:val="0"/>
        </w:rPr>
        <w:t xml:space="preserve">ears 1198-1254</w:t>
      </w:r>
      <w:r w:rsidDel="00000000" w:rsidR="00000000" w:rsidRPr="00000000">
        <w:rPr>
          <w:sz w:val="18"/>
          <w:szCs w:val="18"/>
          <w:highlight w:val="white"/>
          <w:rtl w:val="0"/>
        </w:rPr>
        <w:t xml:space="preserve">(New York: Hermon Press, 1966), p. 95 </w:t>
      </w:r>
    </w:p>
    <w:p w:rsidR="00000000" w:rsidDel="00000000" w:rsidP="00000000" w:rsidRDefault="00000000" w:rsidRPr="00000000" w14:paraId="0000003A">
      <w:pPr>
        <w:spacing w:line="240" w:lineRule="auto"/>
        <w:contextualSpacing w:val="0"/>
        <w:rPr>
          <w:sz w:val="18"/>
          <w:szCs w:val="18"/>
          <w:highlight w:val="white"/>
        </w:rPr>
      </w:pPr>
      <w:r w:rsidDel="00000000" w:rsidR="00000000" w:rsidRPr="00000000">
        <w:rPr>
          <w:sz w:val="18"/>
          <w:szCs w:val="18"/>
          <w:highlight w:val="white"/>
          <w:rtl w:val="0"/>
        </w:rPr>
        <w:t xml:space="preserve">Date Accessed: 22/04/18</w:t>
      </w:r>
    </w:p>
    <w:p w:rsidR="00000000" w:rsidDel="00000000" w:rsidP="00000000" w:rsidRDefault="00000000" w:rsidRPr="00000000" w14:paraId="0000003B">
      <w:pPr>
        <w:spacing w:line="240" w:lineRule="auto"/>
        <w:contextualSpacing w:val="0"/>
        <w:rPr>
          <w:sz w:val="18"/>
          <w:szCs w:val="18"/>
          <w:highlight w:val="white"/>
        </w:rPr>
      </w:pPr>
      <w:hyperlink r:id="rId8">
        <w:r w:rsidDel="00000000" w:rsidR="00000000" w:rsidRPr="00000000">
          <w:rPr>
            <w:color w:val="1155cc"/>
            <w:sz w:val="18"/>
            <w:szCs w:val="18"/>
            <w:highlight w:val="white"/>
            <w:u w:val="single"/>
            <w:rtl w:val="0"/>
          </w:rPr>
          <w:t xml:space="preserve">https://babel.hathitrust.org/cgi/pt?id=uc1.32106017471241;view=1up;seq=108</w:t>
        </w:r>
      </w:hyperlink>
      <w:r w:rsidDel="00000000" w:rsidR="00000000" w:rsidRPr="00000000">
        <w:rPr>
          <w:sz w:val="18"/>
          <w:szCs w:val="18"/>
          <w:highlight w:val="white"/>
          <w:rtl w:val="0"/>
        </w:rPr>
        <w:t xml:space="preserve"> </w:t>
      </w:r>
    </w:p>
    <w:p w:rsidR="00000000" w:rsidDel="00000000" w:rsidP="00000000" w:rsidRDefault="00000000" w:rsidRPr="00000000" w14:paraId="0000003C">
      <w:pPr>
        <w:spacing w:line="240" w:lineRule="auto"/>
        <w:contextualSpacing w:val="0"/>
        <w:rPr>
          <w:sz w:val="18"/>
          <w:szCs w:val="18"/>
          <w:highlight w:val="white"/>
        </w:rPr>
      </w:pPr>
      <w:r w:rsidDel="00000000" w:rsidR="00000000" w:rsidRPr="00000000">
        <w:rPr>
          <w:rtl w:val="0"/>
        </w:rPr>
      </w:r>
    </w:p>
    <w:p w:rsidR="00000000" w:rsidDel="00000000" w:rsidP="00000000" w:rsidRDefault="00000000" w:rsidRPr="00000000" w14:paraId="0000003D">
      <w:pPr>
        <w:spacing w:line="240" w:lineRule="auto"/>
        <w:contextualSpacing w:val="0"/>
        <w:rPr>
          <w:i w:val="1"/>
          <w:sz w:val="18"/>
          <w:szCs w:val="18"/>
          <w:highlight w:val="white"/>
        </w:rPr>
      </w:pPr>
      <w:r w:rsidDel="00000000" w:rsidR="00000000" w:rsidRPr="00000000">
        <w:rPr>
          <w:sz w:val="18"/>
          <w:szCs w:val="18"/>
          <w:highlight w:val="white"/>
          <w:rtl w:val="0"/>
        </w:rPr>
        <w:t xml:space="preserve">History.com, </w:t>
      </w:r>
      <w:r w:rsidDel="00000000" w:rsidR="00000000" w:rsidRPr="00000000">
        <w:rPr>
          <w:i w:val="1"/>
          <w:sz w:val="18"/>
          <w:szCs w:val="18"/>
          <w:highlight w:val="white"/>
          <w:rtl w:val="0"/>
        </w:rPr>
        <w:t xml:space="preserve">The Crusades, 2010</w:t>
      </w:r>
    </w:p>
    <w:p w:rsidR="00000000" w:rsidDel="00000000" w:rsidP="00000000" w:rsidRDefault="00000000" w:rsidRPr="00000000" w14:paraId="0000003E">
      <w:pPr>
        <w:spacing w:line="240" w:lineRule="auto"/>
        <w:contextualSpacing w:val="0"/>
        <w:rPr>
          <w:sz w:val="18"/>
          <w:szCs w:val="18"/>
          <w:highlight w:val="white"/>
        </w:rPr>
      </w:pPr>
      <w:r w:rsidDel="00000000" w:rsidR="00000000" w:rsidRPr="00000000">
        <w:rPr>
          <w:sz w:val="18"/>
          <w:szCs w:val="18"/>
          <w:highlight w:val="white"/>
          <w:rtl w:val="0"/>
        </w:rPr>
        <w:t xml:space="preserve">Date Accessed:21/04/18</w:t>
      </w:r>
    </w:p>
    <w:p w:rsidR="00000000" w:rsidDel="00000000" w:rsidP="00000000" w:rsidRDefault="00000000" w:rsidRPr="00000000" w14:paraId="0000003F">
      <w:pPr>
        <w:spacing w:line="240" w:lineRule="auto"/>
        <w:contextualSpacing w:val="0"/>
        <w:rPr>
          <w:sz w:val="18"/>
          <w:szCs w:val="18"/>
          <w:highlight w:val="white"/>
        </w:rPr>
      </w:pPr>
      <w:hyperlink r:id="rId9">
        <w:r w:rsidDel="00000000" w:rsidR="00000000" w:rsidRPr="00000000">
          <w:rPr>
            <w:color w:val="1155cc"/>
            <w:sz w:val="18"/>
            <w:szCs w:val="18"/>
            <w:u w:val="single"/>
            <w:rtl w:val="0"/>
          </w:rPr>
          <w:t xml:space="preserve">https://www.history.com/topics/crusades</w:t>
        </w:r>
      </w:hyperlink>
      <w:r w:rsidDel="00000000" w:rsidR="00000000" w:rsidRPr="00000000">
        <w:rPr>
          <w:sz w:val="18"/>
          <w:szCs w:val="18"/>
          <w:rtl w:val="0"/>
        </w:rPr>
        <w:t xml:space="preserve"> </w:t>
      </w:r>
      <w:r w:rsidDel="00000000" w:rsidR="00000000" w:rsidRPr="00000000">
        <w:rPr>
          <w:rtl w:val="0"/>
        </w:rPr>
      </w:r>
    </w:p>
    <w:p w:rsidR="00000000" w:rsidDel="00000000" w:rsidP="00000000" w:rsidRDefault="00000000" w:rsidRPr="00000000" w14:paraId="00000040">
      <w:pPr>
        <w:contextualSpacing w:val="0"/>
        <w:rPr>
          <w:sz w:val="18"/>
          <w:szCs w:val="18"/>
        </w:rPr>
      </w:pPr>
      <w:r w:rsidDel="00000000" w:rsidR="00000000" w:rsidRPr="00000000">
        <w:rPr>
          <w:rFonts w:ascii="Open Sans" w:cs="Open Sans" w:eastAsia="Open Sans" w:hAnsi="Open Sans"/>
          <w:sz w:val="18"/>
          <w:szCs w:val="18"/>
          <w:highlight w:val="white"/>
          <w:rtl w:val="0"/>
        </w:rPr>
        <w:br w:type="textWrapping"/>
      </w:r>
      <w:r w:rsidDel="00000000" w:rsidR="00000000" w:rsidRPr="00000000">
        <w:rPr>
          <w:sz w:val="18"/>
          <w:szCs w:val="18"/>
          <w:rtl w:val="0"/>
        </w:rPr>
        <w:t xml:space="preserve"> Jarrett, Jonathan: </w:t>
      </w:r>
      <w:r w:rsidDel="00000000" w:rsidR="00000000" w:rsidRPr="00000000">
        <w:rPr>
          <w:i w:val="1"/>
          <w:sz w:val="18"/>
          <w:szCs w:val="18"/>
          <w:rtl w:val="0"/>
        </w:rPr>
        <w:t xml:space="preserve">A Corner of 10th Century Europe</w:t>
      </w:r>
      <w:r w:rsidDel="00000000" w:rsidR="00000000" w:rsidRPr="00000000">
        <w:rPr>
          <w:sz w:val="18"/>
          <w:szCs w:val="18"/>
          <w:rtl w:val="0"/>
        </w:rPr>
        <w:t xml:space="preserve">, October 2014</w:t>
      </w:r>
    </w:p>
    <w:p w:rsidR="00000000" w:rsidDel="00000000" w:rsidP="00000000" w:rsidRDefault="00000000" w:rsidRPr="00000000" w14:paraId="00000041">
      <w:pPr>
        <w:contextualSpacing w:val="0"/>
        <w:rPr>
          <w:sz w:val="18"/>
          <w:szCs w:val="18"/>
        </w:rPr>
      </w:pPr>
      <w:r w:rsidDel="00000000" w:rsidR="00000000" w:rsidRPr="00000000">
        <w:rPr>
          <w:sz w:val="18"/>
          <w:szCs w:val="18"/>
          <w:rtl w:val="0"/>
        </w:rPr>
        <w:t xml:space="preserve">Date Accessed: 21/04/18</w:t>
      </w:r>
    </w:p>
    <w:p w:rsidR="00000000" w:rsidDel="00000000" w:rsidP="00000000" w:rsidRDefault="00000000" w:rsidRPr="00000000" w14:paraId="00000042">
      <w:pPr>
        <w:contextualSpacing w:val="0"/>
        <w:rPr>
          <w:sz w:val="18"/>
          <w:szCs w:val="18"/>
        </w:rPr>
      </w:pPr>
      <w:hyperlink r:id="rId10">
        <w:r w:rsidDel="00000000" w:rsidR="00000000" w:rsidRPr="00000000">
          <w:rPr>
            <w:color w:val="1155cc"/>
            <w:sz w:val="18"/>
            <w:szCs w:val="18"/>
            <w:u w:val="single"/>
            <w:rtl w:val="0"/>
          </w:rPr>
          <w:t xml:space="preserve">https://tenthmedieval.wordpress.com/2014/10/10/seminar-cxli-jews-in-western-art-before-during-and-after-the-1160s/</w:t>
        </w:r>
      </w:hyperlink>
      <w:r w:rsidDel="00000000" w:rsidR="00000000" w:rsidRPr="00000000">
        <w:rPr>
          <w:sz w:val="18"/>
          <w:szCs w:val="18"/>
          <w:rtl w:val="0"/>
        </w:rPr>
        <w:t xml:space="preserve"> </w:t>
      </w:r>
    </w:p>
    <w:p w:rsidR="00000000" w:rsidDel="00000000" w:rsidP="00000000" w:rsidRDefault="00000000" w:rsidRPr="00000000" w14:paraId="00000043">
      <w:pPr>
        <w:contextualSpacing w:val="0"/>
        <w:rPr>
          <w:rFonts w:ascii="Open Sans" w:cs="Open Sans" w:eastAsia="Open Sans" w:hAnsi="Open Sans"/>
          <w:sz w:val="18"/>
          <w:szCs w:val="18"/>
          <w:highlight w:val="white"/>
        </w:rPr>
      </w:pPr>
      <w:r w:rsidDel="00000000" w:rsidR="00000000" w:rsidRPr="00000000">
        <w:rPr>
          <w:rtl w:val="0"/>
        </w:rPr>
      </w:r>
    </w:p>
    <w:p w:rsidR="00000000" w:rsidDel="00000000" w:rsidP="00000000" w:rsidRDefault="00000000" w:rsidRPr="00000000" w14:paraId="00000044">
      <w:pPr>
        <w:contextualSpacing w:val="0"/>
        <w:rPr>
          <w:sz w:val="18"/>
          <w:szCs w:val="18"/>
          <w:highlight w:val="white"/>
        </w:rPr>
      </w:pPr>
      <w:r w:rsidDel="00000000" w:rsidR="00000000" w:rsidRPr="00000000">
        <w:rPr>
          <w:sz w:val="18"/>
          <w:szCs w:val="18"/>
          <w:highlight w:val="white"/>
          <w:rtl w:val="0"/>
        </w:rPr>
        <w:t xml:space="preserve">Levy, Joshua: </w:t>
      </w:r>
      <w:r w:rsidDel="00000000" w:rsidR="00000000" w:rsidRPr="00000000">
        <w:rPr>
          <w:i w:val="1"/>
          <w:sz w:val="18"/>
          <w:szCs w:val="18"/>
          <w:highlight w:val="white"/>
          <w:rtl w:val="0"/>
        </w:rPr>
        <w:t xml:space="preserve">How the Crusades Medieval Jews in Europe and Palestine, </w:t>
      </w:r>
      <w:r w:rsidDel="00000000" w:rsidR="00000000" w:rsidRPr="00000000">
        <w:rPr>
          <w:sz w:val="18"/>
          <w:szCs w:val="18"/>
          <w:highlight w:val="white"/>
          <w:rtl w:val="0"/>
        </w:rPr>
        <w:t xml:space="preserve">My Jewish Learning, 2014</w:t>
      </w:r>
    </w:p>
    <w:p w:rsidR="00000000" w:rsidDel="00000000" w:rsidP="00000000" w:rsidRDefault="00000000" w:rsidRPr="00000000" w14:paraId="00000045">
      <w:pPr>
        <w:contextualSpacing w:val="0"/>
        <w:rPr>
          <w:rFonts w:ascii="Open Sans" w:cs="Open Sans" w:eastAsia="Open Sans" w:hAnsi="Open Sans"/>
          <w:sz w:val="18"/>
          <w:szCs w:val="18"/>
          <w:highlight w:val="white"/>
        </w:rPr>
      </w:pPr>
      <w:r w:rsidDel="00000000" w:rsidR="00000000" w:rsidRPr="00000000">
        <w:rPr>
          <w:sz w:val="18"/>
          <w:szCs w:val="18"/>
          <w:highlight w:val="white"/>
          <w:rtl w:val="0"/>
        </w:rPr>
        <w:t xml:space="preserve">Date Accessed: 21/04/18</w:t>
        <w:br w:type="textWrapping"/>
      </w:r>
      <w:hyperlink r:id="rId11">
        <w:r w:rsidDel="00000000" w:rsidR="00000000" w:rsidRPr="00000000">
          <w:rPr>
            <w:color w:val="1155cc"/>
            <w:sz w:val="18"/>
            <w:szCs w:val="18"/>
            <w:highlight w:val="white"/>
            <w:u w:val="single"/>
            <w:rtl w:val="0"/>
          </w:rPr>
          <w:t xml:space="preserve">https://www.myjewishlearning.com/article/the-crusades/</w:t>
        </w:r>
      </w:hyperlink>
      <w:r w:rsidDel="00000000" w:rsidR="00000000" w:rsidRPr="00000000">
        <w:rPr>
          <w:sz w:val="18"/>
          <w:szCs w:val="18"/>
          <w:highlight w:val="white"/>
          <w:rtl w:val="0"/>
        </w:rPr>
        <w:t xml:space="preserve"> </w:t>
      </w:r>
      <w:r w:rsidDel="00000000" w:rsidR="00000000" w:rsidRPr="00000000">
        <w:rPr>
          <w:rFonts w:ascii="Open Sans" w:cs="Open Sans" w:eastAsia="Open Sans" w:hAnsi="Open Sans"/>
          <w:sz w:val="18"/>
          <w:szCs w:val="18"/>
          <w:highlight w:val="white"/>
          <w:rtl w:val="0"/>
        </w:rPr>
        <w:br w:type="textWrapping"/>
      </w:r>
    </w:p>
    <w:p w:rsidR="00000000" w:rsidDel="00000000" w:rsidP="00000000" w:rsidRDefault="00000000" w:rsidRPr="00000000" w14:paraId="00000046">
      <w:pPr>
        <w:spacing w:line="240" w:lineRule="auto"/>
        <w:contextualSpacing w:val="0"/>
        <w:rPr>
          <w:sz w:val="18"/>
          <w:szCs w:val="18"/>
        </w:rPr>
      </w:pPr>
      <w:r w:rsidDel="00000000" w:rsidR="00000000" w:rsidRPr="00000000">
        <w:rPr>
          <w:sz w:val="18"/>
          <w:szCs w:val="18"/>
          <w:rtl w:val="0"/>
        </w:rPr>
        <w:t xml:space="preserve"> Palomino, Michael: </w:t>
      </w:r>
      <w:r w:rsidDel="00000000" w:rsidR="00000000" w:rsidRPr="00000000">
        <w:rPr>
          <w:i w:val="1"/>
          <w:sz w:val="18"/>
          <w:szCs w:val="18"/>
          <w:rtl w:val="0"/>
        </w:rPr>
        <w:t xml:space="preserve">Clothing Laws for Jews in the Middle Ages,</w:t>
      </w:r>
      <w:r w:rsidDel="00000000" w:rsidR="00000000" w:rsidRPr="00000000">
        <w:rPr>
          <w:sz w:val="18"/>
          <w:szCs w:val="18"/>
          <w:rtl w:val="0"/>
        </w:rPr>
        <w:t xml:space="preserve"> Encyclopedia Judaica</w:t>
      </w:r>
      <w:r w:rsidDel="00000000" w:rsidR="00000000" w:rsidRPr="00000000">
        <w:rPr>
          <w:sz w:val="18"/>
          <w:szCs w:val="18"/>
          <w:rtl w:val="0"/>
        </w:rPr>
        <w:t xml:space="preserve"> (2007) </w:t>
      </w:r>
    </w:p>
    <w:p w:rsidR="00000000" w:rsidDel="00000000" w:rsidP="00000000" w:rsidRDefault="00000000" w:rsidRPr="00000000" w14:paraId="00000047">
      <w:pPr>
        <w:spacing w:line="240" w:lineRule="auto"/>
        <w:contextualSpacing w:val="0"/>
        <w:rPr>
          <w:sz w:val="18"/>
          <w:szCs w:val="18"/>
        </w:rPr>
      </w:pPr>
      <w:r w:rsidDel="00000000" w:rsidR="00000000" w:rsidRPr="00000000">
        <w:rPr>
          <w:sz w:val="18"/>
          <w:szCs w:val="18"/>
          <w:rtl w:val="0"/>
        </w:rPr>
        <w:t xml:space="preserve">Date Accessed: 21/04/17</w:t>
      </w:r>
    </w:p>
    <w:p w:rsidR="00000000" w:rsidDel="00000000" w:rsidP="00000000" w:rsidRDefault="00000000" w:rsidRPr="00000000" w14:paraId="00000048">
      <w:pPr>
        <w:spacing w:line="240" w:lineRule="auto"/>
        <w:contextualSpacing w:val="0"/>
        <w:rPr>
          <w:rFonts w:ascii="Open Sans" w:cs="Open Sans" w:eastAsia="Open Sans" w:hAnsi="Open Sans"/>
          <w:sz w:val="18"/>
          <w:szCs w:val="18"/>
          <w:highlight w:val="white"/>
        </w:rPr>
      </w:pPr>
      <w:hyperlink r:id="rId12">
        <w:r w:rsidDel="00000000" w:rsidR="00000000" w:rsidRPr="00000000">
          <w:rPr>
            <w:color w:val="1155cc"/>
            <w:sz w:val="18"/>
            <w:szCs w:val="18"/>
            <w:u w:val="single"/>
            <w:rtl w:val="0"/>
          </w:rPr>
          <w:t xml:space="preserve">http://www.hist-chron.com/MA/judentum-EncJud_judenfleck-u-judenhut-im-MA-ENGL.html</w:t>
        </w:r>
      </w:hyperlink>
      <w:r w:rsidDel="00000000" w:rsidR="00000000" w:rsidRPr="00000000">
        <w:rPr>
          <w:sz w:val="18"/>
          <w:szCs w:val="18"/>
          <w:rtl w:val="0"/>
        </w:rPr>
        <w:t xml:space="preserve"> </w:t>
      </w:r>
      <w:r w:rsidDel="00000000" w:rsidR="00000000" w:rsidRPr="00000000">
        <w:rPr>
          <w:rtl w:val="0"/>
        </w:rPr>
      </w:r>
    </w:p>
    <w:p w:rsidR="00000000" w:rsidDel="00000000" w:rsidP="00000000" w:rsidRDefault="00000000" w:rsidRPr="00000000" w14:paraId="00000049">
      <w:pPr>
        <w:contextualSpacing w:val="0"/>
        <w:rPr>
          <w:sz w:val="18"/>
          <w:szCs w:val="18"/>
          <w:highlight w:val="white"/>
        </w:rPr>
      </w:pPr>
      <w:r w:rsidDel="00000000" w:rsidR="00000000" w:rsidRPr="00000000">
        <w:rPr>
          <w:rFonts w:ascii="Open Sans" w:cs="Open Sans" w:eastAsia="Open Sans" w:hAnsi="Open Sans"/>
          <w:sz w:val="18"/>
          <w:szCs w:val="18"/>
          <w:highlight w:val="white"/>
          <w:rtl w:val="0"/>
        </w:rPr>
        <w:br w:type="textWrapping"/>
      </w:r>
      <w:r w:rsidDel="00000000" w:rsidR="00000000" w:rsidRPr="00000000">
        <w:rPr>
          <w:sz w:val="18"/>
          <w:szCs w:val="18"/>
          <w:highlight w:val="white"/>
          <w:rtl w:val="0"/>
        </w:rPr>
        <w:t xml:space="preserve">Starr, Bernard: </w:t>
      </w:r>
      <w:r w:rsidDel="00000000" w:rsidR="00000000" w:rsidRPr="00000000">
        <w:rPr>
          <w:i w:val="1"/>
          <w:sz w:val="18"/>
          <w:szCs w:val="18"/>
          <w:highlight w:val="white"/>
          <w:rtl w:val="0"/>
        </w:rPr>
        <w:t xml:space="preserve">The Five Stages of Anti-Semitism in Art, </w:t>
      </w:r>
      <w:r w:rsidDel="00000000" w:rsidR="00000000" w:rsidRPr="00000000">
        <w:rPr>
          <w:sz w:val="18"/>
          <w:szCs w:val="18"/>
          <w:highlight w:val="white"/>
          <w:rtl w:val="0"/>
        </w:rPr>
        <w:t xml:space="preserve">Huffington Post, 2017</w:t>
      </w:r>
    </w:p>
    <w:p w:rsidR="00000000" w:rsidDel="00000000" w:rsidP="00000000" w:rsidRDefault="00000000" w:rsidRPr="00000000" w14:paraId="0000004A">
      <w:pPr>
        <w:contextualSpacing w:val="0"/>
        <w:rPr>
          <w:sz w:val="18"/>
          <w:szCs w:val="18"/>
          <w:highlight w:val="white"/>
        </w:rPr>
      </w:pPr>
      <w:r w:rsidDel="00000000" w:rsidR="00000000" w:rsidRPr="00000000">
        <w:rPr>
          <w:sz w:val="18"/>
          <w:szCs w:val="18"/>
          <w:highlight w:val="white"/>
          <w:rtl w:val="0"/>
        </w:rPr>
        <w:t xml:space="preserve">Date Accessed: 20/04/18</w:t>
      </w:r>
    </w:p>
    <w:p w:rsidR="00000000" w:rsidDel="00000000" w:rsidP="00000000" w:rsidRDefault="00000000" w:rsidRPr="00000000" w14:paraId="0000004B">
      <w:pPr>
        <w:contextualSpacing w:val="0"/>
        <w:rPr>
          <w:rFonts w:ascii="Open Sans" w:cs="Open Sans" w:eastAsia="Open Sans" w:hAnsi="Open Sans"/>
          <w:sz w:val="18"/>
          <w:szCs w:val="18"/>
          <w:highlight w:val="white"/>
        </w:rPr>
      </w:pPr>
      <w:hyperlink r:id="rId13">
        <w:r w:rsidDel="00000000" w:rsidR="00000000" w:rsidRPr="00000000">
          <w:rPr>
            <w:rFonts w:ascii="Open Sans" w:cs="Open Sans" w:eastAsia="Open Sans" w:hAnsi="Open Sans"/>
            <w:color w:val="1155cc"/>
            <w:sz w:val="18"/>
            <w:szCs w:val="18"/>
            <w:highlight w:val="white"/>
            <w:u w:val="single"/>
            <w:rtl w:val="0"/>
          </w:rPr>
          <w:t xml:space="preserve">https://www.huffingtonpost.com/bernard-starr/five-stages-of-anti-semit_b_6707728.html</w:t>
        </w:r>
      </w:hyperlink>
      <w:r w:rsidDel="00000000" w:rsidR="00000000" w:rsidRPr="00000000">
        <w:rPr>
          <w:rFonts w:ascii="Open Sans" w:cs="Open Sans" w:eastAsia="Open Sans" w:hAnsi="Open Sans"/>
          <w:sz w:val="18"/>
          <w:szCs w:val="18"/>
          <w:highlight w:val="white"/>
          <w:rtl w:val="0"/>
        </w:rPr>
        <w:t xml:space="preserve"> </w:t>
      </w:r>
    </w:p>
    <w:p w:rsidR="00000000" w:rsidDel="00000000" w:rsidP="00000000" w:rsidRDefault="00000000" w:rsidRPr="00000000" w14:paraId="0000004C">
      <w:pPr>
        <w:contextualSpacing w:val="0"/>
        <w:rPr>
          <w:rFonts w:ascii="Open Sans" w:cs="Open Sans" w:eastAsia="Open Sans" w:hAnsi="Open Sans"/>
          <w:sz w:val="18"/>
          <w:szCs w:val="18"/>
          <w:highlight w:val="white"/>
        </w:rPr>
      </w:pPr>
      <w:r w:rsidDel="00000000" w:rsidR="00000000" w:rsidRPr="00000000">
        <w:rPr>
          <w:rtl w:val="0"/>
        </w:rPr>
      </w:r>
    </w:p>
    <w:p w:rsidR="00000000" w:rsidDel="00000000" w:rsidP="00000000" w:rsidRDefault="00000000" w:rsidRPr="00000000" w14:paraId="0000004D">
      <w:pPr>
        <w:contextualSpacing w:val="0"/>
        <w:rPr>
          <w:rFonts w:ascii="Open Sans" w:cs="Open Sans" w:eastAsia="Open Sans" w:hAnsi="Open Sans"/>
          <w:sz w:val="18"/>
          <w:szCs w:val="18"/>
          <w:highlight w:val="white"/>
          <w:u w:val="single"/>
        </w:rPr>
      </w:pPr>
      <w:r w:rsidDel="00000000" w:rsidR="00000000" w:rsidRPr="00000000">
        <w:rPr>
          <w:rtl w:val="0"/>
        </w:rPr>
      </w:r>
    </w:p>
    <w:p w:rsidR="00000000" w:rsidDel="00000000" w:rsidP="00000000" w:rsidRDefault="00000000" w:rsidRPr="00000000" w14:paraId="0000004E">
      <w:pPr>
        <w:spacing w:line="240" w:lineRule="auto"/>
        <w:contextualSpacing w:val="0"/>
        <w:rPr>
          <w:sz w:val="18"/>
          <w:szCs w:val="18"/>
        </w:rPr>
      </w:pPr>
      <w:r w:rsidDel="00000000" w:rsidR="00000000" w:rsidRPr="00000000">
        <w:rPr>
          <w:sz w:val="18"/>
          <w:szCs w:val="18"/>
          <w:rtl w:val="0"/>
        </w:rPr>
        <w:t xml:space="preserve"> Rosenau, Helen:  </w:t>
      </w:r>
      <w:r w:rsidDel="00000000" w:rsidR="00000000" w:rsidRPr="00000000">
        <w:rPr>
          <w:i w:val="1"/>
          <w:sz w:val="18"/>
          <w:szCs w:val="18"/>
          <w:rtl w:val="0"/>
        </w:rPr>
        <w:t xml:space="preserve">Ecclesia et Synagoga </w:t>
      </w:r>
      <w:r w:rsidDel="00000000" w:rsidR="00000000" w:rsidRPr="00000000">
        <w:rPr>
          <w:sz w:val="18"/>
          <w:szCs w:val="18"/>
          <w:rtl w:val="0"/>
        </w:rPr>
        <w:t xml:space="preserve">Jewish Virtual Library, 2008</w:t>
      </w:r>
    </w:p>
    <w:p w:rsidR="00000000" w:rsidDel="00000000" w:rsidP="00000000" w:rsidRDefault="00000000" w:rsidRPr="00000000" w14:paraId="0000004F">
      <w:pPr>
        <w:spacing w:line="240" w:lineRule="auto"/>
        <w:contextualSpacing w:val="0"/>
        <w:rPr>
          <w:sz w:val="18"/>
          <w:szCs w:val="18"/>
        </w:rPr>
      </w:pPr>
      <w:r w:rsidDel="00000000" w:rsidR="00000000" w:rsidRPr="00000000">
        <w:rPr>
          <w:sz w:val="18"/>
          <w:szCs w:val="18"/>
          <w:rtl w:val="0"/>
        </w:rPr>
        <w:t xml:space="preserve">Date Accessed: 21/04/18</w:t>
      </w:r>
      <w:r w:rsidDel="00000000" w:rsidR="00000000" w:rsidRPr="00000000">
        <w:rPr>
          <w:i w:val="1"/>
          <w:sz w:val="18"/>
          <w:szCs w:val="18"/>
          <w:rtl w:val="0"/>
        </w:rPr>
        <w:br w:type="textWrapping"/>
      </w:r>
      <w:hyperlink r:id="rId14">
        <w:r w:rsidDel="00000000" w:rsidR="00000000" w:rsidRPr="00000000">
          <w:rPr>
            <w:color w:val="1155cc"/>
            <w:sz w:val="18"/>
            <w:szCs w:val="18"/>
            <w:u w:val="single"/>
            <w:rtl w:val="0"/>
          </w:rPr>
          <w:t xml:space="preserve">http://www.jewishvirtuallibrary.org/ecclesia-et-synagoga</w:t>
        </w:r>
      </w:hyperlink>
      <w:r w:rsidDel="00000000" w:rsidR="00000000" w:rsidRPr="00000000">
        <w:rPr>
          <w:sz w:val="18"/>
          <w:szCs w:val="18"/>
          <w:rtl w:val="0"/>
        </w:rPr>
        <w:t xml:space="preserve"> </w:t>
      </w:r>
    </w:p>
    <w:p w:rsidR="00000000" w:rsidDel="00000000" w:rsidP="00000000" w:rsidRDefault="00000000" w:rsidRPr="00000000" w14:paraId="00000050">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51">
      <w:pPr>
        <w:spacing w:line="240" w:lineRule="auto"/>
        <w:contextualSpacing w:val="0"/>
        <w:rPr>
          <w:sz w:val="18"/>
          <w:szCs w:val="18"/>
        </w:rPr>
      </w:pPr>
      <w:r w:rsidDel="00000000" w:rsidR="00000000" w:rsidRPr="00000000">
        <w:rPr>
          <w:rtl w:val="0"/>
        </w:rPr>
      </w:r>
    </w:p>
    <w:p w:rsidR="00000000" w:rsidDel="00000000" w:rsidP="00000000" w:rsidRDefault="00000000" w:rsidRPr="00000000" w14:paraId="00000052">
      <w:pPr>
        <w:spacing w:line="240" w:lineRule="auto"/>
        <w:contextualSpacing w:val="0"/>
        <w:rPr>
          <w:sz w:val="18"/>
          <w:szCs w:val="18"/>
        </w:rPr>
      </w:pPr>
      <w:r w:rsidDel="00000000" w:rsidR="00000000" w:rsidRPr="00000000">
        <w:rPr>
          <w:sz w:val="18"/>
          <w:szCs w:val="18"/>
          <w:rtl w:val="0"/>
        </w:rPr>
        <w:t xml:space="preserve">Valjak,Domagoj: </w:t>
      </w:r>
      <w:r w:rsidDel="00000000" w:rsidR="00000000" w:rsidRPr="00000000">
        <w:rPr>
          <w:i w:val="1"/>
          <w:sz w:val="18"/>
          <w:szCs w:val="18"/>
          <w:rtl w:val="0"/>
        </w:rPr>
        <w:t xml:space="preserve">Pope Clement VI: The Generous and Progressive Pope </w:t>
      </w:r>
      <w:r w:rsidDel="00000000" w:rsidR="00000000" w:rsidRPr="00000000">
        <w:rPr>
          <w:sz w:val="18"/>
          <w:szCs w:val="18"/>
          <w:rtl w:val="0"/>
        </w:rPr>
        <w:t xml:space="preserve">Vintage News, March 2017</w:t>
      </w:r>
    </w:p>
    <w:p w:rsidR="00000000" w:rsidDel="00000000" w:rsidP="00000000" w:rsidRDefault="00000000" w:rsidRPr="00000000" w14:paraId="00000053">
      <w:pPr>
        <w:spacing w:line="240" w:lineRule="auto"/>
        <w:contextualSpacing w:val="0"/>
        <w:rPr>
          <w:rFonts w:ascii="Open Sans" w:cs="Open Sans" w:eastAsia="Open Sans" w:hAnsi="Open Sans"/>
          <w:sz w:val="18"/>
          <w:szCs w:val="18"/>
          <w:highlight w:val="white"/>
          <w:u w:val="single"/>
        </w:rPr>
      </w:pPr>
      <w:r w:rsidDel="00000000" w:rsidR="00000000" w:rsidRPr="00000000">
        <w:rPr>
          <w:sz w:val="18"/>
          <w:szCs w:val="18"/>
          <w:rtl w:val="0"/>
        </w:rPr>
        <w:t xml:space="preserve">Date Accessed: 22/04/18</w:t>
      </w:r>
      <w:r w:rsidDel="00000000" w:rsidR="00000000" w:rsidRPr="00000000">
        <w:rPr>
          <w:sz w:val="18"/>
          <w:szCs w:val="18"/>
          <w:rtl w:val="0"/>
        </w:rPr>
        <w:br w:type="textWrapping"/>
      </w:r>
      <w:hyperlink r:id="rId15">
        <w:r w:rsidDel="00000000" w:rsidR="00000000" w:rsidRPr="00000000">
          <w:rPr>
            <w:color w:val="1155cc"/>
            <w:sz w:val="18"/>
            <w:szCs w:val="18"/>
            <w:u w:val="single"/>
            <w:rtl w:val="0"/>
          </w:rPr>
          <w:t xml:space="preserve">https://www.thevintagenews.com/2017/03/03/pope-clement-vi-the-generous-and-progressive-pope-who-granted-remission-of-sins-to-all-people-who-died-of-the-plague/</w:t>
        </w:r>
      </w:hyperlink>
      <w:r w:rsidDel="00000000" w:rsidR="00000000" w:rsidRPr="00000000">
        <w:rPr>
          <w:sz w:val="18"/>
          <w:szCs w:val="18"/>
          <w:rtl w:val="0"/>
        </w:rPr>
        <w:t xml:space="preserve"> </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5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Dahan, Gilbert </w:t>
      </w:r>
      <w:r w:rsidDel="00000000" w:rsidR="00000000" w:rsidRPr="00000000">
        <w:rPr>
          <w:i w:val="1"/>
          <w:sz w:val="20"/>
          <w:szCs w:val="20"/>
          <w:rtl w:val="0"/>
        </w:rPr>
        <w:t xml:space="preserve">The Christian Polemic Against the Jews in the Middle Ages </w:t>
      </w:r>
      <w:r w:rsidDel="00000000" w:rsidR="00000000" w:rsidRPr="00000000">
        <w:rPr>
          <w:sz w:val="20"/>
          <w:szCs w:val="20"/>
          <w:rtl w:val="0"/>
        </w:rPr>
        <w:t xml:space="preserve">English edition, University of Notre Dame Press, USA (1998) pg 28</w:t>
      </w:r>
    </w:p>
  </w:footnote>
  <w:footnote w:id="4">
    <w:p w:rsidR="00000000" w:rsidDel="00000000" w:rsidP="00000000" w:rsidRDefault="00000000" w:rsidRPr="00000000" w14:paraId="00000055">
      <w:pPr>
        <w:spacing w:line="240" w:lineRule="auto"/>
        <w:contextualSpacing w:val="0"/>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 Grayzel, Solomon</w:t>
      </w:r>
      <w:r w:rsidDel="00000000" w:rsidR="00000000" w:rsidRPr="00000000">
        <w:rPr>
          <w:i w:val="1"/>
          <w:sz w:val="20"/>
          <w:szCs w:val="20"/>
          <w:highlight w:val="white"/>
          <w:rtl w:val="0"/>
        </w:rPr>
        <w:t xml:space="preserve"> The Church and the Jews in the XIIIth Century – A Study of Their Relations during the Years 1198-1254</w:t>
      </w:r>
      <w:r w:rsidDel="00000000" w:rsidR="00000000" w:rsidRPr="00000000">
        <w:rPr>
          <w:sz w:val="20"/>
          <w:szCs w:val="20"/>
          <w:highlight w:val="white"/>
          <w:rtl w:val="0"/>
        </w:rPr>
        <w:t xml:space="preserve">(New York: Hermon Press, 1966), p. 95 </w:t>
      </w:r>
    </w:p>
    <w:p w:rsidR="00000000" w:rsidDel="00000000" w:rsidP="00000000" w:rsidRDefault="00000000" w:rsidRPr="00000000" w14:paraId="00000056">
      <w:pPr>
        <w:spacing w:line="240" w:lineRule="auto"/>
        <w:contextualSpacing w:val="0"/>
        <w:rPr>
          <w:rFonts w:ascii="Verdana" w:cs="Verdana" w:eastAsia="Verdana" w:hAnsi="Verdana"/>
          <w:sz w:val="18"/>
          <w:szCs w:val="18"/>
          <w:highlight w:val="white"/>
        </w:rPr>
      </w:pPr>
      <w:hyperlink r:id="rId1">
        <w:r w:rsidDel="00000000" w:rsidR="00000000" w:rsidRPr="00000000">
          <w:rPr>
            <w:color w:val="1155cc"/>
            <w:sz w:val="20"/>
            <w:szCs w:val="20"/>
            <w:highlight w:val="white"/>
            <w:u w:val="single"/>
            <w:rtl w:val="0"/>
          </w:rPr>
          <w:t xml:space="preserve">https://babel.hathitrust.org/cgi/pt?id=uc1.32106017471241;view=1up;seq=108</w:t>
        </w:r>
      </w:hyperlink>
      <w:r w:rsidDel="00000000" w:rsidR="00000000" w:rsidRPr="00000000">
        <w:rPr>
          <w:sz w:val="20"/>
          <w:szCs w:val="20"/>
          <w:highlight w:val="white"/>
          <w:rtl w:val="0"/>
        </w:rPr>
        <w:t xml:space="preserve"> </w:t>
      </w:r>
      <w:r w:rsidDel="00000000" w:rsidR="00000000" w:rsidRPr="00000000">
        <w:rPr>
          <w:rtl w:val="0"/>
        </w:rPr>
      </w:r>
    </w:p>
  </w:footnote>
  <w:footnote w:id="7">
    <w:p w:rsidR="00000000" w:rsidDel="00000000" w:rsidP="00000000" w:rsidRDefault="00000000" w:rsidRPr="00000000" w14:paraId="0000005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Palomino, Michael: </w:t>
      </w:r>
      <w:r w:rsidDel="00000000" w:rsidR="00000000" w:rsidRPr="00000000">
        <w:rPr>
          <w:i w:val="1"/>
          <w:sz w:val="20"/>
          <w:szCs w:val="20"/>
          <w:rtl w:val="0"/>
        </w:rPr>
        <w:t xml:space="preserve">Clothing Laws for Jews in the Middle Ages,</w:t>
      </w:r>
      <w:r w:rsidDel="00000000" w:rsidR="00000000" w:rsidRPr="00000000">
        <w:rPr>
          <w:sz w:val="20"/>
          <w:szCs w:val="20"/>
          <w:rtl w:val="0"/>
        </w:rPr>
        <w:t xml:space="preserve"> Encyclopedia Judaica (2007) </w:t>
      </w:r>
    </w:p>
    <w:p w:rsidR="00000000" w:rsidDel="00000000" w:rsidP="00000000" w:rsidRDefault="00000000" w:rsidRPr="00000000" w14:paraId="00000058">
      <w:pPr>
        <w:spacing w:line="240" w:lineRule="auto"/>
        <w:contextualSpacing w:val="0"/>
        <w:rPr>
          <w:sz w:val="20"/>
          <w:szCs w:val="20"/>
        </w:rPr>
      </w:pPr>
      <w:hyperlink r:id="rId2">
        <w:r w:rsidDel="00000000" w:rsidR="00000000" w:rsidRPr="00000000">
          <w:rPr>
            <w:color w:val="1155cc"/>
            <w:sz w:val="20"/>
            <w:szCs w:val="20"/>
            <w:u w:val="single"/>
            <w:rtl w:val="0"/>
          </w:rPr>
          <w:t xml:space="preserve">http://www.hist-chron.com/MA/judentum-EncJud_judenfleck-u-judenhut-im-MA-ENGL.html</w:t>
        </w:r>
      </w:hyperlink>
      <w:r w:rsidDel="00000000" w:rsidR="00000000" w:rsidRPr="00000000">
        <w:rPr>
          <w:sz w:val="20"/>
          <w:szCs w:val="20"/>
          <w:rtl w:val="0"/>
        </w:rPr>
        <w:t xml:space="preserve"> </w:t>
      </w:r>
    </w:p>
    <w:p w:rsidR="00000000" w:rsidDel="00000000" w:rsidP="00000000" w:rsidRDefault="00000000" w:rsidRPr="00000000" w14:paraId="00000059">
      <w:pPr>
        <w:spacing w:line="240" w:lineRule="auto"/>
        <w:contextualSpacing w:val="0"/>
        <w:rPr>
          <w:sz w:val="20"/>
          <w:szCs w:val="20"/>
        </w:rPr>
      </w:pPr>
      <w:r w:rsidDel="00000000" w:rsidR="00000000" w:rsidRPr="00000000">
        <w:rPr>
          <w:rtl w:val="0"/>
        </w:rPr>
      </w:r>
    </w:p>
  </w:footnote>
  <w:footnote w:id="8">
    <w:p w:rsidR="00000000" w:rsidDel="00000000" w:rsidP="00000000" w:rsidRDefault="00000000" w:rsidRPr="00000000" w14:paraId="0000005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Palomino, Michael: </w:t>
      </w:r>
      <w:r w:rsidDel="00000000" w:rsidR="00000000" w:rsidRPr="00000000">
        <w:rPr>
          <w:i w:val="1"/>
          <w:sz w:val="20"/>
          <w:szCs w:val="20"/>
          <w:rtl w:val="0"/>
        </w:rPr>
        <w:t xml:space="preserve">Clothing Laws for Jews in the Middle Ages,</w:t>
      </w:r>
      <w:r w:rsidDel="00000000" w:rsidR="00000000" w:rsidRPr="00000000">
        <w:rPr>
          <w:sz w:val="20"/>
          <w:szCs w:val="20"/>
          <w:rtl w:val="0"/>
        </w:rPr>
        <w:t xml:space="preserve"> Encyclopedia Judaica (2007) </w:t>
      </w:r>
    </w:p>
    <w:p w:rsidR="00000000" w:rsidDel="00000000" w:rsidP="00000000" w:rsidRDefault="00000000" w:rsidRPr="00000000" w14:paraId="0000005B">
      <w:pPr>
        <w:spacing w:line="240" w:lineRule="auto"/>
        <w:contextualSpacing w:val="0"/>
        <w:rPr>
          <w:sz w:val="20"/>
          <w:szCs w:val="20"/>
        </w:rPr>
      </w:pPr>
      <w:hyperlink r:id="rId3">
        <w:r w:rsidDel="00000000" w:rsidR="00000000" w:rsidRPr="00000000">
          <w:rPr>
            <w:color w:val="1155cc"/>
            <w:sz w:val="20"/>
            <w:szCs w:val="20"/>
            <w:u w:val="single"/>
            <w:rtl w:val="0"/>
          </w:rPr>
          <w:t xml:space="preserve">http://www.hist-chron.com/MA/judentum-EncJud_judenfleck-u-judenhut-im-MA-ENGL.html</w:t>
        </w:r>
      </w:hyperlink>
      <w:r w:rsidDel="00000000" w:rsidR="00000000" w:rsidRPr="00000000">
        <w:rPr>
          <w:sz w:val="20"/>
          <w:szCs w:val="20"/>
          <w:rtl w:val="0"/>
        </w:rPr>
        <w:t xml:space="preserve"> </w:t>
      </w:r>
    </w:p>
  </w:footnote>
  <w:footnote w:id="6">
    <w:p w:rsidR="00000000" w:rsidDel="00000000" w:rsidP="00000000" w:rsidRDefault="00000000" w:rsidRPr="00000000" w14:paraId="0000005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Cohn-Sherbok, Dan </w:t>
      </w:r>
      <w:r w:rsidDel="00000000" w:rsidR="00000000" w:rsidRPr="00000000">
        <w:rPr>
          <w:i w:val="1"/>
          <w:sz w:val="20"/>
          <w:szCs w:val="20"/>
          <w:rtl w:val="0"/>
        </w:rPr>
        <w:t xml:space="preserve">The Crucified Jew: Twenty Centuries of Christian Anti-Semitism </w:t>
      </w:r>
      <w:r w:rsidDel="00000000" w:rsidR="00000000" w:rsidRPr="00000000">
        <w:rPr>
          <w:sz w:val="20"/>
          <w:szCs w:val="20"/>
          <w:rtl w:val="0"/>
        </w:rPr>
        <w:t xml:space="preserve">Fount, 1st edition, UK (1993) pg 45</w:t>
      </w:r>
    </w:p>
  </w:footnote>
  <w:footnote w:id="18">
    <w:p w:rsidR="00000000" w:rsidDel="00000000" w:rsidP="00000000" w:rsidRDefault="00000000" w:rsidRPr="00000000" w14:paraId="0000005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Rosenau, Helen:  </w:t>
      </w:r>
      <w:r w:rsidDel="00000000" w:rsidR="00000000" w:rsidRPr="00000000">
        <w:rPr>
          <w:i w:val="1"/>
          <w:sz w:val="20"/>
          <w:szCs w:val="20"/>
          <w:rtl w:val="0"/>
        </w:rPr>
        <w:t xml:space="preserve">Ecclesia et Synagoga </w:t>
      </w:r>
      <w:r w:rsidDel="00000000" w:rsidR="00000000" w:rsidRPr="00000000">
        <w:rPr>
          <w:sz w:val="20"/>
          <w:szCs w:val="20"/>
          <w:rtl w:val="0"/>
        </w:rPr>
        <w:t xml:space="preserve">Jewish Virtual Library, 2008</w:t>
      </w:r>
      <w:r w:rsidDel="00000000" w:rsidR="00000000" w:rsidRPr="00000000">
        <w:rPr>
          <w:i w:val="1"/>
          <w:sz w:val="20"/>
          <w:szCs w:val="20"/>
          <w:rtl w:val="0"/>
        </w:rPr>
        <w:br w:type="textWrapping"/>
      </w:r>
      <w:hyperlink r:id="rId4">
        <w:r w:rsidDel="00000000" w:rsidR="00000000" w:rsidRPr="00000000">
          <w:rPr>
            <w:color w:val="1155cc"/>
            <w:sz w:val="20"/>
            <w:szCs w:val="20"/>
            <w:u w:val="single"/>
            <w:rtl w:val="0"/>
          </w:rPr>
          <w:t xml:space="preserve">http://www.jewishvirtuallibrary.org/ecclesia-et-synagoga</w:t>
        </w:r>
      </w:hyperlink>
      <w:r w:rsidDel="00000000" w:rsidR="00000000" w:rsidRPr="00000000">
        <w:rPr>
          <w:sz w:val="20"/>
          <w:szCs w:val="20"/>
          <w:rtl w:val="0"/>
        </w:rPr>
        <w:t xml:space="preserve"> </w:t>
      </w:r>
    </w:p>
  </w:footnote>
  <w:footnote w:id="10">
    <w:p w:rsidR="00000000" w:rsidDel="00000000" w:rsidP="00000000" w:rsidRDefault="00000000" w:rsidRPr="00000000" w14:paraId="0000005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Cohn-Sherbok</w:t>
      </w:r>
      <w:r w:rsidDel="00000000" w:rsidR="00000000" w:rsidRPr="00000000">
        <w:rPr>
          <w:i w:val="1"/>
          <w:sz w:val="20"/>
          <w:szCs w:val="20"/>
          <w:rtl w:val="0"/>
        </w:rPr>
        <w:t xml:space="preserve"> The Crucified Jew </w:t>
      </w:r>
      <w:r w:rsidDel="00000000" w:rsidR="00000000" w:rsidRPr="00000000">
        <w:rPr>
          <w:sz w:val="20"/>
          <w:szCs w:val="20"/>
          <w:rtl w:val="0"/>
        </w:rPr>
        <w:t xml:space="preserve">1st edition (1993) Pg 55</w:t>
      </w:r>
    </w:p>
  </w:footnote>
  <w:footnote w:id="17">
    <w:p w:rsidR="00000000" w:rsidDel="00000000" w:rsidP="00000000" w:rsidRDefault="00000000" w:rsidRPr="00000000" w14:paraId="0000005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Chazan, Robert: </w:t>
      </w:r>
      <w:r w:rsidDel="00000000" w:rsidR="00000000" w:rsidRPr="00000000">
        <w:rPr>
          <w:i w:val="1"/>
          <w:sz w:val="20"/>
          <w:szCs w:val="20"/>
          <w:rtl w:val="0"/>
        </w:rPr>
        <w:t xml:space="preserve">Why Medieval Art is so Unflattering to Jews </w:t>
      </w:r>
      <w:r w:rsidDel="00000000" w:rsidR="00000000" w:rsidRPr="00000000">
        <w:rPr>
          <w:sz w:val="20"/>
          <w:szCs w:val="20"/>
          <w:rtl w:val="0"/>
        </w:rPr>
        <w:t xml:space="preserve">Schmooze, April 2015</w:t>
      </w:r>
    </w:p>
    <w:p w:rsidR="00000000" w:rsidDel="00000000" w:rsidP="00000000" w:rsidRDefault="00000000" w:rsidRPr="00000000" w14:paraId="00000060">
      <w:pPr>
        <w:spacing w:line="240" w:lineRule="auto"/>
        <w:contextualSpacing w:val="0"/>
        <w:rPr>
          <w:sz w:val="20"/>
          <w:szCs w:val="20"/>
        </w:rPr>
      </w:pPr>
      <w:r w:rsidDel="00000000" w:rsidR="00000000" w:rsidRPr="00000000">
        <w:rPr>
          <w:sz w:val="20"/>
          <w:szCs w:val="20"/>
          <w:rtl w:val="0"/>
        </w:rPr>
        <w:t xml:space="preserve">Date Accessed: 22/04/18</w:t>
      </w:r>
    </w:p>
    <w:p w:rsidR="00000000" w:rsidDel="00000000" w:rsidP="00000000" w:rsidRDefault="00000000" w:rsidRPr="00000000" w14:paraId="00000061">
      <w:pPr>
        <w:spacing w:line="240" w:lineRule="auto"/>
        <w:contextualSpacing w:val="0"/>
        <w:rPr>
          <w:sz w:val="20"/>
          <w:szCs w:val="20"/>
        </w:rPr>
      </w:pPr>
      <w:hyperlink r:id="rId5">
        <w:r w:rsidDel="00000000" w:rsidR="00000000" w:rsidRPr="00000000">
          <w:rPr>
            <w:color w:val="1155cc"/>
            <w:sz w:val="20"/>
            <w:szCs w:val="20"/>
            <w:u w:val="single"/>
            <w:rtl w:val="0"/>
          </w:rPr>
          <w:t xml:space="preserve">https://forward.com/schmooze/218198/why-medieval-art-is-so-unflattering-to-jews/</w:t>
        </w:r>
      </w:hyperlink>
      <w:r w:rsidDel="00000000" w:rsidR="00000000" w:rsidRPr="00000000">
        <w:rPr>
          <w:sz w:val="20"/>
          <w:szCs w:val="20"/>
          <w:rtl w:val="0"/>
        </w:rPr>
        <w:t xml:space="preserve"> </w:t>
      </w:r>
    </w:p>
  </w:footnote>
  <w:footnote w:id="16">
    <w:p w:rsidR="00000000" w:rsidDel="00000000" w:rsidP="00000000" w:rsidRDefault="00000000" w:rsidRPr="00000000" w14:paraId="0000006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Jonathan Jarrett: </w:t>
      </w:r>
      <w:r w:rsidDel="00000000" w:rsidR="00000000" w:rsidRPr="00000000">
        <w:rPr>
          <w:i w:val="1"/>
          <w:sz w:val="20"/>
          <w:szCs w:val="20"/>
          <w:rtl w:val="0"/>
        </w:rPr>
        <w:t xml:space="preserve">A Corner of 10th Century Europe</w:t>
      </w:r>
      <w:r w:rsidDel="00000000" w:rsidR="00000000" w:rsidRPr="00000000">
        <w:rPr>
          <w:sz w:val="20"/>
          <w:szCs w:val="20"/>
          <w:rtl w:val="0"/>
        </w:rPr>
        <w:t xml:space="preserve">, October 2014</w:t>
      </w:r>
    </w:p>
    <w:p w:rsidR="00000000" w:rsidDel="00000000" w:rsidP="00000000" w:rsidRDefault="00000000" w:rsidRPr="00000000" w14:paraId="00000063">
      <w:pPr>
        <w:spacing w:line="240" w:lineRule="auto"/>
        <w:contextualSpacing w:val="0"/>
        <w:rPr>
          <w:sz w:val="20"/>
          <w:szCs w:val="20"/>
        </w:rPr>
      </w:pPr>
      <w:hyperlink r:id="rId6">
        <w:r w:rsidDel="00000000" w:rsidR="00000000" w:rsidRPr="00000000">
          <w:rPr>
            <w:color w:val="1155cc"/>
            <w:sz w:val="20"/>
            <w:szCs w:val="20"/>
            <w:u w:val="single"/>
            <w:rtl w:val="0"/>
          </w:rPr>
          <w:t xml:space="preserve">https://tenthmedieval.wordpress.com/2014/10/10/seminar-cxli-jews-in-western-art-before-during-and-after-the-1160s/</w:t>
        </w:r>
      </w:hyperlink>
      <w:r w:rsidDel="00000000" w:rsidR="00000000" w:rsidRPr="00000000">
        <w:rPr>
          <w:sz w:val="20"/>
          <w:szCs w:val="20"/>
          <w:rtl w:val="0"/>
        </w:rPr>
        <w:t xml:space="preserve"> </w:t>
      </w:r>
    </w:p>
  </w:footnote>
  <w:footnote w:id="11">
    <w:p w:rsidR="00000000" w:rsidDel="00000000" w:rsidP="00000000" w:rsidRDefault="00000000" w:rsidRPr="00000000" w14:paraId="0000006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Cohn-Sherbok</w:t>
      </w:r>
      <w:r w:rsidDel="00000000" w:rsidR="00000000" w:rsidRPr="00000000">
        <w:rPr>
          <w:i w:val="1"/>
          <w:sz w:val="20"/>
          <w:szCs w:val="20"/>
          <w:rtl w:val="0"/>
        </w:rPr>
        <w:t xml:space="preserve"> The Crucified Jew </w:t>
      </w:r>
      <w:r w:rsidDel="00000000" w:rsidR="00000000" w:rsidRPr="00000000">
        <w:rPr>
          <w:sz w:val="20"/>
          <w:szCs w:val="20"/>
          <w:rtl w:val="0"/>
        </w:rPr>
        <w:t xml:space="preserve">1st edition (1993) Pg 43</w:t>
      </w:r>
    </w:p>
  </w:footnote>
  <w:footnote w:id="13">
    <w:p w:rsidR="00000000" w:rsidDel="00000000" w:rsidP="00000000" w:rsidRDefault="00000000" w:rsidRPr="00000000" w14:paraId="0000006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Cohn-Sherbok</w:t>
      </w:r>
      <w:r w:rsidDel="00000000" w:rsidR="00000000" w:rsidRPr="00000000">
        <w:rPr>
          <w:i w:val="1"/>
          <w:sz w:val="20"/>
          <w:szCs w:val="20"/>
          <w:rtl w:val="0"/>
        </w:rPr>
        <w:t xml:space="preserve"> The Crucified Jew </w:t>
      </w:r>
      <w:r w:rsidDel="00000000" w:rsidR="00000000" w:rsidRPr="00000000">
        <w:rPr>
          <w:sz w:val="20"/>
          <w:szCs w:val="20"/>
          <w:rtl w:val="0"/>
        </w:rPr>
        <w:t xml:space="preserve">1st edition (1993) Pg 44</w:t>
      </w:r>
    </w:p>
    <w:p w:rsidR="00000000" w:rsidDel="00000000" w:rsidP="00000000" w:rsidRDefault="00000000" w:rsidRPr="00000000" w14:paraId="00000066">
      <w:pPr>
        <w:spacing w:line="240" w:lineRule="auto"/>
        <w:contextualSpacing w:val="0"/>
        <w:rPr>
          <w:sz w:val="20"/>
          <w:szCs w:val="20"/>
        </w:rPr>
      </w:pPr>
      <w:r w:rsidDel="00000000" w:rsidR="00000000" w:rsidRPr="00000000">
        <w:rPr>
          <w:rtl w:val="0"/>
        </w:rPr>
      </w:r>
    </w:p>
  </w:footnote>
  <w:footnote w:id="14">
    <w:p w:rsidR="00000000" w:rsidDel="00000000" w:rsidP="00000000" w:rsidRDefault="00000000" w:rsidRPr="00000000" w14:paraId="0000006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Cohn-Sherbok</w:t>
      </w:r>
      <w:r w:rsidDel="00000000" w:rsidR="00000000" w:rsidRPr="00000000">
        <w:rPr>
          <w:i w:val="1"/>
          <w:sz w:val="20"/>
          <w:szCs w:val="20"/>
          <w:rtl w:val="0"/>
        </w:rPr>
        <w:t xml:space="preserve"> The Crucified Jew </w:t>
      </w:r>
      <w:r w:rsidDel="00000000" w:rsidR="00000000" w:rsidRPr="00000000">
        <w:rPr>
          <w:sz w:val="20"/>
          <w:szCs w:val="20"/>
          <w:rtl w:val="0"/>
        </w:rPr>
        <w:t xml:space="preserve">1st edition (1993) Pg 48</w:t>
      </w:r>
    </w:p>
  </w:footnote>
  <w:footnote w:id="15">
    <w:p w:rsidR="00000000" w:rsidDel="00000000" w:rsidP="00000000" w:rsidRDefault="00000000" w:rsidRPr="00000000" w14:paraId="0000006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Valjak,Domagoj: </w:t>
      </w:r>
      <w:r w:rsidDel="00000000" w:rsidR="00000000" w:rsidRPr="00000000">
        <w:rPr>
          <w:i w:val="1"/>
          <w:sz w:val="20"/>
          <w:szCs w:val="20"/>
          <w:rtl w:val="0"/>
        </w:rPr>
        <w:t xml:space="preserve">Pope Clement VI: The Generous and Progressive Pope </w:t>
      </w:r>
      <w:r w:rsidDel="00000000" w:rsidR="00000000" w:rsidRPr="00000000">
        <w:rPr>
          <w:sz w:val="20"/>
          <w:szCs w:val="20"/>
          <w:rtl w:val="0"/>
        </w:rPr>
        <w:t xml:space="preserve">Vintage News, March 2017</w:t>
        <w:br w:type="textWrapping"/>
      </w:r>
      <w:hyperlink r:id="rId7">
        <w:r w:rsidDel="00000000" w:rsidR="00000000" w:rsidRPr="00000000">
          <w:rPr>
            <w:color w:val="1155cc"/>
            <w:sz w:val="20"/>
            <w:szCs w:val="20"/>
            <w:u w:val="single"/>
            <w:rtl w:val="0"/>
          </w:rPr>
          <w:t xml:space="preserve">https://www.thevintagenews.com/2017/03/03/pope-clement-vi-the-generous-and-progressive-pope-who-granted-remission-of-sins-to-all-people-who-died-of-the-plague/</w:t>
        </w:r>
      </w:hyperlink>
      <w:r w:rsidDel="00000000" w:rsidR="00000000" w:rsidRPr="00000000">
        <w:rPr>
          <w:sz w:val="20"/>
          <w:szCs w:val="20"/>
          <w:rtl w:val="0"/>
        </w:rPr>
        <w:t xml:space="preserve"> </w:t>
      </w:r>
    </w:p>
  </w:footnote>
  <w:footnote w:id="0">
    <w:p w:rsidR="00000000" w:rsidDel="00000000" w:rsidP="00000000" w:rsidRDefault="00000000" w:rsidRPr="00000000" w14:paraId="00000069">
      <w:pPr>
        <w:spacing w:line="240" w:lineRule="auto"/>
        <w:contextualSpacing w:val="0"/>
        <w:rPr>
          <w:sz w:val="20"/>
          <w:szCs w:val="20"/>
          <w:highlight w:val="white"/>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History.com, </w:t>
      </w:r>
      <w:r w:rsidDel="00000000" w:rsidR="00000000" w:rsidRPr="00000000">
        <w:rPr>
          <w:i w:val="1"/>
          <w:sz w:val="20"/>
          <w:szCs w:val="20"/>
          <w:highlight w:val="white"/>
          <w:rtl w:val="0"/>
        </w:rPr>
        <w:t xml:space="preserve">The Crusades, 2010</w:t>
      </w:r>
      <w:r w:rsidDel="00000000" w:rsidR="00000000" w:rsidRPr="00000000">
        <w:rPr>
          <w:rtl w:val="0"/>
        </w:rPr>
      </w:r>
    </w:p>
    <w:p w:rsidR="00000000" w:rsidDel="00000000" w:rsidP="00000000" w:rsidRDefault="00000000" w:rsidRPr="00000000" w14:paraId="0000006A">
      <w:pPr>
        <w:spacing w:line="240" w:lineRule="auto"/>
        <w:contextualSpacing w:val="0"/>
        <w:rPr>
          <w:sz w:val="20"/>
          <w:szCs w:val="20"/>
        </w:rPr>
      </w:pPr>
      <w:hyperlink r:id="rId8">
        <w:r w:rsidDel="00000000" w:rsidR="00000000" w:rsidRPr="00000000">
          <w:rPr>
            <w:color w:val="1155cc"/>
            <w:sz w:val="20"/>
            <w:szCs w:val="20"/>
            <w:u w:val="single"/>
            <w:rtl w:val="0"/>
          </w:rPr>
          <w:t xml:space="preserve">https://www.history.com/topics/crusades</w:t>
        </w:r>
      </w:hyperlink>
      <w:r w:rsidDel="00000000" w:rsidR="00000000" w:rsidRPr="00000000">
        <w:rPr>
          <w:sz w:val="20"/>
          <w:szCs w:val="20"/>
          <w:rtl w:val="0"/>
        </w:rPr>
        <w:t xml:space="preserve"> </w:t>
      </w:r>
    </w:p>
  </w:footnote>
  <w:footnote w:id="1">
    <w:p w:rsidR="00000000" w:rsidDel="00000000" w:rsidP="00000000" w:rsidRDefault="00000000" w:rsidRPr="00000000" w14:paraId="0000006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Levy, Joshua: </w:t>
      </w:r>
      <w:r w:rsidDel="00000000" w:rsidR="00000000" w:rsidRPr="00000000">
        <w:rPr>
          <w:i w:val="1"/>
          <w:sz w:val="20"/>
          <w:szCs w:val="20"/>
          <w:highlight w:val="white"/>
          <w:rtl w:val="0"/>
        </w:rPr>
        <w:t xml:space="preserve">How the Crusades Medieval Jews in Europe and Palestine, </w:t>
      </w:r>
      <w:r w:rsidDel="00000000" w:rsidR="00000000" w:rsidRPr="00000000">
        <w:rPr>
          <w:sz w:val="20"/>
          <w:szCs w:val="20"/>
          <w:highlight w:val="white"/>
          <w:rtl w:val="0"/>
        </w:rPr>
        <w:t xml:space="preserve">My Jewish Learning, 2014</w:t>
        <w:br w:type="textWrapping"/>
      </w:r>
      <w:hyperlink r:id="rId9">
        <w:r w:rsidDel="00000000" w:rsidR="00000000" w:rsidRPr="00000000">
          <w:rPr>
            <w:color w:val="1155cc"/>
            <w:sz w:val="20"/>
            <w:szCs w:val="20"/>
            <w:highlight w:val="white"/>
            <w:u w:val="single"/>
            <w:rtl w:val="0"/>
          </w:rPr>
          <w:t xml:space="preserve">https://www.myjewishlearning.com/article/the-crusades/</w:t>
        </w:r>
      </w:hyperlink>
      <w:r w:rsidDel="00000000" w:rsidR="00000000" w:rsidRPr="00000000">
        <w:rPr>
          <w:sz w:val="20"/>
          <w:szCs w:val="20"/>
          <w:highlight w:val="white"/>
          <w:rtl w:val="0"/>
        </w:rPr>
        <w:t xml:space="preserve"> </w:t>
      </w:r>
      <w:r w:rsidDel="00000000" w:rsidR="00000000" w:rsidRPr="00000000">
        <w:rPr>
          <w:rtl w:val="0"/>
        </w:rPr>
      </w:r>
    </w:p>
  </w:footnote>
  <w:footnote w:id="12">
    <w:p w:rsidR="00000000" w:rsidDel="00000000" w:rsidP="00000000" w:rsidRDefault="00000000" w:rsidRPr="00000000" w14:paraId="0000006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Cohen, </w:t>
      </w:r>
      <w:r w:rsidDel="00000000" w:rsidR="00000000" w:rsidRPr="00000000">
        <w:rPr>
          <w:i w:val="1"/>
          <w:sz w:val="20"/>
          <w:szCs w:val="20"/>
          <w:highlight w:val="white"/>
          <w:rtl w:val="0"/>
        </w:rPr>
        <w:t xml:space="preserve">Under Crescent and Cross </w:t>
      </w:r>
      <w:r w:rsidDel="00000000" w:rsidR="00000000" w:rsidRPr="00000000">
        <w:rPr>
          <w:sz w:val="20"/>
          <w:szCs w:val="20"/>
          <w:highlight w:val="white"/>
          <w:rtl w:val="0"/>
        </w:rPr>
        <w:t xml:space="preserve">Princeton University Press</w:t>
      </w:r>
      <w:r w:rsidDel="00000000" w:rsidR="00000000" w:rsidRPr="00000000">
        <w:rPr>
          <w:sz w:val="20"/>
          <w:szCs w:val="20"/>
          <w:rtl w:val="0"/>
        </w:rPr>
        <w:t xml:space="preserve">, pg 84</w:t>
      </w:r>
    </w:p>
  </w:footnote>
  <w:footnote w:id="5">
    <w:p w:rsidR="00000000" w:rsidDel="00000000" w:rsidP="00000000" w:rsidRDefault="00000000" w:rsidRPr="00000000" w14:paraId="0000006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Cohen, Mark </w:t>
      </w:r>
      <w:r w:rsidDel="00000000" w:rsidR="00000000" w:rsidRPr="00000000">
        <w:rPr>
          <w:i w:val="1"/>
          <w:sz w:val="20"/>
          <w:szCs w:val="20"/>
          <w:highlight w:val="white"/>
          <w:rtl w:val="0"/>
        </w:rPr>
        <w:t xml:space="preserve">Under Crescent and Cross </w:t>
      </w:r>
      <w:r w:rsidDel="00000000" w:rsidR="00000000" w:rsidRPr="00000000">
        <w:rPr>
          <w:sz w:val="20"/>
          <w:szCs w:val="20"/>
          <w:highlight w:val="white"/>
          <w:rtl w:val="0"/>
        </w:rPr>
        <w:t xml:space="preserve">Princeton University Press</w:t>
      </w:r>
      <w:r w:rsidDel="00000000" w:rsidR="00000000" w:rsidRPr="00000000">
        <w:rPr>
          <w:sz w:val="20"/>
          <w:szCs w:val="20"/>
          <w:rtl w:val="0"/>
        </w:rPr>
        <w:t xml:space="preserve">, pg 86</w:t>
      </w:r>
    </w:p>
  </w:footnote>
  <w:footnote w:id="3">
    <w:p w:rsidR="00000000" w:rsidDel="00000000" w:rsidP="00000000" w:rsidRDefault="00000000" w:rsidRPr="00000000" w14:paraId="0000006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Cohen, Mark </w:t>
      </w:r>
      <w:r w:rsidDel="00000000" w:rsidR="00000000" w:rsidRPr="00000000">
        <w:rPr>
          <w:i w:val="1"/>
          <w:sz w:val="20"/>
          <w:szCs w:val="20"/>
          <w:highlight w:val="white"/>
          <w:rtl w:val="0"/>
        </w:rPr>
        <w:t xml:space="preserve">Under Crescent and Cross </w:t>
      </w:r>
      <w:r w:rsidDel="00000000" w:rsidR="00000000" w:rsidRPr="00000000">
        <w:rPr>
          <w:sz w:val="20"/>
          <w:szCs w:val="20"/>
          <w:highlight w:val="white"/>
          <w:rtl w:val="0"/>
        </w:rPr>
        <w:t xml:space="preserve">Princeton University Press</w:t>
      </w:r>
      <w:r w:rsidDel="00000000" w:rsidR="00000000" w:rsidRPr="00000000">
        <w:rPr>
          <w:sz w:val="20"/>
          <w:szCs w:val="20"/>
          <w:rtl w:val="0"/>
        </w:rPr>
        <w:t xml:space="preserve">,(1994) pg 80</w:t>
      </w:r>
    </w:p>
  </w:footnote>
  <w:footnote w:id="9">
    <w:p w:rsidR="00000000" w:rsidDel="00000000" w:rsidP="00000000" w:rsidRDefault="00000000" w:rsidRPr="00000000" w14:paraId="0000006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Cohn-Sherbok</w:t>
      </w:r>
      <w:r w:rsidDel="00000000" w:rsidR="00000000" w:rsidRPr="00000000">
        <w:rPr>
          <w:i w:val="1"/>
          <w:sz w:val="20"/>
          <w:szCs w:val="20"/>
          <w:rtl w:val="0"/>
        </w:rPr>
        <w:t xml:space="preserve"> The Crucified Jew </w:t>
      </w:r>
      <w:r w:rsidDel="00000000" w:rsidR="00000000" w:rsidRPr="00000000">
        <w:rPr>
          <w:sz w:val="20"/>
          <w:szCs w:val="20"/>
          <w:rtl w:val="0"/>
        </w:rPr>
        <w:t xml:space="preserve">1st edition</w:t>
      </w:r>
      <w:r w:rsidDel="00000000" w:rsidR="00000000" w:rsidRPr="00000000">
        <w:rPr>
          <w:sz w:val="20"/>
          <w:szCs w:val="20"/>
          <w:rtl w:val="0"/>
        </w:rPr>
        <w:t xml:space="preserve"> (1993) Pg 45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myjewishlearning.com/article/the-crusades/" TargetMode="External"/><Relationship Id="rId10" Type="http://schemas.openxmlformats.org/officeDocument/2006/relationships/hyperlink" Target="https://tenthmedieval.wordpress.com/2014/10/10/seminar-cxli-jews-in-western-art-before-during-and-after-the-1160s/" TargetMode="External"/><Relationship Id="rId13" Type="http://schemas.openxmlformats.org/officeDocument/2006/relationships/hyperlink" Target="https://www.huffingtonpost.com/bernard-starr/five-stages-of-anti-semit_b_6707728.html" TargetMode="External"/><Relationship Id="rId12" Type="http://schemas.openxmlformats.org/officeDocument/2006/relationships/hyperlink" Target="http://www.hist-chron.com/MA/judentum-EncJud_judenfleck-u-judenhut-im-MA-ENGL.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history.com/topics/crusades" TargetMode="External"/><Relationship Id="rId15" Type="http://schemas.openxmlformats.org/officeDocument/2006/relationships/hyperlink" Target="https://www.thevintagenews.com/2017/03/03/pope-clement-vi-the-generous-and-progressive-pope-who-granted-remission-of-sins-to-all-people-who-died-of-the-plague/" TargetMode="External"/><Relationship Id="rId14" Type="http://schemas.openxmlformats.org/officeDocument/2006/relationships/hyperlink" Target="http://www.jewishvirtuallibrary.org/ecclesia-et-synagoga"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forward.com/schmooze/218198/why-medieval-art-is-so-unflattering-to-jews/" TargetMode="External"/><Relationship Id="rId8" Type="http://schemas.openxmlformats.org/officeDocument/2006/relationships/hyperlink" Target="https://babel.hathitrust.org/cgi/pt?id=uc1.32106017471241;view=1up;seq=10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babel.hathitrust.org/cgi/pt?id=uc1.32106017471241;view=1up;seq=108" TargetMode="External"/><Relationship Id="rId2" Type="http://schemas.openxmlformats.org/officeDocument/2006/relationships/hyperlink" Target="http://www.hist-chron.com/MA/judentum-EncJud_judenfleck-u-judenhut-im-MA-ENGL.html" TargetMode="External"/><Relationship Id="rId3" Type="http://schemas.openxmlformats.org/officeDocument/2006/relationships/hyperlink" Target="http://www.hist-chron.com/MA/judentum-EncJud_judenfleck-u-judenhut-im-MA-ENGL.html" TargetMode="External"/><Relationship Id="rId4" Type="http://schemas.openxmlformats.org/officeDocument/2006/relationships/hyperlink" Target="http://www.jewishvirtuallibrary.org/ecclesia-et-synagoga" TargetMode="External"/><Relationship Id="rId9" Type="http://schemas.openxmlformats.org/officeDocument/2006/relationships/hyperlink" Target="https://www.myjewishlearning.com/article/the-crusades/" TargetMode="External"/><Relationship Id="rId5" Type="http://schemas.openxmlformats.org/officeDocument/2006/relationships/hyperlink" Target="https://forward.com/schmooze/218198/why-medieval-art-is-so-unflattering-to-jews/" TargetMode="External"/><Relationship Id="rId6" Type="http://schemas.openxmlformats.org/officeDocument/2006/relationships/hyperlink" Target="https://tenthmedieval.wordpress.com/2014/10/10/seminar-cxli-jews-in-western-art-before-during-and-after-the-1160s/" TargetMode="External"/><Relationship Id="rId7" Type="http://schemas.openxmlformats.org/officeDocument/2006/relationships/hyperlink" Target="https://www.thevintagenews.com/2017/03/03/pope-clement-vi-the-generous-and-progressive-pope-who-granted-remission-of-sins-to-all-people-who-died-of-the-plague/" TargetMode="External"/><Relationship Id="rId8" Type="http://schemas.openxmlformats.org/officeDocument/2006/relationships/hyperlink" Target="https://www.history.com/topics/crusa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