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2108846298"/>
        <w:docPartObj>
          <w:docPartGallery w:val="Cover Pages"/>
          <w:docPartUnique/>
        </w:docPartObj>
      </w:sdtPr>
      <w:sdtEndPr>
        <w:rPr>
          <w:rFonts w:ascii="Arial" w:hAnsi="Arial" w:cs="Arial"/>
          <w:b/>
          <w:sz w:val="32"/>
          <w:szCs w:val="32"/>
        </w:rPr>
      </w:sdtEndPr>
      <w:sdtContent>
        <w:p w14:paraId="633A6038" w14:textId="1D639510" w:rsidR="00D20113" w:rsidRDefault="00D20113">
          <w:pPr>
            <w:pStyle w:val="NoSpacing"/>
            <w:rPr>
              <w:sz w:val="2"/>
            </w:rPr>
          </w:pPr>
          <w:r>
            <w:rPr>
              <w:noProof/>
            </w:rPr>
            <mc:AlternateContent>
              <mc:Choice Requires="wps">
                <w:drawing>
                  <wp:anchor distT="0" distB="0" distL="114300" distR="114300" simplePos="0" relativeHeight="251662336" behindDoc="0" locked="0" layoutInCell="1" allowOverlap="1" wp14:anchorId="3CB46BBA" wp14:editId="7141E786">
                    <wp:simplePos x="0" y="0"/>
                    <wp:positionH relativeFrom="page">
                      <wp:posOffset>485775</wp:posOffset>
                    </wp:positionH>
                    <wp:positionV relativeFrom="margin">
                      <wp:posOffset>57150</wp:posOffset>
                    </wp:positionV>
                    <wp:extent cx="6603365" cy="91440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6603365"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48DD4"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80F57AA" w14:textId="44F0D3B2" w:rsidR="00D20113" w:rsidRDefault="00D20113">
                                    <w:pPr>
                                      <w:pStyle w:val="NoSpacing"/>
                                      <w:rPr>
                                        <w:rFonts w:asciiTheme="majorHAnsi" w:eastAsiaTheme="majorEastAsia" w:hAnsiTheme="majorHAnsi" w:cstheme="majorBidi"/>
                                        <w:caps/>
                                        <w:color w:val="548DD4" w:themeColor="text2" w:themeTint="99"/>
                                        <w:sz w:val="68"/>
                                        <w:szCs w:val="68"/>
                                      </w:rPr>
                                    </w:pPr>
                                    <w:r>
                                      <w:rPr>
                                        <w:rFonts w:asciiTheme="majorHAnsi" w:eastAsiaTheme="majorEastAsia" w:hAnsiTheme="majorHAnsi" w:cstheme="majorBidi"/>
                                        <w:caps/>
                                        <w:color w:val="548DD4" w:themeColor="text2" w:themeTint="99"/>
                                        <w:sz w:val="64"/>
                                        <w:szCs w:val="64"/>
                                      </w:rPr>
                                      <w:t>BMIH 6001 CONTEMPORARY THEMES</w:t>
                                    </w:r>
                                  </w:p>
                                </w:sdtContent>
                              </w:sdt>
                              <w:p w14:paraId="1C3D2C00" w14:textId="77777777" w:rsidR="00D20113" w:rsidRDefault="00D201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3CB46BBA" id="_x0000_t202" coordsize="21600,21600" o:spt="202" path="m,l,21600r21600,l21600,xe">
                    <v:stroke joinstyle="miter"/>
                    <v:path gradientshapeok="t" o:connecttype="rect"/>
                  </v:shapetype>
                  <v:shape id="Text Box 66" o:spid="_x0000_s1026" type="#_x0000_t202" style="position:absolute;margin-left:38.25pt;margin-top:4.5pt;width:519.95pt;height:1in;z-index:251662336;visibility:visible;mso-wrap-style:square;mso-width-percent:0;mso-wrap-distance-left:9pt;mso-wrap-distance-top:0;mso-wrap-distance-right:9pt;mso-wrap-distance-bottom:0;mso-position-horizontal:absolute;mso-position-horizontal-relative:page;mso-position-vertical:absolute;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" filled="f" stroked="f" strokeweight=".5pt">
                    <v:textbox style="mso-fit-shape-to-text:t">
                      <w:txbxContent>
                        <w:sdt>
                          <w:sdtPr>
                            <w:rPr>
                              <w:rFonts w:asciiTheme="majorHAnsi" w:eastAsiaTheme="majorEastAsia" w:hAnsiTheme="majorHAnsi" w:cstheme="majorBidi"/>
                              <w:caps/>
                              <w:color w:val="548DD4"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80F57AA" w14:textId="44F0D3B2" w:rsidR="00D20113" w:rsidRDefault="00D20113">
                              <w:pPr>
                                <w:pStyle w:val="NoSpacing"/>
                                <w:rPr>
                                  <w:rFonts w:asciiTheme="majorHAnsi" w:eastAsiaTheme="majorEastAsia" w:hAnsiTheme="majorHAnsi" w:cstheme="majorBidi"/>
                                  <w:caps/>
                                  <w:color w:val="548DD4" w:themeColor="text2" w:themeTint="99"/>
                                  <w:sz w:val="68"/>
                                  <w:szCs w:val="68"/>
                                </w:rPr>
                              </w:pPr>
                              <w:r>
                                <w:rPr>
                                  <w:rFonts w:asciiTheme="majorHAnsi" w:eastAsiaTheme="majorEastAsia" w:hAnsiTheme="majorHAnsi" w:cstheme="majorBidi"/>
                                  <w:caps/>
                                  <w:color w:val="548DD4" w:themeColor="text2" w:themeTint="99"/>
                                  <w:sz w:val="64"/>
                                  <w:szCs w:val="64"/>
                                </w:rPr>
                                <w:t>BMIH 6001 CONTEMPORARY THEMES</w:t>
                              </w:r>
                            </w:p>
                          </w:sdtContent>
                        </w:sdt>
                        <w:p w14:paraId="1C3D2C00" w14:textId="77777777" w:rsidR="00D20113" w:rsidRDefault="00D20113"/>
                      </w:txbxContent>
                    </v:textbox>
                    <w10:wrap anchorx="page" anchory="margin"/>
                  </v:shape>
                </w:pict>
              </mc:Fallback>
            </mc:AlternateContent>
          </w:r>
        </w:p>
        <w:p w14:paraId="518A2B85" w14:textId="3CDDA083" w:rsidR="00D20113" w:rsidRDefault="00D20113">
          <w:r>
            <w:rPr>
              <w:noProof/>
              <w:color w:val="4F81BD" w:themeColor="accent1"/>
              <w:sz w:val="36"/>
              <w:szCs w:val="36"/>
            </w:rPr>
            <mc:AlternateContent>
              <mc:Choice Requires="wpg">
                <w:drawing>
                  <wp:anchor distT="0" distB="0" distL="114300" distR="114300" simplePos="0" relativeHeight="251656192" behindDoc="1" locked="0" layoutInCell="1" allowOverlap="1" wp14:anchorId="35414E9D" wp14:editId="25719BE7">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342F2EF" id="Group 2" o:spid="_x0000_s1026" style="position:absolute;margin-left:0;margin-top:0;width:432.65pt;height:448.55pt;z-index:-25166028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4144" behindDoc="0" locked="0" layoutInCell="1" allowOverlap="1" wp14:anchorId="1276AF9B" wp14:editId="6E3B9A1C">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650764" w14:textId="5FBE3E85" w:rsidR="00D20113" w:rsidRDefault="00D20113">
                                <w:pPr>
                                  <w:pStyle w:val="NoSpacing"/>
                                  <w:jc w:val="right"/>
                                  <w:rPr>
                                    <w:color w:val="4F81BD"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276AF9B" id="Text Box 73" o:spid="_x0000_s1027" type="#_x0000_t202" style="position:absolute;margin-left:0;margin-top:0;width:468pt;height:29.5pt;z-index:25165414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4C650764" w14:textId="5FBE3E85" w:rsidR="00D20113" w:rsidRDefault="00D20113">
                          <w:pPr>
                            <w:pStyle w:val="NoSpacing"/>
                            <w:jc w:val="right"/>
                            <w:rPr>
                              <w:color w:val="4F81BD" w:themeColor="accent1"/>
                              <w:sz w:val="36"/>
                              <w:szCs w:val="36"/>
                            </w:rPr>
                          </w:pPr>
                        </w:p>
                      </w:txbxContent>
                    </v:textbox>
                    <w10:wrap anchorx="page" anchory="margin"/>
                  </v:shape>
                </w:pict>
              </mc:Fallback>
            </mc:AlternateContent>
          </w:r>
        </w:p>
        <w:p w14:paraId="6C3084E8" w14:textId="77777777" w:rsidR="00D20113" w:rsidRDefault="00D20113">
          <w:pPr>
            <w:rPr>
              <w:rFonts w:ascii="Arial" w:hAnsi="Arial" w:cs="Arial"/>
              <w:b/>
            </w:rPr>
          </w:pPr>
        </w:p>
        <w:p w14:paraId="514E481B" w14:textId="77777777" w:rsidR="00D20113" w:rsidRDefault="00D20113">
          <w:pPr>
            <w:rPr>
              <w:rFonts w:ascii="Arial" w:hAnsi="Arial" w:cs="Arial"/>
              <w:b/>
            </w:rPr>
          </w:pPr>
        </w:p>
        <w:p w14:paraId="4B589150" w14:textId="77777777" w:rsidR="00D20113" w:rsidRPr="00D20113" w:rsidRDefault="00D20113">
          <w:pPr>
            <w:rPr>
              <w:rFonts w:ascii="Arial" w:hAnsi="Arial" w:cs="Arial"/>
              <w:bCs/>
            </w:rPr>
          </w:pPr>
        </w:p>
        <w:p w14:paraId="49A95916" w14:textId="051495B4" w:rsidR="00D20113" w:rsidRPr="00D20113" w:rsidRDefault="00D20113">
          <w:pPr>
            <w:rPr>
              <w:rFonts w:ascii="Arial" w:hAnsi="Arial" w:cs="Arial"/>
              <w:bCs/>
              <w:sz w:val="32"/>
              <w:szCs w:val="32"/>
            </w:rPr>
          </w:pPr>
          <w:r>
            <w:rPr>
              <w:rFonts w:ascii="Arial" w:hAnsi="Arial" w:cs="Arial"/>
              <w:bCs/>
              <w:sz w:val="32"/>
              <w:szCs w:val="32"/>
            </w:rPr>
            <w:t xml:space="preserve">  Name – Marian Aurel Funie</w:t>
          </w:r>
        </w:p>
        <w:p w14:paraId="2F389611" w14:textId="34B4418E" w:rsidR="00D20113" w:rsidRPr="00D20113" w:rsidRDefault="00D20113" w:rsidP="00D20113">
          <w:pPr>
            <w:rPr>
              <w:rFonts w:ascii="Arial" w:hAnsi="Arial" w:cs="Arial"/>
              <w:bCs/>
              <w:sz w:val="32"/>
              <w:szCs w:val="32"/>
              <w:lang w:val="en-GB"/>
            </w:rPr>
          </w:pPr>
          <w:r>
            <w:rPr>
              <w:rFonts w:ascii="Arial" w:hAnsi="Arial" w:cs="Arial"/>
              <w:bCs/>
              <w:sz w:val="32"/>
              <w:szCs w:val="32"/>
            </w:rPr>
            <w:t xml:space="preserve">  </w:t>
          </w:r>
          <w:r w:rsidRPr="00D20113">
            <w:rPr>
              <w:rFonts w:ascii="Arial" w:hAnsi="Arial" w:cs="Arial"/>
              <w:bCs/>
              <w:sz w:val="32"/>
              <w:szCs w:val="32"/>
            </w:rPr>
            <w:t xml:space="preserve">Student id - </w:t>
          </w:r>
          <w:r w:rsidRPr="00D20113">
            <w:rPr>
              <w:rFonts w:ascii="Arial" w:hAnsi="Arial" w:cs="Arial"/>
              <w:bCs/>
              <w:sz w:val="32"/>
              <w:szCs w:val="32"/>
              <w:lang w:val="en-GB"/>
            </w:rPr>
            <w:t>2246593</w:t>
          </w:r>
        </w:p>
        <w:p w14:paraId="746A0D76" w14:textId="28E1E404" w:rsidR="00D20113" w:rsidRPr="00D20113" w:rsidRDefault="00D20113">
          <w:pPr>
            <w:rPr>
              <w:rFonts w:ascii="Arial" w:hAnsi="Arial" w:cs="Arial"/>
              <w:b/>
              <w:sz w:val="32"/>
              <w:szCs w:val="32"/>
            </w:rPr>
          </w:pPr>
          <w:r w:rsidRPr="00D20113">
            <w:rPr>
              <w:rFonts w:ascii="Arial" w:hAnsi="Arial" w:cs="Arial"/>
              <w:b/>
              <w:sz w:val="32"/>
              <w:szCs w:val="32"/>
            </w:rPr>
            <w:br w:type="page"/>
          </w:r>
        </w:p>
      </w:sdtContent>
    </w:sdt>
    <w:p w14:paraId="5DC7582D" w14:textId="1DD44BBB" w:rsidR="0013058A" w:rsidRPr="009F3695" w:rsidRDefault="00604539">
      <w:pPr>
        <w:jc w:val="center"/>
        <w:rPr>
          <w:rFonts w:ascii="Arial" w:hAnsi="Arial" w:cs="Arial"/>
        </w:rPr>
      </w:pPr>
      <w:r w:rsidRPr="009F3695">
        <w:rPr>
          <w:rFonts w:ascii="Arial" w:hAnsi="Arial" w:cs="Arial"/>
          <w:b/>
        </w:rPr>
        <w:lastRenderedPageBreak/>
        <w:t>Evaluating the Efficacy of Food Waste Reduction Strategies in the Hospitality Industry: Balancing Sustainability and Operational Performance</w:t>
      </w:r>
    </w:p>
    <w:p w14:paraId="438EAD1C" w14:textId="77777777" w:rsidR="0013058A" w:rsidRPr="009F3695" w:rsidRDefault="0013058A">
      <w:pPr>
        <w:rPr>
          <w:rFonts w:ascii="Arial" w:hAnsi="Arial" w:cs="Arial"/>
        </w:rPr>
      </w:pPr>
    </w:p>
    <w:p w14:paraId="5393E130" w14:textId="77777777" w:rsidR="0013058A" w:rsidRPr="009F3695" w:rsidRDefault="00604539">
      <w:pPr>
        <w:rPr>
          <w:rFonts w:ascii="Arial" w:hAnsi="Arial" w:cs="Arial"/>
        </w:rPr>
      </w:pPr>
      <w:r w:rsidRPr="009F3695">
        <w:rPr>
          <w:rFonts w:ascii="Arial" w:hAnsi="Arial" w:cs="Arial"/>
          <w:b/>
        </w:rPr>
        <w:t>Abstract</w:t>
      </w:r>
    </w:p>
    <w:p w14:paraId="6B32DC5B" w14:textId="77777777" w:rsidR="0013058A" w:rsidRPr="009F3695" w:rsidRDefault="00604539">
      <w:pPr>
        <w:rPr>
          <w:rFonts w:ascii="Arial" w:hAnsi="Arial" w:cs="Arial"/>
        </w:rPr>
      </w:pPr>
      <w:r w:rsidRPr="009F3695">
        <w:rPr>
          <w:rFonts w:ascii="Arial" w:hAnsi="Arial" w:cs="Arial"/>
        </w:rPr>
        <w:t>Food waste has become a central sustainability challenge within the global hospitality sector. Hotels and restaurants generate significant quantities of waste due to overproduction, buffet service models, inaccurate forecasting and customer consumption behaviour. Growing environmental awareness and increased stakeholder pressure have encouraged hospitality businesses to adopt strategies aimed at reducing food waste while maintaining operational efficiency and guest satisfaction. This paper critically evaluates the effectiveness of food waste reduction practices in the hospitality industry through the application of the Triple Bottom Line framework, focusing on environmental, economic and social outcomes. Drawing on academic literature and industry examples, the study demonstrates that food waste reduction can improve sustainability performance and reduce operational costs when supported by technological innovation, staff engagement and effective management practices. However, implementation challenges remain, particularly for smaller businesses with limited resources. The paper argues that food waste management should not be viewed solely as an environmental responsibility but as a strategic approach capable of improving long-term business performance within the hospitality sector.</w:t>
      </w:r>
    </w:p>
    <w:p w14:paraId="193C7ACF" w14:textId="77777777" w:rsidR="0013058A" w:rsidRPr="009F3695" w:rsidRDefault="00604539">
      <w:pPr>
        <w:rPr>
          <w:rFonts w:ascii="Arial" w:hAnsi="Arial" w:cs="Arial"/>
        </w:rPr>
      </w:pPr>
      <w:r w:rsidRPr="009F3695">
        <w:rPr>
          <w:rFonts w:ascii="Arial" w:hAnsi="Arial" w:cs="Arial"/>
          <w:b/>
        </w:rPr>
        <w:t>1. Introduction</w:t>
      </w:r>
    </w:p>
    <w:p w14:paraId="40401251" w14:textId="77777777" w:rsidR="0013058A" w:rsidRPr="009F3695" w:rsidRDefault="00604539">
      <w:pPr>
        <w:rPr>
          <w:rFonts w:ascii="Arial" w:hAnsi="Arial" w:cs="Arial"/>
        </w:rPr>
      </w:pPr>
      <w:r w:rsidRPr="009F3695">
        <w:rPr>
          <w:rFonts w:ascii="Arial" w:hAnsi="Arial" w:cs="Arial"/>
        </w:rPr>
        <w:t>Sustainability has become a key priority in modern hospitality management, largely driven by environmental concerns, changing consumer expectations and increasing regulatory pressure. Among the various sustainability challenges faced by hotels and restaurants, food waste represents one of the most significant operational and environmental issues. The hospitality industry is responsible for substantial levels of food waste due to buffet-style service, inaccurate demand forecasting and inefficient kitchen practices (Pirani and Arafat, 2016).</w:t>
      </w:r>
    </w:p>
    <w:p w14:paraId="750B9353" w14:textId="77777777" w:rsidR="0013058A" w:rsidRPr="009F3695" w:rsidRDefault="00604539">
      <w:pPr>
        <w:rPr>
          <w:rFonts w:ascii="Arial" w:hAnsi="Arial" w:cs="Arial"/>
        </w:rPr>
      </w:pPr>
      <w:r w:rsidRPr="009F3695">
        <w:rPr>
          <w:rFonts w:ascii="Arial" w:hAnsi="Arial" w:cs="Arial"/>
        </w:rPr>
        <w:t xml:space="preserve">Food waste creates environmental, economic and social consequences. Environmentally, discarded food contributes to greenhouse gas emissions and represents a waste of resources such as water, energy and land used during production (Papargyropoulou et al., 2014). Economically, wasted food increases purchasing and disposal costs, directly affecting profitability (Betz et al., 2015). At the same time, consumers are becoming more environmentally conscious and </w:t>
      </w:r>
      <w:r w:rsidRPr="009F3695">
        <w:rPr>
          <w:rFonts w:ascii="Arial" w:hAnsi="Arial" w:cs="Arial"/>
        </w:rPr>
        <w:lastRenderedPageBreak/>
        <w:t>increasingly prefer hospitality businesses that demonstrate responsible sustainability practices (Filimonau and De Coteau, 2019).</w:t>
      </w:r>
    </w:p>
    <w:p w14:paraId="581FD88D" w14:textId="77777777" w:rsidR="0013058A" w:rsidRPr="009F3695" w:rsidRDefault="00604539">
      <w:pPr>
        <w:rPr>
          <w:rFonts w:ascii="Arial" w:hAnsi="Arial" w:cs="Arial"/>
        </w:rPr>
      </w:pPr>
      <w:r w:rsidRPr="009F3695">
        <w:rPr>
          <w:rFonts w:ascii="Arial" w:hAnsi="Arial" w:cs="Arial"/>
        </w:rPr>
        <w:t>From a managerial perspective, food waste reduction has evolved from a purely ethical issue into a strategic business concern. Hospitality organisations are now exploring innovative approaches including digital monitoring systems, menu redesign and behavioural interventions to minimise waste while maintaining service standards. This paper critically evaluates the effectiveness of these strategies by applying the Triple Bottom Line framework, analysing how food waste initiatives influence environmental performance, economic efficiency and social responsibility within the hospitality sector.</w:t>
      </w:r>
    </w:p>
    <w:p w14:paraId="58C38DBC" w14:textId="77777777" w:rsidR="0013058A" w:rsidRPr="009F3695" w:rsidRDefault="00604539">
      <w:pPr>
        <w:rPr>
          <w:rFonts w:ascii="Arial" w:hAnsi="Arial" w:cs="Arial"/>
        </w:rPr>
      </w:pPr>
      <w:r w:rsidRPr="009F3695">
        <w:rPr>
          <w:rFonts w:ascii="Arial" w:hAnsi="Arial" w:cs="Arial"/>
          <w:b/>
        </w:rPr>
        <w:t>2. Literature Review</w:t>
      </w:r>
    </w:p>
    <w:p w14:paraId="61215071" w14:textId="77777777" w:rsidR="0013058A" w:rsidRPr="009F3695" w:rsidRDefault="00604539">
      <w:pPr>
        <w:rPr>
          <w:rFonts w:ascii="Arial" w:hAnsi="Arial" w:cs="Arial"/>
        </w:rPr>
      </w:pPr>
      <w:r w:rsidRPr="009F3695">
        <w:rPr>
          <w:rFonts w:ascii="Arial" w:hAnsi="Arial" w:cs="Arial"/>
        </w:rPr>
        <w:t>Academic research increasingly recognises food waste as a systemic problem within hospitality operations. Studies suggest that food waste occurs across multiple stages, including purchasing, preparation, service and customer consumption (Heikkilä et al., 2016). Buffet services, in particular, generate high levels of waste because hotels often overproduce food to ensure variety and maintain guest perceptions of quality (Dolnicar, Juvan and Grün, 2021).</w:t>
      </w:r>
    </w:p>
    <w:p w14:paraId="5617F583" w14:textId="77777777" w:rsidR="0013058A" w:rsidRPr="009F3695" w:rsidRDefault="00604539">
      <w:pPr>
        <w:rPr>
          <w:rFonts w:ascii="Arial" w:hAnsi="Arial" w:cs="Arial"/>
        </w:rPr>
      </w:pPr>
      <w:r w:rsidRPr="009F3695">
        <w:rPr>
          <w:rFonts w:ascii="Arial" w:hAnsi="Arial" w:cs="Arial"/>
        </w:rPr>
        <w:t>Operational inefficiencies are frequently identified as a major cause of food waste. Papargyropoulou et al. (2014) argue that poor planning and weak coordination between kitchen departments contribute significantly to unnecessary waste. Similarly, Filimonau et al. (2020) emphasise the role of organisational culture, suggesting that employee awareness and management commitment are essential for successful waste reduction.</w:t>
      </w:r>
    </w:p>
    <w:p w14:paraId="70328318" w14:textId="77777777" w:rsidR="0013058A" w:rsidRPr="009F3695" w:rsidRDefault="00604539">
      <w:pPr>
        <w:rPr>
          <w:rFonts w:ascii="Arial" w:hAnsi="Arial" w:cs="Arial"/>
        </w:rPr>
      </w:pPr>
      <w:r w:rsidRPr="009F3695">
        <w:rPr>
          <w:rFonts w:ascii="Arial" w:hAnsi="Arial" w:cs="Arial"/>
        </w:rPr>
        <w:t>Technological innovation has emerged as an important solution within the literature. Digital tracking systems allow hotels to monitor food disposal patterns and adjust purchasing decisions accordingly. Martin-Rios et al. (2018) found that data-driven monitoring can reduce waste levels considerably by improving forecasting accuracy. In addition, artificial intelligence tools are increasingly used to predict demand and optimise inventory management, reducing overproduction (Filimonau and De Coteau, 2019).</w:t>
      </w:r>
    </w:p>
    <w:p w14:paraId="5CDC2E1F" w14:textId="77777777" w:rsidR="0013058A" w:rsidRPr="009F3695" w:rsidRDefault="00604539">
      <w:pPr>
        <w:rPr>
          <w:rFonts w:ascii="Arial" w:hAnsi="Arial" w:cs="Arial"/>
        </w:rPr>
      </w:pPr>
      <w:r w:rsidRPr="009F3695">
        <w:rPr>
          <w:rFonts w:ascii="Arial" w:hAnsi="Arial" w:cs="Arial"/>
        </w:rPr>
        <w:t>Consumer behaviour also plays a crucial role. Research indicates that customers tend to associate value with abundance, encouraging hotels to provide excessive food quantities (Dolnicar et al., 2021). Behavioural interventions such as smaller plate sizes, informational signs and portion control have shown positive results in reducing food waste without negatively impacting customer satisfaction (Gössling et al., 2011).</w:t>
      </w:r>
    </w:p>
    <w:p w14:paraId="05E24597" w14:textId="77777777" w:rsidR="0013058A" w:rsidRPr="009F3695" w:rsidRDefault="00604539">
      <w:pPr>
        <w:rPr>
          <w:rFonts w:ascii="Arial" w:hAnsi="Arial" w:cs="Arial"/>
        </w:rPr>
      </w:pPr>
      <w:r w:rsidRPr="009F3695">
        <w:rPr>
          <w:rFonts w:ascii="Arial" w:hAnsi="Arial" w:cs="Arial"/>
        </w:rPr>
        <w:lastRenderedPageBreak/>
        <w:t>From a theoretical perspective, sustainability frameworks such as the Circular Economy emphasise resource efficiency and waste prevention by promoting reuse, recycling and redistribution of surplus food (Geissdoerfer et al., 2017). Food donation programmes have gained attention as a socially responsible solution, although practical barriers such as food safety regulations and logistics can limit implementation (Garrone, Melacini and Perego, 2014).</w:t>
      </w:r>
    </w:p>
    <w:p w14:paraId="54945BAA" w14:textId="77777777" w:rsidR="0013058A" w:rsidRPr="009F3695" w:rsidRDefault="00604539">
      <w:pPr>
        <w:rPr>
          <w:rFonts w:ascii="Arial" w:hAnsi="Arial" w:cs="Arial"/>
        </w:rPr>
      </w:pPr>
      <w:r w:rsidRPr="009F3695">
        <w:rPr>
          <w:rFonts w:ascii="Arial" w:hAnsi="Arial" w:cs="Arial"/>
        </w:rPr>
        <w:t>Economic studies highlight that although waste reduction strategies may require initial investment, long-term cost savings can be substantial. Reduced purchasing and disposal costs often offset implementation expenses over time (Buzby and Hyman, 2012). However, smaller hospitality businesses may face challenges due to limited financial and technological resources.</w:t>
      </w:r>
    </w:p>
    <w:p w14:paraId="5A8D703C" w14:textId="77777777" w:rsidR="0013058A" w:rsidRPr="009F3695" w:rsidRDefault="00604539">
      <w:pPr>
        <w:rPr>
          <w:rFonts w:ascii="Arial" w:hAnsi="Arial" w:cs="Arial"/>
        </w:rPr>
      </w:pPr>
      <w:r w:rsidRPr="009F3695">
        <w:rPr>
          <w:rFonts w:ascii="Arial" w:hAnsi="Arial" w:cs="Arial"/>
        </w:rPr>
        <w:t>Overall, existing literature suggests that successful food waste reduction requires a combination of technology, management commitment and behavioural change. Nevertheless, the effectiveness of these strategies varies depending on organisational context and operational scale.</w:t>
      </w:r>
    </w:p>
    <w:p w14:paraId="7F1781B7" w14:textId="77777777" w:rsidR="0013058A" w:rsidRPr="009F3695" w:rsidRDefault="00604539">
      <w:pPr>
        <w:rPr>
          <w:rFonts w:ascii="Arial" w:hAnsi="Arial" w:cs="Arial"/>
        </w:rPr>
      </w:pPr>
      <w:r w:rsidRPr="009F3695">
        <w:rPr>
          <w:rFonts w:ascii="Arial" w:hAnsi="Arial" w:cs="Arial"/>
          <w:b/>
        </w:rPr>
        <w:t>3. Method</w:t>
      </w:r>
    </w:p>
    <w:p w14:paraId="43D8341B" w14:textId="77777777" w:rsidR="0013058A" w:rsidRPr="009F3695" w:rsidRDefault="00604539">
      <w:pPr>
        <w:rPr>
          <w:rFonts w:ascii="Arial" w:hAnsi="Arial" w:cs="Arial"/>
        </w:rPr>
      </w:pPr>
      <w:r w:rsidRPr="009F3695">
        <w:rPr>
          <w:rFonts w:ascii="Arial" w:hAnsi="Arial" w:cs="Arial"/>
        </w:rPr>
        <w:t>This study uses a qualitative secondary research approach based on the analysis of peer-reviewed academic literature and industry research related to food waste in hospitality. Sources were selected primarily from journals focusing on hospitality management, sustainability and waste management to ensure academic reliability and relevance.</w:t>
      </w:r>
    </w:p>
    <w:p w14:paraId="5853B591" w14:textId="77777777" w:rsidR="0013058A" w:rsidRPr="009F3695" w:rsidRDefault="00604539">
      <w:pPr>
        <w:rPr>
          <w:rFonts w:ascii="Arial" w:hAnsi="Arial" w:cs="Arial"/>
        </w:rPr>
      </w:pPr>
      <w:r w:rsidRPr="009F3695">
        <w:rPr>
          <w:rFonts w:ascii="Arial" w:hAnsi="Arial" w:cs="Arial"/>
        </w:rPr>
        <w:t>The analysis applies the Triple Bottom Line framework developed by Elkington (1997), which evaluates sustainability through environmental, economic and social dimensions. This framework provides a structured approach for assessing the overall effectiveness of food waste reduction strategies in hospitality operations.</w:t>
      </w:r>
    </w:p>
    <w:p w14:paraId="1E6959A3" w14:textId="77777777" w:rsidR="0013058A" w:rsidRPr="009F3695" w:rsidRDefault="00604539">
      <w:pPr>
        <w:rPr>
          <w:rFonts w:ascii="Arial" w:hAnsi="Arial" w:cs="Arial"/>
        </w:rPr>
      </w:pPr>
      <w:r w:rsidRPr="009F3695">
        <w:rPr>
          <w:rFonts w:ascii="Arial" w:hAnsi="Arial" w:cs="Arial"/>
        </w:rPr>
        <w:t>By synthesising findings from existing studies, this research aims to provide a critical evaluation of current practices rather than primary empirical data collection.</w:t>
      </w:r>
    </w:p>
    <w:p w14:paraId="4AA09383" w14:textId="77777777" w:rsidR="0013058A" w:rsidRPr="009F3695" w:rsidRDefault="00604539">
      <w:pPr>
        <w:rPr>
          <w:rFonts w:ascii="Arial" w:hAnsi="Arial" w:cs="Arial"/>
        </w:rPr>
      </w:pPr>
      <w:r w:rsidRPr="009F3695">
        <w:rPr>
          <w:rFonts w:ascii="Arial" w:hAnsi="Arial" w:cs="Arial"/>
          <w:b/>
        </w:rPr>
        <w:t>4. Theme Impact Analysis</w:t>
      </w:r>
    </w:p>
    <w:p w14:paraId="0D47E581" w14:textId="77777777" w:rsidR="0013058A" w:rsidRPr="009F3695" w:rsidRDefault="00604539">
      <w:pPr>
        <w:rPr>
          <w:rFonts w:ascii="Arial" w:hAnsi="Arial" w:cs="Arial"/>
        </w:rPr>
      </w:pPr>
      <w:r w:rsidRPr="009F3695">
        <w:rPr>
          <w:rFonts w:ascii="Arial" w:hAnsi="Arial" w:cs="Arial"/>
        </w:rPr>
        <w:t>4.1 Environmental Impact</w:t>
      </w:r>
    </w:p>
    <w:p w14:paraId="1A3C4255" w14:textId="77777777" w:rsidR="0013058A" w:rsidRPr="009F3695" w:rsidRDefault="00604539">
      <w:pPr>
        <w:rPr>
          <w:rFonts w:ascii="Arial" w:hAnsi="Arial" w:cs="Arial"/>
        </w:rPr>
      </w:pPr>
      <w:r w:rsidRPr="009F3695">
        <w:rPr>
          <w:rFonts w:ascii="Arial" w:hAnsi="Arial" w:cs="Arial"/>
        </w:rPr>
        <w:t xml:space="preserve">From an environmental perspective, food waste represents a significant inefficiency in resource use. When food is discarded, the environmental costs associated with production, transportation and storage are also lost (Beretta et al., 2013). Hospitality businesses implementing waste monitoring systems have </w:t>
      </w:r>
      <w:r w:rsidRPr="009F3695">
        <w:rPr>
          <w:rFonts w:ascii="Arial" w:hAnsi="Arial" w:cs="Arial"/>
        </w:rPr>
        <w:lastRenderedPageBreak/>
        <w:t>reported reductions in food waste and landfill contributions, demonstrating measurable environmental benefits (Martin-Rios et al., 2018).</w:t>
      </w:r>
    </w:p>
    <w:p w14:paraId="14C980C3" w14:textId="77777777" w:rsidR="0013058A" w:rsidRPr="009F3695" w:rsidRDefault="00604539">
      <w:pPr>
        <w:rPr>
          <w:rFonts w:ascii="Arial" w:hAnsi="Arial" w:cs="Arial"/>
        </w:rPr>
      </w:pPr>
      <w:r w:rsidRPr="009F3695">
        <w:rPr>
          <w:rFonts w:ascii="Arial" w:hAnsi="Arial" w:cs="Arial"/>
        </w:rPr>
        <w:t>Composting, recycling and food redistribution initiatives support circular resource use and reduce environmental impact. However, the success of such strategies depends heavily on consistent implementation and employee engagement. Without clear operational guidelines, environmental gains may remain limited.</w:t>
      </w:r>
    </w:p>
    <w:p w14:paraId="115D7011" w14:textId="77777777" w:rsidR="0013058A" w:rsidRPr="009F3695" w:rsidRDefault="00604539">
      <w:pPr>
        <w:rPr>
          <w:rFonts w:ascii="Arial" w:hAnsi="Arial" w:cs="Arial"/>
        </w:rPr>
      </w:pPr>
      <w:r w:rsidRPr="009F3695">
        <w:rPr>
          <w:rFonts w:ascii="Arial" w:hAnsi="Arial" w:cs="Arial"/>
        </w:rPr>
        <w:t>4.2 Economic Impact</w:t>
      </w:r>
    </w:p>
    <w:p w14:paraId="48A0EAA2" w14:textId="77777777" w:rsidR="0013058A" w:rsidRPr="009F3695" w:rsidRDefault="00604539">
      <w:pPr>
        <w:rPr>
          <w:rFonts w:ascii="Arial" w:hAnsi="Arial" w:cs="Arial"/>
        </w:rPr>
      </w:pPr>
      <w:r w:rsidRPr="009F3695">
        <w:rPr>
          <w:rFonts w:ascii="Arial" w:hAnsi="Arial" w:cs="Arial"/>
        </w:rPr>
        <w:t>Food waste has direct financial implications for hospitality organisations. Wasted ingredients represent lost revenue, increased labour costs and higher disposal expenses (Betz et al., 2015). Research suggests that systematic waste tracking can generate considerable cost savings by identifying inefficiencies within purchasing and production processes (Filimonau and De Coteau, 2019).</w:t>
      </w:r>
    </w:p>
    <w:p w14:paraId="60561401" w14:textId="77777777" w:rsidR="0013058A" w:rsidRPr="009F3695" w:rsidRDefault="00604539">
      <w:pPr>
        <w:rPr>
          <w:rFonts w:ascii="Arial" w:hAnsi="Arial" w:cs="Arial"/>
        </w:rPr>
      </w:pPr>
      <w:r w:rsidRPr="009F3695">
        <w:rPr>
          <w:rFonts w:ascii="Arial" w:hAnsi="Arial" w:cs="Arial"/>
        </w:rPr>
        <w:t>While large hotel chains often have the resources to invest in advanced technologies, smaller businesses may struggle with implementation costs. Nevertheless, long-term economic benefits generally outweigh initial investments, suggesting that food waste reduction should be considered a strategic financial decision rather than an additional expense (Buzby and Hyman, 2012).</w:t>
      </w:r>
    </w:p>
    <w:p w14:paraId="614A4B52" w14:textId="77777777" w:rsidR="0013058A" w:rsidRPr="009F3695" w:rsidRDefault="00604539">
      <w:pPr>
        <w:rPr>
          <w:rFonts w:ascii="Arial" w:hAnsi="Arial" w:cs="Arial"/>
        </w:rPr>
      </w:pPr>
      <w:r w:rsidRPr="009F3695">
        <w:rPr>
          <w:rFonts w:ascii="Arial" w:hAnsi="Arial" w:cs="Arial"/>
        </w:rPr>
        <w:t>4.3 Social Impact</w:t>
      </w:r>
    </w:p>
    <w:p w14:paraId="7A386446" w14:textId="77777777" w:rsidR="0013058A" w:rsidRPr="009F3695" w:rsidRDefault="00604539">
      <w:pPr>
        <w:rPr>
          <w:rFonts w:ascii="Arial" w:hAnsi="Arial" w:cs="Arial"/>
        </w:rPr>
      </w:pPr>
      <w:r w:rsidRPr="009F3695">
        <w:rPr>
          <w:rFonts w:ascii="Arial" w:hAnsi="Arial" w:cs="Arial"/>
        </w:rPr>
        <w:t>Socially, food waste management influences corporate image and stakeholder relationships. Consumers increasingly expect hospitality businesses to demonstrate responsible environmental behaviour, and sustainability initiatives can positively affect brand reputation (Dolnicar et al., 2021). Food donation programmes additionally contribute to social value by supporting communities experiencing food insecurity (Alexander, Gregson and Gille, 2013).</w:t>
      </w:r>
    </w:p>
    <w:p w14:paraId="606BC950" w14:textId="77777777" w:rsidR="0013058A" w:rsidRPr="009F3695" w:rsidRDefault="00604539">
      <w:pPr>
        <w:rPr>
          <w:rFonts w:ascii="Arial" w:hAnsi="Arial" w:cs="Arial"/>
        </w:rPr>
      </w:pPr>
      <w:r w:rsidRPr="009F3695">
        <w:rPr>
          <w:rFonts w:ascii="Arial" w:hAnsi="Arial" w:cs="Arial"/>
        </w:rPr>
        <w:t>Employee participation is equally important. Studies show that staff training and awareness programmes significantly improve operational behaviour and reduce waste generation (Filimonau et al., 2020). However, resistance to change and high employee turnover can reduce the effectiveness of such initiatives.</w:t>
      </w:r>
    </w:p>
    <w:p w14:paraId="2216F3E1" w14:textId="77777777" w:rsidR="0013058A" w:rsidRPr="009F3695" w:rsidRDefault="00604539">
      <w:pPr>
        <w:rPr>
          <w:rFonts w:ascii="Arial" w:hAnsi="Arial" w:cs="Arial"/>
        </w:rPr>
      </w:pPr>
      <w:r w:rsidRPr="009F3695">
        <w:rPr>
          <w:rFonts w:ascii="Arial" w:hAnsi="Arial" w:cs="Arial"/>
        </w:rPr>
        <w:t>4.4 Strengths and Limitations</w:t>
      </w:r>
    </w:p>
    <w:p w14:paraId="6596D534" w14:textId="77777777" w:rsidR="0013058A" w:rsidRPr="009F3695" w:rsidRDefault="00604539">
      <w:pPr>
        <w:rPr>
          <w:rFonts w:ascii="Arial" w:hAnsi="Arial" w:cs="Arial"/>
        </w:rPr>
      </w:pPr>
      <w:r w:rsidRPr="009F3695">
        <w:rPr>
          <w:rFonts w:ascii="Arial" w:hAnsi="Arial" w:cs="Arial"/>
        </w:rPr>
        <w:t xml:space="preserve">Food waste reduction strategies provide clear environmental and economic advantages, particularly when supported by data-driven decision-making and management commitment. However, limitations remain, including financial barriers, operational complexity and consumer expectations for abundance. </w:t>
      </w:r>
      <w:r w:rsidRPr="009F3695">
        <w:rPr>
          <w:rFonts w:ascii="Arial" w:hAnsi="Arial" w:cs="Arial"/>
        </w:rPr>
        <w:lastRenderedPageBreak/>
        <w:t>Therefore, successful implementation requires a balanced approach that considers both sustainability objectives and practical operational realities.</w:t>
      </w:r>
    </w:p>
    <w:p w14:paraId="667E1D41" w14:textId="77777777" w:rsidR="0013058A" w:rsidRPr="009F3695" w:rsidRDefault="00604539">
      <w:pPr>
        <w:rPr>
          <w:rFonts w:ascii="Arial" w:hAnsi="Arial" w:cs="Arial"/>
        </w:rPr>
      </w:pPr>
      <w:r w:rsidRPr="009F3695">
        <w:rPr>
          <w:rFonts w:ascii="Arial" w:hAnsi="Arial" w:cs="Arial"/>
          <w:b/>
        </w:rPr>
        <w:t>5. Conclusion</w:t>
      </w:r>
    </w:p>
    <w:p w14:paraId="0F354000" w14:textId="77777777" w:rsidR="0013058A" w:rsidRPr="009F3695" w:rsidRDefault="00604539">
      <w:pPr>
        <w:rPr>
          <w:rFonts w:ascii="Arial" w:hAnsi="Arial" w:cs="Arial"/>
        </w:rPr>
      </w:pPr>
      <w:r w:rsidRPr="009F3695">
        <w:rPr>
          <w:rFonts w:ascii="Arial" w:hAnsi="Arial" w:cs="Arial"/>
        </w:rPr>
        <w:t>Food waste remains a critical challenge within the hospitality industry, influencing environmental sustainability, operational efficiency and social responsibility. This paper demonstrates that food waste reduction strategies can generate significant benefits across all dimensions of the Triple Bottom Line when implemented effectively. Technological innovation, employee engagement and improved operational planning play essential roles in reducing waste levels. However, financial and organisational barriers continue to limit widespread adoption, particularly among smaller businesses. Ultimately, food waste management should be recognised as both a sustainability necessity and a strategic opportunity for long-term hospitality success.</w:t>
      </w:r>
    </w:p>
    <w:p w14:paraId="08E4FD5F" w14:textId="77777777" w:rsidR="0013058A" w:rsidRPr="009F3695" w:rsidRDefault="00604539">
      <w:pPr>
        <w:rPr>
          <w:rFonts w:ascii="Arial" w:hAnsi="Arial" w:cs="Arial"/>
        </w:rPr>
      </w:pPr>
      <w:r w:rsidRPr="009F3695">
        <w:rPr>
          <w:rFonts w:ascii="Arial" w:hAnsi="Arial" w:cs="Arial"/>
          <w:b/>
        </w:rPr>
        <w:t>6. Recommendations</w:t>
      </w:r>
    </w:p>
    <w:p w14:paraId="53D8CFEC" w14:textId="77777777" w:rsidR="0013058A" w:rsidRPr="009F3695" w:rsidRDefault="00604539">
      <w:pPr>
        <w:rPr>
          <w:rFonts w:ascii="Arial" w:hAnsi="Arial" w:cs="Arial"/>
        </w:rPr>
      </w:pPr>
      <w:r w:rsidRPr="009F3695">
        <w:rPr>
          <w:rFonts w:ascii="Arial" w:hAnsi="Arial" w:cs="Arial"/>
        </w:rPr>
        <w:t>First, hospitality businesses should adopt digital waste monitoring systems to improve forecasting accuracy and identify inefficiencies in food production. Data-driven management allows for more precise purchasing and reduces overproduction.</w:t>
      </w:r>
    </w:p>
    <w:p w14:paraId="3FAD633B" w14:textId="77777777" w:rsidR="0013058A" w:rsidRPr="009F3695" w:rsidRDefault="00604539">
      <w:pPr>
        <w:rPr>
          <w:rFonts w:ascii="Arial" w:hAnsi="Arial" w:cs="Arial"/>
        </w:rPr>
      </w:pPr>
      <w:r w:rsidRPr="009F3695">
        <w:rPr>
          <w:rFonts w:ascii="Arial" w:hAnsi="Arial" w:cs="Arial"/>
        </w:rPr>
        <w:t>Second, regular staff training programmes should be introduced to increase awareness and encourage responsible kitchen practices. Employee behaviour remains one of the most influential factors in successful waste reduction.</w:t>
      </w:r>
    </w:p>
    <w:p w14:paraId="79C4A7BF" w14:textId="77777777" w:rsidR="0013058A" w:rsidRPr="009F3695" w:rsidRDefault="00604539">
      <w:pPr>
        <w:rPr>
          <w:rFonts w:ascii="Arial" w:hAnsi="Arial" w:cs="Arial"/>
        </w:rPr>
      </w:pPr>
      <w:r w:rsidRPr="009F3695">
        <w:rPr>
          <w:rFonts w:ascii="Arial" w:hAnsi="Arial" w:cs="Arial"/>
        </w:rPr>
        <w:t>Third, menu design and portion control strategies should be reviewed. Offering flexible portion sizes and redesigning buffet layouts can reduce waste while maintaining customer satisfaction.</w:t>
      </w:r>
    </w:p>
    <w:p w14:paraId="08643803" w14:textId="77777777" w:rsidR="0013058A" w:rsidRPr="009F3695" w:rsidRDefault="00604539">
      <w:pPr>
        <w:rPr>
          <w:rFonts w:ascii="Arial" w:hAnsi="Arial" w:cs="Arial"/>
        </w:rPr>
      </w:pPr>
      <w:r w:rsidRPr="009F3695">
        <w:rPr>
          <w:rFonts w:ascii="Arial" w:hAnsi="Arial" w:cs="Arial"/>
        </w:rPr>
        <w:t>Fourth, partnerships with local charities and food redistribution organisations should be strengthened to ensure surplus food is used responsibly rather than discarded.</w:t>
      </w:r>
    </w:p>
    <w:p w14:paraId="07C574AE" w14:textId="77777777" w:rsidR="0013058A" w:rsidRPr="009F3695" w:rsidRDefault="00604539">
      <w:pPr>
        <w:rPr>
          <w:rFonts w:ascii="Arial" w:hAnsi="Arial" w:cs="Arial"/>
        </w:rPr>
      </w:pPr>
      <w:r w:rsidRPr="009F3695">
        <w:rPr>
          <w:rFonts w:ascii="Arial" w:hAnsi="Arial" w:cs="Arial"/>
        </w:rPr>
        <w:t>Finally, managers should integrate food waste reduction into broader sustainability strategies and communicate progress transparently to guests. This can enhance brand reputation and strengthen competitive advantage in an increasingly sustainability-focused market.</w:t>
      </w:r>
    </w:p>
    <w:p w14:paraId="3D19E36B" w14:textId="77777777" w:rsidR="0013058A" w:rsidRPr="009F3695" w:rsidRDefault="00604539">
      <w:pPr>
        <w:rPr>
          <w:rFonts w:ascii="Arial" w:hAnsi="Arial" w:cs="Arial"/>
        </w:rPr>
      </w:pPr>
      <w:r w:rsidRPr="009F3695">
        <w:rPr>
          <w:rFonts w:ascii="Arial" w:hAnsi="Arial" w:cs="Arial"/>
          <w:b/>
        </w:rPr>
        <w:t>References (Harvard Style)</w:t>
      </w:r>
    </w:p>
    <w:p w14:paraId="25366028" w14:textId="77777777" w:rsidR="0013058A" w:rsidRPr="009F3695" w:rsidRDefault="00604539">
      <w:pPr>
        <w:rPr>
          <w:rFonts w:ascii="Arial" w:hAnsi="Arial" w:cs="Arial"/>
        </w:rPr>
      </w:pPr>
      <w:r w:rsidRPr="009F3695">
        <w:rPr>
          <w:rFonts w:ascii="Arial" w:hAnsi="Arial" w:cs="Arial"/>
        </w:rPr>
        <w:t>Alexander, C., Gregson, N. and Gille, Z. (2013) ‘Food waste’, The Routledge International Handbook of Social and Environmental Change, pp. 471–483.</w:t>
      </w:r>
    </w:p>
    <w:p w14:paraId="3213A1AB" w14:textId="77777777" w:rsidR="0013058A" w:rsidRPr="009F3695" w:rsidRDefault="00604539">
      <w:pPr>
        <w:rPr>
          <w:rFonts w:ascii="Arial" w:hAnsi="Arial" w:cs="Arial"/>
        </w:rPr>
      </w:pPr>
      <w:r w:rsidRPr="009F3695">
        <w:rPr>
          <w:rFonts w:ascii="Arial" w:hAnsi="Arial" w:cs="Arial"/>
        </w:rPr>
        <w:lastRenderedPageBreak/>
        <w:t>Beretta, C., Stoessel, F., Baier, U. and Hellweg, S. (2013) ‘Quantifying food losses and the potential for reduction’, Waste Management, 33(3), pp. 764–773.</w:t>
      </w:r>
    </w:p>
    <w:p w14:paraId="362DED5F" w14:textId="77777777" w:rsidR="0013058A" w:rsidRPr="009F3695" w:rsidRDefault="00604539">
      <w:pPr>
        <w:rPr>
          <w:rFonts w:ascii="Arial" w:hAnsi="Arial" w:cs="Arial"/>
        </w:rPr>
      </w:pPr>
      <w:r w:rsidRPr="009F3695">
        <w:rPr>
          <w:rFonts w:ascii="Arial" w:hAnsi="Arial" w:cs="Arial"/>
        </w:rPr>
        <w:t>Betz, A., Buchli, J., Göbel, C. and Müller, C. (2015) ‘Food waste in the food service industry’, Waste Management, 35, pp. 218–226.</w:t>
      </w:r>
    </w:p>
    <w:p w14:paraId="1AF81D98" w14:textId="77777777" w:rsidR="0013058A" w:rsidRPr="009F3695" w:rsidRDefault="00604539">
      <w:pPr>
        <w:rPr>
          <w:rFonts w:ascii="Arial" w:hAnsi="Arial" w:cs="Arial"/>
        </w:rPr>
      </w:pPr>
      <w:r w:rsidRPr="009F3695">
        <w:rPr>
          <w:rFonts w:ascii="Arial" w:hAnsi="Arial" w:cs="Arial"/>
        </w:rPr>
        <w:t>Buzby, J.C. and Hyman, J. (2012) ‘Total and per capita value of food loss’, Food Policy, 37(5), pp. 561–570.</w:t>
      </w:r>
    </w:p>
    <w:p w14:paraId="3B942005" w14:textId="77777777" w:rsidR="0013058A" w:rsidRPr="009F3695" w:rsidRDefault="00604539">
      <w:pPr>
        <w:rPr>
          <w:rFonts w:ascii="Arial" w:hAnsi="Arial" w:cs="Arial"/>
        </w:rPr>
      </w:pPr>
      <w:r w:rsidRPr="009F3695">
        <w:rPr>
          <w:rFonts w:ascii="Arial" w:hAnsi="Arial" w:cs="Arial"/>
        </w:rPr>
        <w:t>Dolnicar, S., Juvan, E. and Grün, B. (2021) ‘Reducing food waste in buffet restaurants’, Annals of Tourism Research, 87.</w:t>
      </w:r>
    </w:p>
    <w:p w14:paraId="3C9D2474" w14:textId="77777777" w:rsidR="0013058A" w:rsidRPr="009F3695" w:rsidRDefault="00604539">
      <w:pPr>
        <w:rPr>
          <w:rFonts w:ascii="Arial" w:hAnsi="Arial" w:cs="Arial"/>
        </w:rPr>
      </w:pPr>
      <w:r w:rsidRPr="009F3695">
        <w:rPr>
          <w:rFonts w:ascii="Arial" w:hAnsi="Arial" w:cs="Arial"/>
        </w:rPr>
        <w:t>Elkington, J. (1997) Cannibals with Forks. Oxford: Capstone.</w:t>
      </w:r>
    </w:p>
    <w:p w14:paraId="738C384D" w14:textId="77777777" w:rsidR="0013058A" w:rsidRPr="009F3695" w:rsidRDefault="00604539">
      <w:pPr>
        <w:rPr>
          <w:rFonts w:ascii="Arial" w:hAnsi="Arial" w:cs="Arial"/>
        </w:rPr>
      </w:pPr>
      <w:r w:rsidRPr="009F3695">
        <w:rPr>
          <w:rFonts w:ascii="Arial" w:hAnsi="Arial" w:cs="Arial"/>
        </w:rPr>
        <w:t>Filimonau, V. and De Coteau, D. (2019) ‘Food waste management in hospitality operations’, Tourism Management, 71, pp. 234–245.</w:t>
      </w:r>
    </w:p>
    <w:p w14:paraId="6558CAB8" w14:textId="77777777" w:rsidR="0013058A" w:rsidRPr="009F3695" w:rsidRDefault="00604539">
      <w:pPr>
        <w:rPr>
          <w:rFonts w:ascii="Arial" w:hAnsi="Arial" w:cs="Arial"/>
        </w:rPr>
      </w:pPr>
      <w:r w:rsidRPr="009F3695">
        <w:rPr>
          <w:rFonts w:ascii="Arial" w:hAnsi="Arial" w:cs="Arial"/>
        </w:rPr>
        <w:t>Filimonau, V., Todorova, E., Mzembe, A. and Sauer, L. (2020) ‘Food waste management in hotels’, International Journal of Hospitality Management, 87.</w:t>
      </w:r>
    </w:p>
    <w:p w14:paraId="1A65F280" w14:textId="77777777" w:rsidR="0013058A" w:rsidRPr="009F3695" w:rsidRDefault="00604539">
      <w:pPr>
        <w:rPr>
          <w:rFonts w:ascii="Arial" w:hAnsi="Arial" w:cs="Arial"/>
        </w:rPr>
      </w:pPr>
      <w:r w:rsidRPr="009F3695">
        <w:rPr>
          <w:rFonts w:ascii="Arial" w:hAnsi="Arial" w:cs="Arial"/>
        </w:rPr>
        <w:t>Garrone, P., Melacini, M. and Perego, A. (2014) ‘Food waste reduction’, International Journal of Production Economics, 157, pp. 149–160.</w:t>
      </w:r>
    </w:p>
    <w:p w14:paraId="5414E36D" w14:textId="77777777" w:rsidR="0013058A" w:rsidRPr="009F3695" w:rsidRDefault="00604539">
      <w:pPr>
        <w:rPr>
          <w:rFonts w:ascii="Arial" w:hAnsi="Arial" w:cs="Arial"/>
        </w:rPr>
      </w:pPr>
      <w:r w:rsidRPr="009F3695">
        <w:rPr>
          <w:rFonts w:ascii="Arial" w:hAnsi="Arial" w:cs="Arial"/>
        </w:rPr>
        <w:t>Geissdoerfer, M. et al. (2017) ‘The Circular Economy’, Journal of Cleaner Production, 143, pp. 757–768.</w:t>
      </w:r>
    </w:p>
    <w:p w14:paraId="4065BF03" w14:textId="77777777" w:rsidR="0013058A" w:rsidRPr="009F3695" w:rsidRDefault="00604539">
      <w:pPr>
        <w:rPr>
          <w:rFonts w:ascii="Arial" w:hAnsi="Arial" w:cs="Arial"/>
        </w:rPr>
      </w:pPr>
      <w:r w:rsidRPr="009F3695">
        <w:rPr>
          <w:rFonts w:ascii="Arial" w:hAnsi="Arial" w:cs="Arial"/>
        </w:rPr>
        <w:t>Gössling, S. et al. (2011) ‘Food management in tourism’, Tourism Management, 32(3), pp. 534–543.</w:t>
      </w:r>
    </w:p>
    <w:p w14:paraId="1A5DBDF1" w14:textId="77777777" w:rsidR="0013058A" w:rsidRPr="009F3695" w:rsidRDefault="00604539">
      <w:pPr>
        <w:rPr>
          <w:rFonts w:ascii="Arial" w:hAnsi="Arial" w:cs="Arial"/>
        </w:rPr>
      </w:pPr>
      <w:r w:rsidRPr="009F3695">
        <w:rPr>
          <w:rFonts w:ascii="Arial" w:hAnsi="Arial" w:cs="Arial"/>
        </w:rPr>
        <w:t>Heikkilä, L. et al. (2016) ‘Food waste in buffet restaurants’, Waste Management, 56, pp. 446–453.</w:t>
      </w:r>
    </w:p>
    <w:p w14:paraId="194C96F4" w14:textId="77777777" w:rsidR="0013058A" w:rsidRPr="009F3695" w:rsidRDefault="00604539">
      <w:pPr>
        <w:rPr>
          <w:rFonts w:ascii="Arial" w:hAnsi="Arial" w:cs="Arial"/>
        </w:rPr>
      </w:pPr>
      <w:r w:rsidRPr="009F3695">
        <w:rPr>
          <w:rFonts w:ascii="Arial" w:hAnsi="Arial" w:cs="Arial"/>
        </w:rPr>
        <w:t>Martin-Rios, C. et al. (2018) ‘Food waste management innovations’, Waste Management, 79, pp. 196–206.</w:t>
      </w:r>
    </w:p>
    <w:p w14:paraId="2A47BE4C" w14:textId="77777777" w:rsidR="0013058A" w:rsidRPr="009F3695" w:rsidRDefault="00604539">
      <w:pPr>
        <w:rPr>
          <w:rFonts w:ascii="Arial" w:hAnsi="Arial" w:cs="Arial"/>
        </w:rPr>
      </w:pPr>
      <w:r w:rsidRPr="009F3695">
        <w:rPr>
          <w:rFonts w:ascii="Arial" w:hAnsi="Arial" w:cs="Arial"/>
        </w:rPr>
        <w:t>Papargyropoulou, E. et al. (2014) ‘Food waste hierarchy’, Journal of Cleaner Production, 76, pp. 106–115.</w:t>
      </w:r>
    </w:p>
    <w:p w14:paraId="1D5C312B" w14:textId="77777777" w:rsidR="0013058A" w:rsidRPr="009F3695" w:rsidRDefault="00604539">
      <w:pPr>
        <w:rPr>
          <w:rFonts w:ascii="Arial" w:hAnsi="Arial" w:cs="Arial"/>
        </w:rPr>
      </w:pPr>
      <w:r w:rsidRPr="009F3695">
        <w:rPr>
          <w:rFonts w:ascii="Arial" w:hAnsi="Arial" w:cs="Arial"/>
        </w:rPr>
        <w:t>Pirani, S.I. and Arafat, H.A. (2016) ‘Reduction of food waste generation in hospitality’, Journal of Cleaner Production, 132, pp. 129–145.</w:t>
      </w:r>
    </w:p>
    <w:sectPr w:rsidR="0013058A" w:rsidRPr="009F3695" w:rsidSect="00D20113">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23458876">
    <w:abstractNumId w:val="8"/>
  </w:num>
  <w:num w:numId="2" w16cid:durableId="319620488">
    <w:abstractNumId w:val="6"/>
  </w:num>
  <w:num w:numId="3" w16cid:durableId="1019045752">
    <w:abstractNumId w:val="5"/>
  </w:num>
  <w:num w:numId="4" w16cid:durableId="1830713781">
    <w:abstractNumId w:val="4"/>
  </w:num>
  <w:num w:numId="5" w16cid:durableId="266933971">
    <w:abstractNumId w:val="7"/>
  </w:num>
  <w:num w:numId="6" w16cid:durableId="1256861460">
    <w:abstractNumId w:val="3"/>
  </w:num>
  <w:num w:numId="7" w16cid:durableId="1591548347">
    <w:abstractNumId w:val="2"/>
  </w:num>
  <w:num w:numId="8" w16cid:durableId="509561412">
    <w:abstractNumId w:val="1"/>
  </w:num>
  <w:num w:numId="9" w16cid:durableId="850604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3058A"/>
    <w:rsid w:val="0015074B"/>
    <w:rsid w:val="0029639D"/>
    <w:rsid w:val="00326F90"/>
    <w:rsid w:val="00604539"/>
    <w:rsid w:val="007E12F7"/>
    <w:rsid w:val="009F3695"/>
    <w:rsid w:val="00A2373C"/>
    <w:rsid w:val="00AA1D8D"/>
    <w:rsid w:val="00B47730"/>
    <w:rsid w:val="00CB0664"/>
    <w:rsid w:val="00D2011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603E7F"/>
  <w14:defaultImageDpi w14:val="300"/>
  <w15:docId w15:val="{392829D6-C136-6C49-AC49-1AF3A5AA0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D201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1757</Words>
  <Characters>11791</Characters>
  <Application>Microsoft Office Word</Application>
  <DocSecurity>0</DocSecurity>
  <Lines>190</Lines>
  <Paragraphs>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13485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BMIH 6001 CONTEMPORARY THEMES</dc:title>
  <dc:subject/>
  <dc:creator>python-docx</dc:creator>
  <cp:keywords/>
  <dc:description>generated by python-docx</dc:description>
  <cp:lastModifiedBy>MirelSan Funie</cp:lastModifiedBy>
  <cp:revision>4</cp:revision>
  <dcterms:created xsi:type="dcterms:W3CDTF">2026-02-25T16:29:00Z</dcterms:created>
  <dcterms:modified xsi:type="dcterms:W3CDTF">2026-02-25T16:42:00Z</dcterms:modified>
  <cp:category/>
</cp:coreProperties>
</file>