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bCs w:val="1"/>
          <w:sz w:val="24"/>
          <w:szCs w:val="24"/>
        </w:rPr>
      </w:pPr>
      <w:r w:rsidDel="00000000" w:rsidR="00000000" w:rsidRPr="00000000">
        <w:rPr>
          <w:b w:val="1"/>
          <w:bCs w:val="1"/>
          <w:sz w:val="24"/>
          <w:szCs w:val="24"/>
          <w:rtl w:val="0"/>
        </w:rPr>
        <w:t xml:space="preserve">Toyota as an Example of How Organisational Culture Affects Structure, Decision-Making, and Performance</w:t>
      </w:r>
    </w:p>
    <w:p w:rsidR="00000000" w:rsidDel="00000000" w:rsidP="00000000" w:rsidRDefault="00000000" w:rsidRPr="00000000" w14:paraId="00000002">
      <w:pPr>
        <w:jc w:val="center"/>
        <w:rPr>
          <w:b w:val="1"/>
          <w:bCs w:val="1"/>
          <w:sz w:val="24"/>
          <w:szCs w:val="24"/>
        </w:rPr>
      </w:pPr>
      <w:r w:rsidDel="00000000" w:rsidR="00000000" w:rsidRPr="00000000">
        <w:rPr>
          <w:rtl w:val="0"/>
        </w:rPr>
      </w:r>
    </w:p>
    <w:p w:rsidR="00000000" w:rsidDel="00000000" w:rsidP="00000000" w:rsidRDefault="00000000" w:rsidRPr="00000000" w14:paraId="00000003">
      <w:pPr>
        <w:spacing w:line="288.00000000000006" w:lineRule="auto"/>
        <w:jc w:val="center"/>
        <w:rPr>
          <w:sz w:val="27"/>
          <w:szCs w:val="27"/>
        </w:rPr>
      </w:pPr>
      <w:r w:rsidDel="00000000" w:rsidR="00000000" w:rsidRPr="00000000">
        <w:rPr>
          <w:b w:val="1"/>
          <w:bCs w:val="1"/>
          <w:sz w:val="27"/>
          <w:szCs w:val="27"/>
          <w:rtl w:val="0"/>
        </w:rPr>
        <w:t xml:space="preserve">Module: </w:t>
      </w:r>
      <w:r w:rsidDel="00000000" w:rsidR="00000000" w:rsidRPr="00000000">
        <w:rPr>
          <w:sz w:val="27"/>
          <w:szCs w:val="27"/>
          <w:rtl w:val="0"/>
        </w:rPr>
        <w:t xml:space="preserve">Management and Organisational Behaviour</w:t>
      </w:r>
    </w:p>
    <w:p w:rsidR="00000000" w:rsidDel="00000000" w:rsidP="00000000" w:rsidRDefault="00000000" w:rsidRPr="00000000" w14:paraId="00000004">
      <w:pPr>
        <w:spacing w:line="288.00000000000006" w:lineRule="auto"/>
        <w:jc w:val="center"/>
        <w:rPr>
          <w:sz w:val="27"/>
          <w:szCs w:val="27"/>
        </w:rPr>
      </w:pPr>
      <w:r w:rsidDel="00000000" w:rsidR="00000000" w:rsidRPr="00000000">
        <w:rPr>
          <w:b w:val="1"/>
          <w:bCs w:val="1"/>
          <w:sz w:val="27"/>
          <w:szCs w:val="27"/>
          <w:rtl w:val="0"/>
        </w:rPr>
        <w:t xml:space="preserve">Module Code:</w:t>
      </w:r>
      <w:r w:rsidDel="00000000" w:rsidR="00000000" w:rsidRPr="00000000">
        <w:rPr>
          <w:sz w:val="27"/>
          <w:szCs w:val="27"/>
          <w:rtl w:val="0"/>
        </w:rPr>
        <w:t xml:space="preserve"> LCLM5005</w:t>
      </w:r>
    </w:p>
    <w:p w:rsidR="00000000" w:rsidDel="00000000" w:rsidP="00000000" w:rsidRDefault="00000000" w:rsidRPr="00000000" w14:paraId="00000005">
      <w:pPr>
        <w:spacing w:line="288.00000000000006" w:lineRule="auto"/>
        <w:jc w:val="center"/>
        <w:rPr>
          <w:sz w:val="27"/>
          <w:szCs w:val="27"/>
        </w:rPr>
      </w:pPr>
      <w:r w:rsidDel="00000000" w:rsidR="00000000" w:rsidRPr="00000000">
        <w:rPr>
          <w:b w:val="1"/>
          <w:bCs w:val="1"/>
          <w:sz w:val="27"/>
          <w:szCs w:val="27"/>
          <w:rtl w:val="0"/>
        </w:rPr>
        <w:t xml:space="preserve">Student Name: </w:t>
      </w:r>
      <w:r w:rsidDel="00000000" w:rsidR="00000000" w:rsidRPr="00000000">
        <w:rPr>
          <w:sz w:val="27"/>
          <w:szCs w:val="27"/>
          <w:rtl w:val="0"/>
        </w:rPr>
        <w:t xml:space="preserve">Oliver Petrovski</w:t>
      </w:r>
    </w:p>
    <w:p w:rsidR="00000000" w:rsidDel="00000000" w:rsidP="00000000" w:rsidRDefault="00000000" w:rsidRPr="00000000" w14:paraId="00000006">
      <w:pPr>
        <w:spacing w:line="288.00000000000006" w:lineRule="auto"/>
        <w:jc w:val="center"/>
        <w:rPr>
          <w:sz w:val="27"/>
          <w:szCs w:val="27"/>
        </w:rPr>
      </w:pPr>
      <w:r w:rsidDel="00000000" w:rsidR="00000000" w:rsidRPr="00000000">
        <w:rPr>
          <w:b w:val="1"/>
          <w:bCs w:val="1"/>
          <w:sz w:val="27"/>
          <w:szCs w:val="27"/>
          <w:rtl w:val="0"/>
        </w:rPr>
        <w:t xml:space="preserve">Student ID</w:t>
      </w:r>
      <w:r w:rsidDel="00000000" w:rsidR="00000000" w:rsidRPr="00000000">
        <w:rPr>
          <w:sz w:val="27"/>
          <w:szCs w:val="27"/>
          <w:rtl w:val="0"/>
        </w:rPr>
        <w:t xml:space="preserve">: 2335143</w:t>
      </w:r>
    </w:p>
    <w:p w:rsidR="00000000" w:rsidDel="00000000" w:rsidP="00000000" w:rsidRDefault="00000000" w:rsidRPr="00000000" w14:paraId="00000007">
      <w:pPr>
        <w:jc w:val="center"/>
        <w:rPr>
          <w:sz w:val="27"/>
          <w:szCs w:val="27"/>
        </w:rPr>
      </w:pPr>
      <w:r w:rsidDel="00000000" w:rsidR="00000000" w:rsidRPr="00000000">
        <w:rPr>
          <w:b w:val="1"/>
          <w:bCs w:val="1"/>
          <w:sz w:val="27"/>
          <w:szCs w:val="27"/>
          <w:rtl w:val="0"/>
        </w:rPr>
        <w:t xml:space="preserve">Module Lead:</w:t>
      </w:r>
      <w:r w:rsidDel="00000000" w:rsidR="00000000" w:rsidRPr="00000000">
        <w:rPr>
          <w:sz w:val="27"/>
          <w:szCs w:val="27"/>
          <w:rtl w:val="0"/>
        </w:rPr>
        <w:t xml:space="preserve"> Rameses Manalang</w:t>
      </w:r>
    </w:p>
    <w:p w:rsidR="00000000" w:rsidDel="00000000" w:rsidP="00000000" w:rsidRDefault="00000000" w:rsidRPr="00000000" w14:paraId="00000008">
      <w:pPr>
        <w:jc w:val="center"/>
        <w:rPr>
          <w:sz w:val="27"/>
          <w:szCs w:val="27"/>
        </w:rPr>
      </w:pPr>
      <w:r w:rsidDel="00000000" w:rsidR="00000000" w:rsidRPr="00000000">
        <w:rPr>
          <w:sz w:val="27"/>
          <w:szCs w:val="27"/>
          <w:rtl w:val="0"/>
        </w:rPr>
        <w:t xml:space="preserve">David Oyebisi</w:t>
      </w:r>
    </w:p>
    <w:p w:rsidR="00000000" w:rsidDel="00000000" w:rsidP="00000000" w:rsidRDefault="00000000" w:rsidRPr="00000000" w14:paraId="00000009">
      <w:pPr>
        <w:rPr>
          <w:b w:val="1"/>
          <w:bCs w:val="1"/>
          <w:sz w:val="24"/>
          <w:szCs w:val="24"/>
        </w:rPr>
      </w:pPr>
      <w:r w:rsidDel="00000000" w:rsidR="00000000" w:rsidRPr="00000000">
        <w:rPr>
          <w:rtl w:val="0"/>
        </w:rPr>
      </w:r>
    </w:p>
    <w:p w:rsidR="00000000" w:rsidDel="00000000" w:rsidP="00000000" w:rsidRDefault="00000000" w:rsidRPr="00000000" w14:paraId="0000000A">
      <w:pPr>
        <w:jc w:val="both"/>
        <w:rPr>
          <w:b w:val="1"/>
          <w:bCs w:val="1"/>
          <w:sz w:val="24"/>
          <w:szCs w:val="24"/>
        </w:rPr>
      </w:pPr>
      <w:r w:rsidDel="00000000" w:rsidR="00000000" w:rsidRPr="00000000">
        <w:rPr>
          <w:b w:val="1"/>
          <w:bCs w:val="1"/>
          <w:sz w:val="24"/>
          <w:szCs w:val="24"/>
          <w:rtl w:val="0"/>
        </w:rPr>
        <w:t xml:space="preserve">Introduction</w:t>
      </w:r>
    </w:p>
    <w:p w:rsidR="00000000" w:rsidDel="00000000" w:rsidP="00000000" w:rsidRDefault="00000000" w:rsidRPr="00000000" w14:paraId="0000000B">
      <w:pPr>
        <w:jc w:val="both"/>
        <w:rPr>
          <w:b w:val="1"/>
          <w:bCs w:val="1"/>
          <w:sz w:val="24"/>
          <w:szCs w:val="24"/>
        </w:rPr>
      </w:pPr>
      <w:r w:rsidDel="00000000" w:rsidR="00000000" w:rsidRPr="00000000">
        <w:rPr>
          <w:rtl w:val="0"/>
        </w:rPr>
      </w:r>
    </w:p>
    <w:p w:rsidR="00000000" w:rsidDel="00000000" w:rsidP="00000000" w:rsidRDefault="00000000" w:rsidRPr="00000000" w14:paraId="0000000C">
      <w:pPr>
        <w:jc w:val="both"/>
        <w:rPr>
          <w:sz w:val="24"/>
          <w:szCs w:val="24"/>
        </w:rPr>
      </w:pPr>
      <w:r w:rsidDel="00000000" w:rsidR="00000000" w:rsidRPr="00000000">
        <w:rPr>
          <w:sz w:val="24"/>
          <w:szCs w:val="24"/>
          <w:rtl w:val="0"/>
        </w:rPr>
        <w:t xml:space="preserve">Organisational culture has a significant impact on how businesses function, make choices, and handle both internal and external problems. According to Mullins and Christy (2016), culture is "how things are done around here," which includes common values, beliefs, customs, and underlying presumptions that influence behaviour at all organisational levels. This perspective is supported by more recent research, which emphasises that organisational culture is a strategic asset that directly affects performance, adaptation, and long-term sustainability in addition to being a social construct (Schein &amp; Schein, 2017; Alvesson, 2020). Culture is a crucial factor in determining productivity and creativity because it influences how workers perceive circumstances, engage with one another, and match their activities with organisational objectives. The significance of corporate culture has increased in today's globalised settings. Organisations must manage varied workforces while upholding a consistent organisational identity as they increasingly operate across national and cultural boundaries. Hofstede et al. (2010) assert that country cultural differences can have a substantial impact on decision-making processes, communication methods, and workplace expectations. In order to maintain their basic principles while adjusting to various cultural contexts, businesses must thus strike a balance between global integration and local response (Taras, Steel &amp; Kirkman, 2021). For international firms, managing organisational culture effectively is a major problem due to this complexity. Additionally, decision-making procedures and organisational structure are greatly influenced by organisational culture. While a misaligned or rigid culture may result in inefficiencies, resistance to change, and poor strategic outcomes, a strong, well-aligned culture can support decentralised decision-making, empower people, and foster innovation (Denison et al., 2014; Chatman &amp; O'Reilly, 2016). In this way, depending on how it is integrated and controlled within the company, culture can act as both an enabler and a limitation. The impact of organisational culture on Toyota's structure and decision-making is examined extensively in this research. Toyota's strong and well-documented organisational culture, known as the "Toyota Way," which promotes long-term thinking, respect for people, and continual improvement (kaizen), makes it an especially pertinent case study. The study identifies and analyses Toyota's dominant cultural traits using important theoretical frameworks, such as Handy's Cultural Types, Hofstede's Cultural Dimensions, and Schein's Model of Organisational Culture. The paper also looks at how Toyota responds to external environmental challenges including global rivalry, technological change, and sustainability demands by utilising its organisational culture. Additionally, it evaluates whether Toyota's culture generally facilitates organisational effectiveness or, in some situations, may act as a barrier to change. Lastly, the research assesses how organisational culture affects Toyota's performance overall and offers evidence-based suggestions to improve its competitiveness and adaptability going forward.</w:t>
      </w:r>
    </w:p>
    <w:p w:rsidR="00000000" w:rsidDel="00000000" w:rsidP="00000000" w:rsidRDefault="00000000" w:rsidRPr="00000000" w14:paraId="0000000D">
      <w:pPr>
        <w:pStyle w:val="Heading2"/>
        <w:keepNext w:val="0"/>
        <w:keepLines w:val="0"/>
        <w:spacing w:after="80" w:lineRule="auto"/>
        <w:jc w:val="both"/>
        <w:rPr>
          <w:b w:val="1"/>
          <w:bCs w:val="1"/>
          <w:sz w:val="24"/>
          <w:szCs w:val="24"/>
        </w:rPr>
      </w:pPr>
      <w:bookmarkStart w:colFirst="0" w:colLast="0" w:name="_heading=h.ga3g9f4kd9ei" w:id="0"/>
      <w:bookmarkEnd w:id="0"/>
      <w:r w:rsidDel="00000000" w:rsidR="00000000" w:rsidRPr="00000000">
        <w:rPr>
          <w:b w:val="1"/>
          <w:bCs w:val="1"/>
          <w:sz w:val="24"/>
          <w:szCs w:val="24"/>
          <w:rtl w:val="0"/>
        </w:rPr>
        <w:t xml:space="preserve">Organisational Culture and Its Influence on Structure and Decision-Making</w:t>
      </w:r>
    </w:p>
    <w:p w:rsidR="00000000" w:rsidDel="00000000" w:rsidP="00000000" w:rsidRDefault="00000000" w:rsidRPr="00000000" w14:paraId="0000000E">
      <w:pPr>
        <w:jc w:val="both"/>
        <w:rPr>
          <w:sz w:val="24"/>
          <w:szCs w:val="24"/>
        </w:rPr>
      </w:pPr>
      <w:r w:rsidDel="00000000" w:rsidR="00000000" w:rsidRPr="00000000">
        <w:rPr>
          <w:sz w:val="24"/>
          <w:szCs w:val="24"/>
          <w:rtl w:val="0"/>
        </w:rPr>
        <w:t xml:space="preserve">The Toyota Way, which places a strong focus on respect for people and continuous development (kaizen), is the foundation of Toyota's organisational culture. Both organisational structure and decision-making procedures are greatly impacted by this cultural basis, which also shapes how authority is allocated and how staff members approach problem-solving. The Toyota Way is a deeply ingrained system of values that directs daily operations and strategic thinking rather than just a collection of concepts (Liker, 2021). Toyota has a comparatively dispersed and team-oriented structure in contrast to conventional hierarchical corporations. Employees closest to operational problems can directly contribute to solutions since decision-making authority is dispersed across several organisational levels. This is consistent with the idea of genchi genbutsu, or "go and see," which advises managers to make judgements based on direct observation rather than theoretical reports. Decisions made using this method are more accurate and pertinent, especially in complicated manufacturing settings. From a critical standpoint, staff are empowered to find inefficiencies and continuously improve processes, which promotes responsiveness, learning, and creativity. Additionally, it increases employee accountability and engagement, which raises organisational commitment levels (Ohno, 2019). This strategy does have several drawbacks, though. Decision-making may be slowed down by the focus on consensus-building and bottom-up input, especially when quick, centralised solutions are needed. This flaw was made clear during widespread product recalls, when Toyota was criticised for its slow responses, underscoring the possible inefficiencies of consensus-driven processes under duress. Cross-functional cooperation is structurally encouraged by Toyota's culture, especially through the Toyota Production System (TPS). Instead of strict departmental boundaries, teams are structured on workflows and problem-solving tasks, which promote communication, adaptability, and shared responsibility. While this improves coordination and lessens organisational silos, it also necessitates strong leadership and transparent communication channels to guarantee alignment across heterogeneous teams.</w:t>
      </w:r>
    </w:p>
    <w:p w:rsidR="00000000" w:rsidDel="00000000" w:rsidP="00000000" w:rsidRDefault="00000000" w:rsidRPr="00000000" w14:paraId="0000000F">
      <w:pPr>
        <w:pStyle w:val="Heading2"/>
        <w:keepNext w:val="0"/>
        <w:keepLines w:val="0"/>
        <w:spacing w:after="80" w:lineRule="auto"/>
        <w:jc w:val="both"/>
        <w:rPr>
          <w:b w:val="1"/>
          <w:bCs w:val="1"/>
          <w:sz w:val="24"/>
          <w:szCs w:val="24"/>
        </w:rPr>
      </w:pPr>
      <w:bookmarkStart w:colFirst="0" w:colLast="0" w:name="_heading=h.jxi4nblomc1o" w:id="1"/>
      <w:bookmarkEnd w:id="1"/>
      <w:r w:rsidDel="00000000" w:rsidR="00000000" w:rsidRPr="00000000">
        <w:rPr>
          <w:b w:val="1"/>
          <w:bCs w:val="1"/>
          <w:sz w:val="24"/>
          <w:szCs w:val="24"/>
          <w:rtl w:val="0"/>
        </w:rPr>
        <w:t xml:space="preserve">Application of Cultural Models</w:t>
      </w:r>
    </w:p>
    <w:p w:rsidR="00000000" w:rsidDel="00000000" w:rsidP="00000000" w:rsidRDefault="00000000" w:rsidRPr="00000000" w14:paraId="00000010">
      <w:pPr>
        <w:pStyle w:val="Heading3"/>
        <w:keepNext w:val="0"/>
        <w:keepLines w:val="0"/>
        <w:spacing w:before="280" w:lineRule="auto"/>
        <w:jc w:val="both"/>
        <w:rPr>
          <w:b w:val="1"/>
          <w:bCs w:val="1"/>
          <w:color w:val="000000"/>
          <w:sz w:val="24"/>
          <w:szCs w:val="24"/>
        </w:rPr>
      </w:pPr>
      <w:bookmarkStart w:colFirst="0" w:colLast="0" w:name="_heading=h.4iqmpfpok7j0" w:id="2"/>
      <w:bookmarkEnd w:id="2"/>
      <w:r w:rsidDel="00000000" w:rsidR="00000000" w:rsidRPr="00000000">
        <w:rPr>
          <w:b w:val="1"/>
          <w:bCs w:val="1"/>
          <w:color w:val="000000"/>
          <w:sz w:val="24"/>
          <w:szCs w:val="24"/>
          <w:rtl w:val="0"/>
        </w:rPr>
        <w:t xml:space="preserve">Schein’s Model of Organisational Culture</w:t>
      </w:r>
    </w:p>
    <w:p w:rsidR="00000000" w:rsidDel="00000000" w:rsidP="00000000" w:rsidRDefault="00000000" w:rsidRPr="00000000" w14:paraId="00000011">
      <w:pPr>
        <w:jc w:val="both"/>
        <w:rPr>
          <w:sz w:val="24"/>
          <w:szCs w:val="24"/>
        </w:rPr>
      </w:pPr>
      <w:r w:rsidDel="00000000" w:rsidR="00000000" w:rsidRPr="00000000">
        <w:rPr>
          <w:sz w:val="24"/>
          <w:szCs w:val="24"/>
          <w:rtl w:val="0"/>
        </w:rPr>
        <w:t xml:space="preserve">According to Edgar Schein's model, corporate culture is a three-layered structure made up of underlying presumptions, professed ideals, and objects. According to Schein and Schein (2017), this paradigm is especially helpful in evaluating how culture functions in businesses at both visible and invisible levels, offering insight into both what organisations do and why they do it. In Toyota's example, artefacts are the most obvious way that culture is expressed. These include instruments for continuous improvement integrated into the Toyota Production System (TPS), visual management systems like andon boards, and standardised work procedures. Even though these artefacts seem only functional, they actually represent deeper cultural goals that are focused on effectiveness, openness, and problem-solving. Crucially, by making achievement and problems obvious to all employees, they also reinforce behavioural expectations. Quality, teamwork, respect for people, and long-term focus are the second level of Toyota's stated values. These principles are regularly conveyed through organisational policies, training initiatives, and leadership practices, guaranteeing alignment throughout international activities. For instance, the focus on long-term thinking influences strategic choices by giving sustainable growth precedence over immediate financial rewards (Liker, 2021). However, there may occasionally be a discrepancy between stated ideals and actual actions, especially in stressful circumstances where efficiency may take precedence over employee-centered principles. Toyota's organisational culture is fundamentally based on underlying presumptions. These include the conviction that there is always room for improvement and that workers of all levels can make significant contributions to the success of the company. This presumption underpins Toyota's steadfast dedication to employee empowerment and involvement, fostering a culture of shared accountability and continuous growth. These deeply ingrained ideas are hard to alter and frequently function unconsciously, influencing conduct in subtle but significant ways. Critically, Schein’s model helps explain Toyota’s ability to maintain cultural consistency across diverse geographical contexts. However, it also highlights a potential limitation: deeply ingrained assumptions can lead to cultural rigidity. In rapidly changing environments, such as the shift towards digital transformation and electrification, these entrenched beliefs may hinder the organisation’s ability to adapt quickly, suggesting that even strong cultures require continuous reflection and evolution.</w:t>
      </w:r>
    </w:p>
    <w:p w:rsidR="00000000" w:rsidDel="00000000" w:rsidP="00000000" w:rsidRDefault="00000000" w:rsidRPr="00000000" w14:paraId="00000012">
      <w:pPr>
        <w:pStyle w:val="Heading3"/>
        <w:keepNext w:val="0"/>
        <w:keepLines w:val="0"/>
        <w:spacing w:before="280" w:lineRule="auto"/>
        <w:jc w:val="both"/>
        <w:rPr>
          <w:b w:val="1"/>
          <w:bCs w:val="1"/>
          <w:color w:val="000000"/>
          <w:sz w:val="24"/>
          <w:szCs w:val="24"/>
        </w:rPr>
      </w:pPr>
      <w:bookmarkStart w:colFirst="0" w:colLast="0" w:name="_heading=h.g0ml0e2vcu9a" w:id="3"/>
      <w:bookmarkEnd w:id="3"/>
      <w:r w:rsidDel="00000000" w:rsidR="00000000" w:rsidRPr="00000000">
        <w:rPr>
          <w:b w:val="1"/>
          <w:bCs w:val="1"/>
          <w:color w:val="000000"/>
          <w:sz w:val="24"/>
          <w:szCs w:val="24"/>
          <w:rtl w:val="0"/>
        </w:rPr>
        <w:t xml:space="preserve">Hofstede’s Cultural Dimensions</w:t>
      </w:r>
    </w:p>
    <w:p w:rsidR="00000000" w:rsidDel="00000000" w:rsidP="00000000" w:rsidRDefault="00000000" w:rsidRPr="00000000" w14:paraId="00000013">
      <w:pPr>
        <w:jc w:val="both"/>
        <w:rPr>
          <w:sz w:val="24"/>
          <w:szCs w:val="24"/>
        </w:rPr>
      </w:pPr>
      <w:r w:rsidDel="00000000" w:rsidR="00000000" w:rsidRPr="00000000">
        <w:rPr>
          <w:sz w:val="24"/>
          <w:szCs w:val="24"/>
          <w:rtl w:val="0"/>
        </w:rPr>
        <w:t xml:space="preserve">A useful lens for examining how national culture affects organisational practices, especially in international firms, is Hofstede's concept of cultural dimensions. It is particularly crucial to comprehending how Toyota's Japanese roots have influenced its successful international expansion. Japan scores relatively high on uncertainty avoidance, which is reflected in Toyota’s strong emphasis on standardisation, formalised procedures, and risk minimisation. This is evident in the Toyota Production System (TPS), where processes are carefully designed to reduce variability and ensure consistent quality. Such an approach enhances efficiency and reliability but may also limit flexibility in highly dynamic or unpredictable environments (Hofstede et al., 2010). Furthermore, Toyota's strategic decision-making is heavily influenced by Japan's strong long-term focus. The organization places a higher priority on long-term value creation, sustainable growth, and ongoing improvement than on immediate financial gains. Toyota has been able to sustain a steady competitive position over time by making consistent investments in innovation, such as hybrid technology, thanks to this mindset (Taras, Steel &amp; Kirkman, 2021). Toyota's emphasis on group cohesion, shared accountability, and team-based work processes all demonstrate its comparatively collectivist approach. Consensus-building, also known as the ringi system, is frequently used in decision-making procedures to circulate and improve suggestions through group feedback. This strategy increases dedication and lessens conflict, but it can also impede decision-making, especially in hectic or urgent circumstances. Toyota exhibits some cultural flexibility when it operates abroad by tailoring its procedures to local circumstances. For instance, the corporation maintains its fundamental collectivist beliefs while implementing more individual accountability and performance-based rewards in more individualistic societies like the United States. Although conflicts between varying cultural norms can still provide persistent administrative issues, Toyota's ability to strike a balance between worldwide consistency and local response illustrates the company's cultural flexibility.</w:t>
      </w:r>
    </w:p>
    <w:p w:rsidR="00000000" w:rsidDel="00000000" w:rsidP="00000000" w:rsidRDefault="00000000" w:rsidRPr="00000000" w14:paraId="00000014">
      <w:pPr>
        <w:pStyle w:val="Heading3"/>
        <w:keepNext w:val="0"/>
        <w:keepLines w:val="0"/>
        <w:spacing w:before="280" w:lineRule="auto"/>
        <w:jc w:val="both"/>
        <w:rPr>
          <w:b w:val="1"/>
          <w:bCs w:val="1"/>
          <w:color w:val="000000"/>
          <w:sz w:val="24"/>
          <w:szCs w:val="24"/>
        </w:rPr>
      </w:pPr>
      <w:bookmarkStart w:colFirst="0" w:colLast="0" w:name="_heading=h.3a5snbsl421g" w:id="4"/>
      <w:bookmarkEnd w:id="4"/>
      <w:r w:rsidDel="00000000" w:rsidR="00000000" w:rsidRPr="00000000">
        <w:rPr>
          <w:b w:val="1"/>
          <w:bCs w:val="1"/>
          <w:color w:val="000000"/>
          <w:sz w:val="24"/>
          <w:szCs w:val="24"/>
          <w:rtl w:val="0"/>
        </w:rPr>
        <w:t xml:space="preserve">Handy’s Cultural Types</w:t>
      </w:r>
    </w:p>
    <w:p w:rsidR="00000000" w:rsidDel="00000000" w:rsidP="00000000" w:rsidRDefault="00000000" w:rsidRPr="00000000" w14:paraId="00000015">
      <w:pPr>
        <w:jc w:val="both"/>
        <w:rPr>
          <w:sz w:val="24"/>
          <w:szCs w:val="24"/>
        </w:rPr>
      </w:pPr>
      <w:r w:rsidDel="00000000" w:rsidR="00000000" w:rsidRPr="00000000">
        <w:rPr>
          <w:sz w:val="24"/>
          <w:szCs w:val="24"/>
          <w:rtl w:val="0"/>
        </w:rPr>
        <w:t xml:space="preserve">Power, role, task, and person culture are Charles Handy's four primary organisational cultural kinds, each of which reflects a distinct perspective on authority, structure, and control. In Toyota's example, the company mostly exhibits traits of a task culture, where teams are established to tackle certain issues and accomplish well-defined goals. Toyota's project-based teams and continuous improvement programs, such kaizen activities, are prime examples of this task-oriented methodology. Instead of only following strict job descriptions, employees are encouraged to work together across functional boundaries, share expertise, and actively contribute to problem-solving. This encourages creativity, flexibility, and a strong feeling of group , all of which are critical for sustaining operational excellence.But Toyota's culture isn't only task-oriented. There are also aspects of role culture, especially in its highly standardised manufacturing processes, where efficiency and consistency are guaranteed by defined roles, unambiguous procedures, and codified systems. This illustrates how the Toyota Production System is structured. Crucially, Toyota is able to strike a balance between control and flexibility thanks to this hybrid cultural structure. Role culture guarantees stability and dependability, while task culture encourages creativity and response. However, when rigorous procedural requirements clash with the need for creativity, tensions may develop that could restrict experimentation in some situations.</w:t>
      </w:r>
    </w:p>
    <w:p w:rsidR="00000000" w:rsidDel="00000000" w:rsidP="00000000" w:rsidRDefault="00000000" w:rsidRPr="00000000" w14:paraId="00000016">
      <w:pPr>
        <w:pStyle w:val="Heading2"/>
        <w:keepNext w:val="0"/>
        <w:keepLines w:val="0"/>
        <w:spacing w:after="80" w:lineRule="auto"/>
        <w:jc w:val="both"/>
        <w:rPr>
          <w:b w:val="1"/>
          <w:bCs w:val="1"/>
          <w:sz w:val="24"/>
          <w:szCs w:val="24"/>
        </w:rPr>
      </w:pPr>
      <w:bookmarkStart w:colFirst="0" w:colLast="0" w:name="_heading=h.s8xd32orwh07" w:id="5"/>
      <w:bookmarkEnd w:id="5"/>
      <w:r w:rsidDel="00000000" w:rsidR="00000000" w:rsidRPr="00000000">
        <w:rPr>
          <w:b w:val="1"/>
          <w:bCs w:val="1"/>
          <w:sz w:val="24"/>
          <w:szCs w:val="24"/>
          <w:rtl w:val="0"/>
        </w:rPr>
        <w:t xml:space="preserve">Organisational Culture and Adaptation to External Environment</w:t>
      </w:r>
    </w:p>
    <w:p w:rsidR="00000000" w:rsidDel="00000000" w:rsidP="00000000" w:rsidRDefault="00000000" w:rsidRPr="00000000" w14:paraId="00000017">
      <w:pPr>
        <w:jc w:val="both"/>
        <w:rPr>
          <w:sz w:val="24"/>
          <w:szCs w:val="24"/>
        </w:rPr>
      </w:pPr>
      <w:r w:rsidDel="00000000" w:rsidR="00000000" w:rsidRPr="00000000">
        <w:rPr>
          <w:sz w:val="24"/>
          <w:szCs w:val="24"/>
          <w:rtl w:val="0"/>
        </w:rPr>
        <w:t xml:space="preserve">Toyota has been able to adapt to shifting external conditions, including as technology developments, environmental restrictions, and growing worldwide rivalry, thanks in large part to its organisational culture. Toyota depends on its deeply ingrained cultural values to sustain resilience and long-term competitiveness as a multinational corporation working in a very dynamic industry. Toyota is able to react proactively to new developments in the industry thanks to the kaizen idea of continual improvement. The organization prioritises process efficiency and incremental innovation above reactive tactics. One prominent illustration of Toyota's strong long-term vision and dedication to environmental sustainability is the creation of the Prius, one of the first mass-produced hybrid cars in history. The corporation has been able to establish itself as a leader in hybrid technology and effectively respond to growing regulatory challenges regarding emissions because to this proactive approach (Liker, 2021). Additionally, Toyota's culture aggressively encourages information sharing and organisational learning. All staff members are urged to find inefficiencies, try out fixes, and take lessons from both achievements and setbacks. As a result, innovation is integrated into daily operations rather than being restricted to specialised divisions, creating a dynamic and flexible organisational environment. Toyota's capacity to consistently improve its procedures and uphold high standards of operational excellence is strengthened by such a learning-oriented culture. There are some significant restrictions, though. Radical or disruptive change can occasionally be impeded by deeply ingrained habits and strong cultural traditions. In the constantly changing electric vehicle (EV) sector, where more nimble competitors are making significant progress, critics contend that Toyota's dependence on tried-and-true procedures and gradual improvement may impede its shift to new business models. This implies that although Toyota's culture works very well for ongoing development, it might need to be modified in the future to accommodate more revolutionary innovation.</w:t>
      </w:r>
    </w:p>
    <w:p w:rsidR="00000000" w:rsidDel="00000000" w:rsidP="00000000" w:rsidRDefault="00000000" w:rsidRPr="00000000" w14:paraId="00000018">
      <w:pPr>
        <w:pStyle w:val="Heading2"/>
        <w:keepNext w:val="0"/>
        <w:keepLines w:val="0"/>
        <w:spacing w:after="80" w:lineRule="auto"/>
        <w:jc w:val="both"/>
        <w:rPr>
          <w:b w:val="1"/>
          <w:bCs w:val="1"/>
          <w:sz w:val="24"/>
          <w:szCs w:val="24"/>
        </w:rPr>
      </w:pPr>
      <w:bookmarkStart w:colFirst="0" w:colLast="0" w:name="_heading=h.c7g3feia6ek" w:id="6"/>
      <w:bookmarkEnd w:id="6"/>
      <w:r w:rsidDel="00000000" w:rsidR="00000000" w:rsidRPr="00000000">
        <w:rPr>
          <w:b w:val="1"/>
          <w:bCs w:val="1"/>
          <w:sz w:val="24"/>
          <w:szCs w:val="24"/>
          <w:rtl w:val="0"/>
        </w:rPr>
        <w:t xml:space="preserve">Culture as a Barrier or Enabler</w:t>
      </w:r>
    </w:p>
    <w:p w:rsidR="00000000" w:rsidDel="00000000" w:rsidP="00000000" w:rsidRDefault="00000000" w:rsidRPr="00000000" w14:paraId="00000019">
      <w:pPr>
        <w:jc w:val="both"/>
        <w:rPr>
          <w:sz w:val="24"/>
          <w:szCs w:val="24"/>
        </w:rPr>
      </w:pPr>
      <w:r w:rsidDel="00000000" w:rsidR="00000000" w:rsidRPr="00000000">
        <w:rPr>
          <w:sz w:val="24"/>
          <w:szCs w:val="24"/>
          <w:rtl w:val="0"/>
        </w:rPr>
        <w:t xml:space="preserve">Although Toyota's organisational culture generally facilitates efficient operation, it is not without its own difficulties and constraints. Toyota, a well-known company throughout the world, has established a solid cultural base that fosters both long-term strategic success and operational excellence. Its effects, like those of other organisational cultures, are context-dependent and can change based on organisational priorities and environmental needs. As an enabler, Toyota's culture fosters consistently high-quality production, high levels of employee engagement, and operational efficiency. Respect for individuals creates a welcoming and inclusive workplace where staff members feel appreciated and inspired to participate. This, together with the focus on kaizen, or continual improvement, motivates people at all levels to spot inefficiencies and take an active role in problem-solving procedures. Toyota is able to sustain its competitive edge in the global automobile sector thanks to these cultural traits, which also boost productivity and spur incremental innovation (Liker, 2021). Additionally, consistency in performance across many areas and operational units is ensured by the tight alignment between everyday activities and organisational values. However, in other situations, Toyota's culture can also be a hurdle. Although consensus-based decision-making procedures are good for commitment and inclusion, they can cause delays, especially in urgent or fast-paced situations that call for quick decisions. Furthermore, the existence of strong and deeply ingrained cultural norms may discourage opposing viewpoints or dissident beliefs, which could limit creativity and impede more extreme types of innovation. This can be especially troublesome in sectors that are experiencing major upheaval, like the shift to electric and driverless cars. Therefore, how well organisational culture is controlled and modified over time is more important than whether it is intrinsically good or bad. Whether Toyota's culture continues to be a strategic asset or becomes a hindrance ultimately depends on its capacity to strike a balance between tradition and innovation, stability and flexibility. In an increasingly complicated and competitive global world, maintaining this balance is crucial to guaranteeing ongoing organisational performance.</w:t>
      </w:r>
    </w:p>
    <w:p w:rsidR="00000000" w:rsidDel="00000000" w:rsidP="00000000" w:rsidRDefault="00000000" w:rsidRPr="00000000" w14:paraId="0000001A">
      <w:pPr>
        <w:pStyle w:val="Heading2"/>
        <w:keepNext w:val="0"/>
        <w:keepLines w:val="0"/>
        <w:spacing w:after="80" w:lineRule="auto"/>
        <w:jc w:val="both"/>
        <w:rPr>
          <w:b w:val="1"/>
          <w:bCs w:val="1"/>
          <w:sz w:val="24"/>
          <w:szCs w:val="24"/>
        </w:rPr>
      </w:pPr>
      <w:bookmarkStart w:colFirst="0" w:colLast="0" w:name="_heading=h.wobshqxa3udp" w:id="7"/>
      <w:bookmarkEnd w:id="7"/>
      <w:r w:rsidDel="00000000" w:rsidR="00000000" w:rsidRPr="00000000">
        <w:rPr>
          <w:b w:val="1"/>
          <w:bCs w:val="1"/>
          <w:sz w:val="24"/>
          <w:szCs w:val="24"/>
          <w:rtl w:val="0"/>
        </w:rPr>
        <w:t xml:space="preserve">Impact on Organisational Performance</w:t>
      </w:r>
    </w:p>
    <w:p w:rsidR="00000000" w:rsidDel="00000000" w:rsidP="00000000" w:rsidRDefault="00000000" w:rsidRPr="00000000" w14:paraId="0000001B">
      <w:pPr>
        <w:jc w:val="both"/>
        <w:rPr>
          <w:sz w:val="24"/>
          <w:szCs w:val="24"/>
        </w:rPr>
      </w:pPr>
      <w:r w:rsidDel="00000000" w:rsidR="00000000" w:rsidRPr="00000000">
        <w:rPr>
          <w:sz w:val="24"/>
          <w:szCs w:val="24"/>
          <w:rtl w:val="0"/>
        </w:rPr>
        <w:t xml:space="preserve">Toyota's reputation for quality, dependability, and efficiency has been shaped by its organisational culture, which has had a major impact on the company's overall performance. Toyota, a prominent global manufacturer, exemplifies how deeply ingrained principles can result in steady operational success and long-term strategic positioning. The Toyota Production System (TPS), which is frequently recognised as a standard for manufacturing excellence, is a major factor in this success. Instead of serving only as a technical foundation, TPS represents a more comprehensive organisational approach that emphasises process optimisation, employee interaction, and problem-solving. Toyota promotes a proactive workplace where advancements are consistently incorporated into day-to-day operations by encouraging employees at all levels to spot inefficiencies and offer suggestions. This strategy promotes high productivity while reducing waste, strengthening organisational efficiency (Liker, 2021). Long-term stability and growth are also supported by Toyota's internal philosophy, which goes beyond operational results. Its strategic objective places more emphasis on long-term value generation and durability than on immediate financial advantages. This has made it possible for the business to consistently invest in innovation, especially in hybrid technology, which has helped it stay competitive in a sector that is changing quickly. As a result, Toyota has always maintained a dominant position in the global auto industry, demonstrating the efficiency of its internal procedures. This performance record hasn't been without difficulties, though. Large-scale recalls and quality issues have shown gaps in organisational responsiveness and communication. The organization's organised decision-making processes, where information flow and escalation may be slower than necessary in high-pressure situations, have occasionally been connected to delays in resolving difficulties. These difficulties imply that whereas consistency and stability are advantages, they can also be weaknesses when quick action is required. All things considered, Toyota's success serves as an example of how internal beliefs and procedures may have a direct impact on organisational results. Even though its strategy continues to provide excellent results, its ability to adapt to technological disruption and growing competitive pressure will be crucial to keeping this position and preventing established strengths from becoming limitations in a changing environment.</w:t>
      </w:r>
    </w:p>
    <w:p w:rsidR="00000000" w:rsidDel="00000000" w:rsidP="00000000" w:rsidRDefault="00000000" w:rsidRPr="00000000" w14:paraId="0000001C">
      <w:pPr>
        <w:pStyle w:val="Heading2"/>
        <w:keepNext w:val="0"/>
        <w:keepLines w:val="0"/>
        <w:spacing w:after="80" w:lineRule="auto"/>
        <w:jc w:val="both"/>
        <w:rPr>
          <w:b w:val="1"/>
          <w:bCs w:val="1"/>
          <w:sz w:val="24"/>
          <w:szCs w:val="24"/>
        </w:rPr>
      </w:pPr>
      <w:bookmarkStart w:colFirst="0" w:colLast="0" w:name="_heading=h.n19udteca69a" w:id="8"/>
      <w:bookmarkEnd w:id="8"/>
      <w:r w:rsidDel="00000000" w:rsidR="00000000" w:rsidRPr="00000000">
        <w:rPr>
          <w:b w:val="1"/>
          <w:bCs w:val="1"/>
          <w:sz w:val="24"/>
          <w:szCs w:val="24"/>
          <w:rtl w:val="0"/>
        </w:rPr>
        <w:t xml:space="preserve">Recommendations for Improvement</w:t>
      </w:r>
    </w:p>
    <w:p w:rsidR="00000000" w:rsidDel="00000000" w:rsidP="00000000" w:rsidRDefault="00000000" w:rsidRPr="00000000" w14:paraId="0000001D">
      <w:pPr>
        <w:jc w:val="both"/>
        <w:rPr>
          <w:sz w:val="24"/>
          <w:szCs w:val="24"/>
        </w:rPr>
      </w:pPr>
      <w:r w:rsidDel="00000000" w:rsidR="00000000" w:rsidRPr="00000000">
        <w:rPr>
          <w:sz w:val="24"/>
          <w:szCs w:val="24"/>
          <w:rtl w:val="0"/>
        </w:rPr>
        <w:t xml:space="preserve">Toyota should implement a number of focused, evidence-based changes that build on its current advantages while resolving its current shortcomings in order to increase organisational effectiveness. First, the business should streamline approval procedures to increase decision-making agility, especially under pressure or during emergencies. Consensus-based methods encourage dedication and inclusivity, but they may cause delays when promptness is crucial. Toyota might react more successfully without compromising its collaborative culture by implementing more adaptable decision-making frameworks, such as pre-established escalation procedures or delegated authority in emergency situations. Secondly, Toyota ought to actively promote constructive disagreement among teams. While harmony and alignment are crucial, an excessive focus on consensus may stifle different points of view. Enhancing creativity and lowering the risk of groupthink can be achieved by providing safe spaces for staff members to challenge current procedures or suggest novel concepts. Here, leadership is essential since managers need to set an example of being receptive to criticism and critical dialogue. Third, the organization's international cultural integration needs to be strengthened even more. Toyota must strike a balance between its basic values and consideration for local cultural norms as it continues to operate in a variety of worldwide markets. This might entail modifying incentive programs, communication strategies, and management approaches to better conform to local standards while preserving the organization's distinctive character. Lastly, Toyota ought to keep funding digital transformation and encouraging an innovative attitude. In order to stay competitive over the long run, the corporation needs supplement its current processes with a stronger focus on experimentation, speed, and technological capabilities as the automobile sector experiences fast technological change, especially in electrification and automation.</w:t>
      </w:r>
    </w:p>
    <w:p w:rsidR="00000000" w:rsidDel="00000000" w:rsidP="00000000" w:rsidRDefault="00000000" w:rsidRPr="00000000" w14:paraId="0000001E">
      <w:pPr>
        <w:pStyle w:val="Heading2"/>
        <w:keepNext w:val="0"/>
        <w:keepLines w:val="0"/>
        <w:spacing w:after="80" w:lineRule="auto"/>
        <w:jc w:val="both"/>
        <w:rPr>
          <w:b w:val="1"/>
          <w:bCs w:val="1"/>
          <w:sz w:val="24"/>
          <w:szCs w:val="24"/>
        </w:rPr>
      </w:pPr>
      <w:bookmarkStart w:colFirst="0" w:colLast="0" w:name="_heading=h.neim25x8q77r" w:id="9"/>
      <w:bookmarkEnd w:id="9"/>
      <w:r w:rsidDel="00000000" w:rsidR="00000000" w:rsidRPr="00000000">
        <w:rPr>
          <w:b w:val="1"/>
          <w:bCs w:val="1"/>
          <w:sz w:val="24"/>
          <w:szCs w:val="24"/>
          <w:rtl w:val="0"/>
        </w:rPr>
        <w:t xml:space="preserve">Conclusion</w:t>
      </w:r>
    </w:p>
    <w:p w:rsidR="00000000" w:rsidDel="00000000" w:rsidP="00000000" w:rsidRDefault="00000000" w:rsidRPr="00000000" w14:paraId="0000001F">
      <w:pPr>
        <w:spacing w:after="240" w:before="240" w:lineRule="auto"/>
        <w:jc w:val="both"/>
        <w:rPr>
          <w:sz w:val="24"/>
          <w:szCs w:val="24"/>
        </w:rPr>
      </w:pPr>
      <w:r w:rsidDel="00000000" w:rsidR="00000000" w:rsidRPr="00000000">
        <w:rPr>
          <w:sz w:val="24"/>
          <w:szCs w:val="24"/>
          <w:rtl w:val="0"/>
        </w:rPr>
        <w:t xml:space="preserve">Structure, performance, and decision-making are all influenced by organisational culture. Toyota's culture is a major source of competitive advantage and is ingrained in the company's operations. By utilising Schein's Model, Hofstede's Dimensions, and Handy's Cultural Types, this paper has illustrated how Toyota's culture affects its organisational procedures and facilitates its capacity to adjust to external difficulties. Although culture mostly serves as a facilitator, if it is not properly controlled, it can also create obstacles. In the end, organisational culture's efficacy is determined by how well it complies with environmental requirements and strategic objectives. Toyota's capacity to uphold its fundamental principles while remaining adaptable and responsive in a world that is changing quickly will determine its long-term success.</w:t>
      </w:r>
    </w:p>
    <w:p w:rsidR="00000000" w:rsidDel="00000000" w:rsidP="00000000" w:rsidRDefault="00000000" w:rsidRPr="00000000" w14:paraId="00000020">
      <w:pPr>
        <w:pStyle w:val="Heading3"/>
        <w:keepNext w:val="0"/>
        <w:keepLines w:val="0"/>
        <w:spacing w:before="280" w:lineRule="auto"/>
        <w:jc w:val="both"/>
        <w:rPr>
          <w:b w:val="1"/>
          <w:bCs w:val="1"/>
          <w:color w:val="000000"/>
          <w:sz w:val="24"/>
          <w:szCs w:val="24"/>
        </w:rPr>
      </w:pPr>
      <w:bookmarkStart w:colFirst="0" w:colLast="0" w:name="_heading=h.lgj8ori7icfd" w:id="10"/>
      <w:bookmarkEnd w:id="10"/>
      <w:r w:rsidDel="00000000" w:rsidR="00000000" w:rsidRPr="00000000">
        <w:rPr>
          <w:b w:val="1"/>
          <w:bCs w:val="1"/>
          <w:color w:val="000000"/>
          <w:sz w:val="24"/>
          <w:szCs w:val="24"/>
          <w:rtl w:val="0"/>
        </w:rPr>
        <w:t xml:space="preserve">References</w:t>
      </w:r>
    </w:p>
    <w:p w:rsidR="00000000" w:rsidDel="00000000" w:rsidP="00000000" w:rsidRDefault="00000000" w:rsidRPr="00000000" w14:paraId="00000021">
      <w:pPr>
        <w:numPr>
          <w:ilvl w:val="0"/>
          <w:numId w:val="1"/>
        </w:numPr>
        <w:spacing w:after="0" w:before="240" w:lineRule="auto"/>
        <w:ind w:left="720" w:hanging="360"/>
        <w:jc w:val="both"/>
        <w:rPr>
          <w:sz w:val="24"/>
          <w:szCs w:val="24"/>
        </w:rPr>
      </w:pPr>
      <w:r w:rsidDel="00000000" w:rsidR="00000000" w:rsidRPr="00000000">
        <w:rPr>
          <w:sz w:val="24"/>
          <w:szCs w:val="24"/>
          <w:rtl w:val="0"/>
        </w:rPr>
        <w:t xml:space="preserve">Alvesson, M. (2020) </w:t>
      </w:r>
      <w:r w:rsidDel="00000000" w:rsidR="00000000" w:rsidRPr="00000000">
        <w:rPr>
          <w:i w:val="1"/>
          <w:iCs w:val="1"/>
          <w:sz w:val="24"/>
          <w:szCs w:val="24"/>
          <w:rtl w:val="0"/>
        </w:rPr>
        <w:t xml:space="preserve">Organizational Culture</w:t>
      </w:r>
      <w:r w:rsidDel="00000000" w:rsidR="00000000" w:rsidRPr="00000000">
        <w:rPr>
          <w:sz w:val="24"/>
          <w:szCs w:val="24"/>
          <w:rtl w:val="0"/>
        </w:rPr>
        <w:t xml:space="preserve">. 2nd edn. London: SAGE.</w:t>
      </w:r>
      <w:r w:rsidDel="00000000" w:rsidR="00000000" w:rsidRPr="00000000">
        <w:rPr>
          <w:rtl w:val="0"/>
        </w:rPr>
      </w:r>
    </w:p>
    <w:p w:rsidR="00000000" w:rsidDel="00000000" w:rsidP="00000000" w:rsidRDefault="00000000" w:rsidRPr="00000000" w14:paraId="00000022">
      <w:pPr>
        <w:numPr>
          <w:ilvl w:val="0"/>
          <w:numId w:val="1"/>
        </w:numPr>
        <w:spacing w:after="0" w:before="0" w:lineRule="auto"/>
        <w:ind w:left="720" w:hanging="360"/>
        <w:jc w:val="both"/>
        <w:rPr>
          <w:sz w:val="24"/>
          <w:szCs w:val="24"/>
        </w:rPr>
      </w:pPr>
      <w:r w:rsidDel="00000000" w:rsidR="00000000" w:rsidRPr="00000000">
        <w:rPr>
          <w:sz w:val="24"/>
          <w:szCs w:val="24"/>
          <w:rtl w:val="0"/>
        </w:rPr>
        <w:t xml:space="preserve">Chatman, J.A. and O’Reilly, C.A. (2016) ‘Paradigm lost: Reinvigorating the study of organizational culture’, </w:t>
      </w:r>
      <w:r w:rsidDel="00000000" w:rsidR="00000000" w:rsidRPr="00000000">
        <w:rPr>
          <w:i w:val="1"/>
          <w:iCs w:val="1"/>
          <w:sz w:val="24"/>
          <w:szCs w:val="24"/>
          <w:rtl w:val="0"/>
        </w:rPr>
        <w:t xml:space="preserve">Research in Organizational Behavior</w:t>
      </w:r>
      <w:r w:rsidDel="00000000" w:rsidR="00000000" w:rsidRPr="00000000">
        <w:rPr>
          <w:sz w:val="24"/>
          <w:szCs w:val="24"/>
          <w:rtl w:val="0"/>
        </w:rPr>
        <w:t xml:space="preserve">, 36, pp. 199–224.</w:t>
      </w:r>
      <w:r w:rsidDel="00000000" w:rsidR="00000000" w:rsidRPr="00000000">
        <w:rPr>
          <w:rtl w:val="0"/>
        </w:rPr>
      </w:r>
    </w:p>
    <w:p w:rsidR="00000000" w:rsidDel="00000000" w:rsidP="00000000" w:rsidRDefault="00000000" w:rsidRPr="00000000" w14:paraId="00000023">
      <w:pPr>
        <w:numPr>
          <w:ilvl w:val="0"/>
          <w:numId w:val="1"/>
        </w:numPr>
        <w:spacing w:after="0" w:before="0" w:lineRule="auto"/>
        <w:ind w:left="720" w:hanging="360"/>
        <w:jc w:val="both"/>
        <w:rPr>
          <w:sz w:val="24"/>
          <w:szCs w:val="24"/>
        </w:rPr>
      </w:pPr>
      <w:r w:rsidDel="00000000" w:rsidR="00000000" w:rsidRPr="00000000">
        <w:rPr>
          <w:sz w:val="24"/>
          <w:szCs w:val="24"/>
          <w:rtl w:val="0"/>
        </w:rPr>
        <w:t xml:space="preserve">Denison, D.R., Nieminen, L. and Kotrba, L. (2014) ‘Diagnosing organizational cultures: A conceptual and empirical review of culture effectiveness surveys’, </w:t>
      </w:r>
      <w:r w:rsidDel="00000000" w:rsidR="00000000" w:rsidRPr="00000000">
        <w:rPr>
          <w:i w:val="1"/>
          <w:iCs w:val="1"/>
          <w:sz w:val="24"/>
          <w:szCs w:val="24"/>
          <w:rtl w:val="0"/>
        </w:rPr>
        <w:t xml:space="preserve">European Journal of Work and Organizational Psychology</w:t>
      </w:r>
      <w:r w:rsidDel="00000000" w:rsidR="00000000" w:rsidRPr="00000000">
        <w:rPr>
          <w:sz w:val="24"/>
          <w:szCs w:val="24"/>
          <w:rtl w:val="0"/>
        </w:rPr>
        <w:t xml:space="preserve">, 23(1), pp. 145–161.</w:t>
      </w:r>
      <w:r w:rsidDel="00000000" w:rsidR="00000000" w:rsidRPr="00000000">
        <w:rPr>
          <w:rtl w:val="0"/>
        </w:rPr>
      </w:r>
    </w:p>
    <w:p w:rsidR="00000000" w:rsidDel="00000000" w:rsidP="00000000" w:rsidRDefault="00000000" w:rsidRPr="00000000" w14:paraId="00000024">
      <w:pPr>
        <w:numPr>
          <w:ilvl w:val="0"/>
          <w:numId w:val="1"/>
        </w:numPr>
        <w:spacing w:after="0" w:before="0" w:lineRule="auto"/>
        <w:ind w:left="720" w:hanging="360"/>
        <w:jc w:val="both"/>
        <w:rPr>
          <w:sz w:val="24"/>
          <w:szCs w:val="24"/>
        </w:rPr>
      </w:pPr>
      <w:r w:rsidDel="00000000" w:rsidR="00000000" w:rsidRPr="00000000">
        <w:rPr>
          <w:sz w:val="24"/>
          <w:szCs w:val="24"/>
          <w:rtl w:val="0"/>
        </w:rPr>
        <w:t xml:space="preserve">Hofstede, G., Hofstede, G.J. and Minkov, M. (2010) </w:t>
      </w:r>
      <w:r w:rsidDel="00000000" w:rsidR="00000000" w:rsidRPr="00000000">
        <w:rPr>
          <w:i w:val="1"/>
          <w:iCs w:val="1"/>
          <w:sz w:val="24"/>
          <w:szCs w:val="24"/>
          <w:rtl w:val="0"/>
        </w:rPr>
        <w:t xml:space="preserve">Cultures and Organizations: Software of the Mind</w:t>
      </w:r>
      <w:r w:rsidDel="00000000" w:rsidR="00000000" w:rsidRPr="00000000">
        <w:rPr>
          <w:sz w:val="24"/>
          <w:szCs w:val="24"/>
          <w:rtl w:val="0"/>
        </w:rPr>
        <w:t xml:space="preserve">. 3rd edn. New York: McGraw-Hill.</w:t>
      </w:r>
      <w:r w:rsidDel="00000000" w:rsidR="00000000" w:rsidRPr="00000000">
        <w:rPr>
          <w:rtl w:val="0"/>
        </w:rPr>
      </w:r>
    </w:p>
    <w:p w:rsidR="00000000" w:rsidDel="00000000" w:rsidP="00000000" w:rsidRDefault="00000000" w:rsidRPr="00000000" w14:paraId="00000025">
      <w:pPr>
        <w:numPr>
          <w:ilvl w:val="0"/>
          <w:numId w:val="1"/>
        </w:numPr>
        <w:spacing w:after="0" w:before="0" w:lineRule="auto"/>
        <w:ind w:left="720" w:hanging="360"/>
        <w:jc w:val="both"/>
        <w:rPr>
          <w:sz w:val="24"/>
          <w:szCs w:val="24"/>
        </w:rPr>
      </w:pPr>
      <w:r w:rsidDel="00000000" w:rsidR="00000000" w:rsidRPr="00000000">
        <w:rPr>
          <w:sz w:val="24"/>
          <w:szCs w:val="24"/>
          <w:rtl w:val="0"/>
        </w:rPr>
        <w:t xml:space="preserve">Liker, J.K. (2021) </w:t>
      </w:r>
      <w:r w:rsidDel="00000000" w:rsidR="00000000" w:rsidRPr="00000000">
        <w:rPr>
          <w:i w:val="1"/>
          <w:iCs w:val="1"/>
          <w:sz w:val="24"/>
          <w:szCs w:val="24"/>
          <w:rtl w:val="0"/>
        </w:rPr>
        <w:t xml:space="preserve">The Toyota Way: 14 Management Principles from the World’s Greatest Manufacturer</w:t>
      </w:r>
      <w:r w:rsidDel="00000000" w:rsidR="00000000" w:rsidRPr="00000000">
        <w:rPr>
          <w:sz w:val="24"/>
          <w:szCs w:val="24"/>
          <w:rtl w:val="0"/>
        </w:rPr>
        <w:t xml:space="preserve">. 2nd edn. New York: McGraw-Hill.</w:t>
      </w:r>
      <w:r w:rsidDel="00000000" w:rsidR="00000000" w:rsidRPr="00000000">
        <w:rPr>
          <w:rtl w:val="0"/>
        </w:rPr>
      </w:r>
    </w:p>
    <w:p w:rsidR="00000000" w:rsidDel="00000000" w:rsidP="00000000" w:rsidRDefault="00000000" w:rsidRPr="00000000" w14:paraId="00000026">
      <w:pPr>
        <w:numPr>
          <w:ilvl w:val="0"/>
          <w:numId w:val="1"/>
        </w:numPr>
        <w:spacing w:after="0" w:before="0" w:lineRule="auto"/>
        <w:ind w:left="720" w:hanging="360"/>
        <w:jc w:val="both"/>
        <w:rPr>
          <w:sz w:val="24"/>
          <w:szCs w:val="24"/>
        </w:rPr>
      </w:pPr>
      <w:r w:rsidDel="00000000" w:rsidR="00000000" w:rsidRPr="00000000">
        <w:rPr>
          <w:sz w:val="24"/>
          <w:szCs w:val="24"/>
          <w:rtl w:val="0"/>
        </w:rPr>
        <w:t xml:space="preserve">Mullins, L.J. and Christy, G. (2016) </w:t>
      </w:r>
      <w:r w:rsidDel="00000000" w:rsidR="00000000" w:rsidRPr="00000000">
        <w:rPr>
          <w:i w:val="1"/>
          <w:iCs w:val="1"/>
          <w:sz w:val="24"/>
          <w:szCs w:val="24"/>
          <w:rtl w:val="0"/>
        </w:rPr>
        <w:t xml:space="preserve">Management and Organisational Behaviour</w:t>
      </w:r>
      <w:r w:rsidDel="00000000" w:rsidR="00000000" w:rsidRPr="00000000">
        <w:rPr>
          <w:sz w:val="24"/>
          <w:szCs w:val="24"/>
          <w:rtl w:val="0"/>
        </w:rPr>
        <w:t xml:space="preserve">. 11th edn. Harlow: Pearson.</w:t>
      </w:r>
      <w:r w:rsidDel="00000000" w:rsidR="00000000" w:rsidRPr="00000000">
        <w:rPr>
          <w:rtl w:val="0"/>
        </w:rPr>
      </w:r>
    </w:p>
    <w:p w:rsidR="00000000" w:rsidDel="00000000" w:rsidP="00000000" w:rsidRDefault="00000000" w:rsidRPr="00000000" w14:paraId="00000027">
      <w:pPr>
        <w:numPr>
          <w:ilvl w:val="0"/>
          <w:numId w:val="1"/>
        </w:numPr>
        <w:spacing w:after="0" w:before="0" w:lineRule="auto"/>
        <w:ind w:left="720" w:hanging="360"/>
        <w:jc w:val="both"/>
        <w:rPr>
          <w:sz w:val="24"/>
          <w:szCs w:val="24"/>
        </w:rPr>
      </w:pPr>
      <w:r w:rsidDel="00000000" w:rsidR="00000000" w:rsidRPr="00000000">
        <w:rPr>
          <w:sz w:val="24"/>
          <w:szCs w:val="24"/>
          <w:rtl w:val="0"/>
        </w:rPr>
        <w:t xml:space="preserve">Ohno, T. (2019) </w:t>
      </w:r>
      <w:r w:rsidDel="00000000" w:rsidR="00000000" w:rsidRPr="00000000">
        <w:rPr>
          <w:i w:val="1"/>
          <w:iCs w:val="1"/>
          <w:sz w:val="24"/>
          <w:szCs w:val="24"/>
          <w:rtl w:val="0"/>
        </w:rPr>
        <w:t xml:space="preserve">Toyota Production System: Beyond Large-Scale Production</w:t>
      </w:r>
      <w:r w:rsidDel="00000000" w:rsidR="00000000" w:rsidRPr="00000000">
        <w:rPr>
          <w:sz w:val="24"/>
          <w:szCs w:val="24"/>
          <w:rtl w:val="0"/>
        </w:rPr>
        <w:t xml:space="preserve">. Boca Raton: CRC Press.</w:t>
      </w:r>
      <w:r w:rsidDel="00000000" w:rsidR="00000000" w:rsidRPr="00000000">
        <w:rPr>
          <w:rtl w:val="0"/>
        </w:rPr>
      </w:r>
    </w:p>
    <w:p w:rsidR="00000000" w:rsidDel="00000000" w:rsidP="00000000" w:rsidRDefault="00000000" w:rsidRPr="00000000" w14:paraId="00000028">
      <w:pPr>
        <w:numPr>
          <w:ilvl w:val="0"/>
          <w:numId w:val="1"/>
        </w:numPr>
        <w:spacing w:after="0" w:before="0" w:lineRule="auto"/>
        <w:ind w:left="720" w:hanging="360"/>
        <w:jc w:val="both"/>
        <w:rPr>
          <w:sz w:val="24"/>
          <w:szCs w:val="24"/>
        </w:rPr>
      </w:pPr>
      <w:r w:rsidDel="00000000" w:rsidR="00000000" w:rsidRPr="00000000">
        <w:rPr>
          <w:sz w:val="24"/>
          <w:szCs w:val="24"/>
          <w:rtl w:val="0"/>
        </w:rPr>
        <w:t xml:space="preserve">Schein, E.H. and Schein, P.A. (2017) </w:t>
      </w:r>
      <w:r w:rsidDel="00000000" w:rsidR="00000000" w:rsidRPr="00000000">
        <w:rPr>
          <w:i w:val="1"/>
          <w:iCs w:val="1"/>
          <w:sz w:val="24"/>
          <w:szCs w:val="24"/>
          <w:rtl w:val="0"/>
        </w:rPr>
        <w:t xml:space="preserve">Organizational Culture and Leadership</w:t>
      </w:r>
      <w:r w:rsidDel="00000000" w:rsidR="00000000" w:rsidRPr="00000000">
        <w:rPr>
          <w:sz w:val="24"/>
          <w:szCs w:val="24"/>
          <w:rtl w:val="0"/>
        </w:rPr>
        <w:t xml:space="preserve">. 5th edn. Hoboken, NJ: Wiley.</w:t>
      </w:r>
      <w:r w:rsidDel="00000000" w:rsidR="00000000" w:rsidRPr="00000000">
        <w:rPr>
          <w:rtl w:val="0"/>
        </w:rPr>
      </w:r>
    </w:p>
    <w:p w:rsidR="00000000" w:rsidDel="00000000" w:rsidP="00000000" w:rsidRDefault="00000000" w:rsidRPr="00000000" w14:paraId="00000029">
      <w:pPr>
        <w:numPr>
          <w:ilvl w:val="0"/>
          <w:numId w:val="1"/>
        </w:numPr>
        <w:spacing w:after="240" w:before="0" w:lineRule="auto"/>
        <w:ind w:left="720" w:hanging="360"/>
        <w:jc w:val="both"/>
        <w:rPr>
          <w:sz w:val="24"/>
          <w:szCs w:val="24"/>
        </w:rPr>
      </w:pPr>
      <w:r w:rsidDel="00000000" w:rsidR="00000000" w:rsidRPr="00000000">
        <w:rPr>
          <w:sz w:val="24"/>
          <w:szCs w:val="24"/>
          <w:rtl w:val="0"/>
        </w:rPr>
        <w:t xml:space="preserve">Taras, V., Steel, P. and Kirkman, B.L. (2021) ‘Improving national cultural indices using a longitudinal meta-analysis of Hofstede’s dimensions’, </w:t>
      </w:r>
      <w:r w:rsidDel="00000000" w:rsidR="00000000" w:rsidRPr="00000000">
        <w:rPr>
          <w:i w:val="1"/>
          <w:iCs w:val="1"/>
          <w:sz w:val="24"/>
          <w:szCs w:val="24"/>
          <w:rtl w:val="0"/>
        </w:rPr>
        <w:t xml:space="preserve">Journal of World Business</w:t>
      </w:r>
      <w:r w:rsidDel="00000000" w:rsidR="00000000" w:rsidRPr="00000000">
        <w:rPr>
          <w:sz w:val="24"/>
          <w:szCs w:val="24"/>
          <w:rtl w:val="0"/>
        </w:rPr>
        <w:t xml:space="preserve">, 56(1), pp. 1–16.</w:t>
      </w:r>
      <w:r w:rsidDel="00000000" w:rsidR="00000000" w:rsidRPr="00000000">
        <w:rPr>
          <w:rtl w:val="0"/>
        </w:rPr>
      </w:r>
    </w:p>
    <w:p w:rsidR="00000000" w:rsidDel="00000000" w:rsidP="00000000" w:rsidRDefault="00000000" w:rsidRPr="00000000" w14:paraId="0000002A">
      <w:pPr>
        <w:rPr>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2vQnBrBeMcWa3lX15e3tBsoXCQ==">CgMxLjAyDmguZ2EzZzlmNGtkOWVpMg5oLmp4aTRuYmxvbWMxbzIOaC40aXFtcGZwb2s3ajAyDmguZzBtbDBlMnZjdTlhMg5oLjNhNXNuYnNsNDIxZzIOaC5zOHhkMzJvcndoMDcyDWguYzdnM2ZlaWE2ZWsyDmgud29ic2hxeGEzdWRwMg5oLm4xOXVkdGVjYTY5YTIOaC5uZWltMjV4OHE3N3IyDmgubGdqOG9yaTdpY2ZkOAByITFsZ1RSLTd2cmdsUTdZSkJmWWpQZ2Z6T1lZSUlHZWg2c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