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78435" w14:textId="6D47077B" w:rsidR="00ED1049" w:rsidRPr="00ED1049" w:rsidRDefault="00ED1049" w:rsidP="00F611D2">
      <w:pPr>
        <w:rPr>
          <w:rFonts w:ascii="Arial" w:hAnsi="Arial" w:cs="Arial"/>
        </w:rPr>
      </w:pPr>
    </w:p>
    <w:p w14:paraId="630B5F3A" w14:textId="205E5B0A" w:rsidR="00C31D85" w:rsidRDefault="00C31D85" w:rsidP="00F611D2">
      <w:pPr>
        <w:jc w:val="center"/>
        <w:rPr>
          <w:rFonts w:ascii="Aptos" w:hAnsi="Aptos"/>
          <w:b/>
          <w:bCs/>
          <w:sz w:val="36"/>
          <w:szCs w:val="36"/>
        </w:rPr>
      </w:pPr>
    </w:p>
    <w:p w14:paraId="3260C959" w14:textId="77777777" w:rsidR="00C31D85" w:rsidRDefault="00C31D85" w:rsidP="00C31D85">
      <w:pPr>
        <w:jc w:val="center"/>
        <w:rPr>
          <w:rFonts w:ascii="Aptos" w:hAnsi="Aptos"/>
          <w:b/>
          <w:bCs/>
          <w:sz w:val="36"/>
          <w:szCs w:val="36"/>
        </w:rPr>
      </w:pPr>
    </w:p>
    <w:p w14:paraId="461920A4" w14:textId="21C88D66" w:rsidR="00C31D85" w:rsidRPr="00C31D85" w:rsidRDefault="00C31D85" w:rsidP="00C31D85">
      <w:pPr>
        <w:tabs>
          <w:tab w:val="left" w:pos="6540"/>
        </w:tabs>
        <w:spacing w:line="360" w:lineRule="auto"/>
        <w:ind w:left="426"/>
        <w:rPr>
          <w:rFonts w:ascii="Aptos" w:hAnsi="Aptos" w:cs="Arial"/>
          <w:sz w:val="28"/>
          <w:szCs w:val="28"/>
          <w:lang w:val="nl-NL"/>
        </w:rPr>
      </w:pPr>
      <w:r w:rsidRPr="00C31D85">
        <w:rPr>
          <w:rFonts w:ascii="Aptos" w:hAnsi="Aptos" w:cs="Arial"/>
          <w:b/>
          <w:bCs/>
          <w:sz w:val="28"/>
          <w:szCs w:val="28"/>
          <w:lang w:val="nl-NL"/>
        </w:rPr>
        <w:t>Student name</w:t>
      </w:r>
      <w:r w:rsidRPr="00C31D85">
        <w:rPr>
          <w:rFonts w:ascii="Aptos" w:hAnsi="Aptos" w:cs="Arial"/>
          <w:sz w:val="28"/>
          <w:szCs w:val="28"/>
          <w:lang w:val="nl-NL"/>
        </w:rPr>
        <w:t>:</w:t>
      </w:r>
      <w:r w:rsidR="00F611D2">
        <w:rPr>
          <w:rFonts w:ascii="Aptos" w:hAnsi="Aptos" w:cs="Arial"/>
          <w:sz w:val="28"/>
          <w:szCs w:val="28"/>
          <w:lang w:val="nl-NL"/>
        </w:rPr>
        <w:t xml:space="preserve"> shazia Malik </w:t>
      </w:r>
    </w:p>
    <w:p w14:paraId="4D060E17" w14:textId="1196CB23" w:rsidR="00C31D85" w:rsidRPr="00C31D85" w:rsidRDefault="00C31D85" w:rsidP="00C31D85">
      <w:pPr>
        <w:tabs>
          <w:tab w:val="left" w:pos="6540"/>
        </w:tabs>
        <w:spacing w:line="360" w:lineRule="auto"/>
        <w:ind w:left="426"/>
        <w:rPr>
          <w:rFonts w:ascii="Aptos" w:hAnsi="Aptos" w:cs="Arial"/>
          <w:sz w:val="28"/>
          <w:szCs w:val="28"/>
          <w:lang w:val="nl-NL"/>
        </w:rPr>
      </w:pPr>
      <w:r w:rsidRPr="00C31D85">
        <w:rPr>
          <w:rFonts w:ascii="Aptos" w:hAnsi="Aptos" w:cs="Arial"/>
          <w:b/>
          <w:bCs/>
          <w:sz w:val="28"/>
          <w:szCs w:val="28"/>
          <w:lang w:val="nl-NL"/>
        </w:rPr>
        <w:t>Student</w:t>
      </w:r>
      <w:r w:rsidR="003738C5">
        <w:rPr>
          <w:rFonts w:ascii="Aptos" w:hAnsi="Aptos" w:cs="Arial"/>
          <w:b/>
          <w:bCs/>
          <w:sz w:val="28"/>
          <w:szCs w:val="28"/>
          <w:lang w:val="nl-NL"/>
        </w:rPr>
        <w:t xml:space="preserve"> number: 2127945</w:t>
      </w:r>
    </w:p>
    <w:p w14:paraId="7C577260" w14:textId="77777777" w:rsidR="00C31D85" w:rsidRPr="00C31D85" w:rsidRDefault="00C31D85" w:rsidP="00C31D85">
      <w:pPr>
        <w:tabs>
          <w:tab w:val="left" w:pos="6540"/>
        </w:tabs>
        <w:spacing w:line="360" w:lineRule="auto"/>
        <w:ind w:left="426"/>
        <w:rPr>
          <w:rFonts w:ascii="Aptos" w:hAnsi="Aptos" w:cs="Arial"/>
          <w:sz w:val="28"/>
          <w:szCs w:val="28"/>
          <w:lang w:val="nl-NL"/>
        </w:rPr>
      </w:pPr>
    </w:p>
    <w:p w14:paraId="41CBCDE7" w14:textId="3E349686" w:rsidR="00C31D85" w:rsidRPr="00C31D85" w:rsidRDefault="00C31D85" w:rsidP="00C31D85">
      <w:pPr>
        <w:tabs>
          <w:tab w:val="left" w:pos="6540"/>
        </w:tabs>
        <w:spacing w:line="360" w:lineRule="auto"/>
        <w:ind w:left="426"/>
        <w:rPr>
          <w:rFonts w:ascii="Aptos" w:hAnsi="Aptos" w:cs="Arial"/>
          <w:sz w:val="28"/>
          <w:szCs w:val="28"/>
          <w:lang w:val="nl-NL"/>
        </w:rPr>
      </w:pPr>
      <w:r w:rsidRPr="00C31D85">
        <w:rPr>
          <w:rFonts w:ascii="Aptos" w:hAnsi="Aptos" w:cs="Arial"/>
          <w:b/>
          <w:bCs/>
          <w:sz w:val="28"/>
          <w:szCs w:val="28"/>
          <w:lang w:val="nl-NL"/>
        </w:rPr>
        <w:t xml:space="preserve">Module </w:t>
      </w:r>
      <w:r w:rsidR="00855841" w:rsidRPr="00C31D85">
        <w:rPr>
          <w:rFonts w:ascii="Aptos" w:hAnsi="Aptos" w:cs="Arial"/>
          <w:b/>
          <w:bCs/>
          <w:sz w:val="28"/>
          <w:szCs w:val="28"/>
          <w:lang w:val="nl-NL"/>
        </w:rPr>
        <w:t>name</w:t>
      </w:r>
      <w:r w:rsidR="00855841" w:rsidRPr="00C31D85">
        <w:rPr>
          <w:rFonts w:ascii="Aptos" w:hAnsi="Aptos" w:cs="Arial"/>
          <w:sz w:val="28"/>
          <w:szCs w:val="28"/>
          <w:lang w:val="nl-NL"/>
        </w:rPr>
        <w:t xml:space="preserve">: </w:t>
      </w:r>
      <w:proofErr w:type="spellStart"/>
      <w:r w:rsidR="00F07E4D">
        <w:rPr>
          <w:rFonts w:ascii="Aptos" w:hAnsi="Aptos" w:cs="Arial"/>
          <w:sz w:val="28"/>
          <w:szCs w:val="28"/>
          <w:lang w:val="nl-NL"/>
        </w:rPr>
        <w:t>Methodology</w:t>
      </w:r>
      <w:proofErr w:type="spellEnd"/>
      <w:r w:rsidR="00F07E4D">
        <w:rPr>
          <w:rFonts w:ascii="Aptos" w:hAnsi="Aptos" w:cs="Arial"/>
          <w:sz w:val="28"/>
          <w:szCs w:val="28"/>
          <w:lang w:val="nl-NL"/>
        </w:rPr>
        <w:t xml:space="preserve"> </w:t>
      </w:r>
      <w:r w:rsidR="00855841">
        <w:rPr>
          <w:rFonts w:ascii="Aptos" w:hAnsi="Aptos" w:cs="Arial"/>
          <w:sz w:val="28"/>
          <w:szCs w:val="28"/>
          <w:lang w:val="nl-NL"/>
        </w:rPr>
        <w:t xml:space="preserve"> poster </w:t>
      </w:r>
    </w:p>
    <w:p w14:paraId="42A6E8AA" w14:textId="24771740" w:rsidR="00C31D85" w:rsidRPr="00C31D85" w:rsidRDefault="00C31D85" w:rsidP="00C31D85">
      <w:pPr>
        <w:tabs>
          <w:tab w:val="left" w:pos="6540"/>
        </w:tabs>
        <w:spacing w:line="360" w:lineRule="auto"/>
        <w:ind w:left="426"/>
        <w:rPr>
          <w:rFonts w:ascii="Aptos" w:hAnsi="Aptos" w:cs="Arial"/>
          <w:sz w:val="28"/>
          <w:szCs w:val="28"/>
        </w:rPr>
      </w:pPr>
    </w:p>
    <w:p w14:paraId="41A4DC93" w14:textId="46512763" w:rsidR="00C31D85" w:rsidRPr="00C31D85" w:rsidRDefault="00CC0A8F" w:rsidP="00C31D85">
      <w:pPr>
        <w:jc w:val="center"/>
        <w:rPr>
          <w:rFonts w:ascii="Aptos" w:hAnsi="Aptos"/>
          <w:b/>
          <w:bCs/>
        </w:rPr>
        <w:sectPr w:rsidR="00C31D85" w:rsidRPr="00C31D85" w:rsidSect="00C31D85">
          <w:headerReference w:type="default" r:id="rId11"/>
          <w:headerReference w:type="first" r:id="rId12"/>
          <w:pgSz w:w="12240" w:h="15840" w:code="1"/>
          <w:pgMar w:top="720" w:right="576" w:bottom="720" w:left="720" w:header="432" w:footer="288" w:gutter="0"/>
          <w:cols w:space="720"/>
          <w:titlePg/>
          <w:docGrid w:linePitch="360"/>
        </w:sectPr>
      </w:pPr>
      <w:r w:rsidRPr="00C31D85">
        <w:rPr>
          <w:rFonts w:ascii="Aptos" w:hAnsi="Aptos"/>
          <w:b/>
          <w:bCs/>
        </w:rPr>
        <w:br w:type="page"/>
      </w:r>
    </w:p>
    <w:tbl>
      <w:tblPr>
        <w:tblStyle w:val="TableGrid"/>
        <w:tblW w:w="14616" w:type="dxa"/>
        <w:tblLook w:val="04A0" w:firstRow="1" w:lastRow="0" w:firstColumn="1" w:lastColumn="0" w:noHBand="0" w:noVBand="1"/>
      </w:tblPr>
      <w:tblGrid>
        <w:gridCol w:w="8411"/>
        <w:gridCol w:w="6903"/>
      </w:tblGrid>
      <w:tr w:rsidR="00802FF1" w:rsidRPr="00C31D85" w14:paraId="2F1EE6C0" w14:textId="77777777" w:rsidTr="00F52F83">
        <w:trPr>
          <w:trHeight w:val="597"/>
        </w:trPr>
        <w:tc>
          <w:tcPr>
            <w:tcW w:w="14616" w:type="dxa"/>
            <w:gridSpan w:val="2"/>
            <w:vAlign w:val="center"/>
          </w:tcPr>
          <w:p w14:paraId="184C3C2C" w14:textId="73E78D79" w:rsidR="00510FA4" w:rsidRDefault="00510FA4" w:rsidP="00802FF1">
            <w:pPr>
              <w:jc w:val="center"/>
              <w:rPr>
                <w:rFonts w:ascii="Aptos" w:hAnsi="Aptos"/>
                <w:b/>
                <w:bCs/>
                <w:sz w:val="36"/>
                <w:szCs w:val="36"/>
              </w:rPr>
            </w:pPr>
            <w:r w:rsidRPr="00510FA4">
              <w:rPr>
                <w:rFonts w:ascii="Aptos" w:hAnsi="Aptos"/>
                <w:b/>
                <w:bCs/>
                <w:sz w:val="36"/>
                <w:szCs w:val="36"/>
              </w:rPr>
              <w:lastRenderedPageBreak/>
              <w:t>Child Poverty and Access to Mental Health Services in Urban UK Areas: A Thematic Analysis of Secondary Research</w:t>
            </w:r>
          </w:p>
          <w:p w14:paraId="080E7EB0" w14:textId="1F253508" w:rsidR="00802FF1" w:rsidRPr="00802FF1" w:rsidRDefault="00802FF1" w:rsidP="00802FF1">
            <w:pPr>
              <w:jc w:val="center"/>
              <w:rPr>
                <w:rFonts w:ascii="Aptos" w:hAnsi="Aptos"/>
                <w:b/>
                <w:bCs/>
              </w:rPr>
            </w:pPr>
          </w:p>
        </w:tc>
      </w:tr>
      <w:tr w:rsidR="00C31D85" w:rsidRPr="00C31D85" w14:paraId="51100EC3" w14:textId="77777777" w:rsidTr="00063B85">
        <w:trPr>
          <w:trHeight w:val="1856"/>
        </w:trPr>
        <w:tc>
          <w:tcPr>
            <w:tcW w:w="7225" w:type="dxa"/>
          </w:tcPr>
          <w:p w14:paraId="7D5ABB49" w14:textId="2CC7BDDA" w:rsidR="00C31D85" w:rsidRPr="005F7D75" w:rsidRDefault="000E7A9C" w:rsidP="00C46111">
            <w:pPr>
              <w:rPr>
                <w:rFonts w:ascii="Aptos" w:hAnsi="Aptos"/>
                <w:b/>
                <w:bCs/>
              </w:rPr>
            </w:pPr>
            <w:r w:rsidRPr="00AB5409">
              <w:rPr>
                <w:rFonts w:ascii="Aptos" w:hAnsi="Aptos"/>
                <w:b/>
                <w:bCs/>
                <w:sz w:val="40"/>
                <w:szCs w:val="40"/>
              </w:rPr>
              <w:t>01</w:t>
            </w:r>
            <w:r>
              <w:rPr>
                <w:rFonts w:ascii="Aptos" w:hAnsi="Aptos"/>
              </w:rPr>
              <w:t xml:space="preserve"> </w:t>
            </w:r>
            <w:r w:rsidRPr="000E7A9C">
              <w:rPr>
                <w:rFonts w:ascii="Aptos" w:hAnsi="Aptos"/>
                <w:b/>
                <w:bCs/>
              </w:rPr>
              <w:t>Introduction</w:t>
            </w:r>
            <w:r w:rsidR="001A2DAB" w:rsidRPr="005F7D75">
              <w:rPr>
                <w:rFonts w:ascii="Aptos" w:hAnsi="Aptos"/>
                <w:b/>
                <w:bCs/>
              </w:rPr>
              <w:t xml:space="preserve"> and </w:t>
            </w:r>
            <w:r w:rsidR="00AB5409" w:rsidRPr="005F7D75">
              <w:rPr>
                <w:rFonts w:ascii="Aptos" w:hAnsi="Aptos"/>
                <w:b/>
                <w:bCs/>
              </w:rPr>
              <w:t xml:space="preserve">Research </w:t>
            </w:r>
            <w:r w:rsidR="001A2DAB" w:rsidRPr="005F7D75">
              <w:rPr>
                <w:rFonts w:ascii="Aptos" w:hAnsi="Aptos"/>
                <w:b/>
                <w:bCs/>
              </w:rPr>
              <w:t xml:space="preserve">Aim </w:t>
            </w:r>
          </w:p>
          <w:p w14:paraId="4F873229" w14:textId="04DBE928" w:rsidR="000E56ED" w:rsidRPr="00510FA4" w:rsidRDefault="00510FA4" w:rsidP="00510FA4">
            <w:pPr>
              <w:spacing w:line="360" w:lineRule="auto"/>
              <w:jc w:val="both"/>
              <w:rPr>
                <w:rFonts w:ascii="Aptos" w:hAnsi="Aptos"/>
              </w:rPr>
            </w:pPr>
            <w:r w:rsidRPr="00510FA4">
              <w:rPr>
                <w:rFonts w:ascii="Aptos" w:hAnsi="Aptos"/>
                <w:sz w:val="21"/>
                <w:szCs w:val="21"/>
              </w:rPr>
              <w:t xml:space="preserve">This study examines how child poverty influences access to mental health services in urban UK settings. The aim is to identify barriers, policy/service gaps, and socioeconomic inequalities by critically </w:t>
            </w:r>
            <w:r w:rsidR="00F611D2" w:rsidRPr="00510FA4">
              <w:rPr>
                <w:rFonts w:ascii="Aptos" w:hAnsi="Aptos"/>
                <w:sz w:val="21"/>
                <w:szCs w:val="21"/>
              </w:rPr>
              <w:t>analyzing</w:t>
            </w:r>
            <w:r w:rsidRPr="00510FA4">
              <w:rPr>
                <w:rFonts w:ascii="Aptos" w:hAnsi="Aptos"/>
                <w:sz w:val="21"/>
                <w:szCs w:val="21"/>
              </w:rPr>
              <w:t xml:space="preserve"> secondary data.</w:t>
            </w:r>
          </w:p>
        </w:tc>
        <w:tc>
          <w:tcPr>
            <w:tcW w:w="7391" w:type="dxa"/>
          </w:tcPr>
          <w:p w14:paraId="512F9F0B" w14:textId="77777777" w:rsidR="00C31D85" w:rsidRDefault="00C31D85" w:rsidP="00C46111">
            <w:pPr>
              <w:rPr>
                <w:rFonts w:ascii="Aptos" w:hAnsi="Aptos"/>
              </w:rPr>
            </w:pPr>
            <w:r w:rsidRPr="00AB5409">
              <w:rPr>
                <w:rFonts w:ascii="Aptos" w:hAnsi="Aptos"/>
                <w:b/>
                <w:bCs/>
                <w:sz w:val="40"/>
                <w:szCs w:val="40"/>
              </w:rPr>
              <w:t>02</w:t>
            </w:r>
            <w:r w:rsidR="00AB5409">
              <w:rPr>
                <w:rFonts w:ascii="Aptos" w:hAnsi="Aptos"/>
                <w:b/>
                <w:bCs/>
                <w:sz w:val="40"/>
                <w:szCs w:val="40"/>
              </w:rPr>
              <w:t xml:space="preserve"> </w:t>
            </w:r>
            <w:r w:rsidR="00AB5409" w:rsidRPr="005F7D75">
              <w:rPr>
                <w:rFonts w:ascii="Aptos" w:hAnsi="Aptos"/>
                <w:b/>
                <w:bCs/>
              </w:rPr>
              <w:t>Search Strategy</w:t>
            </w:r>
            <w:r w:rsidR="00AB5409">
              <w:rPr>
                <w:rFonts w:ascii="Aptos" w:hAnsi="Aptos"/>
              </w:rPr>
              <w:t xml:space="preserve"> </w:t>
            </w:r>
          </w:p>
          <w:p w14:paraId="109C23A4" w14:textId="28B81A49" w:rsidR="0029329C" w:rsidRPr="00510FA4" w:rsidRDefault="00510FA4" w:rsidP="005F7D75">
            <w:pPr>
              <w:spacing w:line="360" w:lineRule="auto"/>
              <w:jc w:val="both"/>
              <w:rPr>
                <w:rFonts w:ascii="Aptos" w:hAnsi="Aptos"/>
              </w:rPr>
            </w:pPr>
            <w:r w:rsidRPr="00510FA4">
              <w:rPr>
                <w:rFonts w:ascii="Aptos" w:hAnsi="Aptos"/>
                <w:sz w:val="20"/>
                <w:szCs w:val="20"/>
              </w:rPr>
              <w:t>A search strategy is a systematic process used to identify and retrieve relevant research. Databases included Google Scholar, PubMed, PsycINFO, JSTOR, NHS Digital, gov.uk. Boolean operators were applied: “child poverty” AND “mental health services” AND “UK urban”. Filters: English language, 2013–2024, UK-focused</w:t>
            </w:r>
            <w:r w:rsidR="005F7D75" w:rsidRPr="00510FA4">
              <w:rPr>
                <w:rFonts w:ascii="Aptos" w:hAnsi="Aptos"/>
                <w:sz w:val="20"/>
                <w:szCs w:val="20"/>
              </w:rPr>
              <w:t xml:space="preserve">. </w:t>
            </w:r>
          </w:p>
        </w:tc>
      </w:tr>
      <w:tr w:rsidR="00C31D85" w:rsidRPr="00C31D85" w14:paraId="56FBFF17" w14:textId="77777777" w:rsidTr="00063B85">
        <w:trPr>
          <w:trHeight w:val="1856"/>
        </w:trPr>
        <w:tc>
          <w:tcPr>
            <w:tcW w:w="7225" w:type="dxa"/>
          </w:tcPr>
          <w:p w14:paraId="30AEBD55" w14:textId="77777777" w:rsidR="00C31D85" w:rsidRDefault="00C31D85" w:rsidP="00C46111">
            <w:pPr>
              <w:rPr>
                <w:rFonts w:ascii="Aptos" w:hAnsi="Aptos"/>
              </w:rPr>
            </w:pPr>
            <w:r w:rsidRPr="00AB5409">
              <w:rPr>
                <w:rFonts w:ascii="Aptos" w:hAnsi="Aptos"/>
                <w:b/>
                <w:bCs/>
                <w:sz w:val="40"/>
                <w:szCs w:val="40"/>
              </w:rPr>
              <w:t>03</w:t>
            </w:r>
            <w:r w:rsidR="00AB5409">
              <w:rPr>
                <w:rFonts w:ascii="Aptos" w:hAnsi="Aptos"/>
              </w:rPr>
              <w:t xml:space="preserve"> </w:t>
            </w:r>
            <w:r w:rsidR="00AB5409" w:rsidRPr="005F7D75">
              <w:rPr>
                <w:rFonts w:ascii="Aptos" w:hAnsi="Aptos"/>
                <w:b/>
                <w:bCs/>
              </w:rPr>
              <w:t>Searching for Information</w:t>
            </w:r>
            <w:r w:rsidR="00AB5409">
              <w:rPr>
                <w:rFonts w:ascii="Aptos" w:hAnsi="Aptos"/>
              </w:rPr>
              <w:t xml:space="preserve"> </w:t>
            </w:r>
          </w:p>
          <w:p w14:paraId="37D400DC" w14:textId="77777777" w:rsidR="00510FA4" w:rsidRPr="00510FA4" w:rsidRDefault="00510FA4" w:rsidP="00510FA4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Aptos" w:hAnsi="Aptos"/>
                <w:sz w:val="18"/>
                <w:szCs w:val="18"/>
              </w:rPr>
            </w:pPr>
            <w:r w:rsidRPr="00510FA4">
              <w:rPr>
                <w:rFonts w:ascii="Aptos" w:hAnsi="Aptos"/>
                <w:sz w:val="18"/>
                <w:szCs w:val="18"/>
              </w:rPr>
              <w:t>Step 1: Broad keywords (e.g., child poverty, CAMHS, urban deprivation).</w:t>
            </w:r>
          </w:p>
          <w:p w14:paraId="42C93609" w14:textId="77777777" w:rsidR="00510FA4" w:rsidRPr="00510FA4" w:rsidRDefault="00510FA4" w:rsidP="00510FA4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Aptos" w:hAnsi="Aptos"/>
                <w:sz w:val="18"/>
                <w:szCs w:val="18"/>
              </w:rPr>
            </w:pPr>
            <w:r w:rsidRPr="00510FA4">
              <w:rPr>
                <w:rFonts w:ascii="Aptos" w:hAnsi="Aptos"/>
                <w:sz w:val="18"/>
                <w:szCs w:val="18"/>
              </w:rPr>
              <w:t>Step 2: Narrowed with Boolean logic and filters.</w:t>
            </w:r>
          </w:p>
          <w:p w14:paraId="3E2EDB1E" w14:textId="77777777" w:rsidR="00510FA4" w:rsidRPr="00510FA4" w:rsidRDefault="00510FA4" w:rsidP="00510FA4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Aptos" w:hAnsi="Aptos"/>
                <w:sz w:val="18"/>
                <w:szCs w:val="18"/>
              </w:rPr>
            </w:pPr>
            <w:r w:rsidRPr="00510FA4">
              <w:rPr>
                <w:rFonts w:ascii="Aptos" w:hAnsi="Aptos"/>
                <w:sz w:val="18"/>
                <w:szCs w:val="18"/>
              </w:rPr>
              <w:t>Step 3: Duplicates/irrelevant studies removed.</w:t>
            </w:r>
          </w:p>
          <w:p w14:paraId="6B51BC89" w14:textId="77777777" w:rsidR="00510FA4" w:rsidRPr="00510FA4" w:rsidRDefault="00510FA4" w:rsidP="00510FA4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Aptos" w:hAnsi="Aptos"/>
                <w:sz w:val="18"/>
                <w:szCs w:val="18"/>
              </w:rPr>
            </w:pPr>
            <w:r w:rsidRPr="00510FA4">
              <w:rPr>
                <w:rFonts w:ascii="Aptos" w:hAnsi="Aptos"/>
                <w:sz w:val="18"/>
                <w:szCs w:val="18"/>
              </w:rPr>
              <w:t>Step 4: Abstracts screened; full-text review conducted.</w:t>
            </w:r>
          </w:p>
          <w:p w14:paraId="3611ED69" w14:textId="4FC8F452" w:rsidR="0029329C" w:rsidRPr="00510FA4" w:rsidRDefault="00510FA4" w:rsidP="00510FA4">
            <w:pPr>
              <w:jc w:val="both"/>
              <w:rPr>
                <w:rFonts w:ascii="Aptos" w:hAnsi="Aptos"/>
                <w:sz w:val="20"/>
                <w:szCs w:val="20"/>
              </w:rPr>
            </w:pPr>
            <w:r w:rsidRPr="00510FA4">
              <w:rPr>
                <w:rFonts w:ascii="Aptos" w:hAnsi="Aptos"/>
                <w:sz w:val="20"/>
                <w:szCs w:val="20"/>
              </w:rPr>
              <w:t>A PRISMA diagram was used to document the process.</w:t>
            </w:r>
          </w:p>
          <w:tbl>
            <w:tblPr>
              <w:tblW w:w="7022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89"/>
              <w:gridCol w:w="2980"/>
              <w:gridCol w:w="2141"/>
              <w:gridCol w:w="912"/>
            </w:tblGrid>
            <w:tr w:rsidR="00510FA4" w14:paraId="535BAF41" w14:textId="77777777" w:rsidTr="00510FA4">
              <w:trPr>
                <w:trHeight w:val="272"/>
              </w:trPr>
              <w:tc>
                <w:tcPr>
                  <w:tcW w:w="98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B0B3B2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14:paraId="10BFD004" w14:textId="77777777" w:rsidR="00510FA4" w:rsidRDefault="00510FA4" w:rsidP="00510FA4">
                  <w:pPr>
                    <w:pStyle w:val="NormalWeb"/>
                    <w:spacing w:before="0" w:beforeAutospacing="0" w:after="0" w:afterAutospacing="0"/>
                  </w:pPr>
                  <w:r>
                    <w:rPr>
                      <w:rFonts w:ascii="Helvetica Neue" w:hAnsi="Helvetica Neue"/>
                      <w:b/>
                      <w:bCs/>
                      <w:color w:val="000000"/>
                      <w:sz w:val="15"/>
                      <w:szCs w:val="15"/>
                    </w:rPr>
                    <w:t>Database</w:t>
                  </w:r>
                </w:p>
              </w:tc>
              <w:tc>
                <w:tcPr>
                  <w:tcW w:w="298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B0B3B2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14:paraId="299BD237" w14:textId="77777777" w:rsidR="00510FA4" w:rsidRDefault="00510FA4" w:rsidP="00510FA4">
                  <w:pPr>
                    <w:pStyle w:val="NormalWeb"/>
                    <w:spacing w:before="0" w:beforeAutospacing="0" w:after="0" w:afterAutospacing="0"/>
                  </w:pPr>
                  <w:r>
                    <w:rPr>
                      <w:rFonts w:ascii="Helvetica Neue" w:hAnsi="Helvetica Neue"/>
                      <w:b/>
                      <w:bCs/>
                      <w:color w:val="000000"/>
                      <w:sz w:val="15"/>
                      <w:szCs w:val="15"/>
                    </w:rPr>
                    <w:t>Keywords</w:t>
                  </w:r>
                </w:p>
              </w:tc>
              <w:tc>
                <w:tcPr>
                  <w:tcW w:w="21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B0B3B2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14:paraId="59DC5AA0" w14:textId="77777777" w:rsidR="00510FA4" w:rsidRDefault="00510FA4" w:rsidP="00510FA4">
                  <w:pPr>
                    <w:pStyle w:val="NormalWeb"/>
                    <w:spacing w:before="0" w:beforeAutospacing="0" w:after="0" w:afterAutospacing="0"/>
                  </w:pPr>
                  <w:r>
                    <w:rPr>
                      <w:rFonts w:ascii="Helvetica Neue" w:hAnsi="Helvetica Neue"/>
                      <w:b/>
                      <w:bCs/>
                      <w:color w:val="000000"/>
                      <w:sz w:val="15"/>
                      <w:szCs w:val="15"/>
                    </w:rPr>
                    <w:t>Filters Applied</w:t>
                  </w:r>
                </w:p>
              </w:tc>
              <w:tc>
                <w:tcPr>
                  <w:tcW w:w="91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B0B3B2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14:paraId="758D9360" w14:textId="77777777" w:rsidR="00510FA4" w:rsidRDefault="00510FA4" w:rsidP="00510FA4">
                  <w:pPr>
                    <w:pStyle w:val="NormalWeb"/>
                    <w:spacing w:before="0" w:beforeAutospacing="0" w:after="0" w:afterAutospacing="0"/>
                  </w:pPr>
                  <w:r>
                    <w:rPr>
                      <w:rFonts w:ascii="Helvetica Neue" w:hAnsi="Helvetica Neue"/>
                      <w:b/>
                      <w:bCs/>
                      <w:color w:val="000000"/>
                      <w:sz w:val="15"/>
                      <w:szCs w:val="15"/>
                    </w:rPr>
                    <w:t>Number of Hits</w:t>
                  </w:r>
                </w:p>
              </w:tc>
            </w:tr>
            <w:tr w:rsidR="00510FA4" w14:paraId="26F6E055" w14:textId="77777777" w:rsidTr="00510FA4">
              <w:trPr>
                <w:trHeight w:val="297"/>
              </w:trPr>
              <w:tc>
                <w:tcPr>
                  <w:tcW w:w="98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D4D4D4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14:paraId="7F5F214F" w14:textId="77777777" w:rsidR="00510FA4" w:rsidRDefault="00510FA4" w:rsidP="00510FA4">
                  <w:pPr>
                    <w:pStyle w:val="NormalWeb"/>
                    <w:spacing w:before="0" w:beforeAutospacing="0" w:after="0" w:afterAutospacing="0"/>
                  </w:pPr>
                  <w:r>
                    <w:rPr>
                      <w:rFonts w:ascii="Helvetica Neue" w:hAnsi="Helvetica Neue"/>
                      <w:b/>
                      <w:bCs/>
                      <w:color w:val="000000"/>
                      <w:sz w:val="15"/>
                      <w:szCs w:val="15"/>
                    </w:rPr>
                    <w:t>Google Scholar</w:t>
                  </w:r>
                </w:p>
              </w:tc>
              <w:tc>
                <w:tcPr>
                  <w:tcW w:w="298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14:paraId="7F8DC596" w14:textId="77777777" w:rsidR="00510FA4" w:rsidRDefault="00510FA4" w:rsidP="00510FA4">
                  <w:pPr>
                    <w:pStyle w:val="NormalWeb"/>
                    <w:spacing w:before="0" w:beforeAutospacing="0" w:after="0" w:afterAutospacing="0"/>
                  </w:pPr>
                  <w:r>
                    <w:rPr>
                      <w:rFonts w:ascii="Helvetica Neue" w:hAnsi="Helvetica Neue"/>
                      <w:color w:val="000000"/>
                      <w:sz w:val="15"/>
                      <w:szCs w:val="15"/>
                    </w:rPr>
                    <w:t>"child poverty" AND "mental health services" AND "UK urban areas"</w:t>
                  </w:r>
                </w:p>
              </w:tc>
              <w:tc>
                <w:tcPr>
                  <w:tcW w:w="21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14:paraId="7CE20F4A" w14:textId="77777777" w:rsidR="00510FA4" w:rsidRDefault="00510FA4" w:rsidP="00510FA4">
                  <w:pPr>
                    <w:pStyle w:val="NormalWeb"/>
                    <w:spacing w:before="0" w:beforeAutospacing="0" w:after="0" w:afterAutospacing="0"/>
                  </w:pPr>
                  <w:r>
                    <w:rPr>
                      <w:rFonts w:ascii="Helvetica Neue" w:hAnsi="Helvetica Neue"/>
                      <w:color w:val="000000"/>
                      <w:sz w:val="15"/>
                      <w:szCs w:val="15"/>
                    </w:rPr>
                    <w:t>2013–2024, peer-reviewed, English</w:t>
                  </w:r>
                </w:p>
              </w:tc>
              <w:tc>
                <w:tcPr>
                  <w:tcW w:w="91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14:paraId="07717735" w14:textId="77777777" w:rsidR="00510FA4" w:rsidRDefault="00510FA4" w:rsidP="00510FA4">
                  <w:pPr>
                    <w:pStyle w:val="NormalWeb"/>
                    <w:spacing w:before="0" w:beforeAutospacing="0" w:after="0" w:afterAutospacing="0"/>
                  </w:pPr>
                  <w:r>
                    <w:rPr>
                      <w:rFonts w:ascii="Helvetica Neue" w:hAnsi="Helvetica Neue"/>
                      <w:color w:val="000000"/>
                      <w:sz w:val="15"/>
                      <w:szCs w:val="15"/>
                    </w:rPr>
                    <w:t>250</w:t>
                  </w:r>
                </w:p>
              </w:tc>
            </w:tr>
            <w:tr w:rsidR="00510FA4" w14:paraId="0B828061" w14:textId="77777777" w:rsidTr="00510FA4">
              <w:trPr>
                <w:trHeight w:val="272"/>
              </w:trPr>
              <w:tc>
                <w:tcPr>
                  <w:tcW w:w="98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D4D4D4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14:paraId="6808D992" w14:textId="77777777" w:rsidR="00510FA4" w:rsidRDefault="00510FA4" w:rsidP="00510FA4">
                  <w:pPr>
                    <w:pStyle w:val="NormalWeb"/>
                    <w:spacing w:before="0" w:beforeAutospacing="0" w:after="0" w:afterAutospacing="0"/>
                  </w:pPr>
                  <w:r>
                    <w:rPr>
                      <w:rFonts w:ascii="Helvetica Neue" w:hAnsi="Helvetica Neue"/>
                      <w:b/>
                      <w:bCs/>
                      <w:color w:val="000000"/>
                      <w:sz w:val="15"/>
                      <w:szCs w:val="15"/>
                    </w:rPr>
                    <w:t>PubMed</w:t>
                  </w:r>
                </w:p>
              </w:tc>
              <w:tc>
                <w:tcPr>
                  <w:tcW w:w="298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14:paraId="368F94D3" w14:textId="77777777" w:rsidR="00510FA4" w:rsidRDefault="00510FA4" w:rsidP="00510FA4">
                  <w:pPr>
                    <w:pStyle w:val="NormalWeb"/>
                    <w:spacing w:before="0" w:beforeAutospacing="0" w:after="0" w:afterAutospacing="0"/>
                  </w:pPr>
                  <w:r>
                    <w:rPr>
                      <w:rFonts w:ascii="Helvetica Neue" w:hAnsi="Helvetica Neue"/>
                      <w:color w:val="000000"/>
                      <w:sz w:val="15"/>
                      <w:szCs w:val="15"/>
                    </w:rPr>
                    <w:t>"child poverty" AND CAMHS AND UK</w:t>
                  </w:r>
                </w:p>
              </w:tc>
              <w:tc>
                <w:tcPr>
                  <w:tcW w:w="21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14:paraId="3D4D33E0" w14:textId="77777777" w:rsidR="00510FA4" w:rsidRDefault="00510FA4" w:rsidP="00510FA4">
                  <w:pPr>
                    <w:pStyle w:val="NormalWeb"/>
                    <w:spacing w:before="0" w:beforeAutospacing="0" w:after="0" w:afterAutospacing="0"/>
                  </w:pPr>
                  <w:r>
                    <w:rPr>
                      <w:rFonts w:ascii="Helvetica Neue" w:hAnsi="Helvetica Neue"/>
                      <w:color w:val="000000"/>
                      <w:sz w:val="15"/>
                      <w:szCs w:val="15"/>
                    </w:rPr>
                    <w:t>2013–2024, UK-based, English</w:t>
                  </w:r>
                </w:p>
              </w:tc>
              <w:tc>
                <w:tcPr>
                  <w:tcW w:w="91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14:paraId="55CBEE51" w14:textId="77777777" w:rsidR="00510FA4" w:rsidRDefault="00510FA4" w:rsidP="00510FA4">
                  <w:pPr>
                    <w:pStyle w:val="NormalWeb"/>
                    <w:spacing w:before="0" w:beforeAutospacing="0" w:after="0" w:afterAutospacing="0"/>
                  </w:pPr>
                  <w:r>
                    <w:rPr>
                      <w:rFonts w:ascii="Helvetica Neue" w:hAnsi="Helvetica Neue"/>
                      <w:color w:val="000000"/>
                      <w:sz w:val="15"/>
                      <w:szCs w:val="15"/>
                    </w:rPr>
                    <w:t>120</w:t>
                  </w:r>
                </w:p>
              </w:tc>
            </w:tr>
            <w:tr w:rsidR="00510FA4" w14:paraId="6BE65795" w14:textId="77777777" w:rsidTr="00510FA4">
              <w:trPr>
                <w:trHeight w:val="272"/>
              </w:trPr>
              <w:tc>
                <w:tcPr>
                  <w:tcW w:w="98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D4D4D4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14:paraId="2883D2BF" w14:textId="77777777" w:rsidR="00510FA4" w:rsidRDefault="00510FA4" w:rsidP="00510FA4">
                  <w:pPr>
                    <w:pStyle w:val="NormalWeb"/>
                    <w:spacing w:before="0" w:beforeAutospacing="0" w:after="0" w:afterAutospacing="0"/>
                  </w:pPr>
                  <w:r>
                    <w:rPr>
                      <w:rFonts w:ascii="Helvetica Neue" w:hAnsi="Helvetica Neue"/>
                      <w:b/>
                      <w:bCs/>
                      <w:color w:val="000000"/>
                      <w:sz w:val="15"/>
                      <w:szCs w:val="15"/>
                    </w:rPr>
                    <w:t>PsycINFO</w:t>
                  </w:r>
                </w:p>
              </w:tc>
              <w:tc>
                <w:tcPr>
                  <w:tcW w:w="298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14:paraId="6438A421" w14:textId="77777777" w:rsidR="00510FA4" w:rsidRDefault="00510FA4" w:rsidP="00510FA4">
                  <w:pPr>
                    <w:pStyle w:val="NormalWeb"/>
                    <w:spacing w:before="0" w:beforeAutospacing="0" w:after="0" w:afterAutospacing="0"/>
                  </w:pPr>
                  <w:r>
                    <w:rPr>
                      <w:rFonts w:ascii="Helvetica Neue" w:hAnsi="Helvetica Neue"/>
                      <w:color w:val="000000"/>
                      <w:sz w:val="15"/>
                      <w:szCs w:val="15"/>
                    </w:rPr>
                    <w:t>"urban deprivation" AND children AND mental health</w:t>
                  </w:r>
                </w:p>
              </w:tc>
              <w:tc>
                <w:tcPr>
                  <w:tcW w:w="21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14:paraId="6BFD6F69" w14:textId="77777777" w:rsidR="00510FA4" w:rsidRDefault="00510FA4" w:rsidP="00510FA4">
                  <w:pPr>
                    <w:pStyle w:val="NormalWeb"/>
                    <w:spacing w:before="0" w:beforeAutospacing="0" w:after="0" w:afterAutospacing="0"/>
                  </w:pPr>
                  <w:r>
                    <w:rPr>
                      <w:rFonts w:ascii="Helvetica Neue" w:hAnsi="Helvetica Neue"/>
                      <w:color w:val="000000"/>
                      <w:sz w:val="15"/>
                      <w:szCs w:val="15"/>
                    </w:rPr>
                    <w:t>2013–2024, peer-reviewed, children (0–18)</w:t>
                  </w:r>
                </w:p>
              </w:tc>
              <w:tc>
                <w:tcPr>
                  <w:tcW w:w="91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14:paraId="74A7FEC9" w14:textId="77777777" w:rsidR="00510FA4" w:rsidRDefault="00510FA4" w:rsidP="00510FA4">
                  <w:pPr>
                    <w:pStyle w:val="NormalWeb"/>
                    <w:spacing w:before="0" w:beforeAutospacing="0" w:after="0" w:afterAutospacing="0"/>
                  </w:pPr>
                  <w:r>
                    <w:rPr>
                      <w:rFonts w:ascii="Helvetica Neue" w:hAnsi="Helvetica Neue"/>
                      <w:color w:val="000000"/>
                      <w:sz w:val="15"/>
                      <w:szCs w:val="15"/>
                    </w:rPr>
                    <w:t>90</w:t>
                  </w:r>
                </w:p>
              </w:tc>
            </w:tr>
            <w:tr w:rsidR="00510FA4" w14:paraId="393B8744" w14:textId="77777777" w:rsidTr="00510FA4">
              <w:trPr>
                <w:trHeight w:val="272"/>
              </w:trPr>
              <w:tc>
                <w:tcPr>
                  <w:tcW w:w="98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D4D4D4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14:paraId="7EBAE4FD" w14:textId="77777777" w:rsidR="00510FA4" w:rsidRDefault="00510FA4" w:rsidP="00510FA4">
                  <w:pPr>
                    <w:pStyle w:val="NormalWeb"/>
                    <w:spacing w:before="0" w:beforeAutospacing="0" w:after="0" w:afterAutospacing="0"/>
                  </w:pPr>
                  <w:r>
                    <w:rPr>
                      <w:rFonts w:ascii="Helvetica Neue" w:hAnsi="Helvetica Neue"/>
                      <w:b/>
                      <w:bCs/>
                      <w:color w:val="000000"/>
                      <w:sz w:val="15"/>
                      <w:szCs w:val="15"/>
                    </w:rPr>
                    <w:t>JSTOR</w:t>
                  </w:r>
                </w:p>
              </w:tc>
              <w:tc>
                <w:tcPr>
                  <w:tcW w:w="298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14:paraId="62EFB379" w14:textId="77777777" w:rsidR="00510FA4" w:rsidRDefault="00510FA4" w:rsidP="00510FA4">
                  <w:pPr>
                    <w:pStyle w:val="NormalWeb"/>
                    <w:spacing w:before="0" w:beforeAutospacing="0" w:after="0" w:afterAutospacing="0"/>
                  </w:pPr>
                  <w:r>
                    <w:rPr>
                      <w:rFonts w:ascii="Helvetica Neue" w:hAnsi="Helvetica Neue"/>
                      <w:color w:val="000000"/>
                      <w:sz w:val="15"/>
                      <w:szCs w:val="15"/>
                    </w:rPr>
                    <w:t>"poverty" AND "mental health access" AND "United Kingdom"</w:t>
                  </w:r>
                </w:p>
              </w:tc>
              <w:tc>
                <w:tcPr>
                  <w:tcW w:w="21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14:paraId="20C502A6" w14:textId="77777777" w:rsidR="00510FA4" w:rsidRDefault="00510FA4" w:rsidP="00510FA4">
                  <w:pPr>
                    <w:pStyle w:val="NormalWeb"/>
                    <w:spacing w:before="0" w:beforeAutospacing="0" w:after="0" w:afterAutospacing="0"/>
                  </w:pPr>
                  <w:r>
                    <w:rPr>
                      <w:rFonts w:ascii="Helvetica Neue" w:hAnsi="Helvetica Neue"/>
                      <w:color w:val="000000"/>
                      <w:sz w:val="15"/>
                      <w:szCs w:val="15"/>
                    </w:rPr>
                    <w:t>2013–2024, English, social sciences</w:t>
                  </w:r>
                </w:p>
              </w:tc>
              <w:tc>
                <w:tcPr>
                  <w:tcW w:w="91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14:paraId="41035E0A" w14:textId="77777777" w:rsidR="00510FA4" w:rsidRDefault="00510FA4" w:rsidP="00510FA4">
                  <w:pPr>
                    <w:pStyle w:val="NormalWeb"/>
                    <w:spacing w:before="0" w:beforeAutospacing="0" w:after="0" w:afterAutospacing="0"/>
                  </w:pPr>
                  <w:r>
                    <w:rPr>
                      <w:rFonts w:ascii="Helvetica Neue" w:hAnsi="Helvetica Neue"/>
                      <w:color w:val="000000"/>
                      <w:sz w:val="15"/>
                      <w:szCs w:val="15"/>
                    </w:rPr>
                    <w:t>80</w:t>
                  </w:r>
                </w:p>
              </w:tc>
            </w:tr>
            <w:tr w:rsidR="00510FA4" w14:paraId="51D7024B" w14:textId="77777777" w:rsidTr="00510FA4">
              <w:trPr>
                <w:trHeight w:val="272"/>
              </w:trPr>
              <w:tc>
                <w:tcPr>
                  <w:tcW w:w="98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D4D4D4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14:paraId="3BC1092E" w14:textId="77777777" w:rsidR="00510FA4" w:rsidRDefault="00510FA4" w:rsidP="00510FA4">
                  <w:pPr>
                    <w:pStyle w:val="NormalWeb"/>
                    <w:spacing w:before="0" w:beforeAutospacing="0" w:after="0" w:afterAutospacing="0"/>
                  </w:pPr>
                  <w:r>
                    <w:rPr>
                      <w:rFonts w:ascii="Helvetica Neue" w:hAnsi="Helvetica Neue"/>
                      <w:b/>
                      <w:bCs/>
                      <w:color w:val="000000"/>
                      <w:sz w:val="15"/>
                      <w:szCs w:val="15"/>
                    </w:rPr>
                    <w:t>NHS Digital</w:t>
                  </w:r>
                </w:p>
              </w:tc>
              <w:tc>
                <w:tcPr>
                  <w:tcW w:w="298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14:paraId="7789FC81" w14:textId="77777777" w:rsidR="00510FA4" w:rsidRDefault="00510FA4" w:rsidP="00510FA4">
                  <w:pPr>
                    <w:pStyle w:val="NormalWeb"/>
                    <w:spacing w:before="0" w:beforeAutospacing="0" w:after="0" w:afterAutospacing="0"/>
                  </w:pPr>
                  <w:r>
                    <w:rPr>
                      <w:rFonts w:ascii="Helvetica Neue" w:hAnsi="Helvetica Neue"/>
                      <w:color w:val="000000"/>
                      <w:sz w:val="15"/>
                      <w:szCs w:val="15"/>
                    </w:rPr>
                    <w:t>"child poverty" AND NHS AND mental health</w:t>
                  </w:r>
                </w:p>
              </w:tc>
              <w:tc>
                <w:tcPr>
                  <w:tcW w:w="21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14:paraId="03A8D60E" w14:textId="77777777" w:rsidR="00510FA4" w:rsidRDefault="00510FA4" w:rsidP="00510FA4">
                  <w:pPr>
                    <w:pStyle w:val="NormalWeb"/>
                    <w:spacing w:before="0" w:beforeAutospacing="0" w:after="0" w:afterAutospacing="0"/>
                  </w:pPr>
                  <w:r>
                    <w:rPr>
                      <w:rFonts w:ascii="Helvetica Neue" w:hAnsi="Helvetica Neue"/>
                      <w:color w:val="000000"/>
                      <w:sz w:val="15"/>
                      <w:szCs w:val="15"/>
                    </w:rPr>
                    <w:t>2013–2024, UK data, reports/statistics</w:t>
                  </w:r>
                </w:p>
              </w:tc>
              <w:tc>
                <w:tcPr>
                  <w:tcW w:w="91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14:paraId="7F288DDB" w14:textId="77777777" w:rsidR="00510FA4" w:rsidRDefault="00510FA4" w:rsidP="00510FA4">
                  <w:pPr>
                    <w:pStyle w:val="NormalWeb"/>
                    <w:spacing w:before="0" w:beforeAutospacing="0" w:after="0" w:afterAutospacing="0"/>
                  </w:pPr>
                  <w:r>
                    <w:rPr>
                      <w:rFonts w:ascii="Helvetica Neue" w:hAnsi="Helvetica Neue"/>
                      <w:color w:val="000000"/>
                      <w:sz w:val="15"/>
                      <w:szCs w:val="15"/>
                    </w:rPr>
                    <w:t>100</w:t>
                  </w:r>
                </w:p>
              </w:tc>
            </w:tr>
            <w:tr w:rsidR="00510FA4" w14:paraId="6BBE971A" w14:textId="77777777" w:rsidTr="00510FA4">
              <w:trPr>
                <w:trHeight w:val="272"/>
              </w:trPr>
              <w:tc>
                <w:tcPr>
                  <w:tcW w:w="98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D4D4D4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14:paraId="407FDB20" w14:textId="77777777" w:rsidR="00510FA4" w:rsidRDefault="00510FA4" w:rsidP="00510FA4">
                  <w:pPr>
                    <w:pStyle w:val="NormalWeb"/>
                    <w:spacing w:before="0" w:beforeAutospacing="0" w:after="0" w:afterAutospacing="0"/>
                  </w:pPr>
                  <w:hyperlink r:id="rId13" w:history="1">
                    <w:r>
                      <w:rPr>
                        <w:rStyle w:val="Hyperlink"/>
                        <w:rFonts w:ascii="Helvetica Neue" w:hAnsi="Helvetica Neue"/>
                        <w:b/>
                        <w:bCs/>
                        <w:sz w:val="15"/>
                        <w:szCs w:val="15"/>
                      </w:rPr>
                      <w:t>gov.uk</w:t>
                    </w:r>
                  </w:hyperlink>
                </w:p>
              </w:tc>
              <w:tc>
                <w:tcPr>
                  <w:tcW w:w="298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14:paraId="04063957" w14:textId="77777777" w:rsidR="00510FA4" w:rsidRDefault="00510FA4" w:rsidP="00510FA4">
                  <w:pPr>
                    <w:pStyle w:val="NormalWeb"/>
                    <w:spacing w:before="0" w:beforeAutospacing="0" w:after="0" w:afterAutospacing="0"/>
                  </w:pPr>
                  <w:r>
                    <w:rPr>
                      <w:rFonts w:ascii="Helvetica Neue" w:hAnsi="Helvetica Neue"/>
                      <w:color w:val="000000"/>
                      <w:sz w:val="15"/>
                      <w:szCs w:val="15"/>
                    </w:rPr>
                    <w:t>"child poverty" AND "mental health policy"</w:t>
                  </w:r>
                </w:p>
              </w:tc>
              <w:tc>
                <w:tcPr>
                  <w:tcW w:w="21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14:paraId="7DD2627E" w14:textId="77777777" w:rsidR="00510FA4" w:rsidRDefault="00510FA4" w:rsidP="00510FA4">
                  <w:pPr>
                    <w:pStyle w:val="NormalWeb"/>
                    <w:spacing w:before="0" w:beforeAutospacing="0" w:after="0" w:afterAutospacing="0"/>
                  </w:pPr>
                  <w:r>
                    <w:rPr>
                      <w:rFonts w:ascii="Helvetica Neue" w:hAnsi="Helvetica Neue"/>
                      <w:color w:val="000000"/>
                      <w:sz w:val="15"/>
                      <w:szCs w:val="15"/>
                    </w:rPr>
                    <w:t>2013–2024, UK focus, government policy</w:t>
                  </w:r>
                </w:p>
              </w:tc>
              <w:tc>
                <w:tcPr>
                  <w:tcW w:w="91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14:paraId="0B197C34" w14:textId="77777777" w:rsidR="00510FA4" w:rsidRDefault="00510FA4" w:rsidP="00510FA4">
                  <w:pPr>
                    <w:pStyle w:val="NormalWeb"/>
                    <w:spacing w:before="0" w:beforeAutospacing="0" w:after="0" w:afterAutospacing="0"/>
                  </w:pPr>
                  <w:r>
                    <w:rPr>
                      <w:rFonts w:ascii="Helvetica Neue" w:hAnsi="Helvetica Neue"/>
                      <w:color w:val="000000"/>
                      <w:sz w:val="15"/>
                      <w:szCs w:val="15"/>
                    </w:rPr>
                    <w:t>67</w:t>
                  </w:r>
                </w:p>
              </w:tc>
            </w:tr>
          </w:tbl>
          <w:p w14:paraId="701333EA" w14:textId="35E1BA58" w:rsidR="0029329C" w:rsidRPr="005F7D75" w:rsidRDefault="0029329C" w:rsidP="00F52F83">
            <w:pPr>
              <w:spacing w:line="360" w:lineRule="auto"/>
              <w:jc w:val="both"/>
              <w:rPr>
                <w:rFonts w:ascii="Aptos" w:hAnsi="Aptos"/>
                <w:lang w:val="en-GB"/>
              </w:rPr>
            </w:pPr>
          </w:p>
        </w:tc>
        <w:tc>
          <w:tcPr>
            <w:tcW w:w="7391" w:type="dxa"/>
          </w:tcPr>
          <w:p w14:paraId="54995ADA" w14:textId="7696C49F" w:rsidR="00C31D85" w:rsidRDefault="00C31D85" w:rsidP="00C46111">
            <w:pPr>
              <w:rPr>
                <w:rFonts w:ascii="Aptos" w:hAnsi="Aptos"/>
              </w:rPr>
            </w:pPr>
            <w:r w:rsidRPr="00AB5409">
              <w:rPr>
                <w:rFonts w:ascii="Aptos" w:hAnsi="Aptos"/>
                <w:b/>
                <w:bCs/>
                <w:sz w:val="40"/>
                <w:szCs w:val="40"/>
              </w:rPr>
              <w:t>04</w:t>
            </w:r>
            <w:r w:rsidR="00AB5409">
              <w:rPr>
                <w:rFonts w:ascii="Aptos" w:hAnsi="Aptos"/>
              </w:rPr>
              <w:t xml:space="preserve"> </w:t>
            </w:r>
            <w:r w:rsidR="00510FA4">
              <w:rPr>
                <w:rFonts w:ascii="Aptos" w:hAnsi="Aptos"/>
                <w:b/>
                <w:bCs/>
              </w:rPr>
              <w:t>PRISMA Model</w:t>
            </w:r>
            <w:r w:rsidR="00AB5409">
              <w:rPr>
                <w:rFonts w:ascii="Aptos" w:hAnsi="Aptos"/>
              </w:rPr>
              <w:t xml:space="preserve"> </w:t>
            </w:r>
          </w:p>
          <w:p w14:paraId="2BBB997C" w14:textId="0E1FC957" w:rsidR="005F7D75" w:rsidRPr="00C31D85" w:rsidRDefault="00510FA4" w:rsidP="00510FA4">
            <w:pPr>
              <w:spacing w:line="360" w:lineRule="auto"/>
              <w:jc w:val="center"/>
              <w:rPr>
                <w:rFonts w:ascii="Aptos" w:hAnsi="Aptos"/>
              </w:rPr>
            </w:pPr>
            <w:r>
              <w:rPr>
                <w:rFonts w:ascii="Times New Roman" w:eastAsia="Times New Roman" w:hAnsi="Times New Roman" w:cs="Times New Roman"/>
                <w:noProof/>
                <w:lang w:eastAsia="en-GB"/>
              </w:rPr>
              <w:drawing>
                <wp:inline distT="0" distB="0" distL="0" distR="0" wp14:anchorId="747BC5AD" wp14:editId="29699AFE">
                  <wp:extent cx="2731626" cy="3011867"/>
                  <wp:effectExtent l="0" t="0" r="0" b="0"/>
                  <wp:docPr id="447337749" name="Picture 1" descr="A flowchart of records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7337749" name="Picture 1" descr="A flowchart of records&#10;&#10;AI-generated content may be incorrect.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5089" cy="30818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1D85" w:rsidRPr="00C31D85" w14:paraId="71279A0E" w14:textId="77777777" w:rsidTr="00F52F83">
        <w:trPr>
          <w:trHeight w:val="983"/>
        </w:trPr>
        <w:tc>
          <w:tcPr>
            <w:tcW w:w="14616" w:type="dxa"/>
            <w:gridSpan w:val="2"/>
          </w:tcPr>
          <w:p w14:paraId="559B5E23" w14:textId="77777777" w:rsidR="00C31D85" w:rsidRDefault="00C31D85" w:rsidP="00AB5409">
            <w:pPr>
              <w:jc w:val="center"/>
              <w:rPr>
                <w:rFonts w:ascii="Aptos" w:hAnsi="Aptos"/>
                <w:b/>
                <w:bCs/>
              </w:rPr>
            </w:pPr>
            <w:r w:rsidRPr="00AB5409">
              <w:rPr>
                <w:rFonts w:ascii="Aptos" w:hAnsi="Aptos"/>
                <w:b/>
                <w:bCs/>
                <w:sz w:val="40"/>
                <w:szCs w:val="40"/>
              </w:rPr>
              <w:lastRenderedPageBreak/>
              <w:t>05</w:t>
            </w:r>
            <w:r w:rsidR="00AB5409">
              <w:rPr>
                <w:rFonts w:ascii="Aptos" w:hAnsi="Aptos"/>
              </w:rPr>
              <w:t xml:space="preserve"> </w:t>
            </w:r>
            <w:r w:rsidR="00AB5409" w:rsidRPr="005F7D75">
              <w:rPr>
                <w:rFonts w:ascii="Aptos" w:hAnsi="Aptos"/>
                <w:b/>
                <w:bCs/>
              </w:rPr>
              <w:t>Research Validation and Analysis</w:t>
            </w:r>
          </w:p>
          <w:p w14:paraId="263DC7AA" w14:textId="696E684C" w:rsidR="00510FA4" w:rsidRPr="00510FA4" w:rsidRDefault="00510FA4" w:rsidP="00510FA4">
            <w:pPr>
              <w:pStyle w:val="NormalWeb"/>
              <w:rPr>
                <w:rFonts w:ascii="Aptos" w:hAnsi="Aptos"/>
                <w:sz w:val="22"/>
                <w:szCs w:val="22"/>
              </w:rPr>
            </w:pPr>
            <w:r w:rsidRPr="00510FA4">
              <w:rPr>
                <w:rFonts w:ascii="Aptos" w:hAnsi="Aptos"/>
                <w:sz w:val="22"/>
                <w:szCs w:val="22"/>
              </w:rPr>
              <w:t>Validation ensures credibility and reliability of evidence. Only peer-reviewed journals, government reports, and NGO publications were included. Cross-checking data reduced bias.</w:t>
            </w:r>
            <w:r w:rsidRPr="00510FA4">
              <w:rPr>
                <w:rFonts w:ascii="Aptos" w:hAnsi="Aptos"/>
                <w:sz w:val="22"/>
                <w:szCs w:val="22"/>
              </w:rPr>
              <w:br/>
              <w:t xml:space="preserve">Analysis was conducted using </w:t>
            </w:r>
            <w:r w:rsidRPr="00510FA4">
              <w:rPr>
                <w:rStyle w:val="Strong"/>
                <w:rFonts w:ascii="Aptos" w:hAnsi="Aptos"/>
                <w:sz w:val="22"/>
                <w:szCs w:val="22"/>
              </w:rPr>
              <w:t>thematic analysis</w:t>
            </w:r>
            <w:r w:rsidRPr="00510FA4">
              <w:rPr>
                <w:rFonts w:ascii="Aptos" w:hAnsi="Aptos"/>
                <w:sz w:val="22"/>
                <w:szCs w:val="22"/>
              </w:rPr>
              <w:t xml:space="preserve"> (Braun </w:t>
            </w:r>
            <w:r w:rsidR="003A0BCA">
              <w:rPr>
                <w:rFonts w:ascii="Aptos" w:hAnsi="Aptos"/>
                <w:sz w:val="22"/>
                <w:szCs w:val="22"/>
              </w:rPr>
              <w:t>and</w:t>
            </w:r>
            <w:r w:rsidRPr="00510FA4">
              <w:rPr>
                <w:rFonts w:ascii="Aptos" w:hAnsi="Aptos"/>
                <w:sz w:val="22"/>
                <w:szCs w:val="22"/>
              </w:rPr>
              <w:t xml:space="preserve"> Clarke, 2006), identifying three themes:</w:t>
            </w:r>
          </w:p>
          <w:p w14:paraId="2B218A4B" w14:textId="77777777" w:rsidR="00510FA4" w:rsidRPr="00510FA4" w:rsidRDefault="00510FA4" w:rsidP="00510FA4">
            <w:pPr>
              <w:pStyle w:val="NormalWeb"/>
              <w:numPr>
                <w:ilvl w:val="0"/>
                <w:numId w:val="15"/>
              </w:numPr>
              <w:rPr>
                <w:rFonts w:ascii="Aptos" w:hAnsi="Aptos"/>
                <w:sz w:val="22"/>
                <w:szCs w:val="22"/>
              </w:rPr>
            </w:pPr>
            <w:r w:rsidRPr="00510FA4">
              <w:rPr>
                <w:rFonts w:ascii="Aptos" w:hAnsi="Aptos"/>
                <w:sz w:val="22"/>
                <w:szCs w:val="22"/>
              </w:rPr>
              <w:t>Barriers to Access</w:t>
            </w:r>
          </w:p>
          <w:p w14:paraId="40C3284D" w14:textId="77777777" w:rsidR="00510FA4" w:rsidRPr="00510FA4" w:rsidRDefault="00510FA4" w:rsidP="00510FA4">
            <w:pPr>
              <w:pStyle w:val="NormalWeb"/>
              <w:numPr>
                <w:ilvl w:val="0"/>
                <w:numId w:val="15"/>
              </w:numPr>
              <w:rPr>
                <w:rFonts w:ascii="Aptos" w:hAnsi="Aptos"/>
                <w:sz w:val="22"/>
                <w:szCs w:val="22"/>
              </w:rPr>
            </w:pPr>
            <w:r w:rsidRPr="00510FA4">
              <w:rPr>
                <w:rFonts w:ascii="Aptos" w:hAnsi="Aptos"/>
                <w:sz w:val="22"/>
                <w:szCs w:val="22"/>
              </w:rPr>
              <w:t>Policy/Service Gaps</w:t>
            </w:r>
          </w:p>
          <w:p w14:paraId="7454B819" w14:textId="04045AF0" w:rsidR="00516CC0" w:rsidRPr="00510FA4" w:rsidRDefault="00510FA4" w:rsidP="00510FA4">
            <w:pPr>
              <w:pStyle w:val="NormalWeb"/>
              <w:numPr>
                <w:ilvl w:val="0"/>
                <w:numId w:val="15"/>
              </w:numPr>
            </w:pPr>
            <w:r w:rsidRPr="00510FA4">
              <w:rPr>
                <w:rFonts w:ascii="Aptos" w:hAnsi="Aptos"/>
                <w:sz w:val="22"/>
                <w:szCs w:val="22"/>
              </w:rPr>
              <w:t>Socioeconomic Inequalities</w:t>
            </w:r>
          </w:p>
        </w:tc>
      </w:tr>
      <w:tr w:rsidR="00AB5409" w:rsidRPr="00C31D85" w14:paraId="1159AF67" w14:textId="77777777" w:rsidTr="00063B85">
        <w:trPr>
          <w:trHeight w:val="1856"/>
        </w:trPr>
        <w:tc>
          <w:tcPr>
            <w:tcW w:w="7225" w:type="dxa"/>
          </w:tcPr>
          <w:p w14:paraId="398EE9B0" w14:textId="77777777" w:rsidR="00AB5409" w:rsidRDefault="00AB5409" w:rsidP="00C46111">
            <w:pPr>
              <w:rPr>
                <w:rFonts w:ascii="Aptos" w:hAnsi="Aptos"/>
              </w:rPr>
            </w:pPr>
            <w:r w:rsidRPr="00AB5409">
              <w:rPr>
                <w:rFonts w:ascii="Aptos" w:hAnsi="Aptos"/>
                <w:b/>
                <w:bCs/>
                <w:sz w:val="40"/>
                <w:szCs w:val="40"/>
              </w:rPr>
              <w:t>06</w:t>
            </w:r>
            <w:r>
              <w:rPr>
                <w:rFonts w:ascii="Aptos" w:hAnsi="Aptos"/>
              </w:rPr>
              <w:t xml:space="preserve"> </w:t>
            </w:r>
            <w:r w:rsidRPr="005F7D75">
              <w:rPr>
                <w:rFonts w:ascii="Aptos" w:hAnsi="Aptos"/>
                <w:b/>
                <w:bCs/>
              </w:rPr>
              <w:t>Inclusion Criteria</w:t>
            </w:r>
            <w:r>
              <w:rPr>
                <w:rFonts w:ascii="Aptos" w:hAnsi="Aptos"/>
              </w:rPr>
              <w:t xml:space="preserve"> </w:t>
            </w:r>
          </w:p>
          <w:p w14:paraId="548EDD4C" w14:textId="77777777" w:rsidR="00510FA4" w:rsidRPr="00510FA4" w:rsidRDefault="00510FA4" w:rsidP="00510FA4">
            <w:pPr>
              <w:pStyle w:val="NormalWeb"/>
              <w:numPr>
                <w:ilvl w:val="0"/>
                <w:numId w:val="16"/>
              </w:numPr>
              <w:rPr>
                <w:rFonts w:ascii="Aptos" w:hAnsi="Aptos"/>
                <w:sz w:val="22"/>
                <w:szCs w:val="22"/>
              </w:rPr>
            </w:pPr>
            <w:r w:rsidRPr="00510FA4">
              <w:rPr>
                <w:rFonts w:ascii="Aptos" w:hAnsi="Aptos"/>
                <w:sz w:val="22"/>
                <w:szCs w:val="22"/>
              </w:rPr>
              <w:t>UK-based research (2013–2024).</w:t>
            </w:r>
          </w:p>
          <w:p w14:paraId="133BBFCA" w14:textId="134EE409" w:rsidR="00510FA4" w:rsidRPr="00510FA4" w:rsidRDefault="00510FA4" w:rsidP="00510FA4">
            <w:pPr>
              <w:pStyle w:val="NormalWeb"/>
              <w:numPr>
                <w:ilvl w:val="0"/>
                <w:numId w:val="16"/>
              </w:numPr>
              <w:rPr>
                <w:rFonts w:ascii="Aptos" w:hAnsi="Aptos"/>
                <w:sz w:val="22"/>
                <w:szCs w:val="22"/>
              </w:rPr>
            </w:pPr>
            <w:r w:rsidRPr="00510FA4">
              <w:rPr>
                <w:rFonts w:ascii="Aptos" w:hAnsi="Aptos"/>
                <w:sz w:val="22"/>
                <w:szCs w:val="22"/>
              </w:rPr>
              <w:t>Peer-reviewed journals, government/NGO reports.</w:t>
            </w:r>
          </w:p>
          <w:p w14:paraId="00628477" w14:textId="07CC9703" w:rsidR="00516CC0" w:rsidRPr="00510FA4" w:rsidRDefault="00510FA4" w:rsidP="00510FA4">
            <w:pPr>
              <w:pStyle w:val="NormalWeb"/>
              <w:numPr>
                <w:ilvl w:val="0"/>
                <w:numId w:val="16"/>
              </w:numPr>
            </w:pPr>
            <w:r w:rsidRPr="00510FA4">
              <w:rPr>
                <w:rFonts w:ascii="Aptos" w:hAnsi="Aptos"/>
                <w:sz w:val="22"/>
                <w:szCs w:val="22"/>
              </w:rPr>
              <w:t>Focus on children (0–18) and poverty/mental health.</w:t>
            </w:r>
          </w:p>
        </w:tc>
        <w:tc>
          <w:tcPr>
            <w:tcW w:w="7391" w:type="dxa"/>
          </w:tcPr>
          <w:p w14:paraId="51867809" w14:textId="77777777" w:rsidR="00AB5409" w:rsidRDefault="00AB5409" w:rsidP="00C46111">
            <w:pPr>
              <w:rPr>
                <w:rFonts w:ascii="Aptos" w:hAnsi="Aptos"/>
              </w:rPr>
            </w:pPr>
            <w:r w:rsidRPr="00AB5409">
              <w:rPr>
                <w:rFonts w:ascii="Aptos" w:hAnsi="Aptos"/>
                <w:b/>
                <w:bCs/>
                <w:sz w:val="40"/>
                <w:szCs w:val="40"/>
              </w:rPr>
              <w:t>07</w:t>
            </w:r>
            <w:r>
              <w:rPr>
                <w:rFonts w:ascii="Aptos" w:hAnsi="Aptos"/>
              </w:rPr>
              <w:t xml:space="preserve"> </w:t>
            </w:r>
            <w:r w:rsidRPr="005F7D75">
              <w:rPr>
                <w:rFonts w:ascii="Aptos" w:hAnsi="Aptos"/>
                <w:b/>
                <w:bCs/>
              </w:rPr>
              <w:t>Exclusion Criteria</w:t>
            </w:r>
            <w:r>
              <w:rPr>
                <w:rFonts w:ascii="Aptos" w:hAnsi="Aptos"/>
              </w:rPr>
              <w:t xml:space="preserve"> </w:t>
            </w:r>
          </w:p>
          <w:p w14:paraId="0848461E" w14:textId="77777777" w:rsidR="00510FA4" w:rsidRPr="00510FA4" w:rsidRDefault="00510FA4" w:rsidP="00510FA4">
            <w:pPr>
              <w:pStyle w:val="NormalWeb"/>
              <w:numPr>
                <w:ilvl w:val="0"/>
                <w:numId w:val="17"/>
              </w:numPr>
              <w:rPr>
                <w:rFonts w:ascii="Aptos" w:hAnsi="Aptos"/>
                <w:sz w:val="22"/>
                <w:szCs w:val="22"/>
              </w:rPr>
            </w:pPr>
            <w:r w:rsidRPr="00510FA4">
              <w:rPr>
                <w:rFonts w:ascii="Aptos" w:hAnsi="Aptos"/>
                <w:sz w:val="22"/>
                <w:szCs w:val="22"/>
              </w:rPr>
              <w:t>Non-UK or non-English sources.</w:t>
            </w:r>
          </w:p>
          <w:p w14:paraId="72242879" w14:textId="77777777" w:rsidR="00510FA4" w:rsidRPr="00510FA4" w:rsidRDefault="00510FA4" w:rsidP="00510FA4">
            <w:pPr>
              <w:pStyle w:val="NormalWeb"/>
              <w:numPr>
                <w:ilvl w:val="0"/>
                <w:numId w:val="17"/>
              </w:numPr>
              <w:rPr>
                <w:rFonts w:ascii="Aptos" w:hAnsi="Aptos"/>
                <w:sz w:val="22"/>
                <w:szCs w:val="22"/>
              </w:rPr>
            </w:pPr>
            <w:r w:rsidRPr="00510FA4">
              <w:rPr>
                <w:rFonts w:ascii="Aptos" w:hAnsi="Aptos"/>
                <w:sz w:val="22"/>
                <w:szCs w:val="22"/>
              </w:rPr>
              <w:t>Older than 10 years (unless seminal).</w:t>
            </w:r>
          </w:p>
          <w:p w14:paraId="4C2DCE9D" w14:textId="77777777" w:rsidR="00510FA4" w:rsidRPr="00510FA4" w:rsidRDefault="00510FA4" w:rsidP="00510FA4">
            <w:pPr>
              <w:pStyle w:val="NormalWeb"/>
              <w:numPr>
                <w:ilvl w:val="0"/>
                <w:numId w:val="17"/>
              </w:numPr>
              <w:rPr>
                <w:rFonts w:ascii="Aptos" w:hAnsi="Aptos"/>
                <w:sz w:val="22"/>
                <w:szCs w:val="22"/>
              </w:rPr>
            </w:pPr>
            <w:r w:rsidRPr="00510FA4">
              <w:rPr>
                <w:rFonts w:ascii="Aptos" w:hAnsi="Aptos"/>
                <w:sz w:val="22"/>
                <w:szCs w:val="22"/>
              </w:rPr>
              <w:t>Non-peer-reviewed or inaccessible sources.</w:t>
            </w:r>
          </w:p>
          <w:p w14:paraId="253F8839" w14:textId="22142CA5" w:rsidR="00516CC0" w:rsidRPr="00510FA4" w:rsidRDefault="00510FA4" w:rsidP="00C46111">
            <w:pPr>
              <w:pStyle w:val="NormalWeb"/>
              <w:numPr>
                <w:ilvl w:val="0"/>
                <w:numId w:val="17"/>
              </w:numPr>
              <w:rPr>
                <w:rFonts w:ascii="Aptos" w:hAnsi="Aptos"/>
                <w:sz w:val="22"/>
                <w:szCs w:val="22"/>
              </w:rPr>
            </w:pPr>
            <w:r w:rsidRPr="00510FA4">
              <w:rPr>
                <w:rFonts w:ascii="Aptos" w:hAnsi="Aptos"/>
                <w:sz w:val="22"/>
                <w:szCs w:val="22"/>
              </w:rPr>
              <w:t>Irrelevant age groups.</w:t>
            </w:r>
          </w:p>
        </w:tc>
      </w:tr>
      <w:tr w:rsidR="00C31D85" w:rsidRPr="00C31D85" w14:paraId="583C9C87" w14:textId="77777777" w:rsidTr="00F52F83">
        <w:trPr>
          <w:trHeight w:val="1798"/>
        </w:trPr>
        <w:tc>
          <w:tcPr>
            <w:tcW w:w="14616" w:type="dxa"/>
            <w:gridSpan w:val="2"/>
          </w:tcPr>
          <w:p w14:paraId="44C8BC9D" w14:textId="77777777" w:rsidR="00C31D85" w:rsidRDefault="00C31D85" w:rsidP="00AB5409">
            <w:pPr>
              <w:jc w:val="center"/>
              <w:rPr>
                <w:rFonts w:ascii="Aptos" w:hAnsi="Aptos"/>
                <w:b/>
                <w:bCs/>
              </w:rPr>
            </w:pPr>
            <w:r w:rsidRPr="00AB5409">
              <w:rPr>
                <w:rFonts w:ascii="Aptos" w:hAnsi="Aptos"/>
                <w:b/>
                <w:bCs/>
                <w:sz w:val="40"/>
                <w:szCs w:val="40"/>
              </w:rPr>
              <w:t>0</w:t>
            </w:r>
            <w:r w:rsidR="00AB5409">
              <w:rPr>
                <w:rFonts w:ascii="Aptos" w:hAnsi="Aptos"/>
                <w:b/>
                <w:bCs/>
                <w:sz w:val="40"/>
                <w:szCs w:val="40"/>
              </w:rPr>
              <w:t>8</w:t>
            </w:r>
            <w:r w:rsidR="00AB5409">
              <w:rPr>
                <w:rFonts w:ascii="Aptos" w:hAnsi="Aptos"/>
              </w:rPr>
              <w:t xml:space="preserve"> </w:t>
            </w:r>
            <w:r w:rsidR="00AB5409" w:rsidRPr="005F7D75">
              <w:rPr>
                <w:rFonts w:ascii="Aptos" w:hAnsi="Aptos"/>
                <w:b/>
                <w:bCs/>
              </w:rPr>
              <w:t>Ethical Considerations</w:t>
            </w:r>
          </w:p>
          <w:p w14:paraId="1EFAF50B" w14:textId="409B8926" w:rsidR="00F52F83" w:rsidRPr="00F52F83" w:rsidRDefault="008C1616" w:rsidP="00F52F83">
            <w:pPr>
              <w:numPr>
                <w:ilvl w:val="0"/>
                <w:numId w:val="12"/>
              </w:numPr>
              <w:rPr>
                <w:rFonts w:ascii="Aptos" w:hAnsi="Aptos"/>
                <w:lang w:val="en-GB"/>
              </w:rPr>
            </w:pPr>
            <w:r w:rsidRPr="00F52F83">
              <w:rPr>
                <w:rFonts w:ascii="Aptos" w:hAnsi="Aptos"/>
                <w:noProof/>
              </w:rPr>
              <w:lastRenderedPageBreak/>
              <w:drawing>
                <wp:anchor distT="0" distB="0" distL="114300" distR="114300" simplePos="0" relativeHeight="251661312" behindDoc="1" locked="0" layoutInCell="1" allowOverlap="1" wp14:anchorId="208D47B1" wp14:editId="2F1A217B">
                  <wp:simplePos x="0" y="0"/>
                  <wp:positionH relativeFrom="column">
                    <wp:posOffset>156845</wp:posOffset>
                  </wp:positionH>
                  <wp:positionV relativeFrom="paragraph">
                    <wp:posOffset>471170</wp:posOffset>
                  </wp:positionV>
                  <wp:extent cx="8886825" cy="2124075"/>
                  <wp:effectExtent l="25400" t="0" r="675005" b="631190"/>
                  <wp:wrapTight wrapText="bothSides">
                    <wp:wrapPolygon edited="0">
                      <wp:start x="-114" y="0"/>
                      <wp:lineTo x="-114" y="21528"/>
                      <wp:lineTo x="4802" y="23442"/>
                      <wp:lineTo x="4802" y="28944"/>
                      <wp:lineTo x="18064" y="31096"/>
                      <wp:lineTo x="18064" y="32771"/>
                      <wp:lineTo x="19265" y="33249"/>
                      <wp:lineTo x="19493" y="33249"/>
                      <wp:lineTo x="23495" y="32771"/>
                      <wp:lineTo x="24581" y="32292"/>
                      <wp:lineTo x="24295" y="31096"/>
                      <wp:lineTo x="23495" y="27269"/>
                      <wp:lineTo x="23438" y="27269"/>
                      <wp:lineTo x="23209" y="23442"/>
                      <wp:lineTo x="23552" y="19854"/>
                      <wp:lineTo x="24410" y="16027"/>
                      <wp:lineTo x="24410" y="15787"/>
                      <wp:lineTo x="24067" y="11960"/>
                      <wp:lineTo x="23152" y="8133"/>
                      <wp:lineTo x="23495" y="5023"/>
                      <wp:lineTo x="23209" y="4306"/>
                      <wp:lineTo x="21723" y="4306"/>
                      <wp:lineTo x="21723" y="0"/>
                      <wp:lineTo x="-114" y="0"/>
                    </wp:wrapPolygon>
                  </wp:wrapTight>
                  <wp:docPr id="623136086" name="Diagram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484D78E-E6A4-3161-5AD7-28F81C814DA5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15" r:lo="rId16" r:qs="rId17" r:cs="rId18"/>
                    </a:graphicData>
                  </a:graphic>
                </wp:anchor>
              </w:drawing>
            </w:r>
            <w:r w:rsidR="000E7A9C">
              <w:rPr>
                <w:rFonts w:ascii="Aptos" w:hAnsi="Aptos"/>
                <w:lang w:val="en-GB"/>
              </w:rPr>
              <w:t>Ethics in secondary research involve responsible, transparent use of published data.</w:t>
            </w:r>
            <w:r w:rsidR="00F52F83" w:rsidRPr="00F52F83">
              <w:rPr>
                <w:rFonts w:ascii="Aptos" w:hAnsi="Aptos"/>
                <w:lang w:val="en-GB"/>
              </w:rPr>
              <w:t xml:space="preserve"> </w:t>
            </w:r>
          </w:p>
          <w:p w14:paraId="28D04039" w14:textId="187C19B3" w:rsidR="00F52F83" w:rsidRPr="00F52F83" w:rsidRDefault="00F52F83" w:rsidP="00F52F83">
            <w:pPr>
              <w:rPr>
                <w:rFonts w:ascii="Aptos" w:hAnsi="Aptos"/>
                <w:lang w:val="en-GB"/>
              </w:rPr>
            </w:pPr>
          </w:p>
        </w:tc>
      </w:tr>
    </w:tbl>
    <w:p w14:paraId="53F82A21" w14:textId="77777777" w:rsidR="00C31D85" w:rsidRDefault="00C31D85" w:rsidP="00C46111">
      <w:pPr>
        <w:sectPr w:rsidR="00C31D85" w:rsidSect="00C31D85">
          <w:pgSz w:w="15840" w:h="12240" w:orient="landscape" w:code="1"/>
          <w:pgMar w:top="720" w:right="720" w:bottom="576" w:left="720" w:header="432" w:footer="288" w:gutter="0"/>
          <w:cols w:space="720"/>
          <w:titlePg/>
          <w:docGrid w:linePitch="360"/>
        </w:sectPr>
      </w:pPr>
    </w:p>
    <w:p w14:paraId="489BBCE1" w14:textId="79920A52" w:rsidR="00ED1049" w:rsidRPr="00C31D85" w:rsidRDefault="00ED1049" w:rsidP="00C31D85">
      <w:r w:rsidRPr="00ED1049">
        <w:rPr>
          <w:rFonts w:ascii="Arial" w:hAnsi="Arial" w:cs="Arial"/>
          <w:b/>
          <w:bCs/>
          <w:sz w:val="28"/>
          <w:szCs w:val="28"/>
        </w:rPr>
        <w:lastRenderedPageBreak/>
        <w:t>References</w:t>
      </w:r>
    </w:p>
    <w:p w14:paraId="34AE124C" w14:textId="6A7A7611" w:rsidR="003A0BCA" w:rsidRDefault="003A0BCA" w:rsidP="003A0BCA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Braun, V., and Clarke, V. (2006). Using thematic analysis in psychology.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Qualitative research in psychology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3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(2), 77-101.</w:t>
      </w:r>
    </w:p>
    <w:p w14:paraId="781C93E5" w14:textId="621EC0F6" w:rsidR="003A0BCA" w:rsidRDefault="003A0BCA" w:rsidP="003A0BCA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Bell, E., Harley, B., and Bryman, A. (2022).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Business research methods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. Oxford university press.</w:t>
      </w:r>
    </w:p>
    <w:p w14:paraId="5B2DDF62" w14:textId="7B220B2C" w:rsidR="003A0BCA" w:rsidRDefault="003A0BCA" w:rsidP="003A0BCA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Creswell, J. W., and Poth, C. N. (2016).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Qualitative inquiry and research design: Choosing among five approaches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. Sage publications.</w:t>
      </w:r>
    </w:p>
    <w:p w14:paraId="5D731EAB" w14:textId="77777777" w:rsidR="003A0BCA" w:rsidRDefault="003A0BCA" w:rsidP="003A0BCA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Hart, C. (2001).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Doing a literature search: A comprehensive guide for the social sciences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. Sage.</w:t>
      </w:r>
    </w:p>
    <w:p w14:paraId="6D366B01" w14:textId="26E505F7" w:rsidR="003A0BCA" w:rsidRDefault="003A0BCA" w:rsidP="003A0BCA"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James, N., and Busher, H. (2015). Ethical issues in online research.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Educational Research and Evaluation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21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(2), 89-94.</w:t>
      </w:r>
    </w:p>
    <w:p w14:paraId="6A161BD3" w14:textId="77777777" w:rsidR="003A0BCA" w:rsidRDefault="003A0BCA" w:rsidP="003A0BCA"/>
    <w:p w14:paraId="530E0F70" w14:textId="77777777" w:rsidR="003A0BCA" w:rsidRDefault="003A0BCA" w:rsidP="003A0BCA"/>
    <w:p w14:paraId="744376B4" w14:textId="77777777" w:rsidR="003A0BCA" w:rsidRDefault="003A0BCA" w:rsidP="003A0BCA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364E780A" w14:textId="39940913" w:rsidR="00EB6F36" w:rsidRDefault="00EB6F36" w:rsidP="00C4611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</w:p>
    <w:p w14:paraId="787444DC" w14:textId="77777777" w:rsidR="00EB6F36" w:rsidRDefault="00EB6F36" w:rsidP="00C46111">
      <w:pPr>
        <w:rPr>
          <w:rFonts w:ascii="Arial" w:hAnsi="Arial" w:cs="Arial"/>
          <w:sz w:val="24"/>
          <w:szCs w:val="24"/>
        </w:rPr>
      </w:pPr>
    </w:p>
    <w:p w14:paraId="725FE163" w14:textId="0217A54B" w:rsidR="00EB6F36" w:rsidRDefault="00846694" w:rsidP="00C46111">
      <w:pPr>
        <w:rPr>
          <w:noProof/>
        </w:rPr>
      </w:pPr>
      <w:r w:rsidRPr="00846694">
        <w:rPr>
          <w:noProof/>
        </w:rPr>
        <w:t xml:space="preserve"> </w:t>
      </w:r>
    </w:p>
    <w:p w14:paraId="1117C621" w14:textId="77777777" w:rsidR="005F7D75" w:rsidRDefault="005F7D75" w:rsidP="00C46111">
      <w:pPr>
        <w:rPr>
          <w:noProof/>
        </w:rPr>
      </w:pPr>
    </w:p>
    <w:p w14:paraId="403780EA" w14:textId="77777777" w:rsidR="005F7D75" w:rsidRDefault="005F7D75" w:rsidP="00C46111">
      <w:pPr>
        <w:rPr>
          <w:noProof/>
        </w:rPr>
      </w:pPr>
    </w:p>
    <w:p w14:paraId="7C20071D" w14:textId="77777777" w:rsidR="005F7D75" w:rsidRDefault="005F7D75" w:rsidP="00C46111">
      <w:pPr>
        <w:rPr>
          <w:noProof/>
        </w:rPr>
      </w:pPr>
    </w:p>
    <w:p w14:paraId="579172ED" w14:textId="77777777" w:rsidR="005F7D75" w:rsidRDefault="005F7D75" w:rsidP="00C46111">
      <w:pPr>
        <w:rPr>
          <w:noProof/>
        </w:rPr>
      </w:pPr>
    </w:p>
    <w:p w14:paraId="59F89357" w14:textId="77777777" w:rsidR="005F7D75" w:rsidRDefault="005F7D75" w:rsidP="00C46111">
      <w:pPr>
        <w:rPr>
          <w:noProof/>
        </w:rPr>
      </w:pPr>
    </w:p>
    <w:p w14:paraId="241FFB1B" w14:textId="77777777" w:rsidR="005F7D75" w:rsidRDefault="005F7D75" w:rsidP="00C46111">
      <w:pPr>
        <w:rPr>
          <w:noProof/>
        </w:rPr>
      </w:pPr>
    </w:p>
    <w:p w14:paraId="2B1D5641" w14:textId="77777777" w:rsidR="005F7D75" w:rsidRDefault="005F7D75" w:rsidP="00C46111">
      <w:pPr>
        <w:rPr>
          <w:noProof/>
        </w:rPr>
      </w:pPr>
    </w:p>
    <w:p w14:paraId="75B17DEF" w14:textId="77777777" w:rsidR="005F7D75" w:rsidRDefault="005F7D75" w:rsidP="00C46111">
      <w:pPr>
        <w:rPr>
          <w:noProof/>
        </w:rPr>
      </w:pPr>
    </w:p>
    <w:p w14:paraId="704E6675" w14:textId="77777777" w:rsidR="005F7D75" w:rsidRDefault="005F7D75" w:rsidP="00C46111">
      <w:pPr>
        <w:rPr>
          <w:noProof/>
        </w:rPr>
      </w:pPr>
    </w:p>
    <w:p w14:paraId="26540F31" w14:textId="77777777" w:rsidR="005F7D75" w:rsidRDefault="005F7D75" w:rsidP="00C46111">
      <w:pPr>
        <w:rPr>
          <w:noProof/>
        </w:rPr>
      </w:pPr>
    </w:p>
    <w:p w14:paraId="433F5986" w14:textId="77777777" w:rsidR="005F7D75" w:rsidRDefault="005F7D75" w:rsidP="00C46111">
      <w:pPr>
        <w:rPr>
          <w:noProof/>
        </w:rPr>
      </w:pPr>
    </w:p>
    <w:p w14:paraId="5407F508" w14:textId="77777777" w:rsidR="005F7D75" w:rsidRDefault="005F7D75" w:rsidP="00C46111">
      <w:pPr>
        <w:rPr>
          <w:noProof/>
        </w:rPr>
      </w:pPr>
    </w:p>
    <w:p w14:paraId="2A4EA882" w14:textId="77777777" w:rsidR="005F7D75" w:rsidRDefault="005F7D75" w:rsidP="00C46111">
      <w:pPr>
        <w:rPr>
          <w:noProof/>
        </w:rPr>
      </w:pPr>
    </w:p>
    <w:p w14:paraId="627B7AC3" w14:textId="77777777" w:rsidR="005F7D75" w:rsidRDefault="005F7D75" w:rsidP="00C46111">
      <w:pPr>
        <w:rPr>
          <w:noProof/>
        </w:rPr>
      </w:pPr>
    </w:p>
    <w:p w14:paraId="3D2E15B5" w14:textId="77777777" w:rsidR="005F7D75" w:rsidRDefault="005F7D75" w:rsidP="00C46111">
      <w:pPr>
        <w:rPr>
          <w:noProof/>
        </w:rPr>
      </w:pPr>
    </w:p>
    <w:p w14:paraId="1FFB5A27" w14:textId="77777777" w:rsidR="005F7D75" w:rsidRDefault="005F7D75" w:rsidP="00C46111">
      <w:pPr>
        <w:rPr>
          <w:noProof/>
        </w:rPr>
      </w:pPr>
    </w:p>
    <w:p w14:paraId="03F0D60E" w14:textId="09E1D8B5" w:rsidR="00582081" w:rsidRPr="003A0BCA" w:rsidRDefault="00582081" w:rsidP="003A0BCA">
      <w:pPr>
        <w:spacing w:line="360" w:lineRule="auto"/>
        <w:rPr>
          <w:rFonts w:ascii="Aptos" w:hAnsi="Aptos" w:cs="Arial"/>
          <w:sz w:val="28"/>
          <w:szCs w:val="28"/>
        </w:rPr>
      </w:pPr>
    </w:p>
    <w:sectPr w:rsidR="00582081" w:rsidRPr="003A0BCA" w:rsidSect="00C31D85">
      <w:pgSz w:w="12240" w:h="15840" w:code="1"/>
      <w:pgMar w:top="720" w:right="576" w:bottom="720" w:left="720" w:header="432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356D5B" w14:textId="77777777" w:rsidR="00DA609A" w:rsidRDefault="00DA609A" w:rsidP="00D210FA">
      <w:pPr>
        <w:spacing w:after="0"/>
      </w:pPr>
      <w:r>
        <w:separator/>
      </w:r>
    </w:p>
  </w:endnote>
  <w:endnote w:type="continuationSeparator" w:id="0">
    <w:p w14:paraId="10CDE1D7" w14:textId="77777777" w:rsidR="00DA609A" w:rsidRDefault="00DA609A" w:rsidP="00D210F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C5EFCE" w14:textId="77777777" w:rsidR="00DA609A" w:rsidRDefault="00DA609A" w:rsidP="00D210FA">
      <w:pPr>
        <w:spacing w:after="0"/>
      </w:pPr>
      <w:r>
        <w:separator/>
      </w:r>
    </w:p>
  </w:footnote>
  <w:footnote w:type="continuationSeparator" w:id="0">
    <w:p w14:paraId="42488820" w14:textId="77777777" w:rsidR="00DA609A" w:rsidRDefault="00DA609A" w:rsidP="00D210F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20CB3" w14:textId="707AC385" w:rsidR="00CC0A8F" w:rsidRDefault="00346FFA">
    <w:pPr>
      <w:pStyle w:val="Header"/>
    </w:pPr>
    <w:r>
      <w:t>`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F81C2" w14:textId="7149B8E8" w:rsidR="008B0F18" w:rsidRDefault="008B0F18">
    <w:pPr>
      <w:pStyle w:val="Header"/>
    </w:pPr>
  </w:p>
  <w:p w14:paraId="68BF0258" w14:textId="683785A9" w:rsidR="00D210FA" w:rsidRDefault="00D210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92440"/>
    <w:multiLevelType w:val="hybridMultilevel"/>
    <w:tmpl w:val="B7C23D08"/>
    <w:lvl w:ilvl="0" w:tplc="A74A6A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564F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944E3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60EB1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C8A72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7E4B5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77AC7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F3665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5D467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4031424"/>
    <w:multiLevelType w:val="hybridMultilevel"/>
    <w:tmpl w:val="BCF0DC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895C08"/>
    <w:multiLevelType w:val="hybridMultilevel"/>
    <w:tmpl w:val="C672B8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2645F3"/>
    <w:multiLevelType w:val="hybridMultilevel"/>
    <w:tmpl w:val="8564B626"/>
    <w:lvl w:ilvl="0" w:tplc="653069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E29F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87436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6EF0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B8899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F1A6D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9CFE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D466B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2616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0A522028"/>
    <w:multiLevelType w:val="hybridMultilevel"/>
    <w:tmpl w:val="9230BD6E"/>
    <w:lvl w:ilvl="0" w:tplc="9C84E9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E4EF1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4829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A16B2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D683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A52DE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C88D2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09402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E83E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0E0C1E88"/>
    <w:multiLevelType w:val="multilevel"/>
    <w:tmpl w:val="FE385B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2352C9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C74428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F3E44CE"/>
    <w:multiLevelType w:val="hybridMultilevel"/>
    <w:tmpl w:val="87EAA6A0"/>
    <w:lvl w:ilvl="0" w:tplc="B4EC6F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62C0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4B2D4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13CFE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F20D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1E821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B495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91690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598D4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2AE53E2F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6E2CFD"/>
    <w:multiLevelType w:val="hybridMultilevel"/>
    <w:tmpl w:val="52A4F67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B61ED6"/>
    <w:multiLevelType w:val="hybridMultilevel"/>
    <w:tmpl w:val="54884F50"/>
    <w:lvl w:ilvl="0" w:tplc="2E665E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EFA09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2786C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B54CA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BEA3A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70A8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766E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C6FD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B2F3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611B1704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CC6774"/>
    <w:multiLevelType w:val="hybridMultilevel"/>
    <w:tmpl w:val="2E2469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5303FC"/>
    <w:multiLevelType w:val="hybridMultilevel"/>
    <w:tmpl w:val="0DF23BD2"/>
    <w:lvl w:ilvl="0" w:tplc="62ACD164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1D6E3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7FDE3617"/>
    <w:multiLevelType w:val="hybridMultilevel"/>
    <w:tmpl w:val="BC3AB0C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7359420">
    <w:abstractNumId w:val="7"/>
  </w:num>
  <w:num w:numId="2" w16cid:durableId="66732129">
    <w:abstractNumId w:val="6"/>
  </w:num>
  <w:num w:numId="3" w16cid:durableId="1791968620">
    <w:abstractNumId w:val="15"/>
  </w:num>
  <w:num w:numId="4" w16cid:durableId="67852329">
    <w:abstractNumId w:val="16"/>
  </w:num>
  <w:num w:numId="5" w16cid:durableId="825783799">
    <w:abstractNumId w:val="10"/>
  </w:num>
  <w:num w:numId="6" w16cid:durableId="1203637911">
    <w:abstractNumId w:val="9"/>
  </w:num>
  <w:num w:numId="7" w16cid:durableId="1393117886">
    <w:abstractNumId w:val="12"/>
  </w:num>
  <w:num w:numId="8" w16cid:durableId="546726307">
    <w:abstractNumId w:val="11"/>
  </w:num>
  <w:num w:numId="9" w16cid:durableId="1142770867">
    <w:abstractNumId w:val="4"/>
  </w:num>
  <w:num w:numId="10" w16cid:durableId="1077478685">
    <w:abstractNumId w:val="0"/>
  </w:num>
  <w:num w:numId="11" w16cid:durableId="366024991">
    <w:abstractNumId w:val="8"/>
  </w:num>
  <w:num w:numId="12" w16cid:durableId="212468278">
    <w:abstractNumId w:val="3"/>
  </w:num>
  <w:num w:numId="13" w16cid:durableId="537133619">
    <w:abstractNumId w:val="14"/>
  </w:num>
  <w:num w:numId="14" w16cid:durableId="1597978800">
    <w:abstractNumId w:val="1"/>
  </w:num>
  <w:num w:numId="15" w16cid:durableId="905534500">
    <w:abstractNumId w:val="5"/>
  </w:num>
  <w:num w:numId="16" w16cid:durableId="322399161">
    <w:abstractNumId w:val="13"/>
  </w:num>
  <w:num w:numId="17" w16cid:durableId="943539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4"/>
  <w:removePersonalInformation/>
  <w:removeDateAndTime/>
  <w:displayBackgroundShape/>
  <w:proofState w:spelling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C19"/>
    <w:rsid w:val="00002366"/>
    <w:rsid w:val="00023293"/>
    <w:rsid w:val="00061977"/>
    <w:rsid w:val="00063B85"/>
    <w:rsid w:val="0008782A"/>
    <w:rsid w:val="000A065A"/>
    <w:rsid w:val="000E56ED"/>
    <w:rsid w:val="000E7A9C"/>
    <w:rsid w:val="00106FC5"/>
    <w:rsid w:val="00120DEC"/>
    <w:rsid w:val="00123C19"/>
    <w:rsid w:val="001A2DAB"/>
    <w:rsid w:val="001C55B6"/>
    <w:rsid w:val="001D61BA"/>
    <w:rsid w:val="001D6CC4"/>
    <w:rsid w:val="00206405"/>
    <w:rsid w:val="002341AD"/>
    <w:rsid w:val="00253267"/>
    <w:rsid w:val="002823CD"/>
    <w:rsid w:val="00287787"/>
    <w:rsid w:val="00291685"/>
    <w:rsid w:val="0029329C"/>
    <w:rsid w:val="002B0A3D"/>
    <w:rsid w:val="002F26AB"/>
    <w:rsid w:val="003007A7"/>
    <w:rsid w:val="00322611"/>
    <w:rsid w:val="003257E1"/>
    <w:rsid w:val="00325DEC"/>
    <w:rsid w:val="00346FFA"/>
    <w:rsid w:val="003738C5"/>
    <w:rsid w:val="00385494"/>
    <w:rsid w:val="003A0BCA"/>
    <w:rsid w:val="003A3069"/>
    <w:rsid w:val="003C20B5"/>
    <w:rsid w:val="003E51F2"/>
    <w:rsid w:val="003E545F"/>
    <w:rsid w:val="003F03D2"/>
    <w:rsid w:val="003F1E1A"/>
    <w:rsid w:val="004045E5"/>
    <w:rsid w:val="00421496"/>
    <w:rsid w:val="00422C27"/>
    <w:rsid w:val="0044367C"/>
    <w:rsid w:val="0044412C"/>
    <w:rsid w:val="004642F0"/>
    <w:rsid w:val="00465D17"/>
    <w:rsid w:val="00500564"/>
    <w:rsid w:val="00510FA4"/>
    <w:rsid w:val="0051102B"/>
    <w:rsid w:val="00516CC0"/>
    <w:rsid w:val="005475F0"/>
    <w:rsid w:val="00582081"/>
    <w:rsid w:val="005838BC"/>
    <w:rsid w:val="005B57E1"/>
    <w:rsid w:val="005E61E0"/>
    <w:rsid w:val="005F0F31"/>
    <w:rsid w:val="005F7D75"/>
    <w:rsid w:val="006024ED"/>
    <w:rsid w:val="0061793F"/>
    <w:rsid w:val="0062123A"/>
    <w:rsid w:val="006605F8"/>
    <w:rsid w:val="006676A1"/>
    <w:rsid w:val="006833BD"/>
    <w:rsid w:val="006A38FF"/>
    <w:rsid w:val="006D2642"/>
    <w:rsid w:val="006E2D42"/>
    <w:rsid w:val="00720FEE"/>
    <w:rsid w:val="00764B6F"/>
    <w:rsid w:val="007C7319"/>
    <w:rsid w:val="007D43B3"/>
    <w:rsid w:val="007F20B4"/>
    <w:rsid w:val="007F525E"/>
    <w:rsid w:val="00802FF1"/>
    <w:rsid w:val="0082695D"/>
    <w:rsid w:val="0083044C"/>
    <w:rsid w:val="00846694"/>
    <w:rsid w:val="0085182D"/>
    <w:rsid w:val="00855841"/>
    <w:rsid w:val="00867E5F"/>
    <w:rsid w:val="008709F5"/>
    <w:rsid w:val="00877A91"/>
    <w:rsid w:val="00884E86"/>
    <w:rsid w:val="00890534"/>
    <w:rsid w:val="00891124"/>
    <w:rsid w:val="008927FF"/>
    <w:rsid w:val="008B0F18"/>
    <w:rsid w:val="008C1616"/>
    <w:rsid w:val="008E3921"/>
    <w:rsid w:val="0090027B"/>
    <w:rsid w:val="00905238"/>
    <w:rsid w:val="0094702A"/>
    <w:rsid w:val="00967DAB"/>
    <w:rsid w:val="00990E76"/>
    <w:rsid w:val="00991A53"/>
    <w:rsid w:val="00996F4E"/>
    <w:rsid w:val="009F71FE"/>
    <w:rsid w:val="00A27D8D"/>
    <w:rsid w:val="00A31F33"/>
    <w:rsid w:val="00A70A62"/>
    <w:rsid w:val="00A71DA8"/>
    <w:rsid w:val="00A90A7A"/>
    <w:rsid w:val="00AB1210"/>
    <w:rsid w:val="00AB5409"/>
    <w:rsid w:val="00AB770D"/>
    <w:rsid w:val="00AF2088"/>
    <w:rsid w:val="00AF5FB0"/>
    <w:rsid w:val="00B0080A"/>
    <w:rsid w:val="00B0538C"/>
    <w:rsid w:val="00B376E4"/>
    <w:rsid w:val="00B37AB8"/>
    <w:rsid w:val="00B418DE"/>
    <w:rsid w:val="00B47FE7"/>
    <w:rsid w:val="00B67824"/>
    <w:rsid w:val="00BA3B2E"/>
    <w:rsid w:val="00BE15BA"/>
    <w:rsid w:val="00C20ED0"/>
    <w:rsid w:val="00C31D85"/>
    <w:rsid w:val="00C348A8"/>
    <w:rsid w:val="00C34FA0"/>
    <w:rsid w:val="00C46111"/>
    <w:rsid w:val="00C47DCC"/>
    <w:rsid w:val="00C83332"/>
    <w:rsid w:val="00C95E04"/>
    <w:rsid w:val="00CC0A8F"/>
    <w:rsid w:val="00CC24B6"/>
    <w:rsid w:val="00CD3A64"/>
    <w:rsid w:val="00CE08CD"/>
    <w:rsid w:val="00D0664A"/>
    <w:rsid w:val="00D16AFA"/>
    <w:rsid w:val="00D210FA"/>
    <w:rsid w:val="00D30F1D"/>
    <w:rsid w:val="00D57231"/>
    <w:rsid w:val="00D87B48"/>
    <w:rsid w:val="00D91203"/>
    <w:rsid w:val="00D94FD1"/>
    <w:rsid w:val="00DA609A"/>
    <w:rsid w:val="00E41692"/>
    <w:rsid w:val="00E55D74"/>
    <w:rsid w:val="00E81234"/>
    <w:rsid w:val="00E9037E"/>
    <w:rsid w:val="00E9275E"/>
    <w:rsid w:val="00EA120D"/>
    <w:rsid w:val="00EA49C3"/>
    <w:rsid w:val="00EB5E14"/>
    <w:rsid w:val="00EB6F36"/>
    <w:rsid w:val="00ED1049"/>
    <w:rsid w:val="00EE19D9"/>
    <w:rsid w:val="00EF26FC"/>
    <w:rsid w:val="00F07E4D"/>
    <w:rsid w:val="00F37523"/>
    <w:rsid w:val="00F50168"/>
    <w:rsid w:val="00F50D34"/>
    <w:rsid w:val="00F52F83"/>
    <w:rsid w:val="00F549AE"/>
    <w:rsid w:val="00F611D2"/>
    <w:rsid w:val="00F61360"/>
    <w:rsid w:val="00F62EBE"/>
    <w:rsid w:val="00FC538A"/>
    <w:rsid w:val="00FE2B9F"/>
    <w:rsid w:val="00FF3CF0"/>
    <w:rsid w:val="00FF4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970E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qFormat="1"/>
    <w:lsdException w:name="heading 4" w:semiHidden="1" w:uiPriority="0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uiPriority="21"/>
    <w:lsdException w:name="Subtle Reference" w:uiPriority="31"/>
    <w:lsdException w:name="Intense Reference" w:uiPriority="32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C46111"/>
  </w:style>
  <w:style w:type="paragraph" w:styleId="Heading1">
    <w:name w:val="heading 1"/>
    <w:basedOn w:val="Normal"/>
    <w:next w:val="Normal"/>
    <w:link w:val="Heading1Char"/>
    <w:uiPriority w:val="9"/>
    <w:qFormat/>
    <w:rsid w:val="00990E76"/>
    <w:pPr>
      <w:spacing w:after="240"/>
      <w:outlineLvl w:val="0"/>
    </w:pPr>
    <w:rPr>
      <w:rFonts w:asciiTheme="majorHAnsi" w:hAnsiTheme="majorHAnsi"/>
      <w:b/>
      <w:color w:val="44546A" w:themeColor="text2"/>
      <w:spacing w:val="10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990E76"/>
    <w:pPr>
      <w:spacing w:after="240"/>
      <w:outlineLvl w:val="1"/>
    </w:pPr>
    <w:rPr>
      <w:rFonts w:asciiTheme="majorHAnsi" w:hAnsiTheme="majorHAnsi"/>
      <w:b/>
      <w:color w:val="FFFFFF" w:themeColor="background1"/>
      <w:spacing w:val="10"/>
      <w:sz w:val="28"/>
    </w:rPr>
  </w:style>
  <w:style w:type="paragraph" w:styleId="Heading4">
    <w:name w:val="heading 4"/>
    <w:next w:val="Normal"/>
    <w:link w:val="Heading4Char"/>
    <w:semiHidden/>
    <w:qFormat/>
    <w:rsid w:val="0085182D"/>
    <w:pPr>
      <w:spacing w:after="240"/>
      <w:outlineLvl w:val="3"/>
    </w:pPr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6C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semiHidden/>
    <w:rsid w:val="00A70A62"/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990E76"/>
    <w:pPr>
      <w:spacing w:after="200"/>
      <w:contextualSpacing/>
      <w:jc w:val="center"/>
    </w:pPr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0E76"/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paragraph" w:styleId="ListParagraph">
    <w:name w:val="List Paragraph"/>
    <w:basedOn w:val="Normal"/>
    <w:uiPriority w:val="34"/>
    <w:qFormat/>
    <w:rsid w:val="00877A9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67DAB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990E76"/>
    <w:rPr>
      <w:rFonts w:asciiTheme="majorHAnsi" w:hAnsiTheme="majorHAnsi"/>
      <w:b/>
      <w:color w:val="44546A" w:themeColor="text2"/>
      <w:spacing w:val="10"/>
      <w:sz w:val="28"/>
    </w:rPr>
  </w:style>
  <w:style w:type="character" w:styleId="Hashtag">
    <w:name w:val="Hashtag"/>
    <w:basedOn w:val="DefaultParagraphFont"/>
    <w:uiPriority w:val="99"/>
    <w:semiHidden/>
    <w:rsid w:val="00967DAB"/>
    <w:rPr>
      <w:color w:val="2B579A"/>
      <w:shd w:val="clear" w:color="auto" w:fill="E6E6E6"/>
    </w:rPr>
  </w:style>
  <w:style w:type="character" w:styleId="IntenseEmphasis">
    <w:name w:val="Intense Emphasis"/>
    <w:basedOn w:val="DefaultParagraphFont"/>
    <w:uiPriority w:val="21"/>
    <w:semiHidden/>
    <w:rsid w:val="00967DAB"/>
    <w:rPr>
      <w:i/>
      <w:iCs/>
      <w:color w:val="4472C4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967DAB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967DAB"/>
    <w:rPr>
      <w:rFonts w:eastAsia="Times New Roman" w:cs="Times New Roman"/>
      <w:i/>
      <w:iCs/>
      <w:color w:val="4472C4" w:themeColor="accent1"/>
      <w:sz w:val="21"/>
    </w:rPr>
  </w:style>
  <w:style w:type="character" w:styleId="IntenseReference">
    <w:name w:val="Intense Reference"/>
    <w:basedOn w:val="DefaultParagraphFont"/>
    <w:uiPriority w:val="32"/>
    <w:semiHidden/>
    <w:rsid w:val="00967DAB"/>
    <w:rPr>
      <w:b/>
      <w:bCs/>
      <w:smallCaps/>
      <w:color w:val="4472C4" w:themeColor="accent1"/>
      <w:spacing w:val="5"/>
    </w:rPr>
  </w:style>
  <w:style w:type="character" w:styleId="SubtleReference">
    <w:name w:val="Subtle Reference"/>
    <w:basedOn w:val="DefaultParagraphFont"/>
    <w:uiPriority w:val="31"/>
    <w:semiHidden/>
    <w:rsid w:val="00967DAB"/>
    <w:rPr>
      <w:smallCaps/>
      <w:color w:val="5A5A5A" w:themeColor="text1" w:themeTint="A5"/>
    </w:rPr>
  </w:style>
  <w:style w:type="character" w:styleId="UnresolvedMention">
    <w:name w:val="Unresolved Mention"/>
    <w:basedOn w:val="DefaultParagraphFont"/>
    <w:uiPriority w:val="99"/>
    <w:semiHidden/>
    <w:rsid w:val="00967DAB"/>
    <w:rPr>
      <w:color w:val="808080"/>
      <w:shd w:val="clear" w:color="auto" w:fill="E6E6E6"/>
    </w:rPr>
  </w:style>
  <w:style w:type="character" w:customStyle="1" w:styleId="Heading2Char">
    <w:name w:val="Heading 2 Char"/>
    <w:basedOn w:val="DefaultParagraphFont"/>
    <w:link w:val="Heading2"/>
    <w:uiPriority w:val="9"/>
    <w:rsid w:val="00990E76"/>
    <w:rPr>
      <w:rFonts w:asciiTheme="majorHAnsi" w:hAnsiTheme="majorHAnsi"/>
      <w:b/>
      <w:color w:val="FFFFFF" w:themeColor="background1"/>
      <w:spacing w:val="10"/>
      <w:sz w:val="28"/>
    </w:rPr>
  </w:style>
  <w:style w:type="paragraph" w:customStyle="1" w:styleId="NormalTextDarkBackground">
    <w:name w:val="Normal Text Dark Background"/>
    <w:basedOn w:val="Normal"/>
    <w:qFormat/>
    <w:rsid w:val="00990E76"/>
    <w:rPr>
      <w:color w:val="FFFFFF" w:themeColor="background1"/>
    </w:rPr>
  </w:style>
  <w:style w:type="paragraph" w:styleId="Header">
    <w:name w:val="header"/>
    <w:basedOn w:val="Normal"/>
    <w:link w:val="HeaderChar"/>
    <w:uiPriority w:val="99"/>
    <w:rsid w:val="00C46111"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C46111"/>
  </w:style>
  <w:style w:type="paragraph" w:styleId="Footer">
    <w:name w:val="footer"/>
    <w:basedOn w:val="Normal"/>
    <w:link w:val="FooterChar"/>
    <w:uiPriority w:val="99"/>
    <w:semiHidden/>
    <w:rsid w:val="00C46111"/>
    <w:pPr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46111"/>
  </w:style>
  <w:style w:type="paragraph" w:styleId="NoSpacing">
    <w:name w:val="No Spacing"/>
    <w:uiPriority w:val="1"/>
    <w:semiHidden/>
    <w:qFormat/>
    <w:rsid w:val="00CC0A8F"/>
    <w:rPr>
      <w:rFonts w:eastAsia="Times New Roman" w:cs="Times New Roman"/>
    </w:rPr>
  </w:style>
  <w:style w:type="character" w:styleId="PlaceholderText">
    <w:name w:val="Placeholder Text"/>
    <w:basedOn w:val="DefaultParagraphFont"/>
    <w:uiPriority w:val="99"/>
    <w:semiHidden/>
    <w:rsid w:val="00206405"/>
    <w:rPr>
      <w:color w:val="808080"/>
    </w:rPr>
  </w:style>
  <w:style w:type="paragraph" w:styleId="Quote">
    <w:name w:val="Quote"/>
    <w:basedOn w:val="Normal"/>
    <w:next w:val="Normal"/>
    <w:link w:val="QuoteChar"/>
    <w:uiPriority w:val="29"/>
    <w:qFormat/>
    <w:rsid w:val="00C46111"/>
    <w:pPr>
      <w:spacing w:after="200"/>
      <w:jc w:val="center"/>
    </w:pPr>
    <w:rPr>
      <w:rFonts w:asciiTheme="majorHAnsi" w:hAnsiTheme="majorHAnsi"/>
      <w:b/>
      <w:noProof/>
      <w:color w:val="44546A" w:themeColor="text2"/>
      <w:spacing w:val="-10"/>
      <w:sz w:val="48"/>
      <w:szCs w:val="100"/>
    </w:rPr>
  </w:style>
  <w:style w:type="character" w:customStyle="1" w:styleId="QuoteChar">
    <w:name w:val="Quote Char"/>
    <w:basedOn w:val="DefaultParagraphFont"/>
    <w:link w:val="Quote"/>
    <w:uiPriority w:val="29"/>
    <w:rsid w:val="00C46111"/>
    <w:rPr>
      <w:rFonts w:asciiTheme="majorHAnsi" w:hAnsiTheme="majorHAnsi"/>
      <w:b/>
      <w:noProof/>
      <w:color w:val="44546A" w:themeColor="text2"/>
      <w:spacing w:val="-10"/>
      <w:sz w:val="48"/>
      <w:szCs w:val="100"/>
    </w:rPr>
  </w:style>
  <w:style w:type="character" w:styleId="Emphasis">
    <w:name w:val="Emphasis"/>
    <w:basedOn w:val="DefaultParagraphFont"/>
    <w:uiPriority w:val="20"/>
    <w:qFormat/>
    <w:rsid w:val="00510FA4"/>
    <w:rPr>
      <w:i/>
      <w:iCs/>
    </w:rPr>
  </w:style>
  <w:style w:type="paragraph" w:styleId="NormalWeb">
    <w:name w:val="Normal (Web)"/>
    <w:basedOn w:val="Normal"/>
    <w:uiPriority w:val="99"/>
    <w:unhideWhenUsed/>
    <w:rsid w:val="00510FA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Hyperlink">
    <w:name w:val="Hyperlink"/>
    <w:basedOn w:val="DefaultParagraphFont"/>
    <w:uiPriority w:val="99"/>
    <w:semiHidden/>
    <w:unhideWhenUsed/>
    <w:rsid w:val="00510FA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31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5442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1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717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62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6083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43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025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26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208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78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gov.uk" TargetMode="External"/><Relationship Id="rId18" Type="http://schemas.openxmlformats.org/officeDocument/2006/relationships/diagramColors" Target="diagrams/colors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diagramQuickStyle" Target="diagrams/quickStyle1.xml"/><Relationship Id="rId2" Type="http://schemas.openxmlformats.org/officeDocument/2006/relationships/customXml" Target="../customXml/item2.xml"/><Relationship Id="rId16" Type="http://schemas.openxmlformats.org/officeDocument/2006/relationships/diagramLayout" Target="diagrams/layout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diagramData" Target="diagrams/data1.xml"/><Relationship Id="rId10" Type="http://schemas.openxmlformats.org/officeDocument/2006/relationships/endnotes" Target="endnotes.xml"/><Relationship Id="rId19" Type="http://schemas.microsoft.com/office/2007/relationships/diagramDrawing" Target="diagrams/drawing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.koutsogeorgou\AppData\Roaming\Microsoft\Templates\Education%20brochure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634D104-7D93-4DC9-AA78-CFDC22EB2B7D}" type="doc">
      <dgm:prSet loTypeId="urn:microsoft.com/office/officeart/2005/8/layout/hList1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D895BCAF-11FD-4161-9460-71155FF594D5}">
      <dgm:prSet/>
      <dgm:spPr/>
      <dgm:t>
        <a:bodyPr/>
        <a:lstStyle/>
        <a:p>
          <a:pPr>
            <a:lnSpc>
              <a:spcPct val="150000"/>
            </a:lnSpc>
          </a:pPr>
          <a:r>
            <a:rPr lang="en-GB" b="1" i="0">
              <a:latin typeface="Aptos" panose="020B0004020202020204" pitchFamily="34" charset="0"/>
            </a:rPr>
            <a:t>Respect for Intellectual Property:</a:t>
          </a:r>
          <a:endParaRPr lang="en-GB">
            <a:latin typeface="Aptos" panose="020B0004020202020204" pitchFamily="34" charset="0"/>
          </a:endParaRPr>
        </a:p>
      </dgm:t>
    </dgm:pt>
    <dgm:pt modelId="{55C24B6C-44F8-45FA-AE8C-D7852F8F756E}" type="parTrans" cxnId="{56DD223B-87BE-41AD-A123-502044CB6C82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1D8F6D8C-F89F-400C-A451-06369F630D13}" type="sibTrans" cxnId="{56DD223B-87BE-41AD-A123-502044CB6C82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DD8DD7F7-557F-4529-952E-996BE575A6CC}">
      <dgm:prSet/>
      <dgm:spPr/>
      <dgm:t>
        <a:bodyPr/>
        <a:lstStyle/>
        <a:p>
          <a:pPr>
            <a:lnSpc>
              <a:spcPct val="150000"/>
            </a:lnSpc>
          </a:pPr>
          <a:r>
            <a:rPr lang="en-GB" b="0" i="0" dirty="0">
              <a:latin typeface="Aptos" panose="020B0004020202020204" pitchFamily="34" charset="0"/>
            </a:rPr>
            <a:t>Properly cite and reference original sources (Hart, 2001). </a:t>
          </a:r>
          <a:endParaRPr lang="en-GB" dirty="0">
            <a:latin typeface="Aptos" panose="020B0004020202020204" pitchFamily="34" charset="0"/>
          </a:endParaRPr>
        </a:p>
      </dgm:t>
    </dgm:pt>
    <dgm:pt modelId="{898A7FBF-8854-4FCD-8F75-6D0A10D342BF}" type="parTrans" cxnId="{DA224816-7824-4FE5-9CD1-3E0ECE27E8A0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069345D4-AF17-4BE2-BEFD-16AAD453ED22}" type="sibTrans" cxnId="{DA224816-7824-4FE5-9CD1-3E0ECE27E8A0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D2F35989-0D76-4707-8851-E95507DAC780}">
      <dgm:prSet/>
      <dgm:spPr/>
      <dgm:t>
        <a:bodyPr/>
        <a:lstStyle/>
        <a:p>
          <a:pPr>
            <a:lnSpc>
              <a:spcPct val="150000"/>
            </a:lnSpc>
          </a:pPr>
          <a:r>
            <a:rPr lang="en-GB" b="1" i="0">
              <a:latin typeface="Aptos" panose="020B0004020202020204" pitchFamily="34" charset="0"/>
            </a:rPr>
            <a:t>Privacy and Confidentiality:</a:t>
          </a:r>
          <a:endParaRPr lang="en-GB">
            <a:latin typeface="Aptos" panose="020B0004020202020204" pitchFamily="34" charset="0"/>
          </a:endParaRPr>
        </a:p>
      </dgm:t>
    </dgm:pt>
    <dgm:pt modelId="{95A47F62-7CA1-4144-B825-A44483178729}" type="parTrans" cxnId="{CB93FF67-74EB-4163-A9EC-6469F10734D1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B96B68E4-E5AE-4BB2-A658-AF9FA9406E6C}" type="sibTrans" cxnId="{CB93FF67-74EB-4163-A9EC-6469F10734D1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B8AA4B07-C565-4CCF-9950-02D7DCC3515C}">
      <dgm:prSet/>
      <dgm:spPr/>
      <dgm:t>
        <a:bodyPr/>
        <a:lstStyle/>
        <a:p>
          <a:pPr>
            <a:lnSpc>
              <a:spcPct val="150000"/>
            </a:lnSpc>
          </a:pPr>
          <a:r>
            <a:rPr lang="en-GB" b="0" i="0">
              <a:latin typeface="Aptos" panose="020B0004020202020204" pitchFamily="34" charset="0"/>
            </a:rPr>
            <a:t>Protect the privacy and confidentiality of individuals when using data with sensitive or identifiable information (Bell et al., 2022).</a:t>
          </a:r>
          <a:endParaRPr lang="en-GB">
            <a:latin typeface="Aptos" panose="020B0004020202020204" pitchFamily="34" charset="0"/>
          </a:endParaRPr>
        </a:p>
      </dgm:t>
    </dgm:pt>
    <dgm:pt modelId="{7CE0ECD8-FF60-40FC-834A-69289342858B}" type="parTrans" cxnId="{54E1D1F9-2D03-4A36-ADEB-7EC8EB0F85F9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BA44317E-0141-443D-B3B3-5D8A23F7257D}" type="sibTrans" cxnId="{54E1D1F9-2D03-4A36-ADEB-7EC8EB0F85F9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5674B894-A55E-4559-8EA7-028C3F32E4B2}">
      <dgm:prSet/>
      <dgm:spPr/>
      <dgm:t>
        <a:bodyPr/>
        <a:lstStyle/>
        <a:p>
          <a:pPr>
            <a:lnSpc>
              <a:spcPct val="150000"/>
            </a:lnSpc>
          </a:pPr>
          <a:r>
            <a:rPr lang="en-GB" b="1" i="0">
              <a:latin typeface="Aptos" panose="020B0004020202020204" pitchFamily="34" charset="0"/>
            </a:rPr>
            <a:t>Data Integrity and Reliability:</a:t>
          </a:r>
          <a:r>
            <a:rPr lang="en-GB">
              <a:latin typeface="Aptos" panose="020B0004020202020204" pitchFamily="34" charset="0"/>
            </a:rPr>
            <a:t> </a:t>
          </a:r>
        </a:p>
      </dgm:t>
    </dgm:pt>
    <dgm:pt modelId="{CF4D6B60-7FC7-4A9C-B7E1-C22EA10EB381}" type="parTrans" cxnId="{8A48955A-FF8F-4776-99D4-D2F9A35739B0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94E754A5-C7C4-42B9-A350-BD17338F58B9}" type="sibTrans" cxnId="{8A48955A-FF8F-4776-99D4-D2F9A35739B0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DED7677A-A811-4E99-A359-AF267F66CB3B}">
      <dgm:prSet/>
      <dgm:spPr/>
      <dgm:t>
        <a:bodyPr/>
        <a:lstStyle/>
        <a:p>
          <a:pPr>
            <a:lnSpc>
              <a:spcPct val="150000"/>
            </a:lnSpc>
          </a:pPr>
          <a:r>
            <a:rPr lang="en-GB" b="1" i="0" dirty="0">
              <a:latin typeface="Aptos" panose="020B0004020202020204" pitchFamily="34" charset="0"/>
            </a:rPr>
            <a:t>Compliance with Laws and Regulations:</a:t>
          </a:r>
          <a:endParaRPr lang="en-GB" dirty="0">
            <a:latin typeface="Aptos" panose="020B0004020202020204" pitchFamily="34" charset="0"/>
          </a:endParaRPr>
        </a:p>
      </dgm:t>
    </dgm:pt>
    <dgm:pt modelId="{F38EF5EE-50CB-434C-B7C2-9D5B46BCDA7A}" type="parTrans" cxnId="{81E8ED4A-9C61-4261-A97E-A8FB2B721822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9F4A521B-0AB9-4C49-8D3E-A4522CDAC745}" type="sibTrans" cxnId="{81E8ED4A-9C61-4261-A97E-A8FB2B721822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F5AC5549-675B-444B-905D-2F1D9FDC1779}">
      <dgm:prSet/>
      <dgm:spPr/>
      <dgm:t>
        <a:bodyPr/>
        <a:lstStyle/>
        <a:p>
          <a:pPr>
            <a:lnSpc>
              <a:spcPct val="150000"/>
            </a:lnSpc>
          </a:pPr>
          <a:r>
            <a:rPr lang="en-GB" b="1" i="0" dirty="0">
              <a:latin typeface="Aptos" panose="020B0004020202020204" pitchFamily="34" charset="0"/>
            </a:rPr>
            <a:t>Informed Consent</a:t>
          </a:r>
          <a:endParaRPr lang="en-GB" dirty="0">
            <a:latin typeface="Aptos" panose="020B0004020202020204" pitchFamily="34" charset="0"/>
          </a:endParaRPr>
        </a:p>
      </dgm:t>
    </dgm:pt>
    <dgm:pt modelId="{AC81EE79-FF8C-4405-963A-7F74BE293A69}" type="parTrans" cxnId="{F047993C-E79F-4DF4-8E68-009CE95435BF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B7249222-7390-4801-8772-10BB94E221D0}" type="sibTrans" cxnId="{F047993C-E79F-4DF4-8E68-009CE95435BF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31ECEDD7-80EF-414B-BE50-B610D566367B}">
      <dgm:prSet/>
      <dgm:spPr/>
      <dgm:t>
        <a:bodyPr/>
        <a:lstStyle/>
        <a:p>
          <a:pPr>
            <a:lnSpc>
              <a:spcPct val="150000"/>
            </a:lnSpc>
          </a:pPr>
          <a:r>
            <a:rPr lang="en-GB" b="0" i="0">
              <a:latin typeface="Aptos" panose="020B0004020202020204" pitchFamily="34" charset="0"/>
            </a:rPr>
            <a:t>Use reliable and valid data sources. Assess the quality and integrity of sources (Creswell and Poth, 2016).</a:t>
          </a:r>
          <a:endParaRPr lang="en-GB">
            <a:latin typeface="Aptos" panose="020B0004020202020204" pitchFamily="34" charset="0"/>
          </a:endParaRPr>
        </a:p>
      </dgm:t>
    </dgm:pt>
    <dgm:pt modelId="{20439AF7-F994-4596-8154-7958604637F8}" type="parTrans" cxnId="{7B9CB682-0DC9-4815-951A-E787AB7CD2FE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BAE7B1D5-018D-43C6-93C5-0E28100285E0}" type="sibTrans" cxnId="{7B9CB682-0DC9-4815-951A-E787AB7CD2FE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7D9AB477-3831-4B66-903C-51888FAB2EF1}">
      <dgm:prSet/>
      <dgm:spPr/>
      <dgm:t>
        <a:bodyPr/>
        <a:lstStyle/>
        <a:p>
          <a:pPr>
            <a:lnSpc>
              <a:spcPct val="150000"/>
            </a:lnSpc>
          </a:pPr>
          <a:r>
            <a:rPr lang="en-GB" b="0" i="0">
              <a:latin typeface="Aptos" panose="020B0004020202020204" pitchFamily="34" charset="0"/>
            </a:rPr>
            <a:t>Adhere to relevant laws and regulations governing data use and research (e.g. GDPR) (James and Busher, 2015). </a:t>
          </a:r>
          <a:endParaRPr lang="en-GB">
            <a:latin typeface="Aptos" panose="020B0004020202020204" pitchFamily="34" charset="0"/>
          </a:endParaRPr>
        </a:p>
      </dgm:t>
    </dgm:pt>
    <dgm:pt modelId="{1C5BF6D7-9EA3-4496-9259-CCFB570AB9BC}" type="parTrans" cxnId="{62CB3FEB-664D-43E7-89EF-51AA5774E707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13866862-3E71-49D6-8E54-5828906B8520}" type="sibTrans" cxnId="{62CB3FEB-664D-43E7-89EF-51AA5774E707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D0F2A51A-8617-4842-9A50-755676DCD3DD}">
      <dgm:prSet/>
      <dgm:spPr/>
      <dgm:t>
        <a:bodyPr/>
        <a:lstStyle/>
        <a:p>
          <a:pPr>
            <a:lnSpc>
              <a:spcPct val="150000"/>
            </a:lnSpc>
          </a:pPr>
          <a:r>
            <a:rPr lang="en-GB" b="0" i="0">
              <a:latin typeface="Aptos" panose="020B0004020202020204" pitchFamily="34" charset="0"/>
            </a:rPr>
            <a:t>Comply with informed consent agreements when using data that requires it or ensuring that if you have used primary research sources, the participants have provided their consent. </a:t>
          </a:r>
          <a:endParaRPr lang="en-GB">
            <a:latin typeface="Aptos" panose="020B0004020202020204" pitchFamily="34" charset="0"/>
          </a:endParaRPr>
        </a:p>
      </dgm:t>
    </dgm:pt>
    <dgm:pt modelId="{DD30637A-3765-4C05-B6F7-B47484906C94}" type="parTrans" cxnId="{19EBC273-BE40-4DF3-AD90-42CF3D009016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6BC62B7F-2BE1-4735-BEF1-C93E581063AE}" type="sibTrans" cxnId="{19EBC273-BE40-4DF3-AD90-42CF3D009016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C265F219-E085-47C1-B4E3-8FDDFA25F889}">
      <dgm:prSet/>
      <dgm:spPr/>
      <dgm:t>
        <a:bodyPr/>
        <a:lstStyle/>
        <a:p>
          <a:pPr>
            <a:lnSpc>
              <a:spcPct val="150000"/>
            </a:lnSpc>
          </a:pPr>
          <a:r>
            <a:rPr lang="en-GB" b="0" i="0" dirty="0">
              <a:latin typeface="Aptos" panose="020B0004020202020204" pitchFamily="34" charset="0"/>
            </a:rPr>
            <a:t>Avoid plagiarism.</a:t>
          </a:r>
          <a:endParaRPr lang="en-GB" dirty="0">
            <a:latin typeface="Aptos" panose="020B0004020202020204" pitchFamily="34" charset="0"/>
          </a:endParaRPr>
        </a:p>
      </dgm:t>
    </dgm:pt>
    <dgm:pt modelId="{CFB48789-B765-4BE4-8DB6-CD599F6A3E37}" type="parTrans" cxnId="{54D0ECD0-EE84-49E7-8142-950C154DBDA3}">
      <dgm:prSet/>
      <dgm:spPr/>
      <dgm:t>
        <a:bodyPr/>
        <a:lstStyle/>
        <a:p>
          <a:endParaRPr lang="en-GB"/>
        </a:p>
      </dgm:t>
    </dgm:pt>
    <dgm:pt modelId="{19FFA166-1C07-47F4-A622-03A6AB1AE0CC}" type="sibTrans" cxnId="{54D0ECD0-EE84-49E7-8142-950C154DBDA3}">
      <dgm:prSet/>
      <dgm:spPr/>
      <dgm:t>
        <a:bodyPr/>
        <a:lstStyle/>
        <a:p>
          <a:endParaRPr lang="en-GB"/>
        </a:p>
      </dgm:t>
    </dgm:pt>
    <dgm:pt modelId="{15D7D02F-9806-4A7F-A42D-FE7E83343FED}" type="pres">
      <dgm:prSet presAssocID="{7634D104-7D93-4DC9-AA78-CFDC22EB2B7D}" presName="Name0" presStyleCnt="0">
        <dgm:presLayoutVars>
          <dgm:dir/>
          <dgm:animLvl val="lvl"/>
          <dgm:resizeHandles val="exact"/>
        </dgm:presLayoutVars>
      </dgm:prSet>
      <dgm:spPr/>
    </dgm:pt>
    <dgm:pt modelId="{060EE54F-9EBC-4508-90E0-A71D8106BA41}" type="pres">
      <dgm:prSet presAssocID="{D895BCAF-11FD-4161-9460-71155FF594D5}" presName="composite" presStyleCnt="0"/>
      <dgm:spPr/>
    </dgm:pt>
    <dgm:pt modelId="{5E4A68E9-45A9-433C-B39E-FA98BC5055EA}" type="pres">
      <dgm:prSet presAssocID="{D895BCAF-11FD-4161-9460-71155FF594D5}" presName="parTx" presStyleLbl="alignNode1" presStyleIdx="0" presStyleCnt="5">
        <dgm:presLayoutVars>
          <dgm:chMax val="0"/>
          <dgm:chPref val="0"/>
          <dgm:bulletEnabled val="1"/>
        </dgm:presLayoutVars>
      </dgm:prSet>
      <dgm:spPr/>
    </dgm:pt>
    <dgm:pt modelId="{0916EB88-9427-4C81-A0D0-B1BC4D25BFB9}" type="pres">
      <dgm:prSet presAssocID="{D895BCAF-11FD-4161-9460-71155FF594D5}" presName="desTx" presStyleLbl="alignAccFollowNode1" presStyleIdx="0" presStyleCnt="5">
        <dgm:presLayoutVars>
          <dgm:bulletEnabled val="1"/>
        </dgm:presLayoutVars>
      </dgm:prSet>
      <dgm:spPr/>
    </dgm:pt>
    <dgm:pt modelId="{5A8A88A5-B4F4-47DC-BABC-220E75C6B14E}" type="pres">
      <dgm:prSet presAssocID="{1D8F6D8C-F89F-400C-A451-06369F630D13}" presName="space" presStyleCnt="0"/>
      <dgm:spPr/>
    </dgm:pt>
    <dgm:pt modelId="{ABE7DA82-7937-4173-A683-867FD7F4045F}" type="pres">
      <dgm:prSet presAssocID="{D2F35989-0D76-4707-8851-E95507DAC780}" presName="composite" presStyleCnt="0"/>
      <dgm:spPr/>
    </dgm:pt>
    <dgm:pt modelId="{0F07604D-46A6-4ADA-B996-B9E43A897BA8}" type="pres">
      <dgm:prSet presAssocID="{D2F35989-0D76-4707-8851-E95507DAC780}" presName="parTx" presStyleLbl="alignNode1" presStyleIdx="1" presStyleCnt="5">
        <dgm:presLayoutVars>
          <dgm:chMax val="0"/>
          <dgm:chPref val="0"/>
          <dgm:bulletEnabled val="1"/>
        </dgm:presLayoutVars>
      </dgm:prSet>
      <dgm:spPr/>
    </dgm:pt>
    <dgm:pt modelId="{D9C43641-36D4-43D5-A2FD-0F9F6D2C43BC}" type="pres">
      <dgm:prSet presAssocID="{D2F35989-0D76-4707-8851-E95507DAC780}" presName="desTx" presStyleLbl="alignAccFollowNode1" presStyleIdx="1" presStyleCnt="5">
        <dgm:presLayoutVars>
          <dgm:bulletEnabled val="1"/>
        </dgm:presLayoutVars>
      </dgm:prSet>
      <dgm:spPr/>
    </dgm:pt>
    <dgm:pt modelId="{8D77E0EF-A152-4EF7-A7FC-CC6FAF7F6B43}" type="pres">
      <dgm:prSet presAssocID="{B96B68E4-E5AE-4BB2-A658-AF9FA9406E6C}" presName="space" presStyleCnt="0"/>
      <dgm:spPr/>
    </dgm:pt>
    <dgm:pt modelId="{D3157F63-FA9E-47B4-8FF4-EE6DAC4A8479}" type="pres">
      <dgm:prSet presAssocID="{5674B894-A55E-4559-8EA7-028C3F32E4B2}" presName="composite" presStyleCnt="0"/>
      <dgm:spPr/>
    </dgm:pt>
    <dgm:pt modelId="{594F44BC-596E-4978-9BF4-2F7DCCF10A7F}" type="pres">
      <dgm:prSet presAssocID="{5674B894-A55E-4559-8EA7-028C3F32E4B2}" presName="parTx" presStyleLbl="alignNode1" presStyleIdx="2" presStyleCnt="5">
        <dgm:presLayoutVars>
          <dgm:chMax val="0"/>
          <dgm:chPref val="0"/>
          <dgm:bulletEnabled val="1"/>
        </dgm:presLayoutVars>
      </dgm:prSet>
      <dgm:spPr/>
    </dgm:pt>
    <dgm:pt modelId="{B4F89DDA-DC7D-4C4E-967D-E22B07A05DB1}" type="pres">
      <dgm:prSet presAssocID="{5674B894-A55E-4559-8EA7-028C3F32E4B2}" presName="desTx" presStyleLbl="alignAccFollowNode1" presStyleIdx="2" presStyleCnt="5">
        <dgm:presLayoutVars>
          <dgm:bulletEnabled val="1"/>
        </dgm:presLayoutVars>
      </dgm:prSet>
      <dgm:spPr/>
    </dgm:pt>
    <dgm:pt modelId="{3A60D635-F235-4B71-8993-A550528BFBFB}" type="pres">
      <dgm:prSet presAssocID="{94E754A5-C7C4-42B9-A350-BD17338F58B9}" presName="space" presStyleCnt="0"/>
      <dgm:spPr/>
    </dgm:pt>
    <dgm:pt modelId="{F2A85F99-7F33-46A4-9E84-7525455EC96E}" type="pres">
      <dgm:prSet presAssocID="{DED7677A-A811-4E99-A359-AF267F66CB3B}" presName="composite" presStyleCnt="0"/>
      <dgm:spPr/>
    </dgm:pt>
    <dgm:pt modelId="{4B0BA49E-53FB-4A48-8A53-1DCC68267D3A}" type="pres">
      <dgm:prSet presAssocID="{DED7677A-A811-4E99-A359-AF267F66CB3B}" presName="parTx" presStyleLbl="alignNode1" presStyleIdx="3" presStyleCnt="5">
        <dgm:presLayoutVars>
          <dgm:chMax val="0"/>
          <dgm:chPref val="0"/>
          <dgm:bulletEnabled val="1"/>
        </dgm:presLayoutVars>
      </dgm:prSet>
      <dgm:spPr/>
    </dgm:pt>
    <dgm:pt modelId="{0426731F-8A3C-42F1-804E-8F6D7BF28D02}" type="pres">
      <dgm:prSet presAssocID="{DED7677A-A811-4E99-A359-AF267F66CB3B}" presName="desTx" presStyleLbl="alignAccFollowNode1" presStyleIdx="3" presStyleCnt="5">
        <dgm:presLayoutVars>
          <dgm:bulletEnabled val="1"/>
        </dgm:presLayoutVars>
      </dgm:prSet>
      <dgm:spPr/>
    </dgm:pt>
    <dgm:pt modelId="{D9831088-02B0-4486-B332-594DEF4AFDB7}" type="pres">
      <dgm:prSet presAssocID="{9F4A521B-0AB9-4C49-8D3E-A4522CDAC745}" presName="space" presStyleCnt="0"/>
      <dgm:spPr/>
    </dgm:pt>
    <dgm:pt modelId="{25E0243E-9C63-48E2-BDA9-959F204AC029}" type="pres">
      <dgm:prSet presAssocID="{F5AC5549-675B-444B-905D-2F1D9FDC1779}" presName="composite" presStyleCnt="0"/>
      <dgm:spPr/>
    </dgm:pt>
    <dgm:pt modelId="{527B8B4B-D6E7-4EB7-86F6-6A7D2579D756}" type="pres">
      <dgm:prSet presAssocID="{F5AC5549-675B-444B-905D-2F1D9FDC1779}" presName="parTx" presStyleLbl="alignNode1" presStyleIdx="4" presStyleCnt="5">
        <dgm:presLayoutVars>
          <dgm:chMax val="0"/>
          <dgm:chPref val="0"/>
          <dgm:bulletEnabled val="1"/>
        </dgm:presLayoutVars>
      </dgm:prSet>
      <dgm:spPr/>
    </dgm:pt>
    <dgm:pt modelId="{3FAC58C7-563C-4DE2-B8E2-03C2F5DF4A75}" type="pres">
      <dgm:prSet presAssocID="{F5AC5549-675B-444B-905D-2F1D9FDC1779}" presName="desTx" presStyleLbl="alignAccFollowNode1" presStyleIdx="4" presStyleCnt="5">
        <dgm:presLayoutVars>
          <dgm:bulletEnabled val="1"/>
        </dgm:presLayoutVars>
      </dgm:prSet>
      <dgm:spPr/>
    </dgm:pt>
  </dgm:ptLst>
  <dgm:cxnLst>
    <dgm:cxn modelId="{1D40D500-2967-46E3-817F-582348E97C84}" type="presOf" srcId="{D0F2A51A-8617-4842-9A50-755676DCD3DD}" destId="{3FAC58C7-563C-4DE2-B8E2-03C2F5DF4A75}" srcOrd="0" destOrd="0" presId="urn:microsoft.com/office/officeart/2005/8/layout/hList1"/>
    <dgm:cxn modelId="{DA224816-7824-4FE5-9CD1-3E0ECE27E8A0}" srcId="{D895BCAF-11FD-4161-9460-71155FF594D5}" destId="{DD8DD7F7-557F-4529-952E-996BE575A6CC}" srcOrd="0" destOrd="0" parTransId="{898A7FBF-8854-4FCD-8F75-6D0A10D342BF}" sibTransId="{069345D4-AF17-4BE2-BEFD-16AAD453ED22}"/>
    <dgm:cxn modelId="{56DD223B-87BE-41AD-A123-502044CB6C82}" srcId="{7634D104-7D93-4DC9-AA78-CFDC22EB2B7D}" destId="{D895BCAF-11FD-4161-9460-71155FF594D5}" srcOrd="0" destOrd="0" parTransId="{55C24B6C-44F8-45FA-AE8C-D7852F8F756E}" sibTransId="{1D8F6D8C-F89F-400C-A451-06369F630D13}"/>
    <dgm:cxn modelId="{F047993C-E79F-4DF4-8E68-009CE95435BF}" srcId="{7634D104-7D93-4DC9-AA78-CFDC22EB2B7D}" destId="{F5AC5549-675B-444B-905D-2F1D9FDC1779}" srcOrd="4" destOrd="0" parTransId="{AC81EE79-FF8C-4405-963A-7F74BE293A69}" sibTransId="{B7249222-7390-4801-8772-10BB94E221D0}"/>
    <dgm:cxn modelId="{81E8ED4A-9C61-4261-A97E-A8FB2B721822}" srcId="{7634D104-7D93-4DC9-AA78-CFDC22EB2B7D}" destId="{DED7677A-A811-4E99-A359-AF267F66CB3B}" srcOrd="3" destOrd="0" parTransId="{F38EF5EE-50CB-434C-B7C2-9D5B46BCDA7A}" sibTransId="{9F4A521B-0AB9-4C49-8D3E-A4522CDAC745}"/>
    <dgm:cxn modelId="{F0545359-5F04-43E8-A631-131816166571}" type="presOf" srcId="{7D9AB477-3831-4B66-903C-51888FAB2EF1}" destId="{0426731F-8A3C-42F1-804E-8F6D7BF28D02}" srcOrd="0" destOrd="0" presId="urn:microsoft.com/office/officeart/2005/8/layout/hList1"/>
    <dgm:cxn modelId="{8A48955A-FF8F-4776-99D4-D2F9A35739B0}" srcId="{7634D104-7D93-4DC9-AA78-CFDC22EB2B7D}" destId="{5674B894-A55E-4559-8EA7-028C3F32E4B2}" srcOrd="2" destOrd="0" parTransId="{CF4D6B60-7FC7-4A9C-B7E1-C22EA10EB381}" sibTransId="{94E754A5-C7C4-42B9-A350-BD17338F58B9}"/>
    <dgm:cxn modelId="{399E6863-0942-4C7F-888F-D5A856FD2535}" type="presOf" srcId="{D2F35989-0D76-4707-8851-E95507DAC780}" destId="{0F07604D-46A6-4ADA-B996-B9E43A897BA8}" srcOrd="0" destOrd="0" presId="urn:microsoft.com/office/officeart/2005/8/layout/hList1"/>
    <dgm:cxn modelId="{5EDB3766-A34E-4BF8-AAD2-7E410EE2BF08}" type="presOf" srcId="{C265F219-E085-47C1-B4E3-8FDDFA25F889}" destId="{0916EB88-9427-4C81-A0D0-B1BC4D25BFB9}" srcOrd="0" destOrd="1" presId="urn:microsoft.com/office/officeart/2005/8/layout/hList1"/>
    <dgm:cxn modelId="{CB93FF67-74EB-4163-A9EC-6469F10734D1}" srcId="{7634D104-7D93-4DC9-AA78-CFDC22EB2B7D}" destId="{D2F35989-0D76-4707-8851-E95507DAC780}" srcOrd="1" destOrd="0" parTransId="{95A47F62-7CA1-4144-B825-A44483178729}" sibTransId="{B96B68E4-E5AE-4BB2-A658-AF9FA9406E6C}"/>
    <dgm:cxn modelId="{6D02BE70-8BF6-45CD-ABFA-06108FDCC6B4}" type="presOf" srcId="{B8AA4B07-C565-4CCF-9950-02D7DCC3515C}" destId="{D9C43641-36D4-43D5-A2FD-0F9F6D2C43BC}" srcOrd="0" destOrd="0" presId="urn:microsoft.com/office/officeart/2005/8/layout/hList1"/>
    <dgm:cxn modelId="{19EBC273-BE40-4DF3-AD90-42CF3D009016}" srcId="{F5AC5549-675B-444B-905D-2F1D9FDC1779}" destId="{D0F2A51A-8617-4842-9A50-755676DCD3DD}" srcOrd="0" destOrd="0" parTransId="{DD30637A-3765-4C05-B6F7-B47484906C94}" sibTransId="{6BC62B7F-2BE1-4735-BEF1-C93E581063AE}"/>
    <dgm:cxn modelId="{7B9CB682-0DC9-4815-951A-E787AB7CD2FE}" srcId="{5674B894-A55E-4559-8EA7-028C3F32E4B2}" destId="{31ECEDD7-80EF-414B-BE50-B610D566367B}" srcOrd="0" destOrd="0" parTransId="{20439AF7-F994-4596-8154-7958604637F8}" sibTransId="{BAE7B1D5-018D-43C6-93C5-0E28100285E0}"/>
    <dgm:cxn modelId="{9835A583-CD6D-42A3-B319-63D857434C2F}" type="presOf" srcId="{5674B894-A55E-4559-8EA7-028C3F32E4B2}" destId="{594F44BC-596E-4978-9BF4-2F7DCCF10A7F}" srcOrd="0" destOrd="0" presId="urn:microsoft.com/office/officeart/2005/8/layout/hList1"/>
    <dgm:cxn modelId="{E184228C-34B7-4DE5-A1F8-16A52B0ADA2D}" type="presOf" srcId="{7634D104-7D93-4DC9-AA78-CFDC22EB2B7D}" destId="{15D7D02F-9806-4A7F-A42D-FE7E83343FED}" srcOrd="0" destOrd="0" presId="urn:microsoft.com/office/officeart/2005/8/layout/hList1"/>
    <dgm:cxn modelId="{BE8BA2AF-7358-466A-818A-8E689518B231}" type="presOf" srcId="{DED7677A-A811-4E99-A359-AF267F66CB3B}" destId="{4B0BA49E-53FB-4A48-8A53-1DCC68267D3A}" srcOrd="0" destOrd="0" presId="urn:microsoft.com/office/officeart/2005/8/layout/hList1"/>
    <dgm:cxn modelId="{4A6AD1C3-5816-4962-BB6E-DFFD66292B92}" type="presOf" srcId="{F5AC5549-675B-444B-905D-2F1D9FDC1779}" destId="{527B8B4B-D6E7-4EB7-86F6-6A7D2579D756}" srcOrd="0" destOrd="0" presId="urn:microsoft.com/office/officeart/2005/8/layout/hList1"/>
    <dgm:cxn modelId="{0347E8C6-F21E-4852-9890-A625EBCAFF9A}" type="presOf" srcId="{D895BCAF-11FD-4161-9460-71155FF594D5}" destId="{5E4A68E9-45A9-433C-B39E-FA98BC5055EA}" srcOrd="0" destOrd="0" presId="urn:microsoft.com/office/officeart/2005/8/layout/hList1"/>
    <dgm:cxn modelId="{54D0ECD0-EE84-49E7-8142-950C154DBDA3}" srcId="{D895BCAF-11FD-4161-9460-71155FF594D5}" destId="{C265F219-E085-47C1-B4E3-8FDDFA25F889}" srcOrd="1" destOrd="0" parTransId="{CFB48789-B765-4BE4-8DB6-CD599F6A3E37}" sibTransId="{19FFA166-1C07-47F4-A622-03A6AB1AE0CC}"/>
    <dgm:cxn modelId="{69B898E8-8AC1-49BC-ACDC-C481A18F83F5}" type="presOf" srcId="{DD8DD7F7-557F-4529-952E-996BE575A6CC}" destId="{0916EB88-9427-4C81-A0D0-B1BC4D25BFB9}" srcOrd="0" destOrd="0" presId="urn:microsoft.com/office/officeart/2005/8/layout/hList1"/>
    <dgm:cxn modelId="{62CB3FEB-664D-43E7-89EF-51AA5774E707}" srcId="{DED7677A-A811-4E99-A359-AF267F66CB3B}" destId="{7D9AB477-3831-4B66-903C-51888FAB2EF1}" srcOrd="0" destOrd="0" parTransId="{1C5BF6D7-9EA3-4496-9259-CCFB570AB9BC}" sibTransId="{13866862-3E71-49D6-8E54-5828906B8520}"/>
    <dgm:cxn modelId="{6BE8E3EC-C2A7-498E-A235-A16E4F8BFFEE}" type="presOf" srcId="{31ECEDD7-80EF-414B-BE50-B610D566367B}" destId="{B4F89DDA-DC7D-4C4E-967D-E22B07A05DB1}" srcOrd="0" destOrd="0" presId="urn:microsoft.com/office/officeart/2005/8/layout/hList1"/>
    <dgm:cxn modelId="{54E1D1F9-2D03-4A36-ADEB-7EC8EB0F85F9}" srcId="{D2F35989-0D76-4707-8851-E95507DAC780}" destId="{B8AA4B07-C565-4CCF-9950-02D7DCC3515C}" srcOrd="0" destOrd="0" parTransId="{7CE0ECD8-FF60-40FC-834A-69289342858B}" sibTransId="{BA44317E-0141-443D-B3B3-5D8A23F7257D}"/>
    <dgm:cxn modelId="{D2721AD5-678A-4F64-B8C6-E3935F754701}" type="presParOf" srcId="{15D7D02F-9806-4A7F-A42D-FE7E83343FED}" destId="{060EE54F-9EBC-4508-90E0-A71D8106BA41}" srcOrd="0" destOrd="0" presId="urn:microsoft.com/office/officeart/2005/8/layout/hList1"/>
    <dgm:cxn modelId="{EEF4B7C3-F2D6-42E9-91ED-4BC363CA8724}" type="presParOf" srcId="{060EE54F-9EBC-4508-90E0-A71D8106BA41}" destId="{5E4A68E9-45A9-433C-B39E-FA98BC5055EA}" srcOrd="0" destOrd="0" presId="urn:microsoft.com/office/officeart/2005/8/layout/hList1"/>
    <dgm:cxn modelId="{7C7A81B5-FB86-439D-BAB5-BF9CACFD41A4}" type="presParOf" srcId="{060EE54F-9EBC-4508-90E0-A71D8106BA41}" destId="{0916EB88-9427-4C81-A0D0-B1BC4D25BFB9}" srcOrd="1" destOrd="0" presId="urn:microsoft.com/office/officeart/2005/8/layout/hList1"/>
    <dgm:cxn modelId="{AE1E55F4-BCBA-4F89-BEEC-DC69CC502B51}" type="presParOf" srcId="{15D7D02F-9806-4A7F-A42D-FE7E83343FED}" destId="{5A8A88A5-B4F4-47DC-BABC-220E75C6B14E}" srcOrd="1" destOrd="0" presId="urn:microsoft.com/office/officeart/2005/8/layout/hList1"/>
    <dgm:cxn modelId="{8CD2570A-1DB5-4713-8ECD-C3D1706E5888}" type="presParOf" srcId="{15D7D02F-9806-4A7F-A42D-FE7E83343FED}" destId="{ABE7DA82-7937-4173-A683-867FD7F4045F}" srcOrd="2" destOrd="0" presId="urn:microsoft.com/office/officeart/2005/8/layout/hList1"/>
    <dgm:cxn modelId="{1ED1A475-0814-4B15-8A8C-467C10F19746}" type="presParOf" srcId="{ABE7DA82-7937-4173-A683-867FD7F4045F}" destId="{0F07604D-46A6-4ADA-B996-B9E43A897BA8}" srcOrd="0" destOrd="0" presId="urn:microsoft.com/office/officeart/2005/8/layout/hList1"/>
    <dgm:cxn modelId="{00619DFD-61E0-4F5F-BDA6-AAFE0C663138}" type="presParOf" srcId="{ABE7DA82-7937-4173-A683-867FD7F4045F}" destId="{D9C43641-36D4-43D5-A2FD-0F9F6D2C43BC}" srcOrd="1" destOrd="0" presId="urn:microsoft.com/office/officeart/2005/8/layout/hList1"/>
    <dgm:cxn modelId="{9EC54B59-14EE-4AAC-BEB8-245DACFF5D57}" type="presParOf" srcId="{15D7D02F-9806-4A7F-A42D-FE7E83343FED}" destId="{8D77E0EF-A152-4EF7-A7FC-CC6FAF7F6B43}" srcOrd="3" destOrd="0" presId="urn:microsoft.com/office/officeart/2005/8/layout/hList1"/>
    <dgm:cxn modelId="{C415C117-14BC-4407-B987-447450AB1CBE}" type="presParOf" srcId="{15D7D02F-9806-4A7F-A42D-FE7E83343FED}" destId="{D3157F63-FA9E-47B4-8FF4-EE6DAC4A8479}" srcOrd="4" destOrd="0" presId="urn:microsoft.com/office/officeart/2005/8/layout/hList1"/>
    <dgm:cxn modelId="{19B97481-E48F-43F3-A077-97AA9B37C348}" type="presParOf" srcId="{D3157F63-FA9E-47B4-8FF4-EE6DAC4A8479}" destId="{594F44BC-596E-4978-9BF4-2F7DCCF10A7F}" srcOrd="0" destOrd="0" presId="urn:microsoft.com/office/officeart/2005/8/layout/hList1"/>
    <dgm:cxn modelId="{B1886AD7-B1E8-4153-BF70-4C17CC2F5B8C}" type="presParOf" srcId="{D3157F63-FA9E-47B4-8FF4-EE6DAC4A8479}" destId="{B4F89DDA-DC7D-4C4E-967D-E22B07A05DB1}" srcOrd="1" destOrd="0" presId="urn:microsoft.com/office/officeart/2005/8/layout/hList1"/>
    <dgm:cxn modelId="{34069BD4-39E5-46B5-812D-488EA03F16BC}" type="presParOf" srcId="{15D7D02F-9806-4A7F-A42D-FE7E83343FED}" destId="{3A60D635-F235-4B71-8993-A550528BFBFB}" srcOrd="5" destOrd="0" presId="urn:microsoft.com/office/officeart/2005/8/layout/hList1"/>
    <dgm:cxn modelId="{F67628F1-777E-458A-ABC5-61A0314751DF}" type="presParOf" srcId="{15D7D02F-9806-4A7F-A42D-FE7E83343FED}" destId="{F2A85F99-7F33-46A4-9E84-7525455EC96E}" srcOrd="6" destOrd="0" presId="urn:microsoft.com/office/officeart/2005/8/layout/hList1"/>
    <dgm:cxn modelId="{3170DE25-156A-4863-BC4C-8C91C9A5D814}" type="presParOf" srcId="{F2A85F99-7F33-46A4-9E84-7525455EC96E}" destId="{4B0BA49E-53FB-4A48-8A53-1DCC68267D3A}" srcOrd="0" destOrd="0" presId="urn:microsoft.com/office/officeart/2005/8/layout/hList1"/>
    <dgm:cxn modelId="{70DC27C0-6B04-49DC-9116-F0D087BAE3E5}" type="presParOf" srcId="{F2A85F99-7F33-46A4-9E84-7525455EC96E}" destId="{0426731F-8A3C-42F1-804E-8F6D7BF28D02}" srcOrd="1" destOrd="0" presId="urn:microsoft.com/office/officeart/2005/8/layout/hList1"/>
    <dgm:cxn modelId="{0A3D3E68-E253-4BBB-93FE-D0529826BEE8}" type="presParOf" srcId="{15D7D02F-9806-4A7F-A42D-FE7E83343FED}" destId="{D9831088-02B0-4486-B332-594DEF4AFDB7}" srcOrd="7" destOrd="0" presId="urn:microsoft.com/office/officeart/2005/8/layout/hList1"/>
    <dgm:cxn modelId="{59A3EAA2-7F04-462A-B61D-E06E4901F47A}" type="presParOf" srcId="{15D7D02F-9806-4A7F-A42D-FE7E83343FED}" destId="{25E0243E-9C63-48E2-BDA9-959F204AC029}" srcOrd="8" destOrd="0" presId="urn:microsoft.com/office/officeart/2005/8/layout/hList1"/>
    <dgm:cxn modelId="{18B45B99-086B-4028-98E6-CEEE9E130CCE}" type="presParOf" srcId="{25E0243E-9C63-48E2-BDA9-959F204AC029}" destId="{527B8B4B-D6E7-4EB7-86F6-6A7D2579D756}" srcOrd="0" destOrd="0" presId="urn:microsoft.com/office/officeart/2005/8/layout/hList1"/>
    <dgm:cxn modelId="{BCF933E7-95C5-4DB2-AAEE-46F81520A954}" type="presParOf" srcId="{25E0243E-9C63-48E2-BDA9-959F204AC029}" destId="{3FAC58C7-563C-4DE2-B8E2-03C2F5DF4A75}" srcOrd="1" destOrd="0" presId="urn:microsoft.com/office/officeart/2005/8/layout/hList1"/>
  </dgm:cxnLst>
  <dgm:bg/>
  <dgm:whole/>
  <dgm:extLst>
    <a:ext uri="http://schemas.microsoft.com/office/drawing/2008/diagram">
      <dsp:dataModelExt xmlns:dsp="http://schemas.microsoft.com/office/drawing/2008/diagram" relId="rId1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E4A68E9-45A9-433C-B39E-FA98BC5055EA}">
      <dsp:nvSpPr>
        <dsp:cNvPr id="0" name=""/>
        <dsp:cNvSpPr/>
      </dsp:nvSpPr>
      <dsp:spPr>
        <a:xfrm>
          <a:off x="4165" y="36132"/>
          <a:ext cx="1596851" cy="472691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008" tIns="36576" rIns="64008" bIns="36576" numCol="1" spcCol="1270" anchor="ctr" anchorCtr="0">
          <a:noAutofit/>
        </a:bodyPr>
        <a:lstStyle/>
        <a:p>
          <a:pPr marL="0" lvl="0" indent="0" algn="ctr" defTabSz="400050">
            <a:lnSpc>
              <a:spcPct val="15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b="1" i="0" kern="1200">
              <a:latin typeface="Aptos" panose="020B0004020202020204" pitchFamily="34" charset="0"/>
            </a:rPr>
            <a:t>Respect for Intellectual Property:</a:t>
          </a:r>
          <a:endParaRPr lang="en-GB" sz="900" kern="1200">
            <a:latin typeface="Aptos" panose="020B0004020202020204" pitchFamily="34" charset="0"/>
          </a:endParaRPr>
        </a:p>
      </dsp:txBody>
      <dsp:txXfrm>
        <a:off x="4165" y="36132"/>
        <a:ext cx="1596851" cy="472691"/>
      </dsp:txXfrm>
    </dsp:sp>
    <dsp:sp modelId="{0916EB88-9427-4C81-A0D0-B1BC4D25BFB9}">
      <dsp:nvSpPr>
        <dsp:cNvPr id="0" name=""/>
        <dsp:cNvSpPr/>
      </dsp:nvSpPr>
      <dsp:spPr>
        <a:xfrm>
          <a:off x="4165" y="508824"/>
          <a:ext cx="1596851" cy="1579117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8006" tIns="48006" rIns="64008" bIns="72009" numCol="1" spcCol="1270" anchor="t" anchorCtr="0">
          <a:noAutofit/>
        </a:bodyPr>
        <a:lstStyle/>
        <a:p>
          <a:pPr marL="57150" lvl="1" indent="-57150" algn="l" defTabSz="400050">
            <a:lnSpc>
              <a:spcPct val="15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900" b="0" i="0" kern="1200" dirty="0">
              <a:latin typeface="Aptos" panose="020B0004020202020204" pitchFamily="34" charset="0"/>
            </a:rPr>
            <a:t>Properly cite and reference original sources (Hart, 2001). </a:t>
          </a:r>
          <a:endParaRPr lang="en-GB" sz="900" kern="1200" dirty="0">
            <a:latin typeface="Aptos" panose="020B0004020202020204" pitchFamily="34" charset="0"/>
          </a:endParaRPr>
        </a:p>
        <a:p>
          <a:pPr marL="57150" lvl="1" indent="-57150" algn="l" defTabSz="400050">
            <a:lnSpc>
              <a:spcPct val="15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900" b="0" i="0" kern="1200" dirty="0">
              <a:latin typeface="Aptos" panose="020B0004020202020204" pitchFamily="34" charset="0"/>
            </a:rPr>
            <a:t>Avoid plagiarism.</a:t>
          </a:r>
          <a:endParaRPr lang="en-GB" sz="900" kern="1200" dirty="0">
            <a:latin typeface="Aptos" panose="020B0004020202020204" pitchFamily="34" charset="0"/>
          </a:endParaRPr>
        </a:p>
      </dsp:txBody>
      <dsp:txXfrm>
        <a:off x="4165" y="508824"/>
        <a:ext cx="1596851" cy="1579117"/>
      </dsp:txXfrm>
    </dsp:sp>
    <dsp:sp modelId="{0F07604D-46A6-4ADA-B996-B9E43A897BA8}">
      <dsp:nvSpPr>
        <dsp:cNvPr id="0" name=""/>
        <dsp:cNvSpPr/>
      </dsp:nvSpPr>
      <dsp:spPr>
        <a:xfrm>
          <a:off x="1824576" y="36132"/>
          <a:ext cx="1596851" cy="472691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008" tIns="36576" rIns="64008" bIns="36576" numCol="1" spcCol="1270" anchor="ctr" anchorCtr="0">
          <a:noAutofit/>
        </a:bodyPr>
        <a:lstStyle/>
        <a:p>
          <a:pPr marL="0" lvl="0" indent="0" algn="ctr" defTabSz="400050">
            <a:lnSpc>
              <a:spcPct val="15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b="1" i="0" kern="1200">
              <a:latin typeface="Aptos" panose="020B0004020202020204" pitchFamily="34" charset="0"/>
            </a:rPr>
            <a:t>Privacy and Confidentiality:</a:t>
          </a:r>
          <a:endParaRPr lang="en-GB" sz="900" kern="1200">
            <a:latin typeface="Aptos" panose="020B0004020202020204" pitchFamily="34" charset="0"/>
          </a:endParaRPr>
        </a:p>
      </dsp:txBody>
      <dsp:txXfrm>
        <a:off x="1824576" y="36132"/>
        <a:ext cx="1596851" cy="472691"/>
      </dsp:txXfrm>
    </dsp:sp>
    <dsp:sp modelId="{D9C43641-36D4-43D5-A2FD-0F9F6D2C43BC}">
      <dsp:nvSpPr>
        <dsp:cNvPr id="0" name=""/>
        <dsp:cNvSpPr/>
      </dsp:nvSpPr>
      <dsp:spPr>
        <a:xfrm>
          <a:off x="1824576" y="508824"/>
          <a:ext cx="1596851" cy="1579117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8006" tIns="48006" rIns="64008" bIns="72009" numCol="1" spcCol="1270" anchor="t" anchorCtr="0">
          <a:noAutofit/>
        </a:bodyPr>
        <a:lstStyle/>
        <a:p>
          <a:pPr marL="57150" lvl="1" indent="-57150" algn="l" defTabSz="400050">
            <a:lnSpc>
              <a:spcPct val="15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900" b="0" i="0" kern="1200">
              <a:latin typeface="Aptos" panose="020B0004020202020204" pitchFamily="34" charset="0"/>
            </a:rPr>
            <a:t>Protect the privacy and confidentiality of individuals when using data with sensitive or identifiable information (Bell et al., 2022).</a:t>
          </a:r>
          <a:endParaRPr lang="en-GB" sz="900" kern="1200">
            <a:latin typeface="Aptos" panose="020B0004020202020204" pitchFamily="34" charset="0"/>
          </a:endParaRPr>
        </a:p>
      </dsp:txBody>
      <dsp:txXfrm>
        <a:off x="1824576" y="508824"/>
        <a:ext cx="1596851" cy="1579117"/>
      </dsp:txXfrm>
    </dsp:sp>
    <dsp:sp modelId="{594F44BC-596E-4978-9BF4-2F7DCCF10A7F}">
      <dsp:nvSpPr>
        <dsp:cNvPr id="0" name=""/>
        <dsp:cNvSpPr/>
      </dsp:nvSpPr>
      <dsp:spPr>
        <a:xfrm>
          <a:off x="3644986" y="36132"/>
          <a:ext cx="1596851" cy="472691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008" tIns="36576" rIns="64008" bIns="36576" numCol="1" spcCol="1270" anchor="ctr" anchorCtr="0">
          <a:noAutofit/>
        </a:bodyPr>
        <a:lstStyle/>
        <a:p>
          <a:pPr marL="0" lvl="0" indent="0" algn="ctr" defTabSz="400050">
            <a:lnSpc>
              <a:spcPct val="15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b="1" i="0" kern="1200">
              <a:latin typeface="Aptos" panose="020B0004020202020204" pitchFamily="34" charset="0"/>
            </a:rPr>
            <a:t>Data Integrity and Reliability:</a:t>
          </a:r>
          <a:r>
            <a:rPr lang="en-GB" sz="900" kern="1200">
              <a:latin typeface="Aptos" panose="020B0004020202020204" pitchFamily="34" charset="0"/>
            </a:rPr>
            <a:t> </a:t>
          </a:r>
        </a:p>
      </dsp:txBody>
      <dsp:txXfrm>
        <a:off x="3644986" y="36132"/>
        <a:ext cx="1596851" cy="472691"/>
      </dsp:txXfrm>
    </dsp:sp>
    <dsp:sp modelId="{B4F89DDA-DC7D-4C4E-967D-E22B07A05DB1}">
      <dsp:nvSpPr>
        <dsp:cNvPr id="0" name=""/>
        <dsp:cNvSpPr/>
      </dsp:nvSpPr>
      <dsp:spPr>
        <a:xfrm>
          <a:off x="3644986" y="508824"/>
          <a:ext cx="1596851" cy="1579117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8006" tIns="48006" rIns="64008" bIns="72009" numCol="1" spcCol="1270" anchor="t" anchorCtr="0">
          <a:noAutofit/>
        </a:bodyPr>
        <a:lstStyle/>
        <a:p>
          <a:pPr marL="57150" lvl="1" indent="-57150" algn="l" defTabSz="400050">
            <a:lnSpc>
              <a:spcPct val="15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900" b="0" i="0" kern="1200">
              <a:latin typeface="Aptos" panose="020B0004020202020204" pitchFamily="34" charset="0"/>
            </a:rPr>
            <a:t>Use reliable and valid data sources. Assess the quality and integrity of sources (Creswell and Poth, 2016).</a:t>
          </a:r>
          <a:endParaRPr lang="en-GB" sz="900" kern="1200">
            <a:latin typeface="Aptos" panose="020B0004020202020204" pitchFamily="34" charset="0"/>
          </a:endParaRPr>
        </a:p>
      </dsp:txBody>
      <dsp:txXfrm>
        <a:off x="3644986" y="508824"/>
        <a:ext cx="1596851" cy="1579117"/>
      </dsp:txXfrm>
    </dsp:sp>
    <dsp:sp modelId="{4B0BA49E-53FB-4A48-8A53-1DCC68267D3A}">
      <dsp:nvSpPr>
        <dsp:cNvPr id="0" name=""/>
        <dsp:cNvSpPr/>
      </dsp:nvSpPr>
      <dsp:spPr>
        <a:xfrm>
          <a:off x="5465397" y="36132"/>
          <a:ext cx="1596851" cy="472691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008" tIns="36576" rIns="64008" bIns="36576" numCol="1" spcCol="1270" anchor="ctr" anchorCtr="0">
          <a:noAutofit/>
        </a:bodyPr>
        <a:lstStyle/>
        <a:p>
          <a:pPr marL="0" lvl="0" indent="0" algn="ctr" defTabSz="400050">
            <a:lnSpc>
              <a:spcPct val="15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b="1" i="0" kern="1200" dirty="0">
              <a:latin typeface="Aptos" panose="020B0004020202020204" pitchFamily="34" charset="0"/>
            </a:rPr>
            <a:t>Compliance with Laws and Regulations:</a:t>
          </a:r>
          <a:endParaRPr lang="en-GB" sz="900" kern="1200" dirty="0">
            <a:latin typeface="Aptos" panose="020B0004020202020204" pitchFamily="34" charset="0"/>
          </a:endParaRPr>
        </a:p>
      </dsp:txBody>
      <dsp:txXfrm>
        <a:off x="5465397" y="36132"/>
        <a:ext cx="1596851" cy="472691"/>
      </dsp:txXfrm>
    </dsp:sp>
    <dsp:sp modelId="{0426731F-8A3C-42F1-804E-8F6D7BF28D02}">
      <dsp:nvSpPr>
        <dsp:cNvPr id="0" name=""/>
        <dsp:cNvSpPr/>
      </dsp:nvSpPr>
      <dsp:spPr>
        <a:xfrm>
          <a:off x="5465397" y="508824"/>
          <a:ext cx="1596851" cy="1579117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8006" tIns="48006" rIns="64008" bIns="72009" numCol="1" spcCol="1270" anchor="t" anchorCtr="0">
          <a:noAutofit/>
        </a:bodyPr>
        <a:lstStyle/>
        <a:p>
          <a:pPr marL="57150" lvl="1" indent="-57150" algn="l" defTabSz="400050">
            <a:lnSpc>
              <a:spcPct val="15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900" b="0" i="0" kern="1200">
              <a:latin typeface="Aptos" panose="020B0004020202020204" pitchFamily="34" charset="0"/>
            </a:rPr>
            <a:t>Adhere to relevant laws and regulations governing data use and research (e.g. GDPR) (James and Busher, 2015). </a:t>
          </a:r>
          <a:endParaRPr lang="en-GB" sz="900" kern="1200">
            <a:latin typeface="Aptos" panose="020B0004020202020204" pitchFamily="34" charset="0"/>
          </a:endParaRPr>
        </a:p>
      </dsp:txBody>
      <dsp:txXfrm>
        <a:off x="5465397" y="508824"/>
        <a:ext cx="1596851" cy="1579117"/>
      </dsp:txXfrm>
    </dsp:sp>
    <dsp:sp modelId="{527B8B4B-D6E7-4EB7-86F6-6A7D2579D756}">
      <dsp:nvSpPr>
        <dsp:cNvPr id="0" name=""/>
        <dsp:cNvSpPr/>
      </dsp:nvSpPr>
      <dsp:spPr>
        <a:xfrm>
          <a:off x="7285807" y="36132"/>
          <a:ext cx="1596851" cy="472691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008" tIns="36576" rIns="64008" bIns="36576" numCol="1" spcCol="1270" anchor="ctr" anchorCtr="0">
          <a:noAutofit/>
        </a:bodyPr>
        <a:lstStyle/>
        <a:p>
          <a:pPr marL="0" lvl="0" indent="0" algn="ctr" defTabSz="400050">
            <a:lnSpc>
              <a:spcPct val="15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b="1" i="0" kern="1200" dirty="0">
              <a:latin typeface="Aptos" panose="020B0004020202020204" pitchFamily="34" charset="0"/>
            </a:rPr>
            <a:t>Informed Consent</a:t>
          </a:r>
          <a:endParaRPr lang="en-GB" sz="900" kern="1200" dirty="0">
            <a:latin typeface="Aptos" panose="020B0004020202020204" pitchFamily="34" charset="0"/>
          </a:endParaRPr>
        </a:p>
      </dsp:txBody>
      <dsp:txXfrm>
        <a:off x="7285807" y="36132"/>
        <a:ext cx="1596851" cy="472691"/>
      </dsp:txXfrm>
    </dsp:sp>
    <dsp:sp modelId="{3FAC58C7-563C-4DE2-B8E2-03C2F5DF4A75}">
      <dsp:nvSpPr>
        <dsp:cNvPr id="0" name=""/>
        <dsp:cNvSpPr/>
      </dsp:nvSpPr>
      <dsp:spPr>
        <a:xfrm>
          <a:off x="7285807" y="508824"/>
          <a:ext cx="1596851" cy="1579117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8006" tIns="48006" rIns="64008" bIns="72009" numCol="1" spcCol="1270" anchor="t" anchorCtr="0">
          <a:noAutofit/>
        </a:bodyPr>
        <a:lstStyle/>
        <a:p>
          <a:pPr marL="57150" lvl="1" indent="-57150" algn="l" defTabSz="400050">
            <a:lnSpc>
              <a:spcPct val="15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900" b="0" i="0" kern="1200">
              <a:latin typeface="Aptos" panose="020B0004020202020204" pitchFamily="34" charset="0"/>
            </a:rPr>
            <a:t>Comply with informed consent agreements when using data that requires it or ensuring that if you have used primary research sources, the participants have provided their consent. </a:t>
          </a:r>
          <a:endParaRPr lang="en-GB" sz="900" kern="1200">
            <a:latin typeface="Aptos" panose="020B0004020202020204" pitchFamily="34" charset="0"/>
          </a:endParaRPr>
        </a:p>
      </dsp:txBody>
      <dsp:txXfrm>
        <a:off x="7285807" y="508824"/>
        <a:ext cx="1596851" cy="157911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List1">
  <dgm:title val=""/>
  <dgm:desc val=""/>
  <dgm:catLst>
    <dgm:cat type="list" pri="5000"/>
    <dgm:cat type="convert" pri="5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w" for="des" forName="parTx"/>
      <dgm:constr type="h" for="des" forName="parTx" op="equ"/>
      <dgm:constr type="w" for="des" forName="desTx"/>
      <dgm:constr type="h" for="des" forName="desTx" op="equ"/>
      <dgm:constr type="primFontSz" for="des" forName="parTx" val="65"/>
      <dgm:constr type="secFontSz" for="des" forName="desTx" refType="primFontSz" refFor="des" refForName="parTx" op="equ"/>
      <dgm:constr type="h" for="des" forName="parTx" refType="primFontSz" refFor="des" refForName="parTx" fact="0.8"/>
      <dgm:constr type="h" for="des" forName="desTx" refType="primFontSz" refFor="des" refForName="parTx" fact="1.22"/>
      <dgm:constr type="w" for="ch" forName="space" refType="w" refFor="ch" refForName="composite" op="equ" fact="0.14"/>
    </dgm:constrLst>
    <dgm:ruleLst>
      <dgm:rule type="w" for="ch" forName="composite" val="0" fact="NaN" max="NaN"/>
      <dgm:rule type="primFontSz" for="des" forName="parTx" val="5" fact="NaN" max="NaN"/>
    </dgm:ruleLst>
    <dgm:forEach name="Name4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onstrLst>
          <dgm:constr type="l" for="ch" forName="parTx"/>
          <dgm:constr type="w" for="ch" forName="parTx" refType="w"/>
          <dgm:constr type="t" for="ch" forName="parTx"/>
          <dgm:constr type="l" for="ch" forName="desTx"/>
          <dgm:constr type="w" for="ch" forName="desTx" refType="w" refFor="ch" refForName="parTx"/>
          <dgm:constr type="t" for="ch" forName="desTx" refType="h" refFor="ch" refForName="parTx"/>
        </dgm:constrLst>
        <dgm:ruleLst>
          <dgm:rule type="h" val="INF" fact="NaN" max="NaN"/>
        </dgm:ruleLst>
        <dgm:layoutNode name="parTx" styleLbl="alignNode1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>
            <dgm:adjLst/>
          </dgm:shape>
          <dgm:presOf axis="self" ptType="node"/>
          <dgm:constrLst>
            <dgm:constr type="h" refType="w" op="lte" fact="0.4"/>
            <dgm:constr type="h"/>
            <dgm:constr type="tMarg" refType="primFontSz" fact="0.32"/>
            <dgm:constr type="bMarg" refType="primFontSz" fact="0.32"/>
          </dgm:constrLst>
          <dgm:ruleLst>
            <dgm:rule type="h" val="INF" fact="NaN" max="NaN"/>
          </dgm:ruleLst>
        </dgm:layoutNode>
        <dgm:layoutNode name="desTx" styleLbl="alignAccFollowNode1">
          <dgm:varLst>
            <dgm:bulletEnabled val="1"/>
          </dgm:varLst>
          <dgm:alg type="tx">
            <dgm:param type="stBulletLvl" val="1"/>
          </dgm:alg>
          <dgm:shape xmlns:r="http://schemas.openxmlformats.org/officeDocument/2006/relationships" type="rect" r:blip="">
            <dgm:adjLst/>
          </dgm:shape>
          <dgm:presOf axis="des" ptType="node"/>
          <dgm:constrLst>
            <dgm:constr type="secFontSz" val="65"/>
            <dgm:constr type="primFontSz" refType="secFontSz"/>
            <dgm:constr type="h"/>
            <dgm:constr type="lMarg" refType="primFontSz" fact="0.42"/>
            <dgm:constr type="tMarg" refType="primFontSz" fact="0.42"/>
            <dgm:constr type="bMarg" refType="primFontSz" fact="0.63"/>
          </dgm:constrLst>
          <dgm:ruleLst>
            <dgm:rule type="h" val="INF" fact="NaN" max="NaN"/>
          </dgm:ruleLst>
        </dgm:layoutNode>
      </dgm:layoutNode>
      <dgm:forEach name="Name5" axis="followSib" ptType="sibTrans" cnt="1">
        <dgm:layoutNode name="space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6">
      <a:majorFont>
        <a:latin typeface="Century Schoolbook"/>
        <a:ea typeface=""/>
        <a:cs typeface=""/>
      </a:majorFont>
      <a:minorFont>
        <a:latin typeface="Century Schoolbook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FFA9BDFA-A1B5-4F38-8B5A-3C85B1433F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D9B858D-C272-42FB-BFB4-3B09EE2E67F0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71af3243-3dd4-4a8d-8c0d-dd76da1f02a5"/>
    <ds:schemaRef ds:uri="16c05727-aa75-4e4a-9b5f-8a80a1165891"/>
  </ds:schemaRefs>
</ds:datastoreItem>
</file>

<file path=customXml/itemProps3.xml><?xml version="1.0" encoding="utf-8"?>
<ds:datastoreItem xmlns:ds="http://schemas.openxmlformats.org/officeDocument/2006/customXml" ds:itemID="{4176C48E-4C0F-468C-B5F5-074B2EE9B9EF}">
  <ds:schemaRefs>
    <ds:schemaRef ds:uri="http://schemas.microsoft.com/office/2006/metadata/properties"/>
    <ds:schemaRef ds:uri="http://www.w3.org/2000/xmlns/"/>
    <ds:schemaRef ds:uri="71af3243-3dd4-4a8d-8c0d-dd76da1f02a5"/>
    <ds:schemaRef ds:uri="http://www.w3.org/2001/XMLSchema-instance"/>
  </ds:schemaRefs>
</ds:datastoreItem>
</file>

<file path=customXml/itemProps4.xml><?xml version="1.0" encoding="utf-8"?>
<ds:datastoreItem xmlns:ds="http://schemas.openxmlformats.org/officeDocument/2006/customXml" ds:itemID="{232B06B9-27AB-40FB-B977-14D6FC8A98CC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Education%20brochure.dotx</Template>
  <TotalTime>0</TotalTime>
  <Pages>5</Pages>
  <Words>481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2025-11-01T21:22:00Z</dcterms:created>
  <dcterms:modified xsi:type="dcterms:W3CDTF">2025-11-01T21:22:00Z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