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3E495" w14:textId="144EF196" w:rsidR="001D546F" w:rsidRPr="00D34E64" w:rsidRDefault="001D546F" w:rsidP="007F7DCA">
      <w:pPr>
        <w:jc w:val="center"/>
        <w:rPr>
          <w:rFonts w:asciiTheme="minorHAnsi" w:hAnsiTheme="minorHAnsi" w:cstheme="minorHAnsi"/>
          <w:b/>
          <w:bCs/>
          <w:sz w:val="22"/>
          <w:szCs w:val="22"/>
        </w:rPr>
      </w:pPr>
      <w:r w:rsidRPr="00D34E64">
        <w:rPr>
          <w:rFonts w:asciiTheme="minorHAnsi" w:hAnsiTheme="minorHAnsi" w:cstheme="minorHAnsi"/>
          <w:b/>
          <w:bCs/>
          <w:sz w:val="22"/>
          <w:szCs w:val="22"/>
        </w:rPr>
        <w:t xml:space="preserve">How can battlefield archaeology contribute positively to the process of bereavement, </w:t>
      </w:r>
      <w:r w:rsidRPr="00D34E64">
        <w:rPr>
          <w:rFonts w:asciiTheme="minorHAnsi" w:hAnsiTheme="minorHAnsi" w:cstheme="minorHAnsi"/>
          <w:b/>
          <w:bCs/>
          <w:sz w:val="22"/>
          <w:szCs w:val="22"/>
        </w:rPr>
        <w:t>commemoration,</w:t>
      </w:r>
      <w:r w:rsidRPr="00D34E64">
        <w:rPr>
          <w:rFonts w:asciiTheme="minorHAnsi" w:hAnsiTheme="minorHAnsi" w:cstheme="minorHAnsi"/>
          <w:b/>
          <w:bCs/>
          <w:sz w:val="22"/>
          <w:szCs w:val="22"/>
        </w:rPr>
        <w:t xml:space="preserve"> and reconciliation?</w:t>
      </w:r>
    </w:p>
    <w:p w14:paraId="3396BCFE" w14:textId="77777777" w:rsidR="00005E89" w:rsidRPr="00D34E64" w:rsidRDefault="00005E89" w:rsidP="007F7DCA">
      <w:pPr>
        <w:jc w:val="center"/>
        <w:rPr>
          <w:rFonts w:asciiTheme="minorHAnsi" w:hAnsiTheme="minorHAnsi" w:cstheme="minorHAnsi"/>
          <w:b/>
          <w:bCs/>
          <w:sz w:val="22"/>
          <w:szCs w:val="22"/>
        </w:rPr>
      </w:pPr>
    </w:p>
    <w:p w14:paraId="6443A9DA" w14:textId="1D09B239" w:rsidR="00FE765F" w:rsidRPr="00D34E64" w:rsidRDefault="00FE765F" w:rsidP="007F7DCA">
      <w:pPr>
        <w:rPr>
          <w:rFonts w:asciiTheme="minorHAnsi" w:hAnsiTheme="minorHAnsi" w:cstheme="minorHAnsi"/>
          <w:sz w:val="22"/>
          <w:szCs w:val="22"/>
        </w:rPr>
      </w:pPr>
      <w:r w:rsidRPr="00D34E64">
        <w:rPr>
          <w:rFonts w:asciiTheme="minorHAnsi" w:hAnsiTheme="minorHAnsi" w:cstheme="minorHAnsi"/>
          <w:sz w:val="22"/>
          <w:szCs w:val="22"/>
        </w:rPr>
        <w:t xml:space="preserve">Battlefield archaeology is a branch of archaeology that specialises the study of material remains, landscapes and the sites of armed conflict, in the aim to understand how battles occurred and the experiences of people involved. Battlefield archaeology contributes positively to the process of bereavement (by identifying the war dead, providing closure for families, and creating the opportunity for a proper formal burial), commemoration (by making memorials historically accurate via their research, and encouraging the creation of new ones), and reconciliation (by establishing an evidence based record of battles, and helping to provide legal evidence in the event of archaeologists finding evidence of human rights abuses). </w:t>
      </w:r>
    </w:p>
    <w:p w14:paraId="1807028F" w14:textId="77777777" w:rsidR="003F6FA2" w:rsidRPr="00D34E64" w:rsidRDefault="003F6FA2" w:rsidP="007F7DCA">
      <w:pPr>
        <w:rPr>
          <w:rFonts w:asciiTheme="minorHAnsi" w:hAnsiTheme="minorHAnsi" w:cstheme="minorHAnsi"/>
          <w:sz w:val="22"/>
          <w:szCs w:val="22"/>
        </w:rPr>
      </w:pPr>
    </w:p>
    <w:p w14:paraId="021FF717" w14:textId="69CA1427" w:rsidR="00FE765F" w:rsidRPr="00D34E64" w:rsidRDefault="00E07E3B" w:rsidP="007F7DCA">
      <w:pPr>
        <w:rPr>
          <w:rFonts w:asciiTheme="minorHAnsi" w:hAnsiTheme="minorHAnsi" w:cstheme="minorHAnsi"/>
          <w:sz w:val="22"/>
          <w:szCs w:val="22"/>
        </w:rPr>
      </w:pPr>
      <w:r w:rsidRPr="00D34E64">
        <w:rPr>
          <w:rFonts w:asciiTheme="minorHAnsi" w:hAnsiTheme="minorHAnsi" w:cstheme="minorHAnsi"/>
          <w:sz w:val="22"/>
          <w:szCs w:val="22"/>
        </w:rPr>
        <w:t>Battlefield archaeology positively contributes to the process of bereavement. Naturally with the vast majority of conflict, there is a loss of life, and battlefield archaeology aims to help reunify remains found with the bereaved families they have left behind. After WW1, there was an estimated 15-22 million deaths, which meant that 15-22 million families were left looking to find out what happened to their family member/s, and later after WW2 there was 70-85 million deaths. “The Commonwealth War Graves Commission was set up in 1917 by a Royal Charter to commemorate the 1.7 million men and women from the Commonwealth who lost their lives during the two world wars.”</w:t>
      </w:r>
      <w:r w:rsidRPr="00D34E64">
        <w:rPr>
          <w:rStyle w:val="FootnoteReference"/>
          <w:rFonts w:asciiTheme="minorHAnsi" w:hAnsiTheme="minorHAnsi" w:cstheme="minorHAnsi"/>
          <w:sz w:val="22"/>
          <w:szCs w:val="22"/>
        </w:rPr>
        <w:footnoteReference w:id="1"/>
      </w:r>
      <w:r w:rsidR="00E4793C" w:rsidRPr="00D34E64">
        <w:rPr>
          <w:rFonts w:asciiTheme="minorHAnsi" w:hAnsiTheme="minorHAnsi" w:cstheme="minorHAnsi"/>
          <w:sz w:val="22"/>
          <w:szCs w:val="22"/>
        </w:rPr>
        <w:t xml:space="preserve"> This organisation has helped many people, including my own family, found out the fate of their loved ones. </w:t>
      </w:r>
      <w:r w:rsidR="009E2C87" w:rsidRPr="00D34E64">
        <w:rPr>
          <w:rFonts w:asciiTheme="minorHAnsi" w:hAnsiTheme="minorHAnsi" w:cstheme="minorHAnsi"/>
          <w:sz w:val="22"/>
          <w:szCs w:val="22"/>
        </w:rPr>
        <w:t>Private K Trinder (born in 1891/2 in Filkins, Oxfordshire, according to the 1901 census</w:t>
      </w:r>
      <w:r w:rsidR="009E2C87" w:rsidRPr="00D34E64">
        <w:rPr>
          <w:rStyle w:val="FootnoteReference"/>
          <w:rFonts w:asciiTheme="minorHAnsi" w:hAnsiTheme="minorHAnsi" w:cstheme="minorHAnsi"/>
          <w:sz w:val="22"/>
          <w:szCs w:val="22"/>
        </w:rPr>
        <w:footnoteReference w:id="2"/>
      </w:r>
      <w:r w:rsidR="009E2C87" w:rsidRPr="00D34E64">
        <w:rPr>
          <w:rFonts w:asciiTheme="minorHAnsi" w:hAnsiTheme="minorHAnsi" w:cstheme="minorHAnsi"/>
          <w:sz w:val="22"/>
          <w:szCs w:val="22"/>
        </w:rPr>
        <w:t xml:space="preserve">), is a distant cousin of mine who fought and died in WW1 at the age of 25/26 in France. My family knew of his existence and that he fought and died in WW1 but none of his family survives or possibly lives nearby to give us any information on where he was buried. On the anniversary of the beginning of WW1 my Grandad (encouraged by </w:t>
      </w:r>
      <w:r w:rsidR="00165EF8" w:rsidRPr="00D34E64">
        <w:rPr>
          <w:rFonts w:asciiTheme="minorHAnsi" w:hAnsiTheme="minorHAnsi" w:cstheme="minorHAnsi"/>
          <w:sz w:val="22"/>
          <w:szCs w:val="22"/>
        </w:rPr>
        <w:t>8-year-old</w:t>
      </w:r>
      <w:r w:rsidR="009E2C87" w:rsidRPr="00D34E64">
        <w:rPr>
          <w:rFonts w:asciiTheme="minorHAnsi" w:hAnsiTheme="minorHAnsi" w:cstheme="minorHAnsi"/>
          <w:sz w:val="22"/>
          <w:szCs w:val="22"/>
        </w:rPr>
        <w:t xml:space="preserve"> me), decided to track down where my cousin is buried and possibly what happened to him. Using the Commonwealth War Graves Commission website, we managed to discover that he died on 21</w:t>
      </w:r>
      <w:r w:rsidR="009E2C87" w:rsidRPr="00D34E64">
        <w:rPr>
          <w:rFonts w:asciiTheme="minorHAnsi" w:hAnsiTheme="minorHAnsi" w:cstheme="minorHAnsi"/>
          <w:sz w:val="22"/>
          <w:szCs w:val="22"/>
          <w:vertAlign w:val="superscript"/>
        </w:rPr>
        <w:t>st</w:t>
      </w:r>
      <w:r w:rsidR="009E2C87" w:rsidRPr="00D34E64">
        <w:rPr>
          <w:rFonts w:asciiTheme="minorHAnsi" w:hAnsiTheme="minorHAnsi" w:cstheme="minorHAnsi"/>
          <w:sz w:val="22"/>
          <w:szCs w:val="22"/>
        </w:rPr>
        <w:t xml:space="preserve"> December 1917, and was buried at the Bucquoy Road Cemetery in Ficheux, France.</w:t>
      </w:r>
      <w:r w:rsidR="009E2C87" w:rsidRPr="00D34E64">
        <w:rPr>
          <w:rStyle w:val="FootnoteReference"/>
          <w:rFonts w:asciiTheme="minorHAnsi" w:hAnsiTheme="minorHAnsi" w:cstheme="minorHAnsi"/>
          <w:sz w:val="22"/>
          <w:szCs w:val="22"/>
        </w:rPr>
        <w:footnoteReference w:id="3"/>
      </w:r>
      <w:r w:rsidR="009E2C87" w:rsidRPr="00D34E64">
        <w:rPr>
          <w:rFonts w:asciiTheme="minorHAnsi" w:hAnsiTheme="minorHAnsi" w:cstheme="minorHAnsi"/>
          <w:sz w:val="22"/>
          <w:szCs w:val="22"/>
        </w:rPr>
        <w:t xml:space="preserve"> There isn’t much information on the circumstances behind his death by I can make some assumptions based on the information provided on the Commonwealth War Graves website. According to their information on Bucquoy Cemetery, in “April and May 1917, the VII Corps Main Dressing Station was posted nearby for the Battle of Arras (9</w:t>
      </w:r>
      <w:r w:rsidR="009E2C87" w:rsidRPr="00D34E64">
        <w:rPr>
          <w:rFonts w:asciiTheme="minorHAnsi" w:hAnsiTheme="minorHAnsi" w:cstheme="minorHAnsi"/>
          <w:sz w:val="22"/>
          <w:szCs w:val="22"/>
          <w:vertAlign w:val="superscript"/>
        </w:rPr>
        <w:t>th</w:t>
      </w:r>
      <w:r w:rsidR="009E2C87" w:rsidRPr="00D34E64">
        <w:rPr>
          <w:rFonts w:asciiTheme="minorHAnsi" w:hAnsiTheme="minorHAnsi" w:cstheme="minorHAnsi"/>
          <w:sz w:val="22"/>
          <w:szCs w:val="22"/>
        </w:rPr>
        <w:t xml:space="preserve"> April to 16</w:t>
      </w:r>
      <w:r w:rsidR="009E2C87" w:rsidRPr="00D34E64">
        <w:rPr>
          <w:rFonts w:asciiTheme="minorHAnsi" w:hAnsiTheme="minorHAnsi" w:cstheme="minorHAnsi"/>
          <w:sz w:val="22"/>
          <w:szCs w:val="22"/>
          <w:vertAlign w:val="superscript"/>
        </w:rPr>
        <w:t>th</w:t>
      </w:r>
      <w:r w:rsidR="009E2C87" w:rsidRPr="00D34E64">
        <w:rPr>
          <w:rFonts w:asciiTheme="minorHAnsi" w:hAnsiTheme="minorHAnsi" w:cstheme="minorHAnsi"/>
          <w:sz w:val="22"/>
          <w:szCs w:val="22"/>
        </w:rPr>
        <w:t xml:space="preserve"> May 1917) and was followed by the 20</w:t>
      </w:r>
      <w:r w:rsidR="009E2C87" w:rsidRPr="00D34E64">
        <w:rPr>
          <w:rFonts w:asciiTheme="minorHAnsi" w:hAnsiTheme="minorHAnsi" w:cstheme="minorHAnsi"/>
          <w:sz w:val="22"/>
          <w:szCs w:val="22"/>
          <w:vertAlign w:val="superscript"/>
        </w:rPr>
        <w:t>th</w:t>
      </w:r>
      <w:r w:rsidR="009E2C87" w:rsidRPr="00D34E64">
        <w:rPr>
          <w:rFonts w:asciiTheme="minorHAnsi" w:hAnsiTheme="minorHAnsi" w:cstheme="minorHAnsi"/>
          <w:sz w:val="22"/>
          <w:szCs w:val="22"/>
        </w:rPr>
        <w:t xml:space="preserve"> and 43</w:t>
      </w:r>
      <w:r w:rsidR="009E2C87" w:rsidRPr="00D34E64">
        <w:rPr>
          <w:rFonts w:asciiTheme="minorHAnsi" w:hAnsiTheme="minorHAnsi" w:cstheme="minorHAnsi"/>
          <w:sz w:val="22"/>
          <w:szCs w:val="22"/>
          <w:vertAlign w:val="superscript"/>
        </w:rPr>
        <w:t>rd</w:t>
      </w:r>
      <w:r w:rsidR="009E2C87" w:rsidRPr="00D34E64">
        <w:rPr>
          <w:rFonts w:asciiTheme="minorHAnsi" w:hAnsiTheme="minorHAnsi" w:cstheme="minorHAnsi"/>
          <w:sz w:val="22"/>
          <w:szCs w:val="22"/>
        </w:rPr>
        <w:t xml:space="preserve"> Casualty Clearing Stations at Boisleux au Mont, until March 1918, and continued to use Bucquoy Road Cemetery begun by the field ambulances.”</w:t>
      </w:r>
      <w:r w:rsidR="009E2C87" w:rsidRPr="00D34E64">
        <w:rPr>
          <w:rStyle w:val="FootnoteReference"/>
          <w:rFonts w:asciiTheme="minorHAnsi" w:hAnsiTheme="minorHAnsi" w:cstheme="minorHAnsi"/>
          <w:sz w:val="22"/>
          <w:szCs w:val="22"/>
        </w:rPr>
        <w:footnoteReference w:id="4"/>
      </w:r>
      <w:r w:rsidR="009E2C87" w:rsidRPr="00D34E64">
        <w:rPr>
          <w:rFonts w:asciiTheme="minorHAnsi" w:hAnsiTheme="minorHAnsi" w:cstheme="minorHAnsi"/>
          <w:sz w:val="22"/>
          <w:szCs w:val="22"/>
        </w:rPr>
        <w:t xml:space="preserve"> Based on this information, I did initially thought that he was involved in the Battle of Arras and perhaps was injured and died nearby several months later, however it was unlikely that he would have been allowed to stay at a clearing or dressing station for so long, so my other theory was that he was killed during a minor skirmish with the Germans nearby, or died of disease. However, although we were unable to find out officially how my cousin died, me and my family were grateful to find out where he was buried, and I am planning on hopefully being able to go to Bucquoy Cemetery to pay my respects to him on or around the 110</w:t>
      </w:r>
      <w:r w:rsidR="009E2C87" w:rsidRPr="00D34E64">
        <w:rPr>
          <w:rFonts w:asciiTheme="minorHAnsi" w:hAnsiTheme="minorHAnsi" w:cstheme="minorHAnsi"/>
          <w:sz w:val="22"/>
          <w:szCs w:val="22"/>
          <w:vertAlign w:val="superscript"/>
        </w:rPr>
        <w:t>th</w:t>
      </w:r>
      <w:r w:rsidR="009E2C87" w:rsidRPr="00D34E64">
        <w:rPr>
          <w:rFonts w:asciiTheme="minorHAnsi" w:hAnsiTheme="minorHAnsi" w:cstheme="minorHAnsi"/>
          <w:sz w:val="22"/>
          <w:szCs w:val="22"/>
        </w:rPr>
        <w:t xml:space="preserve"> anniversary of his death. </w:t>
      </w:r>
    </w:p>
    <w:p w14:paraId="2D4A9D11" w14:textId="77777777" w:rsidR="007F7DCA" w:rsidRPr="00D34E64" w:rsidRDefault="00F63B13" w:rsidP="007F7DCA">
      <w:pPr>
        <w:shd w:val="clear" w:color="auto" w:fill="FFFFFF"/>
        <w:rPr>
          <w:rFonts w:asciiTheme="minorHAnsi" w:hAnsiTheme="minorHAnsi" w:cstheme="minorHAnsi"/>
          <w:sz w:val="22"/>
          <w:szCs w:val="22"/>
        </w:rPr>
      </w:pPr>
      <w:r w:rsidRPr="00D34E64">
        <w:rPr>
          <w:rFonts w:asciiTheme="minorHAnsi" w:hAnsiTheme="minorHAnsi" w:cstheme="minorHAnsi"/>
          <w:sz w:val="22"/>
          <w:szCs w:val="22"/>
        </w:rPr>
        <w:t>As well as the CWGC, the MOD War Detectives are also using battlefield archaeology to help identify the remains of British personnel killed during WW1, but they have a more detailed focus on those who have been buried in a war grave currently marked as unknown.</w:t>
      </w:r>
      <w:r w:rsidRPr="00D34E64">
        <w:rPr>
          <w:rStyle w:val="FootnoteReference"/>
          <w:rFonts w:asciiTheme="minorHAnsi" w:hAnsiTheme="minorHAnsi" w:cstheme="minorHAnsi"/>
          <w:sz w:val="22"/>
          <w:szCs w:val="22"/>
        </w:rPr>
        <w:footnoteReference w:id="5"/>
      </w:r>
      <w:r w:rsidRPr="00D34E64">
        <w:rPr>
          <w:rFonts w:asciiTheme="minorHAnsi" w:hAnsiTheme="minorHAnsi" w:cstheme="minorHAnsi"/>
          <w:sz w:val="22"/>
          <w:szCs w:val="22"/>
        </w:rPr>
        <w:t xml:space="preserve"> According to their website, they are solely responsible for the following: “R</w:t>
      </w:r>
      <w:r w:rsidRPr="00D34E64">
        <w:rPr>
          <w:rFonts w:asciiTheme="minorHAnsi" w:hAnsiTheme="minorHAnsi" w:cstheme="minorHAnsi"/>
          <w:sz w:val="22"/>
          <w:szCs w:val="22"/>
        </w:rPr>
        <w:t>esearching military and historical records to help confirm the identity of a casualty where possible</w:t>
      </w:r>
      <w:r w:rsidRPr="00D34E64">
        <w:rPr>
          <w:rFonts w:asciiTheme="minorHAnsi" w:hAnsiTheme="minorHAnsi" w:cstheme="minorHAnsi"/>
          <w:sz w:val="22"/>
          <w:szCs w:val="22"/>
        </w:rPr>
        <w:t>, i</w:t>
      </w:r>
      <w:r w:rsidRPr="00D34E64">
        <w:rPr>
          <w:rFonts w:asciiTheme="minorHAnsi" w:hAnsiTheme="minorHAnsi" w:cstheme="minorHAnsi"/>
          <w:sz w:val="22"/>
          <w:szCs w:val="22"/>
        </w:rPr>
        <w:t>nvestigating military and personal items found with a casualty</w:t>
      </w:r>
      <w:r w:rsidRPr="00D34E64">
        <w:rPr>
          <w:rFonts w:asciiTheme="minorHAnsi" w:hAnsiTheme="minorHAnsi" w:cstheme="minorHAnsi"/>
          <w:sz w:val="22"/>
          <w:szCs w:val="22"/>
        </w:rPr>
        <w:t>, g</w:t>
      </w:r>
      <w:r w:rsidRPr="00D34E64">
        <w:rPr>
          <w:rFonts w:asciiTheme="minorHAnsi" w:hAnsiTheme="minorHAnsi" w:cstheme="minorHAnsi"/>
          <w:sz w:val="22"/>
          <w:szCs w:val="22"/>
        </w:rPr>
        <w:t>enealogical research to find casualties’ families</w:t>
      </w:r>
      <w:r w:rsidRPr="00D34E64">
        <w:rPr>
          <w:rFonts w:asciiTheme="minorHAnsi" w:hAnsiTheme="minorHAnsi" w:cstheme="minorHAnsi"/>
          <w:sz w:val="22"/>
          <w:szCs w:val="22"/>
        </w:rPr>
        <w:t xml:space="preserve">, </w:t>
      </w:r>
      <w:r w:rsidRPr="00D34E64">
        <w:rPr>
          <w:rFonts w:asciiTheme="minorHAnsi" w:hAnsiTheme="minorHAnsi" w:cstheme="minorHAnsi"/>
          <w:sz w:val="22"/>
          <w:szCs w:val="22"/>
        </w:rPr>
        <w:t>working with the host nation, Commonwealth War Graves Commission (CWGC), the historic branches of each of the armed services and regimental contacts</w:t>
      </w:r>
      <w:r w:rsidRPr="00D34E64">
        <w:rPr>
          <w:rFonts w:asciiTheme="minorHAnsi" w:hAnsiTheme="minorHAnsi" w:cstheme="minorHAnsi"/>
          <w:sz w:val="22"/>
          <w:szCs w:val="22"/>
        </w:rPr>
        <w:t xml:space="preserve">, </w:t>
      </w:r>
      <w:r w:rsidRPr="00D34E64">
        <w:rPr>
          <w:rFonts w:asciiTheme="minorHAnsi" w:hAnsiTheme="minorHAnsi" w:cstheme="minorHAnsi"/>
          <w:sz w:val="22"/>
          <w:szCs w:val="22"/>
        </w:rPr>
        <w:t>organising DNA testing if necessary where casualties have recently been found</w:t>
      </w:r>
      <w:r w:rsidRPr="00D34E64">
        <w:rPr>
          <w:rFonts w:asciiTheme="minorHAnsi" w:hAnsiTheme="minorHAnsi" w:cstheme="minorHAnsi"/>
          <w:sz w:val="22"/>
          <w:szCs w:val="22"/>
        </w:rPr>
        <w:t xml:space="preserve">, </w:t>
      </w:r>
      <w:r w:rsidRPr="00D34E64">
        <w:rPr>
          <w:rFonts w:asciiTheme="minorHAnsi" w:hAnsiTheme="minorHAnsi" w:cstheme="minorHAnsi"/>
          <w:sz w:val="22"/>
          <w:szCs w:val="22"/>
        </w:rPr>
        <w:t>arranging a military funeral/service of rededication</w:t>
      </w:r>
      <w:r w:rsidRPr="00D34E64">
        <w:rPr>
          <w:rFonts w:asciiTheme="minorHAnsi" w:hAnsiTheme="minorHAnsi" w:cstheme="minorHAnsi"/>
          <w:sz w:val="22"/>
          <w:szCs w:val="22"/>
        </w:rPr>
        <w:t xml:space="preserve">, </w:t>
      </w:r>
      <w:r w:rsidRPr="00D34E64">
        <w:rPr>
          <w:rFonts w:asciiTheme="minorHAnsi" w:hAnsiTheme="minorHAnsi" w:cstheme="minorHAnsi"/>
          <w:sz w:val="22"/>
          <w:szCs w:val="22"/>
        </w:rPr>
        <w:t>hosting a reception after a burial or rededication service</w:t>
      </w:r>
      <w:r w:rsidRPr="00D34E64">
        <w:rPr>
          <w:rFonts w:asciiTheme="minorHAnsi" w:hAnsiTheme="minorHAnsi" w:cstheme="minorHAnsi"/>
          <w:sz w:val="22"/>
          <w:szCs w:val="22"/>
        </w:rPr>
        <w:t xml:space="preserve"> and, </w:t>
      </w:r>
      <w:r w:rsidRPr="00D34E64">
        <w:rPr>
          <w:rFonts w:asciiTheme="minorHAnsi" w:hAnsiTheme="minorHAnsi" w:cstheme="minorHAnsi"/>
          <w:sz w:val="22"/>
          <w:szCs w:val="22"/>
        </w:rPr>
        <w:t>liaison with casualties’ families</w:t>
      </w:r>
      <w:r w:rsidRPr="00D34E64">
        <w:rPr>
          <w:rFonts w:asciiTheme="minorHAnsi" w:hAnsiTheme="minorHAnsi" w:cstheme="minorHAnsi"/>
          <w:sz w:val="22"/>
          <w:szCs w:val="22"/>
        </w:rPr>
        <w:t>.”</w:t>
      </w:r>
      <w:r w:rsidRPr="00D34E64">
        <w:rPr>
          <w:rStyle w:val="FootnoteReference"/>
          <w:rFonts w:asciiTheme="minorHAnsi" w:hAnsiTheme="minorHAnsi" w:cstheme="minorHAnsi"/>
          <w:sz w:val="22"/>
          <w:szCs w:val="22"/>
        </w:rPr>
        <w:footnoteReference w:id="6"/>
      </w:r>
      <w:r w:rsidRPr="00D34E64">
        <w:rPr>
          <w:rFonts w:asciiTheme="minorHAnsi" w:hAnsiTheme="minorHAnsi" w:cstheme="minorHAnsi"/>
          <w:sz w:val="22"/>
          <w:szCs w:val="22"/>
        </w:rPr>
        <w:t xml:space="preserve"> </w:t>
      </w:r>
    </w:p>
    <w:p w14:paraId="10B905D2" w14:textId="61AC6279" w:rsidR="00005E89" w:rsidRPr="00D34E64" w:rsidRDefault="003F6FA2" w:rsidP="007F7DCA">
      <w:pPr>
        <w:shd w:val="clear" w:color="auto" w:fill="FFFFFF"/>
        <w:rPr>
          <w:rFonts w:asciiTheme="minorHAnsi" w:hAnsiTheme="minorHAnsi" w:cstheme="minorHAnsi"/>
          <w:sz w:val="22"/>
          <w:szCs w:val="22"/>
        </w:rPr>
      </w:pPr>
      <w:r w:rsidRPr="00D34E64">
        <w:rPr>
          <w:rFonts w:asciiTheme="minorHAnsi" w:hAnsiTheme="minorHAnsi" w:cstheme="minorHAnsi"/>
          <w:sz w:val="22"/>
          <w:szCs w:val="22"/>
        </w:rPr>
        <w:t>Both of these organisations are examples of how battlefield archaeology contribute positively to the process of bereavement, as they provide closure for the families of the victims of war, so they can either</w:t>
      </w:r>
      <w:r w:rsidR="00005E89" w:rsidRPr="00D34E64">
        <w:rPr>
          <w:rFonts w:asciiTheme="minorHAnsi" w:hAnsiTheme="minorHAnsi" w:cstheme="minorHAnsi"/>
          <w:sz w:val="22"/>
          <w:szCs w:val="22"/>
        </w:rPr>
        <w:t xml:space="preserve"> </w:t>
      </w:r>
      <w:r w:rsidRPr="00D34E64">
        <w:rPr>
          <w:rFonts w:asciiTheme="minorHAnsi" w:hAnsiTheme="minorHAnsi" w:cstheme="minorHAnsi"/>
          <w:sz w:val="22"/>
          <w:szCs w:val="22"/>
        </w:rPr>
        <w:t xml:space="preserve">identify where they were buried (as in the case for my family), or as the MOD war detectives do, find the remains of their relatives to create an opportunity for them to be formally buried, rather than be known as an unknown soldier. </w:t>
      </w:r>
    </w:p>
    <w:p w14:paraId="37C37D58" w14:textId="77777777" w:rsidR="007F7DCA" w:rsidRPr="00D34E64" w:rsidRDefault="00005E89" w:rsidP="007F7DCA">
      <w:pPr>
        <w:shd w:val="clear" w:color="auto" w:fill="FFFFFF"/>
        <w:rPr>
          <w:rFonts w:asciiTheme="minorHAnsi" w:hAnsiTheme="minorHAnsi" w:cstheme="minorHAnsi"/>
          <w:sz w:val="22"/>
          <w:szCs w:val="22"/>
        </w:rPr>
      </w:pPr>
      <w:r w:rsidRPr="00D34E64">
        <w:rPr>
          <w:rFonts w:asciiTheme="minorHAnsi" w:hAnsiTheme="minorHAnsi" w:cstheme="minorHAnsi"/>
          <w:sz w:val="22"/>
          <w:szCs w:val="22"/>
        </w:rPr>
        <w:lastRenderedPageBreak/>
        <w:t xml:space="preserve">Battlefield archaeology can also contribute positively towards the process of commemoration. </w:t>
      </w:r>
      <w:r w:rsidR="007F7DCA" w:rsidRPr="00D34E64">
        <w:rPr>
          <w:rFonts w:asciiTheme="minorHAnsi" w:hAnsiTheme="minorHAnsi" w:cstheme="minorHAnsi"/>
          <w:sz w:val="22"/>
          <w:szCs w:val="22"/>
        </w:rPr>
        <w:t>Battlefield archaeology provides information that helps make memorials historically accurate. After the Battle of Gettysburg, the Gettysburg Battlefield Memorial Association was created by David McConaughty and many other prominent businessmen, with its purpose to “hold and preserve, the battlegrounds of Gettysburg… memorial structures, and to commemorate heroic deeds.”</w:t>
      </w:r>
      <w:r w:rsidR="007F7DCA" w:rsidRPr="00D34E64">
        <w:rPr>
          <w:rStyle w:val="FootnoteReference"/>
          <w:rFonts w:asciiTheme="minorHAnsi" w:hAnsiTheme="minorHAnsi" w:cstheme="minorHAnsi"/>
          <w:sz w:val="22"/>
          <w:szCs w:val="22"/>
        </w:rPr>
        <w:footnoteReference w:id="7"/>
      </w:r>
    </w:p>
    <w:p w14:paraId="3B12F9B1" w14:textId="779DB0D3" w:rsidR="00F63B13" w:rsidRPr="00D34E64" w:rsidRDefault="007F7DCA" w:rsidP="007F7DCA">
      <w:pPr>
        <w:shd w:val="clear" w:color="auto" w:fill="FFFFFF"/>
        <w:ind w:left="720"/>
        <w:rPr>
          <w:rFonts w:asciiTheme="minorHAnsi" w:hAnsiTheme="minorHAnsi" w:cstheme="minorHAnsi"/>
          <w:sz w:val="22"/>
          <w:szCs w:val="22"/>
          <w:shd w:val="clear" w:color="auto" w:fill="FFFFFF"/>
        </w:rPr>
      </w:pPr>
      <w:r w:rsidRPr="00D34E64">
        <w:rPr>
          <w:rFonts w:asciiTheme="minorHAnsi" w:hAnsiTheme="minorHAnsi" w:cstheme="minorHAnsi"/>
          <w:sz w:val="22"/>
          <w:szCs w:val="22"/>
        </w:rPr>
        <w:t xml:space="preserve">“The </w:t>
      </w:r>
      <w:r w:rsidRPr="00D34E64">
        <w:rPr>
          <w:rFonts w:asciiTheme="minorHAnsi" w:hAnsiTheme="minorHAnsi" w:cstheme="minorHAnsi"/>
          <w:sz w:val="22"/>
          <w:szCs w:val="22"/>
          <w:shd w:val="clear" w:color="auto" w:fill="FFFFFF"/>
        </w:rPr>
        <w:t xml:space="preserve">first monument placed in the Soldiers’ National Cemetery was the Minnesota Urn.  It was installed by the surviving members of the First Minnesota Infantry Regiment in 1867 in memory of fallen comrades. The first memorial markers erected outside of the cemetery were the marble tablet on Little Round Top to signify where General Strong Vincent was mortally wounded, and one near the Wheatfield </w:t>
      </w:r>
      <w:r w:rsidRPr="00D34E64">
        <w:rPr>
          <w:rFonts w:asciiTheme="minorHAnsi" w:hAnsiTheme="minorHAnsi" w:cstheme="minorHAnsi"/>
          <w:sz w:val="22"/>
          <w:szCs w:val="22"/>
          <w:shd w:val="clear" w:color="auto" w:fill="FFFFFF"/>
        </w:rPr>
        <w:t>honouring</w:t>
      </w:r>
      <w:r w:rsidRPr="00D34E64">
        <w:rPr>
          <w:rFonts w:asciiTheme="minorHAnsi" w:hAnsiTheme="minorHAnsi" w:cstheme="minorHAnsi"/>
          <w:sz w:val="22"/>
          <w:szCs w:val="22"/>
          <w:shd w:val="clear" w:color="auto" w:fill="FFFFFF"/>
        </w:rPr>
        <w:t xml:space="preserve"> the death of Colonel Fred Taylor.</w:t>
      </w:r>
      <w:r w:rsidRPr="00D34E64">
        <w:rPr>
          <w:rFonts w:asciiTheme="minorHAnsi" w:hAnsiTheme="minorHAnsi" w:cstheme="minorHAnsi"/>
          <w:sz w:val="22"/>
          <w:szCs w:val="22"/>
          <w:shd w:val="clear" w:color="auto" w:fill="FFFFFF"/>
        </w:rPr>
        <w:t xml:space="preserve"> T</w:t>
      </w:r>
      <w:r w:rsidRPr="00D34E64">
        <w:rPr>
          <w:rFonts w:asciiTheme="minorHAnsi" w:hAnsiTheme="minorHAnsi" w:cstheme="minorHAnsi"/>
          <w:sz w:val="22"/>
          <w:szCs w:val="22"/>
          <w:shd w:val="clear" w:color="auto" w:fill="FFFFFF"/>
        </w:rPr>
        <w:t>he first regimental monument erected in the GNMP to a unit was dedicated to the 2nd Massachusetts Infantry.  It consisted of bronze and granite and was placed Spangler’s Spring where they fought. There was of course controversy over some monuments. The most famous dispute involved the 72nd Pennsylvania Volunteers.  They claimed they fought at a forward position at the corner of a stone wall near the “Bloody Angle” but that their memorial was placed too far behind it. The dispute became known as the “Bloody Angle”. The regiment finally got their forward position after bringing it to the Pennsylvania Supreme Court.</w:t>
      </w:r>
      <w:r w:rsidRPr="00D34E64">
        <w:rPr>
          <w:rFonts w:asciiTheme="minorHAnsi" w:hAnsiTheme="minorHAnsi" w:cstheme="minorHAnsi"/>
          <w:sz w:val="22"/>
          <w:szCs w:val="22"/>
          <w:shd w:val="clear" w:color="auto" w:fill="FFFFFF"/>
        </w:rPr>
        <w:t>”</w:t>
      </w:r>
      <w:r w:rsidRPr="00D34E64">
        <w:rPr>
          <w:rStyle w:val="FootnoteReference"/>
          <w:rFonts w:asciiTheme="minorHAnsi" w:hAnsiTheme="minorHAnsi" w:cstheme="minorHAnsi"/>
          <w:sz w:val="22"/>
          <w:szCs w:val="22"/>
          <w:shd w:val="clear" w:color="auto" w:fill="FFFFFF"/>
        </w:rPr>
        <w:footnoteReference w:id="8"/>
      </w:r>
    </w:p>
    <w:p w14:paraId="77957F91" w14:textId="48A20DE9" w:rsidR="007F7DCA" w:rsidRPr="00D34E64" w:rsidRDefault="007F7DCA" w:rsidP="007F7DCA">
      <w:pPr>
        <w:shd w:val="clear" w:color="auto" w:fill="FFFFFF"/>
        <w:rPr>
          <w:rFonts w:asciiTheme="minorHAnsi" w:hAnsiTheme="minorHAnsi" w:cstheme="minorHAnsi"/>
          <w:sz w:val="22"/>
          <w:szCs w:val="22"/>
          <w:shd w:val="clear" w:color="auto" w:fill="FFFFFF"/>
        </w:rPr>
      </w:pPr>
      <w:r w:rsidRPr="00D34E64">
        <w:rPr>
          <w:rFonts w:asciiTheme="minorHAnsi" w:hAnsiTheme="minorHAnsi" w:cstheme="minorHAnsi"/>
          <w:sz w:val="22"/>
          <w:szCs w:val="22"/>
          <w:shd w:val="clear" w:color="auto" w:fill="FFFFFF"/>
        </w:rPr>
        <w:t>Later on, in 1893, Daniel S. Lamont, created the Gettysburg National Military Park Commission to establish a National Military Park in Gettysburg, but “t</w:t>
      </w:r>
      <w:r w:rsidRPr="00D34E64">
        <w:rPr>
          <w:rFonts w:asciiTheme="minorHAnsi" w:hAnsiTheme="minorHAnsi" w:cstheme="minorHAnsi"/>
          <w:sz w:val="22"/>
          <w:szCs w:val="22"/>
          <w:shd w:val="clear" w:color="auto" w:fill="FFFFFF"/>
        </w:rPr>
        <w:t>he following year, the Gettysburg Electric Train company wanted to put train lines through the battlefield which led in another Supreme Court case (US v. Gettysburg Electric Railway Co.). On January 27, 1896, the United States Supreme Court proclaimed that private land could be condemned to preserve the GNMP.</w:t>
      </w:r>
      <w:r w:rsidRPr="00D34E64">
        <w:rPr>
          <w:rFonts w:asciiTheme="minorHAnsi" w:hAnsiTheme="minorHAnsi" w:cstheme="minorHAnsi"/>
          <w:sz w:val="22"/>
          <w:szCs w:val="22"/>
          <w:shd w:val="clear" w:color="auto" w:fill="FFFFFF"/>
        </w:rPr>
        <w:t>”</w:t>
      </w:r>
      <w:r w:rsidRPr="00D34E64">
        <w:rPr>
          <w:rStyle w:val="FootnoteReference"/>
          <w:rFonts w:asciiTheme="minorHAnsi" w:hAnsiTheme="minorHAnsi" w:cstheme="minorHAnsi"/>
          <w:sz w:val="22"/>
          <w:szCs w:val="22"/>
          <w:shd w:val="clear" w:color="auto" w:fill="FFFFFF"/>
        </w:rPr>
        <w:footnoteReference w:id="9"/>
      </w:r>
    </w:p>
    <w:p w14:paraId="6DCC7728" w14:textId="0B44B153" w:rsidR="007F7DCA" w:rsidRPr="00D34E64" w:rsidRDefault="007F7DCA" w:rsidP="007F7DCA">
      <w:pPr>
        <w:pStyle w:val="NormalWeb"/>
        <w:shd w:val="clear" w:color="auto" w:fill="FFFFFF"/>
        <w:spacing w:before="0" w:beforeAutospacing="0" w:after="0" w:afterAutospacing="0"/>
        <w:rPr>
          <w:rFonts w:asciiTheme="minorHAnsi" w:hAnsiTheme="minorHAnsi" w:cstheme="minorHAnsi"/>
          <w:sz w:val="22"/>
          <w:szCs w:val="22"/>
          <w:shd w:val="clear" w:color="auto" w:fill="FFFFFF"/>
        </w:rPr>
      </w:pPr>
      <w:r w:rsidRPr="00D34E64">
        <w:rPr>
          <w:rFonts w:asciiTheme="minorHAnsi" w:hAnsiTheme="minorHAnsi" w:cstheme="minorHAnsi"/>
          <w:sz w:val="22"/>
          <w:szCs w:val="22"/>
          <w:shd w:val="clear" w:color="auto" w:fill="FFFFFF"/>
        </w:rPr>
        <w:t>Preservation projects are still happening at Gettysburg, to help commemorate the battle, and educate future generations about the importance of it. Most notably, Little Round Top has gone through a preservation and rehabilitation project.</w:t>
      </w:r>
    </w:p>
    <w:p w14:paraId="6153D283" w14:textId="241A9095" w:rsidR="007F7DCA" w:rsidRPr="00D34E64" w:rsidRDefault="007F7DCA" w:rsidP="007F7DCA">
      <w:pPr>
        <w:pStyle w:val="NormalWeb"/>
        <w:shd w:val="clear" w:color="auto" w:fill="FFFFFF"/>
        <w:spacing w:before="0" w:beforeAutospacing="0" w:after="0" w:afterAutospacing="0"/>
        <w:ind w:left="720"/>
        <w:rPr>
          <w:rStyle w:val="Strong"/>
          <w:rFonts w:asciiTheme="minorHAnsi" w:hAnsiTheme="minorHAnsi" w:cstheme="minorHAnsi"/>
          <w:b w:val="0"/>
          <w:bCs w:val="0"/>
          <w:sz w:val="22"/>
          <w:szCs w:val="22"/>
        </w:rPr>
      </w:pPr>
      <w:r w:rsidRPr="00D34E64">
        <w:rPr>
          <w:rFonts w:asciiTheme="minorHAnsi" w:hAnsiTheme="minorHAnsi" w:cstheme="minorHAnsi"/>
          <w:sz w:val="22"/>
          <w:szCs w:val="22"/>
          <w:shd w:val="clear" w:color="auto" w:fill="FFFFFF"/>
        </w:rPr>
        <w:t>“</w:t>
      </w:r>
      <w:r w:rsidRPr="00D34E64">
        <w:rPr>
          <w:rFonts w:asciiTheme="minorHAnsi" w:hAnsiTheme="minorHAnsi" w:cstheme="minorHAnsi"/>
          <w:sz w:val="22"/>
          <w:szCs w:val="22"/>
        </w:rPr>
        <w:t xml:space="preserve">The rehabilitation of Little Round Top addressed overwhelmed parking areas, poor accessibility and related safety hazards, significant </w:t>
      </w:r>
      <w:r w:rsidR="00165EF8" w:rsidRPr="00D34E64">
        <w:rPr>
          <w:rFonts w:asciiTheme="minorHAnsi" w:hAnsiTheme="minorHAnsi" w:cstheme="minorHAnsi"/>
          <w:sz w:val="22"/>
          <w:szCs w:val="22"/>
        </w:rPr>
        <w:t>erosion,</w:t>
      </w:r>
      <w:r w:rsidRPr="00D34E64">
        <w:rPr>
          <w:rFonts w:asciiTheme="minorHAnsi" w:hAnsiTheme="minorHAnsi" w:cstheme="minorHAnsi"/>
          <w:sz w:val="22"/>
          <w:szCs w:val="22"/>
        </w:rPr>
        <w:t xml:space="preserve"> and degraded vegetation. The project </w:t>
      </w:r>
      <w:r w:rsidRPr="00D34E64">
        <w:rPr>
          <w:rFonts w:asciiTheme="minorHAnsi" w:hAnsiTheme="minorHAnsi" w:cstheme="minorHAnsi"/>
          <w:sz w:val="22"/>
          <w:szCs w:val="22"/>
        </w:rPr>
        <w:t>re-established</w:t>
      </w:r>
      <w:r w:rsidRPr="00D34E64">
        <w:rPr>
          <w:rFonts w:asciiTheme="minorHAnsi" w:hAnsiTheme="minorHAnsi" w:cstheme="minorHAnsi"/>
          <w:sz w:val="22"/>
          <w:szCs w:val="22"/>
        </w:rPr>
        <w:t>, preserved and protected the features that make up this segment of the battlefield landscape.</w:t>
      </w:r>
      <w:r w:rsidRPr="00D34E64">
        <w:rPr>
          <w:rFonts w:asciiTheme="minorHAnsi" w:hAnsiTheme="minorHAnsi" w:cstheme="minorHAnsi"/>
          <w:sz w:val="22"/>
          <w:szCs w:val="22"/>
        </w:rPr>
        <w:t xml:space="preserve"> </w:t>
      </w:r>
      <w:r w:rsidRPr="00D34E64">
        <w:rPr>
          <w:rFonts w:asciiTheme="minorHAnsi" w:hAnsiTheme="minorHAnsi" w:cstheme="minorHAnsi"/>
          <w:sz w:val="22"/>
          <w:szCs w:val="22"/>
        </w:rPr>
        <w:t>The rehabilitation project on Little Round Top also enhances the visitor experience with improved interpretive signage, new accessible trail alignments and gathering areas. These improvements allow visitors to better immerse themselves in the historic landscape that is essential to understanding the three-day Battle of Gettysburg.</w:t>
      </w:r>
      <w:r w:rsidRPr="00D34E64">
        <w:rPr>
          <w:rFonts w:asciiTheme="minorHAnsi" w:hAnsiTheme="minorHAnsi" w:cstheme="minorHAnsi"/>
          <w:sz w:val="22"/>
          <w:szCs w:val="22"/>
        </w:rPr>
        <w:t xml:space="preserve"> </w:t>
      </w:r>
      <w:r w:rsidRPr="00D34E64">
        <w:rPr>
          <w:rFonts w:asciiTheme="minorHAnsi" w:hAnsiTheme="minorHAnsi" w:cstheme="minorHAnsi"/>
          <w:sz w:val="22"/>
          <w:szCs w:val="22"/>
        </w:rPr>
        <w:t>A high priority for Gettysburg National Military Park, the long-anticipated project began July 26, 2022, and was completed for reopening June 21, 2024. </w:t>
      </w:r>
      <w:r w:rsidRPr="00D34E64">
        <w:rPr>
          <w:rStyle w:val="Strong"/>
          <w:rFonts w:asciiTheme="minorHAnsi" w:hAnsiTheme="minorHAnsi" w:cstheme="minorHAnsi"/>
          <w:b w:val="0"/>
          <w:bCs w:val="0"/>
          <w:sz w:val="22"/>
          <w:szCs w:val="22"/>
        </w:rPr>
        <w:t>Little Round Top is now open for visitors to explore.</w:t>
      </w:r>
      <w:r w:rsidRPr="00D34E64">
        <w:rPr>
          <w:rStyle w:val="Strong"/>
          <w:rFonts w:asciiTheme="minorHAnsi" w:hAnsiTheme="minorHAnsi" w:cstheme="minorHAnsi"/>
          <w:b w:val="0"/>
          <w:bCs w:val="0"/>
          <w:sz w:val="22"/>
          <w:szCs w:val="22"/>
        </w:rPr>
        <w:t>”</w:t>
      </w:r>
      <w:r w:rsidRPr="00D34E64">
        <w:rPr>
          <w:rStyle w:val="FootnoteReference"/>
          <w:rFonts w:asciiTheme="minorHAnsi" w:hAnsiTheme="minorHAnsi" w:cstheme="minorHAnsi"/>
          <w:sz w:val="22"/>
          <w:szCs w:val="22"/>
        </w:rPr>
        <w:footnoteReference w:id="10"/>
      </w:r>
    </w:p>
    <w:p w14:paraId="300A885F" w14:textId="77777777" w:rsidR="0034356F" w:rsidRPr="00D34E64" w:rsidRDefault="0034356F" w:rsidP="0034356F">
      <w:pPr>
        <w:pStyle w:val="NormalWeb"/>
        <w:shd w:val="clear" w:color="auto" w:fill="FFFFFF"/>
        <w:spacing w:before="0" w:beforeAutospacing="0" w:after="0" w:afterAutospacing="0"/>
        <w:rPr>
          <w:rFonts w:asciiTheme="minorHAnsi" w:hAnsiTheme="minorHAnsi" w:cstheme="minorHAnsi"/>
          <w:sz w:val="22"/>
          <w:szCs w:val="22"/>
        </w:rPr>
      </w:pPr>
      <w:r w:rsidRPr="00D34E64">
        <w:rPr>
          <w:rStyle w:val="Strong"/>
          <w:rFonts w:asciiTheme="minorHAnsi" w:hAnsiTheme="minorHAnsi" w:cstheme="minorHAnsi"/>
          <w:b w:val="0"/>
          <w:bCs w:val="0"/>
          <w:sz w:val="22"/>
          <w:szCs w:val="22"/>
        </w:rPr>
        <w:t xml:space="preserve">This archaeology and preservation projects are vital to positively contribute towards the process of commemoration, because without us being able to access key historical battle sites, we will not be able to formally mark the memory of these events or learn about the events that led up to them. They are vital for the preservation and more importantly the commemoration of history. </w:t>
      </w:r>
    </w:p>
    <w:p w14:paraId="51AFE1A6" w14:textId="77777777" w:rsidR="0034356F" w:rsidRPr="00D34E64" w:rsidRDefault="0034356F" w:rsidP="007F7DCA">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p>
    <w:p w14:paraId="02C63C7A" w14:textId="6DCFA312" w:rsidR="007F7DCA" w:rsidRPr="00D34E64" w:rsidRDefault="007F7DCA" w:rsidP="007F7DCA">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 xml:space="preserve">Battlefield archaeology also enables the creation of new memorials to help us commemorate battles and conflicts of the past. </w:t>
      </w:r>
    </w:p>
    <w:p w14:paraId="0BFC7AF1" w14:textId="460F168A" w:rsidR="007F7DCA" w:rsidRPr="00D34E64" w:rsidRDefault="007F7DCA" w:rsidP="0034356F">
      <w:pPr>
        <w:pStyle w:val="NormalWeb"/>
        <w:shd w:val="clear" w:color="auto" w:fill="FFFFFF"/>
        <w:spacing w:before="0" w:beforeAutospacing="0" w:after="0" w:afterAutospacing="0"/>
        <w:ind w:left="72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The Vietnam Veterans Memorial was founded by Jan Scruggs, a Vietnam War veteran after witnessing the death of many of his friends during the war and vowing to honour their memory. He created the Vietnam Veterans Memorial Fund that petitioned the US Government to create a memorial to honour the victims of this brutal war. Eventually in 1980, a competition was launched to submit a design for the monument, and in 1981 the work of Maya Ying Lin, a 21-year-old senior at Yale University was chosen. The monument is a black granite wall, that meets in the shape of a V to represent Vietnam and is carved with the names of all of those who fought and died in Vietnam for the Americans.</w:t>
      </w:r>
      <w:r w:rsidRPr="00D34E64">
        <w:rPr>
          <w:rStyle w:val="FootnoteReference"/>
          <w:rFonts w:asciiTheme="minorHAnsi" w:hAnsiTheme="minorHAnsi" w:cstheme="minorHAnsi"/>
          <w:sz w:val="22"/>
          <w:szCs w:val="22"/>
        </w:rPr>
        <w:footnoteReference w:id="11"/>
      </w:r>
    </w:p>
    <w:p w14:paraId="4BE08778" w14:textId="6B4F8D83" w:rsidR="0034356F" w:rsidRPr="00D34E64" w:rsidRDefault="0034356F" w:rsidP="0034356F">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 xml:space="preserve">This memorial is extremely important to help Americans commemorate the Vietnam War. According to the Vietnam Veterans Memorial Fund, there was initially 57,939 names on the wall, which has now grown to 58,281 names on the wall, thanks to research done by battlefield archaeologists as well as the Department of Defence, under the </w:t>
      </w:r>
      <w:r w:rsidRPr="00D34E64">
        <w:rPr>
          <w:rStyle w:val="Strong"/>
          <w:rFonts w:asciiTheme="minorHAnsi" w:hAnsiTheme="minorHAnsi" w:cstheme="minorHAnsi"/>
          <w:b w:val="0"/>
          <w:bCs w:val="0"/>
          <w:sz w:val="22"/>
          <w:szCs w:val="22"/>
        </w:rPr>
        <w:lastRenderedPageBreak/>
        <w:t>order of President Lyndon B Johnson, who enabled the search zone to be expanded to Laos, Cambodia, and air bases in Thailand.</w:t>
      </w:r>
      <w:r w:rsidRPr="00D34E64">
        <w:rPr>
          <w:rStyle w:val="FootnoteReference"/>
          <w:rFonts w:asciiTheme="minorHAnsi" w:hAnsiTheme="minorHAnsi" w:cstheme="minorHAnsi"/>
          <w:sz w:val="22"/>
          <w:szCs w:val="22"/>
        </w:rPr>
        <w:footnoteReference w:id="12"/>
      </w:r>
    </w:p>
    <w:p w14:paraId="5109535B" w14:textId="77777777" w:rsidR="0034356F" w:rsidRPr="00D34E64" w:rsidRDefault="0034356F" w:rsidP="0034356F">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p>
    <w:p w14:paraId="5B5849C4" w14:textId="2E997AD0" w:rsidR="0034356F" w:rsidRPr="00D34E64" w:rsidRDefault="0034356F" w:rsidP="0034356F">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 xml:space="preserve">As well as the Vietnam Veterans Memorial, battlefield archaeology has also helped enable the erection of War Memorials in towns and cities across the UK with the names of those who sadly died during the conflict. </w:t>
      </w:r>
    </w:p>
    <w:p w14:paraId="65F4D5B2" w14:textId="6D948CBB" w:rsidR="0034356F" w:rsidRPr="00D34E64" w:rsidRDefault="0034356F" w:rsidP="0034356F">
      <w:pPr>
        <w:pStyle w:val="NormalWeb"/>
        <w:shd w:val="clear" w:color="auto" w:fill="FFFFFF"/>
        <w:spacing w:before="0" w:beforeAutospacing="0" w:after="0" w:afterAutospacing="0"/>
        <w:ind w:left="72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For example, my hometown of Highworth erected a War Memorial in 1919 after a petition was submitted by a group of local ex-servicemen, and it unveiled by Mrs James Arkell on 10</w:t>
      </w:r>
      <w:r w:rsidRPr="00D34E64">
        <w:rPr>
          <w:rStyle w:val="Strong"/>
          <w:rFonts w:asciiTheme="minorHAnsi" w:hAnsiTheme="minorHAnsi" w:cstheme="minorHAnsi"/>
          <w:b w:val="0"/>
          <w:bCs w:val="0"/>
          <w:sz w:val="22"/>
          <w:szCs w:val="22"/>
          <w:vertAlign w:val="superscript"/>
        </w:rPr>
        <w:t>th</w:t>
      </w:r>
      <w:r w:rsidRPr="00D34E64">
        <w:rPr>
          <w:rStyle w:val="Strong"/>
          <w:rFonts w:asciiTheme="minorHAnsi" w:hAnsiTheme="minorHAnsi" w:cstheme="minorHAnsi"/>
          <w:b w:val="0"/>
          <w:bCs w:val="0"/>
          <w:sz w:val="22"/>
          <w:szCs w:val="22"/>
        </w:rPr>
        <w:t xml:space="preserve"> April 1921. It commemorates the 39 local servicemen who died during the First World War. The base of the memorial was built using stone from the Old Tithe Barn that once stood in the town. Further inscriptions were added to commemorate those who died during WW2.</w:t>
      </w:r>
      <w:r w:rsidRPr="00D34E64">
        <w:rPr>
          <w:rStyle w:val="FootnoteReference"/>
          <w:rFonts w:asciiTheme="minorHAnsi" w:hAnsiTheme="minorHAnsi" w:cstheme="minorHAnsi"/>
          <w:sz w:val="22"/>
          <w:szCs w:val="22"/>
        </w:rPr>
        <w:footnoteReference w:id="13"/>
      </w:r>
    </w:p>
    <w:p w14:paraId="1C78D008" w14:textId="724F935A" w:rsidR="0034356F" w:rsidRPr="00D34E64" w:rsidRDefault="0034356F" w:rsidP="0034356F">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 xml:space="preserve">Without the use of battlefield archaeology this monument would of likely never able to be erected and similarly with many of those monuments across the UK, as they were the ones going out into the battlefields in Europe helping to identify bodies and provide many families in the UK proof of their sacrifice to the war so that their memory can be honoured in the form of these monuments. </w:t>
      </w:r>
      <w:r w:rsidR="00077E59" w:rsidRPr="00D34E64">
        <w:rPr>
          <w:rStyle w:val="Strong"/>
          <w:rFonts w:asciiTheme="minorHAnsi" w:hAnsiTheme="minorHAnsi" w:cstheme="minorHAnsi"/>
          <w:b w:val="0"/>
          <w:bCs w:val="0"/>
          <w:sz w:val="22"/>
          <w:szCs w:val="22"/>
        </w:rPr>
        <w:t xml:space="preserve">Battlefield archaeology helps ground remembrance in evidence so that we will never forget their sacrifice and will be able to reflect and learn about it for generations to come. </w:t>
      </w:r>
    </w:p>
    <w:p w14:paraId="71D4D356" w14:textId="0CBC7CF6" w:rsidR="00077E59" w:rsidRPr="00D34E64" w:rsidRDefault="00077E59" w:rsidP="0034356F">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p>
    <w:p w14:paraId="6397D3ED" w14:textId="77777777" w:rsidR="00FA5358" w:rsidRPr="00D34E64" w:rsidRDefault="00166696" w:rsidP="00FA5358">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 xml:space="preserve">Battlefield archaeology also helps contribute positively to the process of reconciliation. It helps establish an evidence-based account of battles. This was particularly helpful in the case of the </w:t>
      </w:r>
      <w:r w:rsidR="00FA5358" w:rsidRPr="00D34E64">
        <w:rPr>
          <w:rStyle w:val="Strong"/>
          <w:rFonts w:asciiTheme="minorHAnsi" w:hAnsiTheme="minorHAnsi" w:cstheme="minorHAnsi"/>
          <w:b w:val="0"/>
          <w:bCs w:val="0"/>
          <w:sz w:val="22"/>
          <w:szCs w:val="22"/>
        </w:rPr>
        <w:t xml:space="preserve">Battle of Bannockburn in 1314 </w:t>
      </w:r>
    </w:p>
    <w:p w14:paraId="3612A071" w14:textId="443437B4" w:rsidR="00077E59" w:rsidRPr="00D34E64" w:rsidRDefault="00FA5358" w:rsidP="00FA5358">
      <w:pPr>
        <w:pStyle w:val="NormalWeb"/>
        <w:shd w:val="clear" w:color="auto" w:fill="FFFFFF"/>
        <w:spacing w:before="0" w:beforeAutospacing="0" w:after="0" w:afterAutospacing="0"/>
        <w:ind w:left="72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Guard Archaeology conducted an archaeological dig there between 2011 and 2014, in the hopes of uncovering the site of the battlefield. Although the site of the battlefield was not discovered, there was several notable discoveries, such as a 13</w:t>
      </w:r>
      <w:r w:rsidRPr="00D34E64">
        <w:rPr>
          <w:rStyle w:val="Strong"/>
          <w:rFonts w:asciiTheme="minorHAnsi" w:hAnsiTheme="minorHAnsi" w:cstheme="minorHAnsi"/>
          <w:b w:val="0"/>
          <w:bCs w:val="0"/>
          <w:sz w:val="22"/>
          <w:szCs w:val="22"/>
          <w:vertAlign w:val="superscript"/>
        </w:rPr>
        <w:t>th</w:t>
      </w:r>
      <w:r w:rsidRPr="00D34E64">
        <w:rPr>
          <w:rStyle w:val="Strong"/>
          <w:rFonts w:asciiTheme="minorHAnsi" w:hAnsiTheme="minorHAnsi" w:cstheme="minorHAnsi"/>
          <w:b w:val="0"/>
          <w:bCs w:val="0"/>
          <w:sz w:val="22"/>
          <w:szCs w:val="22"/>
        </w:rPr>
        <w:t>/14</w:t>
      </w:r>
      <w:r w:rsidRPr="00D34E64">
        <w:rPr>
          <w:rStyle w:val="Strong"/>
          <w:rFonts w:asciiTheme="minorHAnsi" w:hAnsiTheme="minorHAnsi" w:cstheme="minorHAnsi"/>
          <w:b w:val="0"/>
          <w:bCs w:val="0"/>
          <w:sz w:val="22"/>
          <w:szCs w:val="22"/>
          <w:vertAlign w:val="superscript"/>
        </w:rPr>
        <w:t>th</w:t>
      </w:r>
      <w:r w:rsidRPr="00D34E64">
        <w:rPr>
          <w:rStyle w:val="Strong"/>
          <w:rFonts w:asciiTheme="minorHAnsi" w:hAnsiTheme="minorHAnsi" w:cstheme="minorHAnsi"/>
          <w:b w:val="0"/>
          <w:bCs w:val="0"/>
          <w:sz w:val="22"/>
          <w:szCs w:val="22"/>
        </w:rPr>
        <w:t xml:space="preserve"> century coin found near Cambuskenneth Abbey that would have been present at the time of the battle, medieval pottery from multiple test pits that showed that Carse (the site of the second day of the battle), was not an area of boggy land but completely habitable. They also later discovered a medieval spur and stirrup, as well as a decorated cross harness pendant, from </w:t>
      </w:r>
      <w:r w:rsidR="00165EF8" w:rsidRPr="00D34E64">
        <w:rPr>
          <w:rStyle w:val="Strong"/>
          <w:rFonts w:asciiTheme="minorHAnsi" w:hAnsiTheme="minorHAnsi" w:cstheme="minorHAnsi"/>
          <w:b w:val="0"/>
          <w:bCs w:val="0"/>
          <w:sz w:val="22"/>
          <w:szCs w:val="22"/>
        </w:rPr>
        <w:t>an</w:t>
      </w:r>
      <w:r w:rsidRPr="00D34E64">
        <w:rPr>
          <w:rStyle w:val="Strong"/>
          <w:rFonts w:asciiTheme="minorHAnsi" w:hAnsiTheme="minorHAnsi" w:cstheme="minorHAnsi"/>
          <w:b w:val="0"/>
          <w:bCs w:val="0"/>
          <w:sz w:val="22"/>
          <w:szCs w:val="22"/>
        </w:rPr>
        <w:t xml:space="preserve"> English noble’s horse.</w:t>
      </w:r>
      <w:r w:rsidRPr="00D34E64">
        <w:rPr>
          <w:rStyle w:val="FootnoteReference"/>
          <w:rFonts w:asciiTheme="minorHAnsi" w:hAnsiTheme="minorHAnsi" w:cstheme="minorHAnsi"/>
          <w:sz w:val="22"/>
          <w:szCs w:val="22"/>
        </w:rPr>
        <w:footnoteReference w:id="14"/>
      </w:r>
    </w:p>
    <w:p w14:paraId="532A087C" w14:textId="6B015DB4" w:rsidR="00815CC3" w:rsidRPr="00D34E64" w:rsidRDefault="00FA5358" w:rsidP="0034356F">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 xml:space="preserve">Although they were unable to find the site of the first day of the battle, the archaeological evidence they found, cemented the theory of </w:t>
      </w:r>
      <w:r w:rsidR="003B79C9" w:rsidRPr="00D34E64">
        <w:rPr>
          <w:rStyle w:val="Strong"/>
          <w:rFonts w:asciiTheme="minorHAnsi" w:hAnsiTheme="minorHAnsi" w:cstheme="minorHAnsi"/>
          <w:b w:val="0"/>
          <w:bCs w:val="0"/>
          <w:sz w:val="22"/>
          <w:szCs w:val="22"/>
        </w:rPr>
        <w:t xml:space="preserve">the second day of the battle </w:t>
      </w:r>
      <w:r w:rsidR="00CA08DD" w:rsidRPr="00D34E64">
        <w:rPr>
          <w:rStyle w:val="Strong"/>
          <w:rFonts w:asciiTheme="minorHAnsi" w:hAnsiTheme="minorHAnsi" w:cstheme="minorHAnsi"/>
          <w:b w:val="0"/>
          <w:bCs w:val="0"/>
          <w:sz w:val="22"/>
          <w:szCs w:val="22"/>
        </w:rPr>
        <w:t xml:space="preserve">being at the Carse of Balquhiderock, however its name as the ‘Wetfield’ can be debated thanks to the findings from this archaeological dig, due to their being evidence of medieval occupation and activity from the findings of coins and medieval pottery within the Bannockburn area. </w:t>
      </w:r>
    </w:p>
    <w:p w14:paraId="6339A166" w14:textId="77777777" w:rsidR="00815CC3" w:rsidRPr="00D34E64" w:rsidRDefault="00815CC3" w:rsidP="0034356F">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p>
    <w:p w14:paraId="7ADFBF8B" w14:textId="665F445B" w:rsidR="00014A2F" w:rsidRPr="00D34E64" w:rsidRDefault="00815CC3" w:rsidP="00014A2F">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r w:rsidRPr="00D34E64">
        <w:rPr>
          <w:rStyle w:val="Strong"/>
          <w:rFonts w:asciiTheme="minorHAnsi" w:hAnsiTheme="minorHAnsi" w:cstheme="minorHAnsi"/>
          <w:b w:val="0"/>
          <w:bCs w:val="0"/>
          <w:sz w:val="22"/>
          <w:szCs w:val="22"/>
        </w:rPr>
        <w:t>Battlefield archaeology has also helped support the implementation of justice, most notably in the Balkan War. During the Bosnian War, a genocide broke out, with most of the victims being killed at Srebrenica, against the Bosniaks (Bosnian Muslims). Majority of the men were slaughtered, and the remaining women were driven into concentration camps and were systematically gang raped.</w:t>
      </w:r>
      <w:r w:rsidRPr="00D34E64">
        <w:rPr>
          <w:rStyle w:val="FootnoteReference"/>
          <w:rFonts w:asciiTheme="minorHAnsi" w:hAnsiTheme="minorHAnsi" w:cstheme="minorHAnsi"/>
          <w:sz w:val="22"/>
          <w:szCs w:val="22"/>
        </w:rPr>
        <w:footnoteReference w:id="15"/>
      </w:r>
      <w:r w:rsidRPr="00D34E64">
        <w:rPr>
          <w:rStyle w:val="Strong"/>
          <w:rFonts w:asciiTheme="minorHAnsi" w:hAnsiTheme="minorHAnsi" w:cstheme="minorHAnsi"/>
          <w:b w:val="0"/>
          <w:bCs w:val="0"/>
          <w:sz w:val="22"/>
          <w:szCs w:val="22"/>
        </w:rPr>
        <w:t xml:space="preserve"> Many of the victims who sadly died, were buried in mass graves with no form of identification, in the hopes that history will forget their existence. However, the International Commission for Missing Persons have taken 71,195 blood samples from the families of those missing during the Srebrenica Genocide and matches DNA from bone samples taken from mass graves that have been dug up by archaeologists.</w:t>
      </w:r>
      <w:r w:rsidRPr="00D34E64">
        <w:rPr>
          <w:rStyle w:val="FootnoteReference"/>
          <w:rFonts w:asciiTheme="minorHAnsi" w:hAnsiTheme="minorHAnsi" w:cstheme="minorHAnsi"/>
          <w:sz w:val="22"/>
          <w:szCs w:val="22"/>
        </w:rPr>
        <w:footnoteReference w:id="16"/>
      </w:r>
      <w:r w:rsidRPr="00D34E64">
        <w:rPr>
          <w:rStyle w:val="Strong"/>
          <w:rFonts w:asciiTheme="minorHAnsi" w:hAnsiTheme="minorHAnsi" w:cstheme="minorHAnsi"/>
          <w:b w:val="0"/>
          <w:bCs w:val="0"/>
          <w:sz w:val="22"/>
          <w:szCs w:val="22"/>
        </w:rPr>
        <w:t xml:space="preserve"> This has been done with the sole intention of identifying these victims of war and giving the family an explanation on what happened to their family members, but also to help seek justice against the preparators of these horrific war crimes. One important thing on the back of the minds of many of the archaeologists and workers for the International Commission for Missing Persons, is the burial practices for the Muslim victims of this genocide. In Islam, there is a heavy emphasis laid on the practice of a quick burial in the Quran, for Muslims. However, they have naturally been robbed of this opportunity for a quick but dignified burial, following the practices of their faith, so that Allah is capable of resurrecting these individuals. However due to them not being able to have a dignified death or burial thanks to the Bosnian Serb Army, there was heavy emphasis on the archaeologists to swiftly find the bodies to be returned to their families for a formal burial in their faith, as they would have wished. </w:t>
      </w:r>
      <w:r w:rsidR="00014A2F" w:rsidRPr="00D34E64">
        <w:rPr>
          <w:rStyle w:val="Strong"/>
          <w:rFonts w:asciiTheme="minorHAnsi" w:hAnsiTheme="minorHAnsi" w:cstheme="minorHAnsi"/>
          <w:b w:val="0"/>
          <w:bCs w:val="0"/>
          <w:sz w:val="22"/>
          <w:szCs w:val="22"/>
        </w:rPr>
        <w:t xml:space="preserve">There is also the issue of providing legal justice to the family members of the deceased as many of these bodies would have been used as evidence of the horrific crimes done against the Bosnian </w:t>
      </w:r>
      <w:r w:rsidR="00165EF8" w:rsidRPr="00D34E64">
        <w:rPr>
          <w:rStyle w:val="Strong"/>
          <w:rFonts w:asciiTheme="minorHAnsi" w:hAnsiTheme="minorHAnsi" w:cstheme="minorHAnsi"/>
          <w:b w:val="0"/>
          <w:bCs w:val="0"/>
          <w:sz w:val="22"/>
          <w:szCs w:val="22"/>
        </w:rPr>
        <w:t>Muslims</w:t>
      </w:r>
      <w:r w:rsidR="00014A2F" w:rsidRPr="00D34E64">
        <w:rPr>
          <w:rStyle w:val="Strong"/>
          <w:rFonts w:asciiTheme="minorHAnsi" w:hAnsiTheme="minorHAnsi" w:cstheme="minorHAnsi"/>
          <w:b w:val="0"/>
          <w:bCs w:val="0"/>
          <w:sz w:val="22"/>
          <w:szCs w:val="22"/>
        </w:rPr>
        <w:t xml:space="preserve">. Although the process for justice has been slow, many people have been convicted by the International Criminal Tribunal for the Former Yugoslavia. </w:t>
      </w:r>
    </w:p>
    <w:p w14:paraId="59889989" w14:textId="59C59935" w:rsidR="00014A2F" w:rsidRPr="00D34E64" w:rsidRDefault="00014A2F" w:rsidP="00014A2F">
      <w:pPr>
        <w:pStyle w:val="NormalWeb"/>
        <w:shd w:val="clear" w:color="auto" w:fill="FFFFFF"/>
        <w:spacing w:before="0" w:beforeAutospacing="0" w:after="0" w:afterAutospacing="0"/>
        <w:ind w:left="720"/>
        <w:rPr>
          <w:rFonts w:asciiTheme="minorHAnsi" w:hAnsiTheme="minorHAnsi" w:cstheme="minorHAnsi"/>
          <w:sz w:val="22"/>
          <w:szCs w:val="22"/>
        </w:rPr>
      </w:pPr>
      <w:r w:rsidRPr="00D34E64">
        <w:rPr>
          <w:rStyle w:val="Strong"/>
          <w:rFonts w:asciiTheme="minorHAnsi" w:hAnsiTheme="minorHAnsi" w:cstheme="minorHAnsi"/>
          <w:b w:val="0"/>
          <w:bCs w:val="0"/>
          <w:sz w:val="22"/>
          <w:szCs w:val="22"/>
        </w:rPr>
        <w:lastRenderedPageBreak/>
        <w:t>Most notably “</w:t>
      </w:r>
      <w:r w:rsidRPr="00D34E64">
        <w:rPr>
          <w:rFonts w:asciiTheme="minorHAnsi" w:hAnsiTheme="minorHAnsi" w:cstheme="minorHAnsi"/>
          <w:sz w:val="22"/>
          <w:szCs w:val="22"/>
        </w:rPr>
        <w:t xml:space="preserve">Radovan Karadzic, the former Supreme Commander of the Bosnian Serb Army, was extradited to The Hague 13 years after his indictment on genocide charges for allegedly organizing the 1995 massacre at Srebrenica. He has been charged with genocide, complicity in genocide, extermination, murder, </w:t>
      </w:r>
      <w:r w:rsidR="00165EF8" w:rsidRPr="00D34E64">
        <w:rPr>
          <w:rFonts w:asciiTheme="minorHAnsi" w:hAnsiTheme="minorHAnsi" w:cstheme="minorHAnsi"/>
          <w:sz w:val="22"/>
          <w:szCs w:val="22"/>
        </w:rPr>
        <w:t>wilful</w:t>
      </w:r>
      <w:r w:rsidRPr="00D34E64">
        <w:rPr>
          <w:rFonts w:asciiTheme="minorHAnsi" w:hAnsiTheme="minorHAnsi" w:cstheme="minorHAnsi"/>
          <w:sz w:val="22"/>
          <w:szCs w:val="22"/>
        </w:rPr>
        <w:t xml:space="preserve"> killing, persecutions, deportation, inhumane acts, and other crimes committed against Bosnian Muslim, Bosnian Croat, and other non-Serb civilians in Bosnia and Herzegovina during the 1992–1995 war. He was found guilty of genocide in March 2016 and was sentenced to 40 years in prison. Karadzic is appealing the conviction.</w:t>
      </w:r>
      <w:r w:rsidRPr="00D34E64">
        <w:rPr>
          <w:rFonts w:asciiTheme="minorHAnsi" w:hAnsiTheme="minorHAnsi" w:cstheme="minorHAnsi"/>
          <w:sz w:val="22"/>
          <w:szCs w:val="22"/>
        </w:rPr>
        <w:t>”</w:t>
      </w:r>
      <w:r w:rsidRPr="00D34E64">
        <w:rPr>
          <w:rStyle w:val="FootnoteReference"/>
          <w:rFonts w:asciiTheme="minorHAnsi" w:hAnsiTheme="minorHAnsi" w:cstheme="minorHAnsi"/>
          <w:sz w:val="22"/>
          <w:szCs w:val="22"/>
        </w:rPr>
        <w:footnoteReference w:id="17"/>
      </w:r>
    </w:p>
    <w:p w14:paraId="3BFF96B0" w14:textId="5744AB56" w:rsidR="00014A2F" w:rsidRPr="00D34E64" w:rsidRDefault="00014A2F" w:rsidP="00014A2F">
      <w:pPr>
        <w:pStyle w:val="NormalWeb"/>
        <w:shd w:val="clear" w:color="auto" w:fill="FFFFFF"/>
        <w:spacing w:before="0" w:beforeAutospacing="0" w:after="0" w:afterAutospacing="0"/>
        <w:ind w:left="720"/>
        <w:rPr>
          <w:rFonts w:asciiTheme="minorHAnsi" w:hAnsiTheme="minorHAnsi" w:cstheme="minorHAnsi"/>
          <w:sz w:val="22"/>
          <w:szCs w:val="22"/>
        </w:rPr>
      </w:pPr>
    </w:p>
    <w:p w14:paraId="006DF470" w14:textId="3423972F" w:rsidR="00014A2F" w:rsidRPr="00D34E64" w:rsidRDefault="00014A2F" w:rsidP="00014A2F">
      <w:pPr>
        <w:pStyle w:val="NormalWeb"/>
        <w:shd w:val="clear" w:color="auto" w:fill="FFFFFF"/>
        <w:spacing w:before="0" w:beforeAutospacing="0" w:after="0" w:afterAutospacing="0"/>
        <w:rPr>
          <w:rFonts w:asciiTheme="minorHAnsi" w:hAnsiTheme="minorHAnsi" w:cstheme="minorHAnsi"/>
          <w:sz w:val="22"/>
          <w:szCs w:val="22"/>
        </w:rPr>
      </w:pPr>
      <w:r w:rsidRPr="00D34E64">
        <w:rPr>
          <w:rFonts w:asciiTheme="minorHAnsi" w:hAnsiTheme="minorHAnsi" w:cstheme="minorHAnsi"/>
          <w:sz w:val="22"/>
          <w:szCs w:val="22"/>
        </w:rPr>
        <w:t xml:space="preserve">Battlefield </w:t>
      </w:r>
      <w:r w:rsidR="008D60DE" w:rsidRPr="00D34E64">
        <w:rPr>
          <w:rFonts w:asciiTheme="minorHAnsi" w:hAnsiTheme="minorHAnsi" w:cstheme="minorHAnsi"/>
          <w:sz w:val="22"/>
          <w:szCs w:val="22"/>
        </w:rPr>
        <w:t>archaeology</w:t>
      </w:r>
      <w:r w:rsidRPr="00D34E64">
        <w:rPr>
          <w:rFonts w:asciiTheme="minorHAnsi" w:hAnsiTheme="minorHAnsi" w:cstheme="minorHAnsi"/>
          <w:sz w:val="22"/>
          <w:szCs w:val="22"/>
        </w:rPr>
        <w:t xml:space="preserve"> is an </w:t>
      </w:r>
      <w:r w:rsidR="008D60DE" w:rsidRPr="00D34E64">
        <w:rPr>
          <w:rFonts w:asciiTheme="minorHAnsi" w:hAnsiTheme="minorHAnsi" w:cstheme="minorHAnsi"/>
          <w:sz w:val="22"/>
          <w:szCs w:val="22"/>
        </w:rPr>
        <w:t xml:space="preserve">extremely </w:t>
      </w:r>
      <w:r w:rsidR="00165EF8" w:rsidRPr="00D34E64">
        <w:rPr>
          <w:rFonts w:asciiTheme="minorHAnsi" w:hAnsiTheme="minorHAnsi" w:cstheme="minorHAnsi"/>
          <w:sz w:val="22"/>
          <w:szCs w:val="22"/>
        </w:rPr>
        <w:t>a</w:t>
      </w:r>
      <w:r w:rsidR="008D60DE" w:rsidRPr="00D34E64">
        <w:rPr>
          <w:rFonts w:asciiTheme="minorHAnsi" w:hAnsiTheme="minorHAnsi" w:cstheme="minorHAnsi"/>
          <w:sz w:val="22"/>
          <w:szCs w:val="22"/>
        </w:rPr>
        <w:t xml:space="preserve"> vital discipline to archaeology and be a massive positive to the process of bereavement, </w:t>
      </w:r>
      <w:r w:rsidR="00165EF8" w:rsidRPr="00D34E64">
        <w:rPr>
          <w:rFonts w:asciiTheme="minorHAnsi" w:hAnsiTheme="minorHAnsi" w:cstheme="minorHAnsi"/>
          <w:sz w:val="22"/>
          <w:szCs w:val="22"/>
        </w:rPr>
        <w:t>commemoration,</w:t>
      </w:r>
      <w:r w:rsidR="008D60DE" w:rsidRPr="00D34E64">
        <w:rPr>
          <w:rFonts w:asciiTheme="minorHAnsi" w:hAnsiTheme="minorHAnsi" w:cstheme="minorHAnsi"/>
          <w:sz w:val="22"/>
          <w:szCs w:val="22"/>
        </w:rPr>
        <w:t xml:space="preserve"> and reconciliation. It helps with bereavement as it helps identify the human loss in war, by identifying the victims and helping families (as in my family’s case), to </w:t>
      </w:r>
      <w:r w:rsidR="00F221F2" w:rsidRPr="00D34E64">
        <w:rPr>
          <w:rFonts w:asciiTheme="minorHAnsi" w:hAnsiTheme="minorHAnsi" w:cstheme="minorHAnsi"/>
          <w:sz w:val="22"/>
          <w:szCs w:val="22"/>
        </w:rPr>
        <w:t xml:space="preserve">find where there loved ones are buried or to kick start the process of trying to find them. It also helps with the process of commemoration, as it enables battle sites to be preserved so that future generations can learn and be educated by them, as in the case for Gettysburg and Vietnam. </w:t>
      </w:r>
      <w:r w:rsidR="00165EF8" w:rsidRPr="00D34E64">
        <w:rPr>
          <w:rFonts w:asciiTheme="minorHAnsi" w:hAnsiTheme="minorHAnsi" w:cstheme="minorHAnsi"/>
          <w:sz w:val="22"/>
          <w:szCs w:val="22"/>
        </w:rPr>
        <w:t>Finally,</w:t>
      </w:r>
      <w:r w:rsidR="00F221F2" w:rsidRPr="00D34E64">
        <w:rPr>
          <w:rFonts w:asciiTheme="minorHAnsi" w:hAnsiTheme="minorHAnsi" w:cstheme="minorHAnsi"/>
          <w:sz w:val="22"/>
          <w:szCs w:val="22"/>
        </w:rPr>
        <w:t xml:space="preserve"> it also helps with the process of reconciliation, as it encourages people to deepen their understanding and knowledge of conflict, as in the case of Bannockburn, as well as help provide justice for the victims of </w:t>
      </w:r>
      <w:r w:rsidR="00165EF8" w:rsidRPr="00D34E64">
        <w:rPr>
          <w:rFonts w:asciiTheme="minorHAnsi" w:hAnsiTheme="minorHAnsi" w:cstheme="minorHAnsi"/>
          <w:sz w:val="22"/>
          <w:szCs w:val="22"/>
        </w:rPr>
        <w:t>modern-day</w:t>
      </w:r>
      <w:r w:rsidR="00F221F2" w:rsidRPr="00D34E64">
        <w:rPr>
          <w:rFonts w:asciiTheme="minorHAnsi" w:hAnsiTheme="minorHAnsi" w:cstheme="minorHAnsi"/>
          <w:sz w:val="22"/>
          <w:szCs w:val="22"/>
        </w:rPr>
        <w:t xml:space="preserve"> conflict, as in the case of the Bosnian Genocide. Overall battlefield archaeology is a valuable practice to all humans and most importantly the education and preservation of history. </w:t>
      </w:r>
    </w:p>
    <w:p w14:paraId="0BABFC3B" w14:textId="5FF81CFA" w:rsidR="00D34E64" w:rsidRPr="00D34E64" w:rsidRDefault="00D34E64" w:rsidP="00014A2F">
      <w:pPr>
        <w:pStyle w:val="NormalWeb"/>
        <w:shd w:val="clear" w:color="auto" w:fill="FFFFFF"/>
        <w:spacing w:before="0" w:beforeAutospacing="0" w:after="0" w:afterAutospacing="0"/>
        <w:rPr>
          <w:rFonts w:asciiTheme="minorHAnsi" w:hAnsiTheme="minorHAnsi" w:cstheme="minorHAnsi"/>
          <w:sz w:val="22"/>
          <w:szCs w:val="22"/>
        </w:rPr>
      </w:pPr>
    </w:p>
    <w:p w14:paraId="4C7C8FD7" w14:textId="61A70FF5" w:rsidR="00D34E64" w:rsidRPr="00D34E64" w:rsidRDefault="00D34E64" w:rsidP="00014A2F">
      <w:pPr>
        <w:pStyle w:val="NormalWeb"/>
        <w:shd w:val="clear" w:color="auto" w:fill="FFFFFF"/>
        <w:spacing w:before="0" w:beforeAutospacing="0" w:after="0" w:afterAutospacing="0"/>
        <w:rPr>
          <w:rFonts w:asciiTheme="minorHAnsi" w:hAnsiTheme="minorHAnsi" w:cstheme="minorHAnsi"/>
          <w:sz w:val="22"/>
          <w:szCs w:val="22"/>
        </w:rPr>
      </w:pPr>
    </w:p>
    <w:p w14:paraId="611C1693" w14:textId="0D9AE6D0" w:rsidR="00D34E64" w:rsidRPr="00D34E64" w:rsidRDefault="00D34E64" w:rsidP="00014A2F">
      <w:pPr>
        <w:pStyle w:val="NormalWeb"/>
        <w:shd w:val="clear" w:color="auto" w:fill="FFFFFF"/>
        <w:spacing w:before="0" w:beforeAutospacing="0" w:after="0" w:afterAutospacing="0"/>
        <w:rPr>
          <w:rFonts w:asciiTheme="minorHAnsi" w:hAnsiTheme="minorHAnsi" w:cstheme="minorHAnsi"/>
          <w:sz w:val="22"/>
          <w:szCs w:val="22"/>
        </w:rPr>
      </w:pPr>
    </w:p>
    <w:p w14:paraId="0A957223" w14:textId="77777777" w:rsidR="00D34E64" w:rsidRPr="00D34E64" w:rsidRDefault="00D34E64" w:rsidP="00014A2F">
      <w:pPr>
        <w:pStyle w:val="NormalWeb"/>
        <w:shd w:val="clear" w:color="auto" w:fill="FFFFFF"/>
        <w:spacing w:before="0" w:beforeAutospacing="0" w:after="0" w:afterAutospacing="0"/>
        <w:rPr>
          <w:rFonts w:asciiTheme="minorHAnsi" w:hAnsiTheme="minorHAnsi" w:cstheme="minorHAnsi"/>
          <w:sz w:val="22"/>
          <w:szCs w:val="22"/>
        </w:rPr>
      </w:pPr>
    </w:p>
    <w:p w14:paraId="170327B6" w14:textId="22486183" w:rsidR="00F63B13" w:rsidRPr="00D34E64" w:rsidRDefault="00F63B13"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4DD1AC4A" w14:textId="7FCB7A94"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3C2A8EF4" w14:textId="47BB04FA"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6CBAB898" w14:textId="52488DE3"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4478223E" w14:textId="4FC68A20"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0EADD328" w14:textId="3D8A5DBA"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003A8B41" w14:textId="60FCF88E"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63D8456A" w14:textId="7AEBD5F6"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447C3222" w14:textId="6B9C0E40"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5CDBAD87" w14:textId="729CECAE"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0930CAD9" w14:textId="2FE28F38"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219D2D83" w14:textId="25E7D016"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49269922" w14:textId="68CD8F95"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310A25FD" w14:textId="6D603319"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1E953E45" w14:textId="5E829E07"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53F55EE3" w14:textId="07461D55"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27E00AD1" w14:textId="590BAB99"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2FC2E4D9" w14:textId="62D2319F"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34C683F8" w14:textId="3EC18774"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2176361F" w14:textId="4F0719F4"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5E7B858C" w14:textId="43BF38E1"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19F5F498" w14:textId="0BB5316E"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41360401" w14:textId="5044794C"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6DEE37C4" w14:textId="66DE4E44"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796D6E7A" w14:textId="76342E1C"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4AD9E8AC" w14:textId="24BFFC1B"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743767AE" w14:textId="0C91702E"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428952D4" w14:textId="293B58BF"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64C86709" w14:textId="7725A154"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79AB0448" w14:textId="30D0263C"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3C578AD0" w14:textId="05751E30"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7913DBFE" w14:textId="09EBA732"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3079EFD3" w14:textId="50F23024" w:rsidR="00D34E64" w:rsidRPr="00D34E64" w:rsidRDefault="00D34E64" w:rsidP="00815CC3">
      <w:pPr>
        <w:pStyle w:val="NormalWeb"/>
        <w:shd w:val="clear" w:color="auto" w:fill="FFFFFF"/>
        <w:spacing w:before="0" w:beforeAutospacing="0" w:after="0" w:afterAutospacing="0"/>
        <w:rPr>
          <w:rFonts w:asciiTheme="minorHAnsi" w:hAnsiTheme="minorHAnsi" w:cstheme="minorHAnsi"/>
          <w:color w:val="212529"/>
          <w:sz w:val="22"/>
          <w:szCs w:val="22"/>
        </w:rPr>
      </w:pPr>
    </w:p>
    <w:p w14:paraId="22EECB0E" w14:textId="35F7B582" w:rsidR="00D34E64" w:rsidRPr="00D34E64" w:rsidRDefault="00D34E64" w:rsidP="00D34E64">
      <w:pPr>
        <w:pStyle w:val="NormalWeb"/>
        <w:shd w:val="clear" w:color="auto" w:fill="FFFFFF"/>
        <w:spacing w:before="0" w:beforeAutospacing="0" w:after="0" w:afterAutospacing="0"/>
        <w:jc w:val="center"/>
        <w:rPr>
          <w:rFonts w:asciiTheme="minorHAnsi" w:hAnsiTheme="minorHAnsi" w:cstheme="minorHAnsi"/>
          <w:b/>
          <w:bCs/>
          <w:color w:val="212529"/>
          <w:sz w:val="22"/>
          <w:szCs w:val="22"/>
        </w:rPr>
      </w:pPr>
      <w:r w:rsidRPr="00D34E64">
        <w:rPr>
          <w:rFonts w:asciiTheme="minorHAnsi" w:hAnsiTheme="minorHAnsi" w:cstheme="minorHAnsi"/>
          <w:b/>
          <w:bCs/>
          <w:color w:val="212529"/>
          <w:sz w:val="22"/>
          <w:szCs w:val="22"/>
        </w:rPr>
        <w:lastRenderedPageBreak/>
        <w:t xml:space="preserve">Bibliography </w:t>
      </w:r>
    </w:p>
    <w:p w14:paraId="7AFB10AB" w14:textId="0CBB652A" w:rsidR="00D34E64" w:rsidRPr="00D34E64" w:rsidRDefault="00D34E64" w:rsidP="00D34E64">
      <w:pPr>
        <w:pStyle w:val="NormalWeb"/>
        <w:shd w:val="clear" w:color="auto" w:fill="FFFFFF"/>
        <w:spacing w:before="0" w:beforeAutospacing="0" w:after="0" w:afterAutospacing="0"/>
        <w:jc w:val="center"/>
        <w:rPr>
          <w:rFonts w:asciiTheme="minorHAnsi" w:hAnsiTheme="minorHAnsi" w:cstheme="minorHAnsi"/>
          <w:b/>
          <w:bCs/>
          <w:color w:val="212529"/>
          <w:sz w:val="22"/>
          <w:szCs w:val="22"/>
        </w:rPr>
      </w:pPr>
    </w:p>
    <w:p w14:paraId="30AFD27D"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CWGC, Bucquoy Road Cemetery, Ficheux (n.d)</w:t>
      </w:r>
    </w:p>
    <w:p w14:paraId="642AD103" w14:textId="77777777" w:rsidR="00D34E64" w:rsidRPr="00D34E64" w:rsidRDefault="00D34E64" w:rsidP="00D34E64">
      <w:pPr>
        <w:pStyle w:val="FootnoteText"/>
        <w:rPr>
          <w:rFonts w:asciiTheme="minorHAnsi" w:hAnsiTheme="minorHAnsi" w:cstheme="minorHAnsi"/>
          <w:sz w:val="22"/>
          <w:szCs w:val="22"/>
        </w:rPr>
      </w:pPr>
      <w:hyperlink r:id="rId8" w:history="1">
        <w:r w:rsidRPr="00D34E64">
          <w:rPr>
            <w:rStyle w:val="Hyperlink"/>
            <w:rFonts w:asciiTheme="minorHAnsi" w:hAnsiTheme="minorHAnsi" w:cstheme="minorHAnsi"/>
            <w:sz w:val="22"/>
            <w:szCs w:val="22"/>
          </w:rPr>
          <w:t>https://www.cwgc.org/visit-us/find-cemeteries-memorials/cemetery-details/17600/bucquoy-road-cemetery-ficheux/</w:t>
        </w:r>
      </w:hyperlink>
      <w:r w:rsidRPr="00D34E64">
        <w:rPr>
          <w:rFonts w:asciiTheme="minorHAnsi" w:hAnsiTheme="minorHAnsi" w:cstheme="minorHAnsi"/>
          <w:sz w:val="22"/>
          <w:szCs w:val="22"/>
        </w:rPr>
        <w:t xml:space="preserve"> [accessed 01/03/26]</w:t>
      </w:r>
    </w:p>
    <w:p w14:paraId="0C24A53F" w14:textId="3D38079E" w:rsidR="00D34E64" w:rsidRPr="00D34E64" w:rsidRDefault="00D34E64" w:rsidP="00D34E64">
      <w:pPr>
        <w:pStyle w:val="NormalWeb"/>
        <w:shd w:val="clear" w:color="auto" w:fill="FFFFFF"/>
        <w:spacing w:before="0" w:beforeAutospacing="0" w:after="0" w:afterAutospacing="0"/>
        <w:rPr>
          <w:rFonts w:asciiTheme="minorHAnsi" w:hAnsiTheme="minorHAnsi" w:cstheme="minorHAnsi"/>
          <w:color w:val="212529"/>
          <w:sz w:val="22"/>
          <w:szCs w:val="22"/>
        </w:rPr>
      </w:pPr>
    </w:p>
    <w:p w14:paraId="08A1F5F3"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CWGC, Find War Dead: Casualty Details – Private K Trinder (n.d)</w:t>
      </w:r>
    </w:p>
    <w:p w14:paraId="6F226ACA" w14:textId="06B955DD" w:rsidR="00D34E64" w:rsidRPr="00D34E64" w:rsidRDefault="00D34E64" w:rsidP="00D34E64">
      <w:pPr>
        <w:pStyle w:val="FootnoteText"/>
        <w:rPr>
          <w:rFonts w:asciiTheme="minorHAnsi" w:hAnsiTheme="minorHAnsi" w:cstheme="minorHAnsi"/>
          <w:sz w:val="22"/>
          <w:szCs w:val="22"/>
        </w:rPr>
      </w:pPr>
      <w:hyperlink r:id="rId9" w:history="1">
        <w:r w:rsidRPr="00D34E64">
          <w:rPr>
            <w:rStyle w:val="Hyperlink"/>
            <w:rFonts w:asciiTheme="minorHAnsi" w:hAnsiTheme="minorHAnsi" w:cstheme="minorHAnsi"/>
            <w:sz w:val="22"/>
            <w:szCs w:val="22"/>
          </w:rPr>
          <w:t>https://www.cwgc.org/find-records/find-war-dead/casualty-details/179647/k-trinder/</w:t>
        </w:r>
      </w:hyperlink>
      <w:r w:rsidRPr="00D34E64">
        <w:rPr>
          <w:rFonts w:asciiTheme="minorHAnsi" w:hAnsiTheme="minorHAnsi" w:cstheme="minorHAnsi"/>
          <w:sz w:val="22"/>
          <w:szCs w:val="22"/>
        </w:rPr>
        <w:t xml:space="preserve"> [accessed 01/03/26]</w:t>
      </w:r>
    </w:p>
    <w:p w14:paraId="0F1FAB6C" w14:textId="4D00012F" w:rsidR="00D34E64" w:rsidRPr="00D34E64" w:rsidRDefault="00D34E64" w:rsidP="00D34E64">
      <w:pPr>
        <w:pStyle w:val="FootnoteText"/>
        <w:rPr>
          <w:rFonts w:asciiTheme="minorHAnsi" w:hAnsiTheme="minorHAnsi" w:cstheme="minorHAnsi"/>
          <w:sz w:val="22"/>
          <w:szCs w:val="22"/>
        </w:rPr>
      </w:pPr>
    </w:p>
    <w:p w14:paraId="1CF65D8A"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Gettysburg Foundation, Little Round Top Rehabilitation (n.d)</w:t>
      </w:r>
    </w:p>
    <w:p w14:paraId="326F42BD" w14:textId="31BEF36B" w:rsidR="00D34E64" w:rsidRPr="00D34E64" w:rsidRDefault="00D34E64" w:rsidP="00D34E64">
      <w:pPr>
        <w:pStyle w:val="FootnoteText"/>
        <w:rPr>
          <w:rFonts w:asciiTheme="minorHAnsi" w:hAnsiTheme="minorHAnsi" w:cstheme="minorHAnsi"/>
          <w:sz w:val="22"/>
          <w:szCs w:val="22"/>
        </w:rPr>
      </w:pPr>
      <w:hyperlink r:id="rId10" w:history="1">
        <w:r w:rsidRPr="00D34E64">
          <w:rPr>
            <w:rStyle w:val="Hyperlink"/>
            <w:rFonts w:asciiTheme="minorHAnsi" w:hAnsiTheme="minorHAnsi" w:cstheme="minorHAnsi"/>
            <w:sz w:val="22"/>
            <w:szCs w:val="22"/>
          </w:rPr>
          <w:t>https://www.gettysburgfoundation.org/join-and-give/preservation-spotlight/little-round-top-rehabilitation</w:t>
        </w:r>
      </w:hyperlink>
      <w:r w:rsidRPr="00D34E64">
        <w:rPr>
          <w:rFonts w:asciiTheme="minorHAnsi" w:hAnsiTheme="minorHAnsi" w:cstheme="minorHAnsi"/>
          <w:sz w:val="22"/>
          <w:szCs w:val="22"/>
        </w:rPr>
        <w:t xml:space="preserve"> [accessed 01/03/26]</w:t>
      </w:r>
    </w:p>
    <w:p w14:paraId="058D28D1" w14:textId="13637E58" w:rsidR="00D34E64" w:rsidRPr="00D34E64" w:rsidRDefault="00D34E64" w:rsidP="00D34E64">
      <w:pPr>
        <w:pStyle w:val="FootnoteText"/>
        <w:rPr>
          <w:rFonts w:asciiTheme="minorHAnsi" w:hAnsiTheme="minorHAnsi" w:cstheme="minorHAnsi"/>
          <w:sz w:val="22"/>
          <w:szCs w:val="22"/>
        </w:rPr>
      </w:pPr>
    </w:p>
    <w:p w14:paraId="7BF379B8"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Gettysburg History – The Creation of the Gettysburg National Military Park (n.d)</w:t>
      </w:r>
    </w:p>
    <w:p w14:paraId="46917DDB" w14:textId="48EE1226" w:rsidR="00D34E64" w:rsidRPr="00D34E64" w:rsidRDefault="00D34E64" w:rsidP="00D34E64">
      <w:pPr>
        <w:pStyle w:val="FootnoteText"/>
        <w:rPr>
          <w:rFonts w:asciiTheme="minorHAnsi" w:hAnsiTheme="minorHAnsi" w:cstheme="minorHAnsi"/>
          <w:sz w:val="22"/>
          <w:szCs w:val="22"/>
        </w:rPr>
      </w:pPr>
      <w:hyperlink r:id="rId11" w:history="1">
        <w:r w:rsidRPr="00D34E64">
          <w:rPr>
            <w:rStyle w:val="Hyperlink"/>
            <w:rFonts w:asciiTheme="minorHAnsi" w:hAnsiTheme="minorHAnsi" w:cstheme="minorHAnsi"/>
            <w:sz w:val="22"/>
            <w:szCs w:val="22"/>
          </w:rPr>
          <w:t>https://gettysburghistory.org/creation-of-the-gettysburg-national-military-park/</w:t>
        </w:r>
      </w:hyperlink>
      <w:r w:rsidRPr="00D34E64">
        <w:rPr>
          <w:rFonts w:asciiTheme="minorHAnsi" w:hAnsiTheme="minorHAnsi" w:cstheme="minorHAnsi"/>
          <w:sz w:val="22"/>
          <w:szCs w:val="22"/>
        </w:rPr>
        <w:t xml:space="preserve"> [accessed 01/03/26]</w:t>
      </w:r>
    </w:p>
    <w:p w14:paraId="703B1A83" w14:textId="26750435" w:rsidR="00D34E64" w:rsidRPr="00D34E64" w:rsidRDefault="00D34E64" w:rsidP="00D34E64">
      <w:pPr>
        <w:pStyle w:val="FootnoteText"/>
        <w:rPr>
          <w:rFonts w:asciiTheme="minorHAnsi" w:hAnsiTheme="minorHAnsi" w:cstheme="minorHAnsi"/>
          <w:sz w:val="22"/>
          <w:szCs w:val="22"/>
        </w:rPr>
      </w:pPr>
    </w:p>
    <w:p w14:paraId="199FCCE0"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Guard Archaeology Limited – Finding the Battle of Bannockburn (n.d)</w:t>
      </w:r>
    </w:p>
    <w:p w14:paraId="2283766F" w14:textId="67F0AA41" w:rsidR="00D34E64" w:rsidRPr="00D34E64" w:rsidRDefault="00D34E64" w:rsidP="00D34E64">
      <w:pPr>
        <w:pStyle w:val="FootnoteText"/>
        <w:rPr>
          <w:rFonts w:asciiTheme="minorHAnsi" w:hAnsiTheme="minorHAnsi" w:cstheme="minorHAnsi"/>
          <w:sz w:val="22"/>
          <w:szCs w:val="22"/>
        </w:rPr>
      </w:pPr>
      <w:hyperlink r:id="rId12" w:history="1">
        <w:r w:rsidRPr="00D34E64">
          <w:rPr>
            <w:rStyle w:val="Hyperlink"/>
            <w:rFonts w:asciiTheme="minorHAnsi" w:hAnsiTheme="minorHAnsi" w:cstheme="minorHAnsi"/>
            <w:sz w:val="22"/>
            <w:szCs w:val="22"/>
          </w:rPr>
          <w:t>https://www.guard-archaeology.co.uk/news/news15/BannockburnNews.html</w:t>
        </w:r>
      </w:hyperlink>
      <w:r w:rsidRPr="00D34E64">
        <w:rPr>
          <w:rFonts w:asciiTheme="minorHAnsi" w:hAnsiTheme="minorHAnsi" w:cstheme="minorHAnsi"/>
          <w:sz w:val="22"/>
          <w:szCs w:val="22"/>
        </w:rPr>
        <w:t xml:space="preserve"> [accessed 01/03/26]</w:t>
      </w:r>
    </w:p>
    <w:p w14:paraId="16C060F3" w14:textId="6D540757" w:rsidR="00D34E64" w:rsidRPr="00D34E64" w:rsidRDefault="00D34E64" w:rsidP="00D34E64">
      <w:pPr>
        <w:pStyle w:val="FootnoteText"/>
        <w:rPr>
          <w:rFonts w:asciiTheme="minorHAnsi" w:hAnsiTheme="minorHAnsi" w:cstheme="minorHAnsi"/>
          <w:sz w:val="22"/>
          <w:szCs w:val="22"/>
        </w:rPr>
      </w:pPr>
    </w:p>
    <w:p w14:paraId="6A523890"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Historic England – Highworth War Memorial (2016)</w:t>
      </w:r>
    </w:p>
    <w:p w14:paraId="6F50D210" w14:textId="77777777" w:rsidR="00D34E64" w:rsidRPr="00D34E64" w:rsidRDefault="00D34E64" w:rsidP="00D34E64">
      <w:pPr>
        <w:pStyle w:val="FootnoteText"/>
        <w:rPr>
          <w:rFonts w:asciiTheme="minorHAnsi" w:hAnsiTheme="minorHAnsi" w:cstheme="minorHAnsi"/>
          <w:sz w:val="22"/>
          <w:szCs w:val="22"/>
        </w:rPr>
      </w:pPr>
      <w:hyperlink r:id="rId13" w:history="1">
        <w:r w:rsidRPr="00D34E64">
          <w:rPr>
            <w:rStyle w:val="Hyperlink"/>
            <w:rFonts w:asciiTheme="minorHAnsi" w:hAnsiTheme="minorHAnsi" w:cstheme="minorHAnsi"/>
            <w:sz w:val="22"/>
            <w:szCs w:val="22"/>
          </w:rPr>
          <w:t>https://historicengland.org.uk/listing/the-list/list-entry/1432880?section=official-list-entry</w:t>
        </w:r>
      </w:hyperlink>
      <w:r w:rsidRPr="00D34E64">
        <w:rPr>
          <w:rFonts w:asciiTheme="minorHAnsi" w:hAnsiTheme="minorHAnsi" w:cstheme="minorHAnsi"/>
          <w:sz w:val="22"/>
          <w:szCs w:val="22"/>
        </w:rPr>
        <w:t xml:space="preserve"> [accessed 01/03/26]</w:t>
      </w:r>
    </w:p>
    <w:p w14:paraId="4BAA963B" w14:textId="77777777" w:rsidR="00D34E64" w:rsidRPr="00D34E64" w:rsidRDefault="00D34E64" w:rsidP="00D34E64">
      <w:pPr>
        <w:pStyle w:val="FootnoteText"/>
        <w:rPr>
          <w:rFonts w:asciiTheme="minorHAnsi" w:hAnsiTheme="minorHAnsi" w:cstheme="minorHAnsi"/>
          <w:sz w:val="22"/>
          <w:szCs w:val="22"/>
        </w:rPr>
      </w:pPr>
    </w:p>
    <w:p w14:paraId="2F41B82C"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Holocaust Museum Houston – Genocide in Bosnia (n.d)</w:t>
      </w:r>
    </w:p>
    <w:p w14:paraId="07433B4B" w14:textId="08DC4DA3" w:rsidR="00D34E64" w:rsidRPr="00D34E64" w:rsidRDefault="00D34E64" w:rsidP="00D34E64">
      <w:pPr>
        <w:pStyle w:val="FootnoteText"/>
        <w:rPr>
          <w:rFonts w:asciiTheme="minorHAnsi" w:hAnsiTheme="minorHAnsi" w:cstheme="minorHAnsi"/>
          <w:sz w:val="22"/>
          <w:szCs w:val="22"/>
        </w:rPr>
      </w:pPr>
      <w:hyperlink r:id="rId14" w:history="1">
        <w:r w:rsidRPr="00D34E64">
          <w:rPr>
            <w:rStyle w:val="Hyperlink"/>
            <w:rFonts w:asciiTheme="minorHAnsi" w:hAnsiTheme="minorHAnsi" w:cstheme="minorHAnsi"/>
            <w:sz w:val="22"/>
            <w:szCs w:val="22"/>
          </w:rPr>
          <w:t>https://hmh.org/library/research/genocide-in-bosnia-guide/</w:t>
        </w:r>
      </w:hyperlink>
      <w:r w:rsidRPr="00D34E64">
        <w:rPr>
          <w:rFonts w:asciiTheme="minorHAnsi" w:hAnsiTheme="minorHAnsi" w:cstheme="minorHAnsi"/>
          <w:sz w:val="22"/>
          <w:szCs w:val="22"/>
        </w:rPr>
        <w:t xml:space="preserve"> [accessed 01/03/26]</w:t>
      </w:r>
    </w:p>
    <w:p w14:paraId="069B1559" w14:textId="068EB47A" w:rsidR="00D34E64" w:rsidRPr="00D34E64" w:rsidRDefault="00D34E64" w:rsidP="00D34E64">
      <w:pPr>
        <w:pStyle w:val="FootnoteText"/>
        <w:rPr>
          <w:rFonts w:asciiTheme="minorHAnsi" w:hAnsiTheme="minorHAnsi" w:cstheme="minorHAnsi"/>
          <w:sz w:val="22"/>
          <w:szCs w:val="22"/>
        </w:rPr>
      </w:pPr>
    </w:p>
    <w:p w14:paraId="5CDFD84C"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MOD War Detectives – the Joint Casualty and Compassionate Centre Commemorations team – what we do (2022)</w:t>
      </w:r>
    </w:p>
    <w:p w14:paraId="1279B3CE" w14:textId="77777777" w:rsidR="00D34E64" w:rsidRPr="00D34E64" w:rsidRDefault="00D34E64" w:rsidP="00D34E64">
      <w:pPr>
        <w:pStyle w:val="FootnoteText"/>
        <w:rPr>
          <w:rFonts w:asciiTheme="minorHAnsi" w:hAnsiTheme="minorHAnsi" w:cstheme="minorHAnsi"/>
          <w:sz w:val="22"/>
          <w:szCs w:val="22"/>
        </w:rPr>
      </w:pPr>
      <w:hyperlink r:id="rId15" w:history="1">
        <w:r w:rsidRPr="00D34E64">
          <w:rPr>
            <w:rStyle w:val="Hyperlink"/>
            <w:rFonts w:asciiTheme="minorHAnsi" w:hAnsiTheme="minorHAnsi" w:cstheme="minorHAnsi"/>
            <w:sz w:val="22"/>
            <w:szCs w:val="22"/>
          </w:rPr>
          <w:t>https://www.gov.uk/guidance/mod-war-detectives-the-joint-casualty-and-compassionate-centre-commemorations-team-what-we-do</w:t>
        </w:r>
      </w:hyperlink>
      <w:r w:rsidRPr="00D34E64">
        <w:rPr>
          <w:rFonts w:asciiTheme="minorHAnsi" w:hAnsiTheme="minorHAnsi" w:cstheme="minorHAnsi"/>
          <w:sz w:val="22"/>
          <w:szCs w:val="22"/>
        </w:rPr>
        <w:t xml:space="preserve"> [accessed 01/03/26]</w:t>
      </w:r>
    </w:p>
    <w:p w14:paraId="61F3914B" w14:textId="77777777" w:rsidR="00D34E64" w:rsidRPr="00D34E64" w:rsidRDefault="00D34E64" w:rsidP="00D34E64">
      <w:pPr>
        <w:pStyle w:val="FootnoteText"/>
        <w:rPr>
          <w:rFonts w:asciiTheme="minorHAnsi" w:hAnsiTheme="minorHAnsi" w:cstheme="minorHAnsi"/>
          <w:sz w:val="22"/>
          <w:szCs w:val="22"/>
        </w:rPr>
      </w:pPr>
    </w:p>
    <w:p w14:paraId="4BC03477"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Remembering Srebrenica – Uncovering Mass Graves (2021)</w:t>
      </w:r>
    </w:p>
    <w:p w14:paraId="27A9A49B" w14:textId="77777777" w:rsidR="00D34E64" w:rsidRPr="00D34E64" w:rsidRDefault="00D34E64" w:rsidP="00D34E64">
      <w:pPr>
        <w:pStyle w:val="FootnoteText"/>
        <w:rPr>
          <w:rFonts w:asciiTheme="minorHAnsi" w:hAnsiTheme="minorHAnsi" w:cstheme="minorHAnsi"/>
          <w:sz w:val="22"/>
          <w:szCs w:val="22"/>
        </w:rPr>
      </w:pPr>
      <w:hyperlink r:id="rId16" w:history="1">
        <w:r w:rsidRPr="00D34E64">
          <w:rPr>
            <w:rStyle w:val="Hyperlink"/>
            <w:rFonts w:asciiTheme="minorHAnsi" w:hAnsiTheme="minorHAnsi" w:cstheme="minorHAnsi"/>
            <w:sz w:val="22"/>
            <w:szCs w:val="22"/>
          </w:rPr>
          <w:t>https://srebrenica.org.uk/what-happened/history/uncovering-mass-graves</w:t>
        </w:r>
      </w:hyperlink>
      <w:r w:rsidRPr="00D34E64">
        <w:rPr>
          <w:rFonts w:asciiTheme="minorHAnsi" w:hAnsiTheme="minorHAnsi" w:cstheme="minorHAnsi"/>
          <w:sz w:val="22"/>
          <w:szCs w:val="22"/>
        </w:rPr>
        <w:t xml:space="preserve"> [accessed 01/03/26]</w:t>
      </w:r>
    </w:p>
    <w:p w14:paraId="2BAE6831" w14:textId="77777777" w:rsidR="00D34E64" w:rsidRPr="00D34E64" w:rsidRDefault="00D34E64" w:rsidP="00D34E64">
      <w:pPr>
        <w:pStyle w:val="FootnoteText"/>
        <w:rPr>
          <w:rFonts w:asciiTheme="minorHAnsi" w:hAnsiTheme="minorHAnsi" w:cstheme="minorHAnsi"/>
          <w:sz w:val="22"/>
          <w:szCs w:val="22"/>
        </w:rPr>
      </w:pPr>
    </w:p>
    <w:p w14:paraId="108568EA" w14:textId="530F7CC6"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The Commonwealth War Graves Commission - Who we are, (n.d)</w:t>
      </w:r>
    </w:p>
    <w:p w14:paraId="69169612" w14:textId="77777777" w:rsidR="00D34E64" w:rsidRPr="00D34E64" w:rsidRDefault="00D34E64" w:rsidP="00D34E64">
      <w:pPr>
        <w:pStyle w:val="FootnoteText"/>
        <w:rPr>
          <w:rFonts w:asciiTheme="minorHAnsi" w:hAnsiTheme="minorHAnsi" w:cstheme="minorHAnsi"/>
          <w:sz w:val="22"/>
          <w:szCs w:val="22"/>
        </w:rPr>
      </w:pPr>
      <w:hyperlink r:id="rId17" w:history="1">
        <w:r w:rsidRPr="00D34E64">
          <w:rPr>
            <w:rStyle w:val="Hyperlink"/>
            <w:rFonts w:asciiTheme="minorHAnsi" w:hAnsiTheme="minorHAnsi" w:cstheme="minorHAnsi"/>
            <w:sz w:val="22"/>
            <w:szCs w:val="22"/>
          </w:rPr>
          <w:t>https://www.cwgc.org/who-we-are/</w:t>
        </w:r>
      </w:hyperlink>
      <w:r w:rsidRPr="00D34E64">
        <w:rPr>
          <w:rFonts w:asciiTheme="minorHAnsi" w:hAnsiTheme="minorHAnsi" w:cstheme="minorHAnsi"/>
          <w:sz w:val="22"/>
          <w:szCs w:val="22"/>
        </w:rPr>
        <w:t xml:space="preserve"> [accessed 28/02/26]</w:t>
      </w:r>
    </w:p>
    <w:p w14:paraId="236CBBCA" w14:textId="77777777" w:rsidR="00D34E64" w:rsidRPr="00D34E64" w:rsidRDefault="00D34E64" w:rsidP="00D34E64">
      <w:pPr>
        <w:pStyle w:val="FootnoteText"/>
        <w:rPr>
          <w:rFonts w:asciiTheme="minorHAnsi" w:hAnsiTheme="minorHAnsi" w:cstheme="minorHAnsi"/>
          <w:sz w:val="22"/>
          <w:szCs w:val="22"/>
        </w:rPr>
      </w:pPr>
    </w:p>
    <w:p w14:paraId="2288322B" w14:textId="07F37F71"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Trinder.org, Filkins – Census Details, (c.2004/5)</w:t>
      </w:r>
    </w:p>
    <w:p w14:paraId="17F79421" w14:textId="77DC05CA" w:rsidR="00D34E64" w:rsidRPr="00D34E64" w:rsidRDefault="00D34E64" w:rsidP="00D34E64">
      <w:pPr>
        <w:pStyle w:val="FootnoteText"/>
        <w:rPr>
          <w:rFonts w:asciiTheme="minorHAnsi" w:hAnsiTheme="minorHAnsi" w:cstheme="minorHAnsi"/>
          <w:sz w:val="22"/>
          <w:szCs w:val="22"/>
        </w:rPr>
      </w:pPr>
      <w:hyperlink r:id="rId18" w:history="1">
        <w:r w:rsidRPr="00D34E64">
          <w:rPr>
            <w:rStyle w:val="Hyperlink"/>
            <w:rFonts w:asciiTheme="minorHAnsi" w:hAnsiTheme="minorHAnsi" w:cstheme="minorHAnsi"/>
            <w:sz w:val="22"/>
            <w:szCs w:val="22"/>
          </w:rPr>
          <w:t>https://www.trinder.org/</w:t>
        </w:r>
      </w:hyperlink>
      <w:r w:rsidRPr="00D34E64">
        <w:rPr>
          <w:rFonts w:asciiTheme="minorHAnsi" w:hAnsiTheme="minorHAnsi" w:cstheme="minorHAnsi"/>
          <w:sz w:val="22"/>
          <w:szCs w:val="22"/>
        </w:rPr>
        <w:t xml:space="preserve">  [accessed 28/02/26]</w:t>
      </w:r>
    </w:p>
    <w:p w14:paraId="31D814A2" w14:textId="0E4D8519" w:rsidR="00D34E64" w:rsidRPr="00D34E64" w:rsidRDefault="00D34E64" w:rsidP="00D34E64">
      <w:pPr>
        <w:pStyle w:val="FootnoteText"/>
        <w:rPr>
          <w:rFonts w:asciiTheme="minorHAnsi" w:hAnsiTheme="minorHAnsi" w:cstheme="minorHAnsi"/>
          <w:sz w:val="22"/>
          <w:szCs w:val="22"/>
        </w:rPr>
      </w:pPr>
    </w:p>
    <w:p w14:paraId="326D338D" w14:textId="6F0C6FA9"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 xml:space="preserve">United States Holocaust Memorial Museum – Bosnia and Herzegovina: Prosecuting the crime of Genocide </w:t>
      </w:r>
    </w:p>
    <w:p w14:paraId="225F76F9" w14:textId="4557CA5E" w:rsidR="00D34E64" w:rsidRPr="00D34E64" w:rsidRDefault="00D34E64" w:rsidP="00D34E64">
      <w:pPr>
        <w:pStyle w:val="NormalWeb"/>
        <w:shd w:val="clear" w:color="auto" w:fill="FFFFFF"/>
        <w:spacing w:before="0" w:beforeAutospacing="0" w:after="0" w:afterAutospacing="0"/>
        <w:rPr>
          <w:rFonts w:asciiTheme="minorHAnsi" w:hAnsiTheme="minorHAnsi" w:cstheme="minorHAnsi"/>
          <w:b/>
          <w:bCs/>
          <w:color w:val="212529"/>
          <w:sz w:val="22"/>
          <w:szCs w:val="22"/>
        </w:rPr>
      </w:pPr>
      <w:r w:rsidRPr="00D34E64">
        <w:rPr>
          <w:rFonts w:asciiTheme="minorHAnsi" w:hAnsiTheme="minorHAnsi" w:cstheme="minorHAnsi"/>
          <w:sz w:val="22"/>
          <w:szCs w:val="22"/>
        </w:rPr>
        <w:fldChar w:fldCharType="begin"/>
      </w:r>
      <w:r w:rsidRPr="00D34E64">
        <w:rPr>
          <w:rFonts w:asciiTheme="minorHAnsi" w:hAnsiTheme="minorHAnsi" w:cstheme="minorHAnsi"/>
          <w:sz w:val="22"/>
          <w:szCs w:val="22"/>
        </w:rPr>
        <w:instrText xml:space="preserve"> HYPERLINK "</w:instrText>
      </w:r>
      <w:r w:rsidRPr="00D34E64">
        <w:rPr>
          <w:rFonts w:asciiTheme="minorHAnsi" w:hAnsiTheme="minorHAnsi" w:cstheme="minorHAnsi"/>
          <w:sz w:val="22"/>
          <w:szCs w:val="22"/>
        </w:rPr>
        <w:instrText>https://www.ushmm.org/genocide-prevention/countries/bosnia-herzegovina/prosecuting-the-crime-of-genocide</w:instrText>
      </w:r>
      <w:r w:rsidRPr="00D34E64">
        <w:rPr>
          <w:rFonts w:asciiTheme="minorHAnsi" w:hAnsiTheme="minorHAnsi" w:cstheme="minorHAnsi"/>
          <w:sz w:val="22"/>
          <w:szCs w:val="22"/>
        </w:rPr>
        <w:instrText xml:space="preserve">" </w:instrText>
      </w:r>
      <w:r w:rsidRPr="00D34E64">
        <w:rPr>
          <w:rFonts w:asciiTheme="minorHAnsi" w:hAnsiTheme="minorHAnsi" w:cstheme="minorHAnsi"/>
          <w:sz w:val="22"/>
          <w:szCs w:val="22"/>
        </w:rPr>
        <w:fldChar w:fldCharType="separate"/>
      </w:r>
      <w:r w:rsidRPr="00D34E64">
        <w:rPr>
          <w:rStyle w:val="Hyperlink"/>
          <w:rFonts w:asciiTheme="minorHAnsi" w:hAnsiTheme="minorHAnsi" w:cstheme="minorHAnsi"/>
          <w:sz w:val="22"/>
          <w:szCs w:val="22"/>
        </w:rPr>
        <w:t>https://www.ushmm.org/genocide-prevention/countries/bosnia-herzegovina/prosecuting-the-crime-of-genocide</w:t>
      </w:r>
      <w:r w:rsidRPr="00D34E64">
        <w:rPr>
          <w:rFonts w:asciiTheme="minorHAnsi" w:hAnsiTheme="minorHAnsi" w:cstheme="minorHAnsi"/>
          <w:sz w:val="22"/>
          <w:szCs w:val="22"/>
        </w:rPr>
        <w:fldChar w:fldCharType="end"/>
      </w:r>
      <w:r w:rsidRPr="00D34E64">
        <w:rPr>
          <w:rFonts w:asciiTheme="minorHAnsi" w:hAnsiTheme="minorHAnsi" w:cstheme="minorHAnsi"/>
          <w:sz w:val="22"/>
          <w:szCs w:val="22"/>
        </w:rPr>
        <w:t xml:space="preserve"> [accessed 01/03/26]</w:t>
      </w:r>
    </w:p>
    <w:p w14:paraId="4EF7BCF7" w14:textId="11192201" w:rsidR="00D34E64" w:rsidRPr="00D34E64" w:rsidRDefault="00D34E64" w:rsidP="00D34E64">
      <w:pPr>
        <w:pStyle w:val="FootnoteText"/>
        <w:rPr>
          <w:rFonts w:asciiTheme="minorHAnsi" w:hAnsiTheme="minorHAnsi" w:cstheme="minorHAnsi"/>
          <w:sz w:val="22"/>
          <w:szCs w:val="22"/>
        </w:rPr>
      </w:pPr>
    </w:p>
    <w:p w14:paraId="4CE66D5D" w14:textId="77777777"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Vietnam Veterans War Memorial Fund – Wall Facts (n.d)</w:t>
      </w:r>
    </w:p>
    <w:p w14:paraId="3EFE6552" w14:textId="77777777" w:rsidR="00D34E64" w:rsidRPr="00D34E64" w:rsidRDefault="00D34E64" w:rsidP="00D34E64">
      <w:pPr>
        <w:pStyle w:val="FootnoteText"/>
        <w:rPr>
          <w:rFonts w:asciiTheme="minorHAnsi" w:hAnsiTheme="minorHAnsi" w:cstheme="minorHAnsi"/>
          <w:sz w:val="22"/>
          <w:szCs w:val="22"/>
        </w:rPr>
      </w:pPr>
      <w:hyperlink r:id="rId19" w:history="1">
        <w:r w:rsidRPr="00D34E64">
          <w:rPr>
            <w:rStyle w:val="Hyperlink"/>
            <w:rFonts w:asciiTheme="minorHAnsi" w:hAnsiTheme="minorHAnsi" w:cstheme="minorHAnsi"/>
            <w:sz w:val="22"/>
            <w:szCs w:val="22"/>
          </w:rPr>
          <w:t>https://www.vvmf.org/About-The-Wall/</w:t>
        </w:r>
      </w:hyperlink>
      <w:r w:rsidRPr="00D34E64">
        <w:rPr>
          <w:rFonts w:asciiTheme="minorHAnsi" w:hAnsiTheme="minorHAnsi" w:cstheme="minorHAnsi"/>
          <w:sz w:val="22"/>
          <w:szCs w:val="22"/>
        </w:rPr>
        <w:t xml:space="preserve"> [accessed 01/03/26]</w:t>
      </w:r>
    </w:p>
    <w:p w14:paraId="0C3A44C7" w14:textId="77777777" w:rsidR="00D34E64" w:rsidRPr="00D34E64" w:rsidRDefault="00D34E64" w:rsidP="00D34E64">
      <w:pPr>
        <w:pStyle w:val="FootnoteText"/>
        <w:rPr>
          <w:rFonts w:asciiTheme="minorHAnsi" w:hAnsiTheme="minorHAnsi" w:cstheme="minorHAnsi"/>
          <w:sz w:val="22"/>
          <w:szCs w:val="22"/>
        </w:rPr>
      </w:pPr>
    </w:p>
    <w:p w14:paraId="499C5328" w14:textId="51A70090" w:rsidR="00D34E64" w:rsidRPr="00D34E64" w:rsidRDefault="00D34E64" w:rsidP="00D34E64">
      <w:pPr>
        <w:pStyle w:val="FootnoteText"/>
        <w:rPr>
          <w:rFonts w:asciiTheme="minorHAnsi" w:hAnsiTheme="minorHAnsi" w:cstheme="minorHAnsi"/>
          <w:sz w:val="22"/>
          <w:szCs w:val="22"/>
        </w:rPr>
      </w:pPr>
      <w:r w:rsidRPr="00D34E64">
        <w:rPr>
          <w:rFonts w:asciiTheme="minorHAnsi" w:hAnsiTheme="minorHAnsi" w:cstheme="minorHAnsi"/>
          <w:sz w:val="22"/>
          <w:szCs w:val="22"/>
        </w:rPr>
        <w:t>Vietnam War Memorial Fund – History of the Vietnam Veterans Memorial (n.d)</w:t>
      </w:r>
    </w:p>
    <w:p w14:paraId="0D2F0A3D" w14:textId="77777777" w:rsidR="00D34E64" w:rsidRPr="00D34E64" w:rsidRDefault="00D34E64" w:rsidP="00D34E64">
      <w:pPr>
        <w:pStyle w:val="FootnoteText"/>
        <w:rPr>
          <w:rFonts w:asciiTheme="minorHAnsi" w:hAnsiTheme="minorHAnsi" w:cstheme="minorHAnsi"/>
          <w:sz w:val="22"/>
          <w:szCs w:val="22"/>
        </w:rPr>
      </w:pPr>
      <w:hyperlink r:id="rId20" w:history="1">
        <w:r w:rsidRPr="00D34E64">
          <w:rPr>
            <w:rStyle w:val="Hyperlink"/>
            <w:rFonts w:asciiTheme="minorHAnsi" w:hAnsiTheme="minorHAnsi" w:cstheme="minorHAnsi"/>
            <w:sz w:val="22"/>
            <w:szCs w:val="22"/>
          </w:rPr>
          <w:t>https://www.vvmf.org/About-The-Wall/history-of-the-vietnam-veterans-memorial/</w:t>
        </w:r>
      </w:hyperlink>
      <w:r w:rsidRPr="00D34E64">
        <w:rPr>
          <w:rFonts w:asciiTheme="minorHAnsi" w:hAnsiTheme="minorHAnsi" w:cstheme="minorHAnsi"/>
          <w:sz w:val="22"/>
          <w:szCs w:val="22"/>
        </w:rPr>
        <w:t xml:space="preserve"> [accessed 01/03/26]</w:t>
      </w:r>
    </w:p>
    <w:p w14:paraId="22898378" w14:textId="0ECD7007" w:rsidR="00D34E64" w:rsidRPr="00D34E64" w:rsidRDefault="00D34E64" w:rsidP="00D34E64">
      <w:pPr>
        <w:pStyle w:val="NormalWeb"/>
        <w:shd w:val="clear" w:color="auto" w:fill="FFFFFF"/>
        <w:spacing w:before="0" w:beforeAutospacing="0" w:after="0" w:afterAutospacing="0"/>
        <w:rPr>
          <w:rFonts w:asciiTheme="minorHAnsi" w:hAnsiTheme="minorHAnsi" w:cstheme="minorHAnsi"/>
          <w:b/>
          <w:bCs/>
          <w:color w:val="212529"/>
          <w:sz w:val="22"/>
          <w:szCs w:val="22"/>
        </w:rPr>
      </w:pPr>
    </w:p>
    <w:sectPr w:rsidR="00D34E64" w:rsidRPr="00D34E64" w:rsidSect="001D546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54793" w14:textId="77777777" w:rsidR="00CA6DDF" w:rsidRDefault="00CA6DDF" w:rsidP="00E07E3B">
      <w:r>
        <w:separator/>
      </w:r>
    </w:p>
  </w:endnote>
  <w:endnote w:type="continuationSeparator" w:id="0">
    <w:p w14:paraId="01348CE5" w14:textId="77777777" w:rsidR="00CA6DDF" w:rsidRDefault="00CA6DDF" w:rsidP="00E07E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8C7AA" w14:textId="77777777" w:rsidR="00CA6DDF" w:rsidRDefault="00CA6DDF" w:rsidP="00E07E3B">
      <w:r>
        <w:separator/>
      </w:r>
    </w:p>
  </w:footnote>
  <w:footnote w:type="continuationSeparator" w:id="0">
    <w:p w14:paraId="605289D6" w14:textId="77777777" w:rsidR="00CA6DDF" w:rsidRDefault="00CA6DDF" w:rsidP="00E07E3B">
      <w:r>
        <w:continuationSeparator/>
      </w:r>
    </w:p>
  </w:footnote>
  <w:footnote w:id="1">
    <w:p w14:paraId="0F2F8C3C" w14:textId="5D4C08FD" w:rsidR="00E07E3B" w:rsidRPr="00F63B13" w:rsidRDefault="00E07E3B">
      <w:pPr>
        <w:pStyle w:val="FootnoteText"/>
        <w:rPr>
          <w:rFonts w:asciiTheme="minorHAnsi" w:hAnsiTheme="minorHAnsi" w:cstheme="minorHAnsi"/>
          <w:sz w:val="16"/>
          <w:szCs w:val="16"/>
        </w:rPr>
      </w:pPr>
      <w:r w:rsidRPr="00F63B13">
        <w:rPr>
          <w:rStyle w:val="FootnoteReference"/>
          <w:rFonts w:asciiTheme="minorHAnsi" w:hAnsiTheme="minorHAnsi" w:cstheme="minorHAnsi"/>
          <w:sz w:val="16"/>
          <w:szCs w:val="16"/>
        </w:rPr>
        <w:footnoteRef/>
      </w:r>
      <w:r w:rsidRPr="00F63B13">
        <w:rPr>
          <w:rFonts w:asciiTheme="minorHAnsi" w:hAnsiTheme="minorHAnsi" w:cstheme="minorHAnsi"/>
          <w:sz w:val="16"/>
          <w:szCs w:val="16"/>
        </w:rPr>
        <w:t xml:space="preserve"> The Commonwealth War Graves Commission - Who we are, (n.d)</w:t>
      </w:r>
    </w:p>
    <w:p w14:paraId="4901ADC6" w14:textId="587CE54B" w:rsidR="00E07E3B" w:rsidRPr="00F63B13" w:rsidRDefault="00E07E3B">
      <w:pPr>
        <w:pStyle w:val="FootnoteText"/>
        <w:rPr>
          <w:rFonts w:asciiTheme="minorHAnsi" w:hAnsiTheme="minorHAnsi" w:cstheme="minorHAnsi"/>
          <w:sz w:val="16"/>
          <w:szCs w:val="16"/>
        </w:rPr>
      </w:pPr>
      <w:hyperlink r:id="rId1" w:history="1">
        <w:r w:rsidRPr="00F63B13">
          <w:rPr>
            <w:rStyle w:val="Hyperlink"/>
            <w:rFonts w:asciiTheme="minorHAnsi" w:hAnsiTheme="minorHAnsi" w:cstheme="minorHAnsi"/>
            <w:sz w:val="16"/>
            <w:szCs w:val="16"/>
          </w:rPr>
          <w:t>https://www.cwgc.org/who-we-are/</w:t>
        </w:r>
      </w:hyperlink>
      <w:r w:rsidRPr="00F63B13">
        <w:rPr>
          <w:rFonts w:asciiTheme="minorHAnsi" w:hAnsiTheme="minorHAnsi" w:cstheme="minorHAnsi"/>
          <w:sz w:val="16"/>
          <w:szCs w:val="16"/>
        </w:rPr>
        <w:t xml:space="preserve"> [accessed 28/02/26]</w:t>
      </w:r>
    </w:p>
  </w:footnote>
  <w:footnote w:id="2">
    <w:p w14:paraId="01F205C9" w14:textId="7A1914D8" w:rsidR="009E2C87" w:rsidRPr="00F63B13" w:rsidRDefault="009E2C87">
      <w:pPr>
        <w:pStyle w:val="FootnoteText"/>
        <w:rPr>
          <w:rFonts w:asciiTheme="minorHAnsi" w:hAnsiTheme="minorHAnsi" w:cstheme="minorHAnsi"/>
          <w:sz w:val="16"/>
          <w:szCs w:val="16"/>
        </w:rPr>
      </w:pPr>
      <w:r w:rsidRPr="00F63B13">
        <w:rPr>
          <w:rStyle w:val="FootnoteReference"/>
          <w:rFonts w:asciiTheme="minorHAnsi" w:hAnsiTheme="minorHAnsi" w:cstheme="minorHAnsi"/>
          <w:sz w:val="16"/>
          <w:szCs w:val="16"/>
        </w:rPr>
        <w:footnoteRef/>
      </w:r>
      <w:r w:rsidRPr="00F63B13">
        <w:rPr>
          <w:rFonts w:asciiTheme="minorHAnsi" w:hAnsiTheme="minorHAnsi" w:cstheme="minorHAnsi"/>
          <w:sz w:val="16"/>
          <w:szCs w:val="16"/>
        </w:rPr>
        <w:t xml:space="preserve"> Trinder.org, Filkins – Census Details, (c.2004/5)</w:t>
      </w:r>
    </w:p>
    <w:p w14:paraId="2F419C87" w14:textId="3E0981BC" w:rsidR="009E2C87" w:rsidRPr="00F63B13" w:rsidRDefault="009E2C87">
      <w:pPr>
        <w:pStyle w:val="FootnoteText"/>
        <w:rPr>
          <w:rFonts w:asciiTheme="minorHAnsi" w:hAnsiTheme="minorHAnsi" w:cstheme="minorHAnsi"/>
          <w:sz w:val="16"/>
          <w:szCs w:val="16"/>
        </w:rPr>
      </w:pPr>
      <w:hyperlink r:id="rId2" w:history="1">
        <w:r w:rsidRPr="00F63B13">
          <w:rPr>
            <w:rStyle w:val="Hyperlink"/>
            <w:rFonts w:asciiTheme="minorHAnsi" w:hAnsiTheme="minorHAnsi" w:cstheme="minorHAnsi"/>
            <w:sz w:val="16"/>
            <w:szCs w:val="16"/>
          </w:rPr>
          <w:t>https://www.trinder.</w:t>
        </w:r>
        <w:r w:rsidRPr="00F63B13">
          <w:rPr>
            <w:rStyle w:val="Hyperlink"/>
            <w:rFonts w:asciiTheme="minorHAnsi" w:hAnsiTheme="minorHAnsi" w:cstheme="minorHAnsi"/>
            <w:sz w:val="16"/>
            <w:szCs w:val="16"/>
          </w:rPr>
          <w:t>o</w:t>
        </w:r>
        <w:r w:rsidRPr="00F63B13">
          <w:rPr>
            <w:rStyle w:val="Hyperlink"/>
            <w:rFonts w:asciiTheme="minorHAnsi" w:hAnsiTheme="minorHAnsi" w:cstheme="minorHAnsi"/>
            <w:sz w:val="16"/>
            <w:szCs w:val="16"/>
          </w:rPr>
          <w:t>rg/</w:t>
        </w:r>
      </w:hyperlink>
      <w:r w:rsidRPr="00F63B13">
        <w:rPr>
          <w:rFonts w:asciiTheme="minorHAnsi" w:hAnsiTheme="minorHAnsi" w:cstheme="minorHAnsi"/>
          <w:sz w:val="16"/>
          <w:szCs w:val="16"/>
        </w:rPr>
        <w:t xml:space="preserve">  [accessed 28/02/26]</w:t>
      </w:r>
    </w:p>
  </w:footnote>
  <w:footnote w:id="3">
    <w:p w14:paraId="03FE22E9" w14:textId="4A0AD5A5" w:rsidR="009E2C87" w:rsidRPr="00F63B13" w:rsidRDefault="009E2C87">
      <w:pPr>
        <w:pStyle w:val="FootnoteText"/>
        <w:rPr>
          <w:rFonts w:asciiTheme="minorHAnsi" w:hAnsiTheme="minorHAnsi" w:cstheme="minorHAnsi"/>
          <w:sz w:val="16"/>
          <w:szCs w:val="16"/>
        </w:rPr>
      </w:pPr>
      <w:r w:rsidRPr="00F63B13">
        <w:rPr>
          <w:rStyle w:val="FootnoteReference"/>
          <w:rFonts w:asciiTheme="minorHAnsi" w:hAnsiTheme="minorHAnsi" w:cstheme="minorHAnsi"/>
          <w:sz w:val="16"/>
          <w:szCs w:val="16"/>
        </w:rPr>
        <w:footnoteRef/>
      </w:r>
      <w:r w:rsidRPr="00F63B13">
        <w:rPr>
          <w:rFonts w:asciiTheme="minorHAnsi" w:hAnsiTheme="minorHAnsi" w:cstheme="minorHAnsi"/>
          <w:sz w:val="16"/>
          <w:szCs w:val="16"/>
        </w:rPr>
        <w:t xml:space="preserve"> CWGC, Find War Dead: Casualty Details – Private K Trinder (n.d)</w:t>
      </w:r>
    </w:p>
    <w:p w14:paraId="1CB300B2" w14:textId="5025E725" w:rsidR="009E2C87" w:rsidRPr="00F63B13" w:rsidRDefault="009E2C87">
      <w:pPr>
        <w:pStyle w:val="FootnoteText"/>
        <w:rPr>
          <w:rFonts w:asciiTheme="minorHAnsi" w:hAnsiTheme="minorHAnsi" w:cstheme="minorHAnsi"/>
          <w:sz w:val="16"/>
          <w:szCs w:val="16"/>
        </w:rPr>
      </w:pPr>
      <w:hyperlink r:id="rId3" w:history="1">
        <w:r w:rsidRPr="00F63B13">
          <w:rPr>
            <w:rStyle w:val="Hyperlink"/>
            <w:rFonts w:asciiTheme="minorHAnsi" w:hAnsiTheme="minorHAnsi" w:cstheme="minorHAnsi"/>
            <w:sz w:val="16"/>
            <w:szCs w:val="16"/>
          </w:rPr>
          <w:t>https://www.cwgc.org/find-records/find-war-dead/casualty-details/179647/k-trinde</w:t>
        </w:r>
        <w:r w:rsidRPr="00F63B13">
          <w:rPr>
            <w:rStyle w:val="Hyperlink"/>
            <w:rFonts w:asciiTheme="minorHAnsi" w:hAnsiTheme="minorHAnsi" w:cstheme="minorHAnsi"/>
            <w:sz w:val="16"/>
            <w:szCs w:val="16"/>
          </w:rPr>
          <w:t>r</w:t>
        </w:r>
        <w:r w:rsidRPr="00F63B13">
          <w:rPr>
            <w:rStyle w:val="Hyperlink"/>
            <w:rFonts w:asciiTheme="minorHAnsi" w:hAnsiTheme="minorHAnsi" w:cstheme="minorHAnsi"/>
            <w:sz w:val="16"/>
            <w:szCs w:val="16"/>
          </w:rPr>
          <w:t>/</w:t>
        </w:r>
      </w:hyperlink>
      <w:r w:rsidRPr="00F63B13">
        <w:rPr>
          <w:rFonts w:asciiTheme="minorHAnsi" w:hAnsiTheme="minorHAnsi" w:cstheme="minorHAnsi"/>
          <w:sz w:val="16"/>
          <w:szCs w:val="16"/>
        </w:rPr>
        <w:t xml:space="preserve"> [accessed 01/03/26]</w:t>
      </w:r>
    </w:p>
  </w:footnote>
  <w:footnote w:id="4">
    <w:p w14:paraId="4318D907" w14:textId="56F861BF" w:rsidR="009E2C87" w:rsidRPr="00F63B13" w:rsidRDefault="009E2C87">
      <w:pPr>
        <w:pStyle w:val="FootnoteText"/>
        <w:rPr>
          <w:rFonts w:asciiTheme="minorHAnsi" w:hAnsiTheme="minorHAnsi" w:cstheme="minorHAnsi"/>
          <w:sz w:val="16"/>
          <w:szCs w:val="16"/>
        </w:rPr>
      </w:pPr>
      <w:r w:rsidRPr="00F63B13">
        <w:rPr>
          <w:rStyle w:val="FootnoteReference"/>
          <w:rFonts w:asciiTheme="minorHAnsi" w:hAnsiTheme="minorHAnsi" w:cstheme="minorHAnsi"/>
          <w:sz w:val="16"/>
          <w:szCs w:val="16"/>
        </w:rPr>
        <w:footnoteRef/>
      </w:r>
      <w:r w:rsidRPr="00F63B13">
        <w:rPr>
          <w:rFonts w:asciiTheme="minorHAnsi" w:hAnsiTheme="minorHAnsi" w:cstheme="minorHAnsi"/>
          <w:sz w:val="16"/>
          <w:szCs w:val="16"/>
        </w:rPr>
        <w:t xml:space="preserve"> CWGC, Bucquoy Road Cemetery, Ficheux (n.d)</w:t>
      </w:r>
    </w:p>
    <w:p w14:paraId="11CAB2B5" w14:textId="28C06D1A" w:rsidR="009E2C87" w:rsidRPr="00F63B13" w:rsidRDefault="009E2C87">
      <w:pPr>
        <w:pStyle w:val="FootnoteText"/>
        <w:rPr>
          <w:rFonts w:asciiTheme="minorHAnsi" w:hAnsiTheme="minorHAnsi" w:cstheme="minorHAnsi"/>
          <w:sz w:val="16"/>
          <w:szCs w:val="16"/>
        </w:rPr>
      </w:pPr>
      <w:hyperlink r:id="rId4" w:history="1">
        <w:r w:rsidRPr="00F63B13">
          <w:rPr>
            <w:rStyle w:val="Hyperlink"/>
            <w:rFonts w:asciiTheme="minorHAnsi" w:hAnsiTheme="minorHAnsi" w:cstheme="minorHAnsi"/>
            <w:sz w:val="16"/>
            <w:szCs w:val="16"/>
          </w:rPr>
          <w:t>https://www.cwgc.org/visit-us/find-cemeteries-memorials/cemetery-details/17600/bucquoy-road-cemetery-ficheux/</w:t>
        </w:r>
      </w:hyperlink>
      <w:r w:rsidRPr="00F63B13">
        <w:rPr>
          <w:rFonts w:asciiTheme="minorHAnsi" w:hAnsiTheme="minorHAnsi" w:cstheme="minorHAnsi"/>
          <w:sz w:val="16"/>
          <w:szCs w:val="16"/>
        </w:rPr>
        <w:t xml:space="preserve"> [accessed 01/03/26]</w:t>
      </w:r>
    </w:p>
  </w:footnote>
  <w:footnote w:id="5">
    <w:p w14:paraId="756E427F" w14:textId="52AC1DD0" w:rsidR="00F63B13" w:rsidRPr="00F63B13" w:rsidRDefault="00F63B13">
      <w:pPr>
        <w:pStyle w:val="FootnoteText"/>
        <w:rPr>
          <w:rFonts w:asciiTheme="minorHAnsi" w:hAnsiTheme="minorHAnsi" w:cstheme="minorHAnsi"/>
          <w:sz w:val="16"/>
          <w:szCs w:val="16"/>
        </w:rPr>
      </w:pPr>
      <w:r w:rsidRPr="00F63B13">
        <w:rPr>
          <w:rStyle w:val="FootnoteReference"/>
          <w:rFonts w:asciiTheme="minorHAnsi" w:hAnsiTheme="minorHAnsi" w:cstheme="minorHAnsi"/>
          <w:sz w:val="16"/>
          <w:szCs w:val="16"/>
        </w:rPr>
        <w:footnoteRef/>
      </w:r>
      <w:r w:rsidRPr="00F63B13">
        <w:rPr>
          <w:rFonts w:asciiTheme="minorHAnsi" w:hAnsiTheme="minorHAnsi" w:cstheme="minorHAnsi"/>
          <w:sz w:val="16"/>
          <w:szCs w:val="16"/>
        </w:rPr>
        <w:t xml:space="preserve"> MOD War Detectives – the Joint Casualty and Compassionate Centre Commemorations team – what we do (2022)</w:t>
      </w:r>
    </w:p>
    <w:p w14:paraId="30009AFE" w14:textId="3DF7937C" w:rsidR="00F63B13" w:rsidRPr="00F63B13" w:rsidRDefault="00F63B13">
      <w:pPr>
        <w:pStyle w:val="FootnoteText"/>
        <w:rPr>
          <w:rFonts w:asciiTheme="minorHAnsi" w:hAnsiTheme="minorHAnsi" w:cstheme="minorHAnsi"/>
          <w:sz w:val="16"/>
          <w:szCs w:val="16"/>
        </w:rPr>
      </w:pPr>
      <w:hyperlink r:id="rId5" w:history="1">
        <w:r w:rsidRPr="00F63B13">
          <w:rPr>
            <w:rStyle w:val="Hyperlink"/>
            <w:rFonts w:asciiTheme="minorHAnsi" w:hAnsiTheme="minorHAnsi" w:cstheme="minorHAnsi"/>
            <w:sz w:val="16"/>
            <w:szCs w:val="16"/>
          </w:rPr>
          <w:t>https://www.gov.uk/guidance/mod-war-detectives-the-joint-casualty-and-compassionate-centre-commemorations-team-what-we-do</w:t>
        </w:r>
      </w:hyperlink>
      <w:r w:rsidRPr="00F63B13">
        <w:rPr>
          <w:rFonts w:asciiTheme="minorHAnsi" w:hAnsiTheme="minorHAnsi" w:cstheme="minorHAnsi"/>
          <w:sz w:val="16"/>
          <w:szCs w:val="16"/>
        </w:rPr>
        <w:t xml:space="preserve"> [accessed 01/03/26]</w:t>
      </w:r>
    </w:p>
  </w:footnote>
  <w:footnote w:id="6">
    <w:p w14:paraId="52F21612" w14:textId="5AA83E19" w:rsidR="00F63B13" w:rsidRDefault="00F63B13">
      <w:pPr>
        <w:pStyle w:val="FootnoteText"/>
      </w:pPr>
      <w:r w:rsidRPr="00F63B13">
        <w:rPr>
          <w:rStyle w:val="FootnoteReference"/>
          <w:rFonts w:asciiTheme="minorHAnsi" w:hAnsiTheme="minorHAnsi" w:cstheme="minorHAnsi"/>
          <w:sz w:val="16"/>
          <w:szCs w:val="16"/>
        </w:rPr>
        <w:footnoteRef/>
      </w:r>
      <w:r w:rsidRPr="00F63B13">
        <w:rPr>
          <w:rFonts w:asciiTheme="minorHAnsi" w:hAnsiTheme="minorHAnsi" w:cstheme="minorHAnsi"/>
          <w:sz w:val="16"/>
          <w:szCs w:val="16"/>
        </w:rPr>
        <w:t xml:space="preserve"> ibid</w:t>
      </w:r>
    </w:p>
  </w:footnote>
  <w:footnote w:id="7">
    <w:p w14:paraId="0B34F946" w14:textId="597A2BED" w:rsidR="007F7DCA" w:rsidRPr="007F7DCA" w:rsidRDefault="007F7DCA">
      <w:pPr>
        <w:pStyle w:val="FootnoteText"/>
        <w:rPr>
          <w:rFonts w:asciiTheme="minorHAnsi" w:hAnsiTheme="minorHAnsi" w:cstheme="minorHAnsi"/>
          <w:sz w:val="16"/>
          <w:szCs w:val="16"/>
        </w:rPr>
      </w:pPr>
      <w:r w:rsidRPr="007F7DCA">
        <w:rPr>
          <w:rStyle w:val="FootnoteReference"/>
          <w:rFonts w:asciiTheme="minorHAnsi" w:hAnsiTheme="minorHAnsi" w:cstheme="minorHAnsi"/>
          <w:sz w:val="16"/>
          <w:szCs w:val="16"/>
        </w:rPr>
        <w:footnoteRef/>
      </w:r>
      <w:r w:rsidRPr="007F7DCA">
        <w:rPr>
          <w:rFonts w:asciiTheme="minorHAnsi" w:hAnsiTheme="minorHAnsi" w:cstheme="minorHAnsi"/>
          <w:sz w:val="16"/>
          <w:szCs w:val="16"/>
        </w:rPr>
        <w:t xml:space="preserve"> Gettysburg History – The Creation of the Gettysburg National Military Park (n.d)</w:t>
      </w:r>
    </w:p>
    <w:p w14:paraId="3EF410B8" w14:textId="450C4425" w:rsidR="007F7DCA" w:rsidRPr="007F7DCA" w:rsidRDefault="007F7DCA">
      <w:pPr>
        <w:pStyle w:val="FootnoteText"/>
        <w:rPr>
          <w:rFonts w:asciiTheme="minorHAnsi" w:hAnsiTheme="minorHAnsi" w:cstheme="minorHAnsi"/>
          <w:sz w:val="16"/>
          <w:szCs w:val="16"/>
        </w:rPr>
      </w:pPr>
      <w:hyperlink r:id="rId6" w:history="1">
        <w:r w:rsidRPr="007F7DCA">
          <w:rPr>
            <w:rStyle w:val="Hyperlink"/>
            <w:rFonts w:asciiTheme="minorHAnsi" w:hAnsiTheme="minorHAnsi" w:cstheme="minorHAnsi"/>
            <w:sz w:val="16"/>
            <w:szCs w:val="16"/>
          </w:rPr>
          <w:t>https://gettysburghistory.org/creation-of-the-gettysburg-national-military-park/</w:t>
        </w:r>
      </w:hyperlink>
      <w:r w:rsidRPr="007F7DCA">
        <w:rPr>
          <w:rFonts w:asciiTheme="minorHAnsi" w:hAnsiTheme="minorHAnsi" w:cstheme="minorHAnsi"/>
          <w:sz w:val="16"/>
          <w:szCs w:val="16"/>
        </w:rPr>
        <w:t xml:space="preserve"> [accessed 01/03/26]</w:t>
      </w:r>
    </w:p>
  </w:footnote>
  <w:footnote w:id="8">
    <w:p w14:paraId="4339602D" w14:textId="0AB5CDE8" w:rsidR="007F7DCA" w:rsidRPr="007F7DCA" w:rsidRDefault="007F7DCA">
      <w:pPr>
        <w:pStyle w:val="FootnoteText"/>
        <w:rPr>
          <w:rFonts w:asciiTheme="minorHAnsi" w:hAnsiTheme="minorHAnsi" w:cstheme="minorHAnsi"/>
          <w:sz w:val="16"/>
          <w:szCs w:val="16"/>
        </w:rPr>
      </w:pPr>
      <w:r w:rsidRPr="007F7DCA">
        <w:rPr>
          <w:rStyle w:val="FootnoteReference"/>
          <w:rFonts w:asciiTheme="minorHAnsi" w:hAnsiTheme="minorHAnsi" w:cstheme="minorHAnsi"/>
          <w:sz w:val="16"/>
          <w:szCs w:val="16"/>
        </w:rPr>
        <w:footnoteRef/>
      </w:r>
      <w:r w:rsidRPr="007F7DCA">
        <w:rPr>
          <w:rFonts w:asciiTheme="minorHAnsi" w:hAnsiTheme="minorHAnsi" w:cstheme="minorHAnsi"/>
          <w:sz w:val="16"/>
          <w:szCs w:val="16"/>
        </w:rPr>
        <w:t xml:space="preserve"> ibid</w:t>
      </w:r>
    </w:p>
  </w:footnote>
  <w:footnote w:id="9">
    <w:p w14:paraId="5966CC7E" w14:textId="727D165F" w:rsidR="007F7DCA" w:rsidRPr="007F7DCA" w:rsidRDefault="007F7DCA">
      <w:pPr>
        <w:pStyle w:val="FootnoteText"/>
        <w:rPr>
          <w:rFonts w:asciiTheme="minorHAnsi" w:hAnsiTheme="minorHAnsi" w:cstheme="minorHAnsi"/>
          <w:sz w:val="16"/>
          <w:szCs w:val="16"/>
        </w:rPr>
      </w:pPr>
      <w:r w:rsidRPr="007F7DCA">
        <w:rPr>
          <w:rStyle w:val="FootnoteReference"/>
          <w:rFonts w:asciiTheme="minorHAnsi" w:hAnsiTheme="minorHAnsi" w:cstheme="minorHAnsi"/>
          <w:sz w:val="16"/>
          <w:szCs w:val="16"/>
        </w:rPr>
        <w:footnoteRef/>
      </w:r>
      <w:r w:rsidRPr="007F7DCA">
        <w:rPr>
          <w:rFonts w:asciiTheme="minorHAnsi" w:hAnsiTheme="minorHAnsi" w:cstheme="minorHAnsi"/>
          <w:sz w:val="16"/>
          <w:szCs w:val="16"/>
        </w:rPr>
        <w:t xml:space="preserve"> “”</w:t>
      </w:r>
    </w:p>
  </w:footnote>
  <w:footnote w:id="10">
    <w:p w14:paraId="04FB3868" w14:textId="7EC763E5" w:rsidR="007F7DCA" w:rsidRPr="007F7DCA" w:rsidRDefault="007F7DCA">
      <w:pPr>
        <w:pStyle w:val="FootnoteText"/>
        <w:rPr>
          <w:rFonts w:asciiTheme="minorHAnsi" w:hAnsiTheme="minorHAnsi" w:cstheme="minorHAnsi"/>
          <w:sz w:val="16"/>
          <w:szCs w:val="16"/>
        </w:rPr>
      </w:pPr>
      <w:r w:rsidRPr="007F7DCA">
        <w:rPr>
          <w:rStyle w:val="FootnoteReference"/>
          <w:rFonts w:asciiTheme="minorHAnsi" w:hAnsiTheme="minorHAnsi" w:cstheme="minorHAnsi"/>
          <w:sz w:val="16"/>
          <w:szCs w:val="16"/>
        </w:rPr>
        <w:footnoteRef/>
      </w:r>
      <w:r w:rsidRPr="007F7DCA">
        <w:rPr>
          <w:rFonts w:asciiTheme="minorHAnsi" w:hAnsiTheme="minorHAnsi" w:cstheme="minorHAnsi"/>
          <w:sz w:val="16"/>
          <w:szCs w:val="16"/>
        </w:rPr>
        <w:t xml:space="preserve"> Gettysburg Foundation, Little Round Top Rehabilitation (n.d)</w:t>
      </w:r>
    </w:p>
    <w:p w14:paraId="42503BEB" w14:textId="4888CDFB" w:rsidR="007F7DCA" w:rsidRDefault="007F7DCA">
      <w:pPr>
        <w:pStyle w:val="FootnoteText"/>
      </w:pPr>
      <w:hyperlink r:id="rId7" w:history="1">
        <w:r w:rsidRPr="007F7DCA">
          <w:rPr>
            <w:rStyle w:val="Hyperlink"/>
            <w:rFonts w:asciiTheme="minorHAnsi" w:hAnsiTheme="minorHAnsi" w:cstheme="minorHAnsi"/>
            <w:sz w:val="16"/>
            <w:szCs w:val="16"/>
          </w:rPr>
          <w:t>https://www.gettysburgfoundation.org/join-and-give/preservation-spotlight/little-round-top-rehabilitation</w:t>
        </w:r>
      </w:hyperlink>
      <w:r w:rsidRPr="007F7DCA">
        <w:rPr>
          <w:rFonts w:asciiTheme="minorHAnsi" w:hAnsiTheme="minorHAnsi" w:cstheme="minorHAnsi"/>
          <w:sz w:val="16"/>
          <w:szCs w:val="16"/>
        </w:rPr>
        <w:t xml:space="preserve"> [accessed 01/03/26]</w:t>
      </w:r>
    </w:p>
  </w:footnote>
  <w:footnote w:id="11">
    <w:p w14:paraId="2F2AFDCE" w14:textId="4A115D92" w:rsidR="007F7DCA" w:rsidRDefault="007F7DCA">
      <w:pPr>
        <w:pStyle w:val="FootnoteText"/>
        <w:rPr>
          <w:rFonts w:asciiTheme="minorHAnsi" w:hAnsiTheme="minorHAnsi" w:cstheme="minorHAnsi"/>
          <w:sz w:val="16"/>
          <w:szCs w:val="16"/>
        </w:rPr>
      </w:pPr>
      <w:r w:rsidRPr="007F7DCA">
        <w:rPr>
          <w:rStyle w:val="FootnoteReference"/>
          <w:rFonts w:asciiTheme="minorHAnsi" w:hAnsiTheme="minorHAnsi" w:cstheme="minorHAnsi"/>
          <w:sz w:val="16"/>
          <w:szCs w:val="16"/>
        </w:rPr>
        <w:footnoteRef/>
      </w:r>
      <w:r w:rsidRPr="007F7DCA">
        <w:rPr>
          <w:rFonts w:asciiTheme="minorHAnsi" w:hAnsiTheme="minorHAnsi" w:cstheme="minorHAnsi"/>
          <w:sz w:val="16"/>
          <w:szCs w:val="16"/>
        </w:rPr>
        <w:t xml:space="preserve"> </w:t>
      </w:r>
      <w:r>
        <w:rPr>
          <w:rFonts w:asciiTheme="minorHAnsi" w:hAnsiTheme="minorHAnsi" w:cstheme="minorHAnsi"/>
          <w:sz w:val="16"/>
          <w:szCs w:val="16"/>
        </w:rPr>
        <w:t>Vietnam War Memorial Fund – History of the Vietnam Veterans Memorial (n.d)</w:t>
      </w:r>
    </w:p>
    <w:p w14:paraId="173F8767" w14:textId="5A5E1276" w:rsidR="007F7DCA" w:rsidRPr="007F7DCA" w:rsidRDefault="007F7DCA">
      <w:pPr>
        <w:pStyle w:val="FootnoteText"/>
        <w:rPr>
          <w:rFonts w:asciiTheme="minorHAnsi" w:hAnsiTheme="minorHAnsi" w:cstheme="minorHAnsi"/>
          <w:sz w:val="16"/>
          <w:szCs w:val="16"/>
        </w:rPr>
      </w:pPr>
      <w:hyperlink r:id="rId8" w:history="1">
        <w:r w:rsidRPr="00BA0A11">
          <w:rPr>
            <w:rStyle w:val="Hyperlink"/>
            <w:rFonts w:asciiTheme="minorHAnsi" w:hAnsiTheme="minorHAnsi" w:cstheme="minorHAnsi"/>
            <w:sz w:val="16"/>
            <w:szCs w:val="16"/>
          </w:rPr>
          <w:t>https://www.vvmf.org/About-The-Wall/history-of-the-vietnam-veterans-memorial/</w:t>
        </w:r>
      </w:hyperlink>
      <w:r>
        <w:rPr>
          <w:rFonts w:asciiTheme="minorHAnsi" w:hAnsiTheme="minorHAnsi" w:cstheme="minorHAnsi"/>
          <w:sz w:val="16"/>
          <w:szCs w:val="16"/>
        </w:rPr>
        <w:t xml:space="preserve"> [accessed 01/03/26]</w:t>
      </w:r>
    </w:p>
  </w:footnote>
  <w:footnote w:id="12">
    <w:p w14:paraId="18345ECA" w14:textId="508E5279" w:rsidR="0034356F" w:rsidRPr="00815CC3" w:rsidRDefault="0034356F">
      <w:pPr>
        <w:pStyle w:val="FootnoteText"/>
        <w:rPr>
          <w:rFonts w:asciiTheme="minorHAnsi" w:hAnsiTheme="minorHAnsi" w:cstheme="minorHAnsi"/>
          <w:sz w:val="16"/>
          <w:szCs w:val="16"/>
        </w:rPr>
      </w:pPr>
      <w:r w:rsidRPr="00815CC3">
        <w:rPr>
          <w:rStyle w:val="FootnoteReference"/>
          <w:rFonts w:asciiTheme="minorHAnsi" w:hAnsiTheme="minorHAnsi" w:cstheme="minorHAnsi"/>
          <w:sz w:val="16"/>
          <w:szCs w:val="16"/>
        </w:rPr>
        <w:footnoteRef/>
      </w:r>
      <w:r w:rsidRPr="00815CC3">
        <w:rPr>
          <w:rFonts w:asciiTheme="minorHAnsi" w:hAnsiTheme="minorHAnsi" w:cstheme="minorHAnsi"/>
          <w:sz w:val="16"/>
          <w:szCs w:val="16"/>
        </w:rPr>
        <w:t xml:space="preserve"> Vietnam Veterans War Memorial Fund – Wall Facts (n.d)</w:t>
      </w:r>
    </w:p>
    <w:p w14:paraId="7EFED77A" w14:textId="6C614CFC" w:rsidR="0034356F" w:rsidRPr="00815CC3" w:rsidRDefault="0034356F">
      <w:pPr>
        <w:pStyle w:val="FootnoteText"/>
        <w:rPr>
          <w:rFonts w:asciiTheme="minorHAnsi" w:hAnsiTheme="minorHAnsi" w:cstheme="minorHAnsi"/>
          <w:sz w:val="16"/>
          <w:szCs w:val="16"/>
        </w:rPr>
      </w:pPr>
      <w:hyperlink r:id="rId9" w:history="1">
        <w:r w:rsidRPr="00815CC3">
          <w:rPr>
            <w:rStyle w:val="Hyperlink"/>
            <w:rFonts w:asciiTheme="minorHAnsi" w:hAnsiTheme="minorHAnsi" w:cstheme="minorHAnsi"/>
            <w:sz w:val="16"/>
            <w:szCs w:val="16"/>
          </w:rPr>
          <w:t>https://www.vvmf.org/About-The-Wall/</w:t>
        </w:r>
      </w:hyperlink>
      <w:r w:rsidRPr="00815CC3">
        <w:rPr>
          <w:rFonts w:asciiTheme="minorHAnsi" w:hAnsiTheme="minorHAnsi" w:cstheme="minorHAnsi"/>
          <w:sz w:val="16"/>
          <w:szCs w:val="16"/>
        </w:rPr>
        <w:t xml:space="preserve"> [accessed 01/03/26]</w:t>
      </w:r>
    </w:p>
  </w:footnote>
  <w:footnote w:id="13">
    <w:p w14:paraId="3110DFDE" w14:textId="7FBE1D91" w:rsidR="0034356F" w:rsidRPr="00815CC3" w:rsidRDefault="0034356F">
      <w:pPr>
        <w:pStyle w:val="FootnoteText"/>
        <w:rPr>
          <w:rFonts w:asciiTheme="minorHAnsi" w:hAnsiTheme="minorHAnsi" w:cstheme="minorHAnsi"/>
          <w:sz w:val="16"/>
          <w:szCs w:val="16"/>
        </w:rPr>
      </w:pPr>
      <w:r w:rsidRPr="00815CC3">
        <w:rPr>
          <w:rStyle w:val="FootnoteReference"/>
          <w:rFonts w:asciiTheme="minorHAnsi" w:hAnsiTheme="minorHAnsi" w:cstheme="minorHAnsi"/>
          <w:sz w:val="16"/>
          <w:szCs w:val="16"/>
        </w:rPr>
        <w:footnoteRef/>
      </w:r>
      <w:r w:rsidRPr="00815CC3">
        <w:rPr>
          <w:rFonts w:asciiTheme="minorHAnsi" w:hAnsiTheme="minorHAnsi" w:cstheme="minorHAnsi"/>
          <w:sz w:val="16"/>
          <w:szCs w:val="16"/>
        </w:rPr>
        <w:t xml:space="preserve"> Historic England – Highworth War Memorial (2016)</w:t>
      </w:r>
    </w:p>
    <w:p w14:paraId="3B813AF6" w14:textId="5A148615" w:rsidR="0034356F" w:rsidRPr="00815CC3" w:rsidRDefault="0034356F">
      <w:pPr>
        <w:pStyle w:val="FootnoteText"/>
        <w:rPr>
          <w:rFonts w:asciiTheme="minorHAnsi" w:hAnsiTheme="minorHAnsi" w:cstheme="minorHAnsi"/>
          <w:sz w:val="16"/>
          <w:szCs w:val="16"/>
        </w:rPr>
      </w:pPr>
      <w:hyperlink r:id="rId10" w:history="1">
        <w:r w:rsidRPr="00815CC3">
          <w:rPr>
            <w:rStyle w:val="Hyperlink"/>
            <w:rFonts w:asciiTheme="minorHAnsi" w:hAnsiTheme="minorHAnsi" w:cstheme="minorHAnsi"/>
            <w:sz w:val="16"/>
            <w:szCs w:val="16"/>
          </w:rPr>
          <w:t>https://historicengland.org.uk/listing/the-list/list-entry/1432880?section=official-list-entry</w:t>
        </w:r>
      </w:hyperlink>
      <w:r w:rsidRPr="00815CC3">
        <w:rPr>
          <w:rFonts w:asciiTheme="minorHAnsi" w:hAnsiTheme="minorHAnsi" w:cstheme="minorHAnsi"/>
          <w:sz w:val="16"/>
          <w:szCs w:val="16"/>
        </w:rPr>
        <w:t xml:space="preserve"> [accessed 01/03/26]</w:t>
      </w:r>
    </w:p>
  </w:footnote>
  <w:footnote w:id="14">
    <w:p w14:paraId="01A1EC17" w14:textId="4E6DCC3F" w:rsidR="00FA5358" w:rsidRPr="00815CC3" w:rsidRDefault="00FA5358">
      <w:pPr>
        <w:pStyle w:val="FootnoteText"/>
        <w:rPr>
          <w:rFonts w:asciiTheme="minorHAnsi" w:hAnsiTheme="minorHAnsi" w:cstheme="minorHAnsi"/>
          <w:sz w:val="16"/>
          <w:szCs w:val="16"/>
        </w:rPr>
      </w:pPr>
      <w:r w:rsidRPr="00815CC3">
        <w:rPr>
          <w:rStyle w:val="FootnoteReference"/>
          <w:rFonts w:asciiTheme="minorHAnsi" w:hAnsiTheme="minorHAnsi" w:cstheme="minorHAnsi"/>
          <w:sz w:val="16"/>
          <w:szCs w:val="16"/>
        </w:rPr>
        <w:footnoteRef/>
      </w:r>
      <w:r w:rsidRPr="00815CC3">
        <w:rPr>
          <w:rFonts w:asciiTheme="minorHAnsi" w:hAnsiTheme="minorHAnsi" w:cstheme="minorHAnsi"/>
          <w:sz w:val="16"/>
          <w:szCs w:val="16"/>
        </w:rPr>
        <w:t xml:space="preserve"> Guard Archaeology Limited – Finding the Battle of Bannockburn (n.d)</w:t>
      </w:r>
    </w:p>
    <w:p w14:paraId="65417064" w14:textId="75330C5F" w:rsidR="00FA5358" w:rsidRPr="00815CC3" w:rsidRDefault="00FA5358">
      <w:pPr>
        <w:pStyle w:val="FootnoteText"/>
        <w:rPr>
          <w:rFonts w:asciiTheme="minorHAnsi" w:hAnsiTheme="minorHAnsi" w:cstheme="minorHAnsi"/>
          <w:sz w:val="16"/>
          <w:szCs w:val="16"/>
        </w:rPr>
      </w:pPr>
      <w:hyperlink r:id="rId11" w:history="1">
        <w:r w:rsidRPr="00815CC3">
          <w:rPr>
            <w:rStyle w:val="Hyperlink"/>
            <w:rFonts w:asciiTheme="minorHAnsi" w:hAnsiTheme="minorHAnsi" w:cstheme="minorHAnsi"/>
            <w:sz w:val="16"/>
            <w:szCs w:val="16"/>
          </w:rPr>
          <w:t>https://www.guard-archaeology.co.uk/news/news15/BannockburnNews.html</w:t>
        </w:r>
      </w:hyperlink>
      <w:r w:rsidRPr="00815CC3">
        <w:rPr>
          <w:rFonts w:asciiTheme="minorHAnsi" w:hAnsiTheme="minorHAnsi" w:cstheme="minorHAnsi"/>
          <w:sz w:val="16"/>
          <w:szCs w:val="16"/>
        </w:rPr>
        <w:t xml:space="preserve"> [accessed 01/03/26]</w:t>
      </w:r>
    </w:p>
  </w:footnote>
  <w:footnote w:id="15">
    <w:p w14:paraId="165B38E4" w14:textId="16EB5FCD" w:rsidR="00815CC3" w:rsidRPr="00815CC3" w:rsidRDefault="00815CC3">
      <w:pPr>
        <w:pStyle w:val="FootnoteText"/>
        <w:rPr>
          <w:rFonts w:asciiTheme="minorHAnsi" w:hAnsiTheme="minorHAnsi" w:cstheme="minorHAnsi"/>
          <w:sz w:val="16"/>
          <w:szCs w:val="16"/>
        </w:rPr>
      </w:pPr>
      <w:r w:rsidRPr="00815CC3">
        <w:rPr>
          <w:rStyle w:val="FootnoteReference"/>
          <w:rFonts w:asciiTheme="minorHAnsi" w:hAnsiTheme="minorHAnsi" w:cstheme="minorHAnsi"/>
          <w:sz w:val="16"/>
          <w:szCs w:val="16"/>
        </w:rPr>
        <w:footnoteRef/>
      </w:r>
      <w:r w:rsidRPr="00815CC3">
        <w:rPr>
          <w:rFonts w:asciiTheme="minorHAnsi" w:hAnsiTheme="minorHAnsi" w:cstheme="minorHAnsi"/>
          <w:sz w:val="16"/>
          <w:szCs w:val="16"/>
        </w:rPr>
        <w:t xml:space="preserve"> Holocaust Museum Houston – Genocide in Bosnia (n.d)</w:t>
      </w:r>
    </w:p>
    <w:p w14:paraId="5EC6F577" w14:textId="45F8055A" w:rsidR="00815CC3" w:rsidRPr="00815CC3" w:rsidRDefault="00815CC3">
      <w:pPr>
        <w:pStyle w:val="FootnoteText"/>
        <w:rPr>
          <w:rFonts w:asciiTheme="minorHAnsi" w:hAnsiTheme="minorHAnsi" w:cstheme="minorHAnsi"/>
          <w:sz w:val="16"/>
          <w:szCs w:val="16"/>
        </w:rPr>
      </w:pPr>
      <w:hyperlink r:id="rId12" w:history="1">
        <w:r w:rsidRPr="00815CC3">
          <w:rPr>
            <w:rStyle w:val="Hyperlink"/>
            <w:rFonts w:asciiTheme="minorHAnsi" w:hAnsiTheme="minorHAnsi" w:cstheme="minorHAnsi"/>
            <w:sz w:val="16"/>
            <w:szCs w:val="16"/>
          </w:rPr>
          <w:t>https://hmh.org/library/research/genocide-in-bosnia-guide/</w:t>
        </w:r>
      </w:hyperlink>
      <w:r w:rsidRPr="00815CC3">
        <w:rPr>
          <w:rFonts w:asciiTheme="minorHAnsi" w:hAnsiTheme="minorHAnsi" w:cstheme="minorHAnsi"/>
          <w:sz w:val="16"/>
          <w:szCs w:val="16"/>
        </w:rPr>
        <w:t xml:space="preserve"> [accessed 01/03/26]</w:t>
      </w:r>
    </w:p>
  </w:footnote>
  <w:footnote w:id="16">
    <w:p w14:paraId="5D5A71A4" w14:textId="14456284" w:rsidR="00815CC3" w:rsidRPr="00815CC3" w:rsidRDefault="00815CC3">
      <w:pPr>
        <w:pStyle w:val="FootnoteText"/>
        <w:rPr>
          <w:rFonts w:asciiTheme="minorHAnsi" w:hAnsiTheme="minorHAnsi" w:cstheme="minorHAnsi"/>
          <w:sz w:val="16"/>
          <w:szCs w:val="16"/>
        </w:rPr>
      </w:pPr>
      <w:r w:rsidRPr="00815CC3">
        <w:rPr>
          <w:rStyle w:val="FootnoteReference"/>
          <w:rFonts w:asciiTheme="minorHAnsi" w:hAnsiTheme="minorHAnsi" w:cstheme="minorHAnsi"/>
          <w:sz w:val="16"/>
          <w:szCs w:val="16"/>
        </w:rPr>
        <w:footnoteRef/>
      </w:r>
      <w:r w:rsidRPr="00815CC3">
        <w:rPr>
          <w:rFonts w:asciiTheme="minorHAnsi" w:hAnsiTheme="minorHAnsi" w:cstheme="minorHAnsi"/>
          <w:sz w:val="16"/>
          <w:szCs w:val="16"/>
        </w:rPr>
        <w:t xml:space="preserve"> Remembering Srebrenica – Uncovering Mass Graves (2021)</w:t>
      </w:r>
    </w:p>
    <w:p w14:paraId="44E114CB" w14:textId="10977E8C" w:rsidR="00815CC3" w:rsidRDefault="00815CC3">
      <w:pPr>
        <w:pStyle w:val="FootnoteText"/>
      </w:pPr>
      <w:hyperlink r:id="rId13" w:history="1">
        <w:r w:rsidRPr="00815CC3">
          <w:rPr>
            <w:rStyle w:val="Hyperlink"/>
            <w:rFonts w:asciiTheme="minorHAnsi" w:hAnsiTheme="minorHAnsi" w:cstheme="minorHAnsi"/>
            <w:sz w:val="16"/>
            <w:szCs w:val="16"/>
          </w:rPr>
          <w:t>https://srebrenica.org.uk/what-happened/history/uncovering-mass-graves</w:t>
        </w:r>
      </w:hyperlink>
      <w:r w:rsidRPr="00815CC3">
        <w:rPr>
          <w:rFonts w:asciiTheme="minorHAnsi" w:hAnsiTheme="minorHAnsi" w:cstheme="minorHAnsi"/>
          <w:sz w:val="16"/>
          <w:szCs w:val="16"/>
        </w:rPr>
        <w:t xml:space="preserve"> [accessed 01/03/26]</w:t>
      </w:r>
    </w:p>
  </w:footnote>
  <w:footnote w:id="17">
    <w:p w14:paraId="24D37436" w14:textId="2FC8BA4D" w:rsidR="00014A2F" w:rsidRPr="00014A2F" w:rsidRDefault="00014A2F">
      <w:pPr>
        <w:pStyle w:val="FootnoteText"/>
        <w:rPr>
          <w:rFonts w:asciiTheme="minorHAnsi" w:hAnsiTheme="minorHAnsi" w:cstheme="minorHAnsi"/>
          <w:sz w:val="16"/>
          <w:szCs w:val="16"/>
        </w:rPr>
      </w:pPr>
      <w:r w:rsidRPr="00014A2F">
        <w:rPr>
          <w:rStyle w:val="FootnoteReference"/>
          <w:rFonts w:asciiTheme="minorHAnsi" w:hAnsiTheme="minorHAnsi" w:cstheme="minorHAnsi"/>
          <w:sz w:val="16"/>
          <w:szCs w:val="16"/>
        </w:rPr>
        <w:footnoteRef/>
      </w:r>
      <w:r w:rsidRPr="00014A2F">
        <w:rPr>
          <w:rFonts w:asciiTheme="minorHAnsi" w:hAnsiTheme="minorHAnsi" w:cstheme="minorHAnsi"/>
          <w:sz w:val="16"/>
          <w:szCs w:val="16"/>
        </w:rPr>
        <w:t xml:space="preserve"> United States Holocaust Memorial Museum – Bosnia and Herzegovina: Prosecuting the crime of Genocide (n.d)</w:t>
      </w:r>
    </w:p>
    <w:p w14:paraId="429FE15B" w14:textId="1A3C4F3C" w:rsidR="00014A2F" w:rsidRDefault="00014A2F">
      <w:pPr>
        <w:pStyle w:val="FootnoteText"/>
      </w:pPr>
      <w:hyperlink r:id="rId14" w:history="1">
        <w:r w:rsidRPr="00014A2F">
          <w:rPr>
            <w:rStyle w:val="Hyperlink"/>
            <w:rFonts w:asciiTheme="minorHAnsi" w:hAnsiTheme="minorHAnsi" w:cstheme="minorHAnsi"/>
            <w:sz w:val="16"/>
            <w:szCs w:val="16"/>
          </w:rPr>
          <w:t>https://www.ushmm.org/genocide-prevention/countries/bosnia-herzegovina/prosecuting-the-crime-of-genocide</w:t>
        </w:r>
      </w:hyperlink>
      <w:r w:rsidRPr="00014A2F">
        <w:rPr>
          <w:rFonts w:asciiTheme="minorHAnsi" w:hAnsiTheme="minorHAnsi" w:cstheme="minorHAnsi"/>
          <w:sz w:val="16"/>
          <w:szCs w:val="16"/>
        </w:rPr>
        <w:t xml:space="preserve"> [accessed 01/03/26]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 w15:restartNumberingAfterBreak="0">
    <w:nsid w:val="4ACA6E5A"/>
    <w:multiLevelType w:val="multilevel"/>
    <w:tmpl w:val="8DC42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482536"/>
    <w:multiLevelType w:val="multilevel"/>
    <w:tmpl w:val="A90E0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3CB41FE"/>
    <w:multiLevelType w:val="multilevel"/>
    <w:tmpl w:val="C07E2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620811">
    <w:abstractNumId w:val="0"/>
  </w:num>
  <w:num w:numId="2" w16cid:durableId="1816145764">
    <w:abstractNumId w:val="2"/>
  </w:num>
  <w:num w:numId="3" w16cid:durableId="74014240">
    <w:abstractNumId w:val="1"/>
  </w:num>
  <w:num w:numId="4" w16cid:durableId="17656093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46F"/>
    <w:rsid w:val="00005E89"/>
    <w:rsid w:val="00014A2F"/>
    <w:rsid w:val="00077E59"/>
    <w:rsid w:val="00165EF8"/>
    <w:rsid w:val="00166696"/>
    <w:rsid w:val="001D546F"/>
    <w:rsid w:val="0034356F"/>
    <w:rsid w:val="003B79C9"/>
    <w:rsid w:val="003F6FA2"/>
    <w:rsid w:val="0043074D"/>
    <w:rsid w:val="00565389"/>
    <w:rsid w:val="007F7DCA"/>
    <w:rsid w:val="00815CC3"/>
    <w:rsid w:val="008D60DE"/>
    <w:rsid w:val="009E2C87"/>
    <w:rsid w:val="00CA08DD"/>
    <w:rsid w:val="00CA6DDF"/>
    <w:rsid w:val="00D34E64"/>
    <w:rsid w:val="00E07E3B"/>
    <w:rsid w:val="00E4793C"/>
    <w:rsid w:val="00F221F2"/>
    <w:rsid w:val="00F63B13"/>
    <w:rsid w:val="00FA5358"/>
    <w:rsid w:val="00FB496C"/>
    <w:rsid w:val="00FE7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E9EDB8"/>
  <w15:chartTrackingRefBased/>
  <w15:docId w15:val="{9604E3AB-6E8B-C143-9A71-E5B7E57C5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B1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07E3B"/>
    <w:rPr>
      <w:sz w:val="20"/>
      <w:szCs w:val="20"/>
    </w:rPr>
  </w:style>
  <w:style w:type="character" w:customStyle="1" w:styleId="FootnoteTextChar">
    <w:name w:val="Footnote Text Char"/>
    <w:basedOn w:val="DefaultParagraphFont"/>
    <w:link w:val="FootnoteText"/>
    <w:uiPriority w:val="99"/>
    <w:rsid w:val="00E07E3B"/>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E07E3B"/>
    <w:rPr>
      <w:vertAlign w:val="superscript"/>
    </w:rPr>
  </w:style>
  <w:style w:type="character" w:styleId="Hyperlink">
    <w:name w:val="Hyperlink"/>
    <w:basedOn w:val="DefaultParagraphFont"/>
    <w:uiPriority w:val="99"/>
    <w:unhideWhenUsed/>
    <w:rsid w:val="00E07E3B"/>
    <w:rPr>
      <w:color w:val="0563C1" w:themeColor="hyperlink"/>
      <w:u w:val="single"/>
    </w:rPr>
  </w:style>
  <w:style w:type="character" w:styleId="UnresolvedMention">
    <w:name w:val="Unresolved Mention"/>
    <w:basedOn w:val="DefaultParagraphFont"/>
    <w:uiPriority w:val="99"/>
    <w:semiHidden/>
    <w:unhideWhenUsed/>
    <w:rsid w:val="00E07E3B"/>
    <w:rPr>
      <w:color w:val="605E5C"/>
      <w:shd w:val="clear" w:color="auto" w:fill="E1DFDD"/>
    </w:rPr>
  </w:style>
  <w:style w:type="character" w:styleId="FollowedHyperlink">
    <w:name w:val="FollowedHyperlink"/>
    <w:basedOn w:val="DefaultParagraphFont"/>
    <w:uiPriority w:val="99"/>
    <w:semiHidden/>
    <w:unhideWhenUsed/>
    <w:rsid w:val="009E2C87"/>
    <w:rPr>
      <w:color w:val="954F72" w:themeColor="followedHyperlink"/>
      <w:u w:val="single"/>
    </w:rPr>
  </w:style>
  <w:style w:type="paragraph" w:styleId="NormalWeb">
    <w:name w:val="Normal (Web)"/>
    <w:basedOn w:val="Normal"/>
    <w:uiPriority w:val="99"/>
    <w:unhideWhenUsed/>
    <w:rsid w:val="00F63B13"/>
    <w:pPr>
      <w:spacing w:before="100" w:beforeAutospacing="1" w:after="100" w:afterAutospacing="1"/>
    </w:pPr>
  </w:style>
  <w:style w:type="character" w:styleId="LineNumber">
    <w:name w:val="line number"/>
    <w:basedOn w:val="DefaultParagraphFont"/>
    <w:uiPriority w:val="99"/>
    <w:semiHidden/>
    <w:unhideWhenUsed/>
    <w:rsid w:val="003F6FA2"/>
  </w:style>
  <w:style w:type="character" w:styleId="Strong">
    <w:name w:val="Strong"/>
    <w:basedOn w:val="DefaultParagraphFont"/>
    <w:uiPriority w:val="22"/>
    <w:qFormat/>
    <w:rsid w:val="007F7DC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563961">
      <w:bodyDiv w:val="1"/>
      <w:marLeft w:val="0"/>
      <w:marRight w:val="0"/>
      <w:marTop w:val="0"/>
      <w:marBottom w:val="0"/>
      <w:divBdr>
        <w:top w:val="none" w:sz="0" w:space="0" w:color="auto"/>
        <w:left w:val="none" w:sz="0" w:space="0" w:color="auto"/>
        <w:bottom w:val="none" w:sz="0" w:space="0" w:color="auto"/>
        <w:right w:val="none" w:sz="0" w:space="0" w:color="auto"/>
      </w:divBdr>
    </w:div>
    <w:div w:id="528227452">
      <w:bodyDiv w:val="1"/>
      <w:marLeft w:val="0"/>
      <w:marRight w:val="0"/>
      <w:marTop w:val="0"/>
      <w:marBottom w:val="0"/>
      <w:divBdr>
        <w:top w:val="none" w:sz="0" w:space="0" w:color="auto"/>
        <w:left w:val="none" w:sz="0" w:space="0" w:color="auto"/>
        <w:bottom w:val="none" w:sz="0" w:space="0" w:color="auto"/>
        <w:right w:val="none" w:sz="0" w:space="0" w:color="auto"/>
      </w:divBdr>
    </w:div>
    <w:div w:id="1479881131">
      <w:bodyDiv w:val="1"/>
      <w:marLeft w:val="0"/>
      <w:marRight w:val="0"/>
      <w:marTop w:val="0"/>
      <w:marBottom w:val="0"/>
      <w:divBdr>
        <w:top w:val="none" w:sz="0" w:space="0" w:color="auto"/>
        <w:left w:val="none" w:sz="0" w:space="0" w:color="auto"/>
        <w:bottom w:val="none" w:sz="0" w:space="0" w:color="auto"/>
        <w:right w:val="none" w:sz="0" w:space="0" w:color="auto"/>
      </w:divBdr>
    </w:div>
    <w:div w:id="164908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gc.org/visit-us/find-cemeteries-memorials/cemetery-details/17600/bucquoy-road-cemetery-ficheux/" TargetMode="External"/><Relationship Id="rId13" Type="http://schemas.openxmlformats.org/officeDocument/2006/relationships/hyperlink" Target="https://historicengland.org.uk/listing/the-list/list-entry/1432880?section=official-list-entry" TargetMode="External"/><Relationship Id="rId18" Type="http://schemas.openxmlformats.org/officeDocument/2006/relationships/hyperlink" Target="https://www.trinder.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uard-archaeology.co.uk/news/news15/BannockburnNews.html" TargetMode="External"/><Relationship Id="rId17" Type="http://schemas.openxmlformats.org/officeDocument/2006/relationships/hyperlink" Target="https://www.cwgc.org/who-we-are/" TargetMode="External"/><Relationship Id="rId2" Type="http://schemas.openxmlformats.org/officeDocument/2006/relationships/numbering" Target="numbering.xml"/><Relationship Id="rId16" Type="http://schemas.openxmlformats.org/officeDocument/2006/relationships/hyperlink" Target="https://srebrenica.org.uk/what-happened/history/uncovering-mass-graves" TargetMode="External"/><Relationship Id="rId20" Type="http://schemas.openxmlformats.org/officeDocument/2006/relationships/hyperlink" Target="https://www.vvmf.org/About-The-Wall/history-of-the-vietnam-veterans-memori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ettysburghistory.org/creation-of-the-gettysburg-national-military-park/" TargetMode="External"/><Relationship Id="rId5" Type="http://schemas.openxmlformats.org/officeDocument/2006/relationships/webSettings" Target="webSettings.xml"/><Relationship Id="rId15" Type="http://schemas.openxmlformats.org/officeDocument/2006/relationships/hyperlink" Target="https://www.gov.uk/guidance/mod-war-detectives-the-joint-casualty-and-compassionate-centre-commemorations-team-what-we-do" TargetMode="External"/><Relationship Id="rId10" Type="http://schemas.openxmlformats.org/officeDocument/2006/relationships/hyperlink" Target="https://www.gettysburgfoundation.org/join-and-give/preservation-spotlight/little-round-top-rehabilitation" TargetMode="External"/><Relationship Id="rId19" Type="http://schemas.openxmlformats.org/officeDocument/2006/relationships/hyperlink" Target="https://www.vvmf.org/About-The-Wall/" TargetMode="External"/><Relationship Id="rId4" Type="http://schemas.openxmlformats.org/officeDocument/2006/relationships/settings" Target="settings.xml"/><Relationship Id="rId9" Type="http://schemas.openxmlformats.org/officeDocument/2006/relationships/hyperlink" Target="https://www.cwgc.org/find-records/find-war-dead/casualty-details/179647/k-trinder/" TargetMode="External"/><Relationship Id="rId14" Type="http://schemas.openxmlformats.org/officeDocument/2006/relationships/hyperlink" Target="https://hmh.org/library/research/genocide-in-bosnia-guide/"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vvmf.org/About-The-Wall/history-of-the-vietnam-veterans-memorial/" TargetMode="External"/><Relationship Id="rId13" Type="http://schemas.openxmlformats.org/officeDocument/2006/relationships/hyperlink" Target="https://srebrenica.org.uk/what-happened/history/uncovering-mass-graves" TargetMode="External"/><Relationship Id="rId3" Type="http://schemas.openxmlformats.org/officeDocument/2006/relationships/hyperlink" Target="https://www.cwgc.org/find-records/find-war-dead/casualty-details/179647/k-trinder/" TargetMode="External"/><Relationship Id="rId7" Type="http://schemas.openxmlformats.org/officeDocument/2006/relationships/hyperlink" Target="https://www.gettysburgfoundation.org/join-and-give/preservation-spotlight/little-round-top-rehabilitation" TargetMode="External"/><Relationship Id="rId12" Type="http://schemas.openxmlformats.org/officeDocument/2006/relationships/hyperlink" Target="https://hmh.org/library/research/genocide-in-bosnia-guide/" TargetMode="External"/><Relationship Id="rId2" Type="http://schemas.openxmlformats.org/officeDocument/2006/relationships/hyperlink" Target="https://www.trinder.org/" TargetMode="External"/><Relationship Id="rId1" Type="http://schemas.openxmlformats.org/officeDocument/2006/relationships/hyperlink" Target="https://www.cwgc.org/who-we-are/" TargetMode="External"/><Relationship Id="rId6" Type="http://schemas.openxmlformats.org/officeDocument/2006/relationships/hyperlink" Target="https://gettysburghistory.org/creation-of-the-gettysburg-national-military-park/" TargetMode="External"/><Relationship Id="rId11" Type="http://schemas.openxmlformats.org/officeDocument/2006/relationships/hyperlink" Target="https://www.guard-archaeology.co.uk/news/news15/BannockburnNews.html" TargetMode="External"/><Relationship Id="rId5" Type="http://schemas.openxmlformats.org/officeDocument/2006/relationships/hyperlink" Target="https://www.gov.uk/guidance/mod-war-detectives-the-joint-casualty-and-compassionate-centre-commemorations-team-what-we-do" TargetMode="External"/><Relationship Id="rId10" Type="http://schemas.openxmlformats.org/officeDocument/2006/relationships/hyperlink" Target="https://historicengland.org.uk/listing/the-list/list-entry/1432880?section=official-list-entry" TargetMode="External"/><Relationship Id="rId4" Type="http://schemas.openxmlformats.org/officeDocument/2006/relationships/hyperlink" Target="https://www.cwgc.org/visit-us/find-cemeteries-memorials/cemetery-details/17600/bucquoy-road-cemetery-ficheux/" TargetMode="External"/><Relationship Id="rId9" Type="http://schemas.openxmlformats.org/officeDocument/2006/relationships/hyperlink" Target="https://www.vvmf.org/About-The-Wall/" TargetMode="External"/><Relationship Id="rId14" Type="http://schemas.openxmlformats.org/officeDocument/2006/relationships/hyperlink" Target="https://www.ushmm.org/genocide-prevention/countries/bosnia-herzegovina/prosecuting-the-crime-of-genocide"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234E14-EF4F-2643-A55B-F4FE5CD5D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5</Pages>
  <Words>2932</Words>
  <Characters>16715</Characters>
  <Application>Microsoft Office Word</Application>
  <DocSecurity>0</DocSecurity>
  <Lines>139</Lines>
  <Paragraphs>39</Paragraphs>
  <ScaleCrop>false</ScaleCrop>
  <Company/>
  <LinksUpToDate>false</LinksUpToDate>
  <CharactersWithSpaces>19608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29</cp:revision>
  <dcterms:created xsi:type="dcterms:W3CDTF">2026-02-28T15:58:00Z</dcterms:created>
  <dcterms:modified xsi:type="dcterms:W3CDTF">2026-03-01T23:44:00Z</dcterms:modified>
</cp:coreProperties>
</file>