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FD6322" w14:textId="77777777" w:rsidR="00BD3DA7" w:rsidRDefault="00BD3DA7" w:rsidP="00BD3DA7">
      <w:pPr>
        <w:spacing w:line="360" w:lineRule="auto"/>
        <w:jc w:val="center"/>
        <w:rPr>
          <w:rFonts w:ascii="Times New Roman" w:eastAsia="Times New Roman" w:hAnsi="Times New Roman" w:cs="Times New Roman"/>
          <w:b/>
          <w:sz w:val="38"/>
          <w:szCs w:val="38"/>
        </w:rPr>
      </w:pPr>
    </w:p>
    <w:p w14:paraId="27D0E4FF" w14:textId="77777777" w:rsidR="00BD3DA7" w:rsidRDefault="00BD3DA7" w:rsidP="00BD3DA7">
      <w:pPr>
        <w:spacing w:line="360" w:lineRule="auto"/>
        <w:jc w:val="center"/>
        <w:rPr>
          <w:rFonts w:ascii="Times New Roman" w:eastAsia="Times New Roman" w:hAnsi="Times New Roman" w:cs="Times New Roman"/>
          <w:b/>
          <w:sz w:val="38"/>
          <w:szCs w:val="38"/>
        </w:rPr>
      </w:pPr>
    </w:p>
    <w:p w14:paraId="13EDD5B8" w14:textId="77777777" w:rsidR="00BD3DA7" w:rsidRDefault="00BD3DA7" w:rsidP="00BD3DA7">
      <w:pPr>
        <w:spacing w:line="360" w:lineRule="auto"/>
        <w:jc w:val="center"/>
        <w:rPr>
          <w:rFonts w:ascii="Times New Roman" w:eastAsia="Times New Roman" w:hAnsi="Times New Roman" w:cs="Times New Roman"/>
          <w:b/>
          <w:sz w:val="38"/>
          <w:szCs w:val="38"/>
        </w:rPr>
      </w:pPr>
    </w:p>
    <w:p w14:paraId="262CA779" w14:textId="77777777" w:rsidR="00BD3DA7" w:rsidRDefault="00BD3DA7" w:rsidP="00BD3DA7">
      <w:pPr>
        <w:spacing w:line="360" w:lineRule="auto"/>
        <w:jc w:val="center"/>
        <w:rPr>
          <w:rFonts w:ascii="Times New Roman" w:eastAsia="Times New Roman" w:hAnsi="Times New Roman" w:cs="Times New Roman"/>
          <w:b/>
          <w:sz w:val="38"/>
          <w:szCs w:val="38"/>
        </w:rPr>
      </w:pPr>
    </w:p>
    <w:p w14:paraId="1A218634" w14:textId="77777777" w:rsidR="00BD3DA7" w:rsidRDefault="00BD3DA7" w:rsidP="00BD3DA7">
      <w:pPr>
        <w:spacing w:line="360" w:lineRule="auto"/>
        <w:jc w:val="center"/>
        <w:rPr>
          <w:rFonts w:ascii="Times New Roman" w:eastAsia="Times New Roman" w:hAnsi="Times New Roman" w:cs="Times New Roman"/>
          <w:b/>
          <w:sz w:val="38"/>
          <w:szCs w:val="38"/>
        </w:rPr>
      </w:pPr>
    </w:p>
    <w:p w14:paraId="13264A0B" w14:textId="37F90D1E" w:rsidR="00215F15" w:rsidRDefault="00BD3DA7" w:rsidP="00BD3DA7">
      <w:pPr>
        <w:spacing w:line="360" w:lineRule="auto"/>
        <w:jc w:val="center"/>
        <w:rPr>
          <w:rFonts w:ascii="Times New Roman" w:eastAsia="Times New Roman" w:hAnsi="Times New Roman" w:cs="Times New Roman"/>
          <w:b/>
          <w:sz w:val="32"/>
          <w:szCs w:val="32"/>
        </w:rPr>
      </w:pPr>
      <w:r w:rsidRPr="00BD3DA7">
        <w:rPr>
          <w:rFonts w:ascii="Times New Roman" w:eastAsia="Times New Roman" w:hAnsi="Times New Roman" w:cs="Times New Roman"/>
          <w:b/>
          <w:sz w:val="32"/>
          <w:szCs w:val="32"/>
        </w:rPr>
        <w:t>BUSINESS REPORT COMPARISON OF TWO HOSPITALITY ORGANISATIONS</w:t>
      </w:r>
    </w:p>
    <w:p w14:paraId="6878FA48" w14:textId="042699D1" w:rsidR="003D6D57" w:rsidRDefault="003D6D57" w:rsidP="00BD3DA7">
      <w:pPr>
        <w:spacing w:line="360" w:lineRule="auto"/>
        <w:jc w:val="center"/>
        <w:rPr>
          <w:rFonts w:ascii="Times New Roman" w:eastAsia="Times New Roman" w:hAnsi="Times New Roman" w:cs="Times New Roman"/>
          <w:b/>
          <w:sz w:val="32"/>
          <w:szCs w:val="32"/>
        </w:rPr>
      </w:pPr>
    </w:p>
    <w:p w14:paraId="57E78B7D" w14:textId="68DF2CD3" w:rsidR="003D6D57" w:rsidRDefault="003D6D57" w:rsidP="00BD3DA7">
      <w:pPr>
        <w:spacing w:line="360" w:lineRule="auto"/>
        <w:jc w:val="center"/>
        <w:rPr>
          <w:rFonts w:ascii="Times New Roman" w:eastAsia="Times New Roman" w:hAnsi="Times New Roman" w:cs="Times New Roman"/>
          <w:b/>
          <w:sz w:val="32"/>
          <w:szCs w:val="32"/>
        </w:rPr>
      </w:pPr>
    </w:p>
    <w:p w14:paraId="54C78281" w14:textId="04E65F44" w:rsidR="003D6D57" w:rsidRDefault="003D6D57" w:rsidP="00BD3DA7">
      <w:pPr>
        <w:spacing w:line="360" w:lineRule="auto"/>
        <w:jc w:val="center"/>
        <w:rPr>
          <w:rFonts w:ascii="Times New Roman" w:eastAsia="Times New Roman" w:hAnsi="Times New Roman" w:cs="Times New Roman"/>
          <w:b/>
          <w:sz w:val="32"/>
          <w:szCs w:val="32"/>
        </w:rPr>
      </w:pPr>
    </w:p>
    <w:p w14:paraId="14E1635C" w14:textId="25AD87FB" w:rsidR="003D6D57" w:rsidRDefault="003D6D57" w:rsidP="00BD3DA7">
      <w:pPr>
        <w:spacing w:line="360" w:lineRule="auto"/>
        <w:jc w:val="center"/>
        <w:rPr>
          <w:rFonts w:ascii="Times New Roman" w:eastAsia="Times New Roman" w:hAnsi="Times New Roman" w:cs="Times New Roman"/>
          <w:b/>
          <w:sz w:val="32"/>
          <w:szCs w:val="32"/>
        </w:rPr>
      </w:pPr>
    </w:p>
    <w:p w14:paraId="0D466D92" w14:textId="61E63528" w:rsidR="003D6D57" w:rsidRDefault="003D6D57" w:rsidP="00BD3DA7">
      <w:pPr>
        <w:spacing w:line="360" w:lineRule="auto"/>
        <w:jc w:val="center"/>
        <w:rPr>
          <w:rFonts w:ascii="Times New Roman" w:eastAsia="Times New Roman" w:hAnsi="Times New Roman" w:cs="Times New Roman"/>
          <w:b/>
          <w:sz w:val="32"/>
          <w:szCs w:val="32"/>
        </w:rPr>
      </w:pPr>
    </w:p>
    <w:p w14:paraId="5792256F" w14:textId="1CB2EE5D" w:rsidR="003D6D57" w:rsidRDefault="003D6D57" w:rsidP="00BD3DA7">
      <w:pPr>
        <w:spacing w:line="360" w:lineRule="auto"/>
        <w:jc w:val="center"/>
        <w:rPr>
          <w:rFonts w:ascii="Times New Roman" w:eastAsia="Times New Roman" w:hAnsi="Times New Roman" w:cs="Times New Roman"/>
          <w:b/>
          <w:sz w:val="32"/>
          <w:szCs w:val="32"/>
        </w:rPr>
      </w:pPr>
    </w:p>
    <w:p w14:paraId="176F33DD" w14:textId="2025631A" w:rsidR="003D6D57" w:rsidRDefault="003D6D57" w:rsidP="00BD3DA7">
      <w:pPr>
        <w:spacing w:line="360" w:lineRule="auto"/>
        <w:jc w:val="center"/>
        <w:rPr>
          <w:rFonts w:ascii="Times New Roman" w:eastAsia="Times New Roman" w:hAnsi="Times New Roman" w:cs="Times New Roman"/>
          <w:b/>
          <w:sz w:val="32"/>
          <w:szCs w:val="32"/>
        </w:rPr>
      </w:pPr>
    </w:p>
    <w:p w14:paraId="5557B0AA" w14:textId="202149E5" w:rsidR="003D6D57" w:rsidRDefault="003D6D57" w:rsidP="00BD3DA7">
      <w:pPr>
        <w:spacing w:line="360" w:lineRule="auto"/>
        <w:jc w:val="center"/>
        <w:rPr>
          <w:rFonts w:ascii="Times New Roman" w:eastAsia="Times New Roman" w:hAnsi="Times New Roman" w:cs="Times New Roman"/>
          <w:b/>
          <w:sz w:val="32"/>
          <w:szCs w:val="32"/>
        </w:rPr>
      </w:pPr>
    </w:p>
    <w:p w14:paraId="13BA26A1" w14:textId="77777777" w:rsidR="00E14574" w:rsidRDefault="00E14574" w:rsidP="00E14574">
      <w:pPr>
        <w:spacing w:line="360" w:lineRule="auto"/>
        <w:rPr>
          <w:rFonts w:ascii="Times New Roman" w:eastAsia="Times New Roman" w:hAnsi="Times New Roman" w:cs="Times New Roman"/>
          <w:b/>
          <w:sz w:val="32"/>
          <w:szCs w:val="32"/>
        </w:rPr>
      </w:pPr>
    </w:p>
    <w:p w14:paraId="2CD62D83" w14:textId="77777777" w:rsidR="00E14574" w:rsidRDefault="00E14574" w:rsidP="00E14574">
      <w:pPr>
        <w:spacing w:line="360" w:lineRule="auto"/>
        <w:rPr>
          <w:rFonts w:ascii="Times New Roman" w:eastAsia="Times New Roman" w:hAnsi="Times New Roman" w:cs="Times New Roman"/>
          <w:b/>
          <w:sz w:val="32"/>
          <w:szCs w:val="32"/>
        </w:rPr>
      </w:pPr>
    </w:p>
    <w:p w14:paraId="381C8B64" w14:textId="42B4CAD5" w:rsidR="003D6D57" w:rsidRDefault="003D6D57" w:rsidP="00E14574">
      <w:pPr>
        <w:spacing w:line="360" w:lineRule="auto"/>
        <w:rPr>
          <w:rFonts w:ascii="Times New Roman" w:eastAsia="Times New Roman" w:hAnsi="Times New Roman" w:cs="Times New Roman"/>
          <w:b/>
          <w:sz w:val="32"/>
          <w:szCs w:val="32"/>
        </w:rPr>
      </w:pPr>
      <w:bookmarkStart w:id="0" w:name="_GoBack"/>
      <w:bookmarkEnd w:id="0"/>
      <w:r>
        <w:rPr>
          <w:rFonts w:ascii="Times New Roman" w:eastAsia="Times New Roman" w:hAnsi="Times New Roman" w:cs="Times New Roman"/>
          <w:b/>
          <w:sz w:val="32"/>
          <w:szCs w:val="32"/>
        </w:rPr>
        <w:t xml:space="preserve">Student </w:t>
      </w:r>
      <w:r w:rsidR="00E14574">
        <w:rPr>
          <w:rFonts w:ascii="Times New Roman" w:eastAsia="Times New Roman" w:hAnsi="Times New Roman" w:cs="Times New Roman"/>
          <w:b/>
          <w:sz w:val="32"/>
          <w:szCs w:val="32"/>
        </w:rPr>
        <w:t>Name:</w:t>
      </w:r>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Ancuta</w:t>
      </w:r>
      <w:proofErr w:type="spellEnd"/>
      <w:r>
        <w:rPr>
          <w:rFonts w:ascii="Times New Roman" w:eastAsia="Times New Roman" w:hAnsi="Times New Roman" w:cs="Times New Roman"/>
          <w:b/>
          <w:sz w:val="32"/>
          <w:szCs w:val="32"/>
        </w:rPr>
        <w:t xml:space="preserve"> Mariana Racovita</w:t>
      </w:r>
    </w:p>
    <w:p w14:paraId="4E9E2B9F" w14:textId="3EDCF196" w:rsidR="003D6D57" w:rsidRDefault="003D6D57" w:rsidP="00E1457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w:t>
      </w:r>
      <w:r w:rsidR="00E14574">
        <w:rPr>
          <w:rFonts w:ascii="Times New Roman" w:eastAsia="Times New Roman" w:hAnsi="Times New Roman" w:cs="Times New Roman"/>
          <w:b/>
          <w:sz w:val="32"/>
          <w:szCs w:val="32"/>
        </w:rPr>
        <w:t>Name:</w:t>
      </w:r>
      <w:r>
        <w:rPr>
          <w:rFonts w:ascii="Times New Roman" w:eastAsia="Times New Roman" w:hAnsi="Times New Roman" w:cs="Times New Roman"/>
          <w:b/>
          <w:sz w:val="32"/>
          <w:szCs w:val="32"/>
        </w:rPr>
        <w:t xml:space="preserve"> Financial Management </w:t>
      </w:r>
      <w:r w:rsidR="00E14574">
        <w:rPr>
          <w:rFonts w:ascii="Times New Roman" w:eastAsia="Times New Roman" w:hAnsi="Times New Roman" w:cs="Times New Roman"/>
          <w:b/>
          <w:sz w:val="32"/>
          <w:szCs w:val="32"/>
        </w:rPr>
        <w:t>for</w:t>
      </w:r>
      <w:r>
        <w:rPr>
          <w:rFonts w:ascii="Times New Roman" w:eastAsia="Times New Roman" w:hAnsi="Times New Roman" w:cs="Times New Roman"/>
          <w:b/>
          <w:sz w:val="32"/>
          <w:szCs w:val="32"/>
        </w:rPr>
        <w:t xml:space="preserve"> The Hotel Industry BMIH</w:t>
      </w:r>
      <w:r w:rsidR="00E14574">
        <w:rPr>
          <w:rFonts w:ascii="Times New Roman" w:eastAsia="Times New Roman" w:hAnsi="Times New Roman" w:cs="Times New Roman"/>
          <w:b/>
          <w:sz w:val="32"/>
          <w:szCs w:val="32"/>
        </w:rPr>
        <w:t>5007, BMIH</w:t>
      </w:r>
      <w:r>
        <w:rPr>
          <w:rFonts w:ascii="Times New Roman" w:eastAsia="Times New Roman" w:hAnsi="Times New Roman" w:cs="Times New Roman"/>
          <w:b/>
          <w:sz w:val="32"/>
          <w:szCs w:val="32"/>
        </w:rPr>
        <w:t>5002</w:t>
      </w:r>
    </w:p>
    <w:p w14:paraId="1D962208" w14:textId="364E6585" w:rsidR="00E14574" w:rsidRDefault="00E14574" w:rsidP="00E1457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Lecturer: Tristan Hawkins</w:t>
      </w:r>
    </w:p>
    <w:p w14:paraId="6429081B" w14:textId="77777777" w:rsidR="003D6D57" w:rsidRPr="00BD3DA7" w:rsidRDefault="003D6D57" w:rsidP="003D6D57">
      <w:pPr>
        <w:spacing w:line="360" w:lineRule="auto"/>
        <w:jc w:val="center"/>
        <w:rPr>
          <w:rFonts w:ascii="Times New Roman" w:eastAsia="Times New Roman" w:hAnsi="Times New Roman" w:cs="Times New Roman"/>
          <w:b/>
          <w:sz w:val="32"/>
          <w:szCs w:val="32"/>
        </w:rPr>
      </w:pPr>
    </w:p>
    <w:p w14:paraId="3EF3309C" w14:textId="43E97547" w:rsidR="00215F15" w:rsidRDefault="004D2AC9" w:rsidP="00BD3DA7">
      <w:pPr>
        <w:spacing w:line="360" w:lineRule="auto"/>
        <w:jc w:val="both"/>
      </w:pPr>
      <w:r>
        <w:br w:type="page"/>
      </w:r>
    </w:p>
    <w:p w14:paraId="6E44F184" w14:textId="77777777" w:rsidR="003D6D57" w:rsidRDefault="003D6D57" w:rsidP="00BD3DA7">
      <w:pPr>
        <w:spacing w:line="360" w:lineRule="auto"/>
        <w:jc w:val="both"/>
        <w:rPr>
          <w:rFonts w:ascii="Times New Roman" w:eastAsia="Times New Roman" w:hAnsi="Times New Roman" w:cs="Times New Roman"/>
          <w:b/>
          <w:sz w:val="24"/>
          <w:szCs w:val="24"/>
        </w:rPr>
      </w:pPr>
    </w:p>
    <w:p w14:paraId="129C9562" w14:textId="77777777" w:rsidR="00215F15" w:rsidRDefault="004D2AC9" w:rsidP="00BD3DA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Executive Summary</w:t>
      </w:r>
    </w:p>
    <w:p w14:paraId="1C1B99BC" w14:textId="77777777" w:rsidR="00215F15" w:rsidRDefault="004D2AC9" w:rsidP="00BD3D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discusses the total revenue, market positions, growth potential, and financial commitment to CSR for the development of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and Ibis Hotels. This report is a complete analysis and comparison of two brands in the industry,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Resorts International and Ibis which are very successful players in their market. The first is to get deeper into their financial strategies by looking at the key areas that enhance how they perform and sustain themselves. Using a detailed analysis, this report seeks to reveal unique approaches used by each hotel chain and the factors such as patterns in investments previously mentioned; ways of generating revenues, controlling costs, and general financial capacity. In doing so, the report aims to provide observations into these financial dimensions of the organizations as well as share further understanding of such competitiveness in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and Ibis nature within heightened empowerment with the hospitality sector.</w:t>
      </w:r>
    </w:p>
    <w:p w14:paraId="69E57F8F" w14:textId="77777777" w:rsidR="00215F15" w:rsidRDefault="00215F15" w:rsidP="00BD3DA7">
      <w:pPr>
        <w:spacing w:line="360" w:lineRule="auto"/>
        <w:jc w:val="both"/>
        <w:rPr>
          <w:rFonts w:ascii="Times New Roman" w:eastAsia="Times New Roman" w:hAnsi="Times New Roman" w:cs="Times New Roman"/>
          <w:sz w:val="24"/>
          <w:szCs w:val="24"/>
        </w:rPr>
      </w:pPr>
    </w:p>
    <w:p w14:paraId="245B8EFB" w14:textId="77777777" w:rsidR="00215F15" w:rsidRDefault="004D2AC9" w:rsidP="00BD3DA7">
      <w:pPr>
        <w:spacing w:line="360" w:lineRule="auto"/>
        <w:jc w:val="both"/>
        <w:rPr>
          <w:rFonts w:ascii="Times New Roman" w:eastAsia="Times New Roman" w:hAnsi="Times New Roman" w:cs="Times New Roman"/>
          <w:b/>
          <w:sz w:val="24"/>
          <w:szCs w:val="24"/>
        </w:rPr>
      </w:pPr>
      <w:r>
        <w:br w:type="page"/>
      </w:r>
    </w:p>
    <w:sdt>
      <w:sdtPr>
        <w:rPr>
          <w:rFonts w:ascii="Arial" w:eastAsia="Arial" w:hAnsi="Arial" w:cs="Arial"/>
          <w:color w:val="auto"/>
          <w:sz w:val="22"/>
          <w:szCs w:val="22"/>
          <w:lang w:val="en" w:eastAsia="en-GB"/>
        </w:rPr>
        <w:id w:val="-1234241623"/>
        <w:docPartObj>
          <w:docPartGallery w:val="Table of Contents"/>
          <w:docPartUnique/>
        </w:docPartObj>
      </w:sdtPr>
      <w:sdtEndPr>
        <w:rPr>
          <w:b/>
          <w:bCs/>
          <w:noProof/>
        </w:rPr>
      </w:sdtEndPr>
      <w:sdtContent>
        <w:p w14:paraId="6788FA97" w14:textId="77777777" w:rsidR="00E159C5" w:rsidRPr="00E159C5" w:rsidRDefault="00E159C5" w:rsidP="00BD3DA7">
          <w:pPr>
            <w:pStyle w:val="TOCHeading"/>
            <w:spacing w:line="360" w:lineRule="auto"/>
            <w:jc w:val="center"/>
            <w:rPr>
              <w:rFonts w:ascii="Times New Roman" w:hAnsi="Times New Roman" w:cs="Times New Roman"/>
            </w:rPr>
          </w:pPr>
          <w:r w:rsidRPr="00E159C5">
            <w:rPr>
              <w:rFonts w:ascii="Times New Roman" w:hAnsi="Times New Roman" w:cs="Times New Roman"/>
            </w:rPr>
            <w:t>Table of Contents</w:t>
          </w:r>
        </w:p>
        <w:p w14:paraId="0D0250AB" w14:textId="77777777" w:rsidR="00E159C5" w:rsidRPr="00E159C5" w:rsidRDefault="00E159C5" w:rsidP="00BD3DA7">
          <w:pPr>
            <w:pStyle w:val="TOC1"/>
            <w:tabs>
              <w:tab w:val="right" w:leader="dot" w:pos="9350"/>
            </w:tabs>
            <w:spacing w:line="360" w:lineRule="auto"/>
            <w:jc w:val="center"/>
            <w:rPr>
              <w:rFonts w:ascii="Times New Roman" w:hAnsi="Times New Roman" w:cs="Times New Roman"/>
              <w:noProof/>
            </w:rPr>
          </w:pPr>
          <w:r w:rsidRPr="00E159C5">
            <w:rPr>
              <w:rFonts w:ascii="Times New Roman" w:hAnsi="Times New Roman" w:cs="Times New Roman"/>
              <w:b/>
              <w:bCs/>
              <w:noProof/>
            </w:rPr>
            <w:fldChar w:fldCharType="begin"/>
          </w:r>
          <w:r w:rsidRPr="00E159C5">
            <w:rPr>
              <w:rFonts w:ascii="Times New Roman" w:hAnsi="Times New Roman" w:cs="Times New Roman"/>
              <w:b/>
              <w:bCs/>
              <w:noProof/>
            </w:rPr>
            <w:instrText xml:space="preserve"> TOC \o "1-3" \h \z \u </w:instrText>
          </w:r>
          <w:r w:rsidRPr="00E159C5">
            <w:rPr>
              <w:rFonts w:ascii="Times New Roman" w:hAnsi="Times New Roman" w:cs="Times New Roman"/>
              <w:b/>
              <w:bCs/>
              <w:noProof/>
            </w:rPr>
            <w:fldChar w:fldCharType="separate"/>
          </w:r>
          <w:hyperlink w:anchor="_Toc156930074" w:history="1">
            <w:r w:rsidRPr="00E159C5">
              <w:rPr>
                <w:rStyle w:val="Hyperlink"/>
                <w:rFonts w:ascii="Times New Roman" w:hAnsi="Times New Roman" w:cs="Times New Roman"/>
                <w:noProof/>
              </w:rPr>
              <w:t>Introduction</w:t>
            </w:r>
            <w:r w:rsidRPr="00E159C5">
              <w:rPr>
                <w:rFonts w:ascii="Times New Roman" w:hAnsi="Times New Roman" w:cs="Times New Roman"/>
                <w:noProof/>
                <w:webHidden/>
              </w:rPr>
              <w:tab/>
            </w:r>
            <w:r w:rsidRPr="00E159C5">
              <w:rPr>
                <w:rFonts w:ascii="Times New Roman" w:hAnsi="Times New Roman" w:cs="Times New Roman"/>
                <w:noProof/>
                <w:webHidden/>
              </w:rPr>
              <w:fldChar w:fldCharType="begin"/>
            </w:r>
            <w:r w:rsidRPr="00E159C5">
              <w:rPr>
                <w:rFonts w:ascii="Times New Roman" w:hAnsi="Times New Roman" w:cs="Times New Roman"/>
                <w:noProof/>
                <w:webHidden/>
              </w:rPr>
              <w:instrText xml:space="preserve"> PAGEREF _Toc156930074 \h </w:instrText>
            </w:r>
            <w:r w:rsidRPr="00E159C5">
              <w:rPr>
                <w:rFonts w:ascii="Times New Roman" w:hAnsi="Times New Roman" w:cs="Times New Roman"/>
                <w:noProof/>
                <w:webHidden/>
              </w:rPr>
            </w:r>
            <w:r w:rsidRPr="00E159C5">
              <w:rPr>
                <w:rFonts w:ascii="Times New Roman" w:hAnsi="Times New Roman" w:cs="Times New Roman"/>
                <w:noProof/>
                <w:webHidden/>
              </w:rPr>
              <w:fldChar w:fldCharType="separate"/>
            </w:r>
            <w:r w:rsidRPr="00E159C5">
              <w:rPr>
                <w:rFonts w:ascii="Times New Roman" w:hAnsi="Times New Roman" w:cs="Times New Roman"/>
                <w:noProof/>
                <w:webHidden/>
              </w:rPr>
              <w:t>4</w:t>
            </w:r>
            <w:r w:rsidRPr="00E159C5">
              <w:rPr>
                <w:rFonts w:ascii="Times New Roman" w:hAnsi="Times New Roman" w:cs="Times New Roman"/>
                <w:noProof/>
                <w:webHidden/>
              </w:rPr>
              <w:fldChar w:fldCharType="end"/>
            </w:r>
          </w:hyperlink>
        </w:p>
        <w:p w14:paraId="2CDD737C" w14:textId="77777777" w:rsidR="00E159C5" w:rsidRPr="00E159C5" w:rsidRDefault="00F4488F" w:rsidP="00BD3DA7">
          <w:pPr>
            <w:pStyle w:val="TOC1"/>
            <w:tabs>
              <w:tab w:val="right" w:leader="dot" w:pos="9350"/>
            </w:tabs>
            <w:spacing w:line="360" w:lineRule="auto"/>
            <w:jc w:val="center"/>
            <w:rPr>
              <w:rFonts w:ascii="Times New Roman" w:hAnsi="Times New Roman" w:cs="Times New Roman"/>
              <w:noProof/>
            </w:rPr>
          </w:pPr>
          <w:hyperlink w:anchor="_Toc156930075" w:history="1">
            <w:r w:rsidR="00E159C5" w:rsidRPr="00E159C5">
              <w:rPr>
                <w:rStyle w:val="Hyperlink"/>
                <w:rFonts w:ascii="Times New Roman" w:hAnsi="Times New Roman" w:cs="Times New Roman"/>
                <w:noProof/>
              </w:rPr>
              <w:t>Total Revenue</w:t>
            </w:r>
            <w:r w:rsidR="00E159C5" w:rsidRPr="00E159C5">
              <w:rPr>
                <w:rFonts w:ascii="Times New Roman" w:hAnsi="Times New Roman" w:cs="Times New Roman"/>
                <w:noProof/>
                <w:webHidden/>
              </w:rPr>
              <w:tab/>
            </w:r>
            <w:r w:rsidR="00E159C5" w:rsidRPr="00E159C5">
              <w:rPr>
                <w:rFonts w:ascii="Times New Roman" w:hAnsi="Times New Roman" w:cs="Times New Roman"/>
                <w:noProof/>
                <w:webHidden/>
              </w:rPr>
              <w:fldChar w:fldCharType="begin"/>
            </w:r>
            <w:r w:rsidR="00E159C5" w:rsidRPr="00E159C5">
              <w:rPr>
                <w:rFonts w:ascii="Times New Roman" w:hAnsi="Times New Roman" w:cs="Times New Roman"/>
                <w:noProof/>
                <w:webHidden/>
              </w:rPr>
              <w:instrText xml:space="preserve"> PAGEREF _Toc156930075 \h </w:instrText>
            </w:r>
            <w:r w:rsidR="00E159C5" w:rsidRPr="00E159C5">
              <w:rPr>
                <w:rFonts w:ascii="Times New Roman" w:hAnsi="Times New Roman" w:cs="Times New Roman"/>
                <w:noProof/>
                <w:webHidden/>
              </w:rPr>
            </w:r>
            <w:r w:rsidR="00E159C5" w:rsidRPr="00E159C5">
              <w:rPr>
                <w:rFonts w:ascii="Times New Roman" w:hAnsi="Times New Roman" w:cs="Times New Roman"/>
                <w:noProof/>
                <w:webHidden/>
              </w:rPr>
              <w:fldChar w:fldCharType="separate"/>
            </w:r>
            <w:r w:rsidR="00E159C5" w:rsidRPr="00E159C5">
              <w:rPr>
                <w:rFonts w:ascii="Times New Roman" w:hAnsi="Times New Roman" w:cs="Times New Roman"/>
                <w:noProof/>
                <w:webHidden/>
              </w:rPr>
              <w:t>4</w:t>
            </w:r>
            <w:r w:rsidR="00E159C5" w:rsidRPr="00E159C5">
              <w:rPr>
                <w:rFonts w:ascii="Times New Roman" w:hAnsi="Times New Roman" w:cs="Times New Roman"/>
                <w:noProof/>
                <w:webHidden/>
              </w:rPr>
              <w:fldChar w:fldCharType="end"/>
            </w:r>
          </w:hyperlink>
        </w:p>
        <w:p w14:paraId="46A41AD6" w14:textId="77777777" w:rsidR="00E159C5" w:rsidRPr="00E159C5" w:rsidRDefault="00F4488F" w:rsidP="00BD3DA7">
          <w:pPr>
            <w:pStyle w:val="TOC1"/>
            <w:tabs>
              <w:tab w:val="right" w:leader="dot" w:pos="9350"/>
            </w:tabs>
            <w:spacing w:line="360" w:lineRule="auto"/>
            <w:jc w:val="center"/>
            <w:rPr>
              <w:rFonts w:ascii="Times New Roman" w:hAnsi="Times New Roman" w:cs="Times New Roman"/>
              <w:noProof/>
            </w:rPr>
          </w:pPr>
          <w:hyperlink w:anchor="_Toc156930076" w:history="1">
            <w:r w:rsidR="00E159C5" w:rsidRPr="00E159C5">
              <w:rPr>
                <w:rStyle w:val="Hyperlink"/>
                <w:rFonts w:ascii="Times New Roman" w:hAnsi="Times New Roman" w:cs="Times New Roman"/>
                <w:noProof/>
              </w:rPr>
              <w:t>Market Position</w:t>
            </w:r>
            <w:r w:rsidR="00E159C5" w:rsidRPr="00E159C5">
              <w:rPr>
                <w:rFonts w:ascii="Times New Roman" w:hAnsi="Times New Roman" w:cs="Times New Roman"/>
                <w:noProof/>
                <w:webHidden/>
              </w:rPr>
              <w:tab/>
            </w:r>
            <w:r w:rsidR="00E159C5" w:rsidRPr="00E159C5">
              <w:rPr>
                <w:rFonts w:ascii="Times New Roman" w:hAnsi="Times New Roman" w:cs="Times New Roman"/>
                <w:noProof/>
                <w:webHidden/>
              </w:rPr>
              <w:fldChar w:fldCharType="begin"/>
            </w:r>
            <w:r w:rsidR="00E159C5" w:rsidRPr="00E159C5">
              <w:rPr>
                <w:rFonts w:ascii="Times New Roman" w:hAnsi="Times New Roman" w:cs="Times New Roman"/>
                <w:noProof/>
                <w:webHidden/>
              </w:rPr>
              <w:instrText xml:space="preserve"> PAGEREF _Toc156930076 \h </w:instrText>
            </w:r>
            <w:r w:rsidR="00E159C5" w:rsidRPr="00E159C5">
              <w:rPr>
                <w:rFonts w:ascii="Times New Roman" w:hAnsi="Times New Roman" w:cs="Times New Roman"/>
                <w:noProof/>
                <w:webHidden/>
              </w:rPr>
            </w:r>
            <w:r w:rsidR="00E159C5" w:rsidRPr="00E159C5">
              <w:rPr>
                <w:rFonts w:ascii="Times New Roman" w:hAnsi="Times New Roman" w:cs="Times New Roman"/>
                <w:noProof/>
                <w:webHidden/>
              </w:rPr>
              <w:fldChar w:fldCharType="separate"/>
            </w:r>
            <w:r w:rsidR="00E159C5" w:rsidRPr="00E159C5">
              <w:rPr>
                <w:rFonts w:ascii="Times New Roman" w:hAnsi="Times New Roman" w:cs="Times New Roman"/>
                <w:noProof/>
                <w:webHidden/>
              </w:rPr>
              <w:t>6</w:t>
            </w:r>
            <w:r w:rsidR="00E159C5" w:rsidRPr="00E159C5">
              <w:rPr>
                <w:rFonts w:ascii="Times New Roman" w:hAnsi="Times New Roman" w:cs="Times New Roman"/>
                <w:noProof/>
                <w:webHidden/>
              </w:rPr>
              <w:fldChar w:fldCharType="end"/>
            </w:r>
          </w:hyperlink>
        </w:p>
        <w:p w14:paraId="20A665D3" w14:textId="77777777" w:rsidR="00E159C5" w:rsidRPr="00E159C5" w:rsidRDefault="00F4488F" w:rsidP="00BD3DA7">
          <w:pPr>
            <w:pStyle w:val="TOC1"/>
            <w:tabs>
              <w:tab w:val="right" w:leader="dot" w:pos="9350"/>
            </w:tabs>
            <w:spacing w:line="360" w:lineRule="auto"/>
            <w:jc w:val="center"/>
            <w:rPr>
              <w:rFonts w:ascii="Times New Roman" w:hAnsi="Times New Roman" w:cs="Times New Roman"/>
              <w:noProof/>
            </w:rPr>
          </w:pPr>
          <w:hyperlink w:anchor="_Toc156930077" w:history="1">
            <w:r w:rsidR="00E159C5" w:rsidRPr="00E159C5">
              <w:rPr>
                <w:rStyle w:val="Hyperlink"/>
                <w:rFonts w:ascii="Times New Roman" w:hAnsi="Times New Roman" w:cs="Times New Roman"/>
                <w:noProof/>
              </w:rPr>
              <w:t>Growth Potential</w:t>
            </w:r>
            <w:r w:rsidR="00E159C5" w:rsidRPr="00E159C5">
              <w:rPr>
                <w:rFonts w:ascii="Times New Roman" w:hAnsi="Times New Roman" w:cs="Times New Roman"/>
                <w:noProof/>
                <w:webHidden/>
              </w:rPr>
              <w:tab/>
            </w:r>
            <w:r w:rsidR="00E159C5" w:rsidRPr="00E159C5">
              <w:rPr>
                <w:rFonts w:ascii="Times New Roman" w:hAnsi="Times New Roman" w:cs="Times New Roman"/>
                <w:noProof/>
                <w:webHidden/>
              </w:rPr>
              <w:fldChar w:fldCharType="begin"/>
            </w:r>
            <w:r w:rsidR="00E159C5" w:rsidRPr="00E159C5">
              <w:rPr>
                <w:rFonts w:ascii="Times New Roman" w:hAnsi="Times New Roman" w:cs="Times New Roman"/>
                <w:noProof/>
                <w:webHidden/>
              </w:rPr>
              <w:instrText xml:space="preserve"> PAGEREF _Toc156930077 \h </w:instrText>
            </w:r>
            <w:r w:rsidR="00E159C5" w:rsidRPr="00E159C5">
              <w:rPr>
                <w:rFonts w:ascii="Times New Roman" w:hAnsi="Times New Roman" w:cs="Times New Roman"/>
                <w:noProof/>
                <w:webHidden/>
              </w:rPr>
            </w:r>
            <w:r w:rsidR="00E159C5" w:rsidRPr="00E159C5">
              <w:rPr>
                <w:rFonts w:ascii="Times New Roman" w:hAnsi="Times New Roman" w:cs="Times New Roman"/>
                <w:noProof/>
                <w:webHidden/>
              </w:rPr>
              <w:fldChar w:fldCharType="separate"/>
            </w:r>
            <w:r w:rsidR="00E159C5" w:rsidRPr="00E159C5">
              <w:rPr>
                <w:rFonts w:ascii="Times New Roman" w:hAnsi="Times New Roman" w:cs="Times New Roman"/>
                <w:noProof/>
                <w:webHidden/>
              </w:rPr>
              <w:t>8</w:t>
            </w:r>
            <w:r w:rsidR="00E159C5" w:rsidRPr="00E159C5">
              <w:rPr>
                <w:rFonts w:ascii="Times New Roman" w:hAnsi="Times New Roman" w:cs="Times New Roman"/>
                <w:noProof/>
                <w:webHidden/>
              </w:rPr>
              <w:fldChar w:fldCharType="end"/>
            </w:r>
          </w:hyperlink>
        </w:p>
        <w:p w14:paraId="2A9D2094" w14:textId="77777777" w:rsidR="00E159C5" w:rsidRPr="00E159C5" w:rsidRDefault="00F4488F" w:rsidP="00BD3DA7">
          <w:pPr>
            <w:pStyle w:val="TOC1"/>
            <w:tabs>
              <w:tab w:val="right" w:leader="dot" w:pos="9350"/>
            </w:tabs>
            <w:spacing w:line="360" w:lineRule="auto"/>
            <w:jc w:val="center"/>
            <w:rPr>
              <w:rFonts w:ascii="Times New Roman" w:hAnsi="Times New Roman" w:cs="Times New Roman"/>
              <w:noProof/>
            </w:rPr>
          </w:pPr>
          <w:hyperlink w:anchor="_Toc156930078" w:history="1">
            <w:r w:rsidR="00E159C5" w:rsidRPr="00E159C5">
              <w:rPr>
                <w:rStyle w:val="Hyperlink"/>
                <w:rFonts w:ascii="Times New Roman" w:hAnsi="Times New Roman" w:cs="Times New Roman"/>
                <w:noProof/>
              </w:rPr>
              <w:t>Financial Commitment to CSR</w:t>
            </w:r>
            <w:r w:rsidR="00E159C5" w:rsidRPr="00E159C5">
              <w:rPr>
                <w:rFonts w:ascii="Times New Roman" w:hAnsi="Times New Roman" w:cs="Times New Roman"/>
                <w:noProof/>
                <w:webHidden/>
              </w:rPr>
              <w:tab/>
            </w:r>
            <w:r w:rsidR="00E159C5" w:rsidRPr="00E159C5">
              <w:rPr>
                <w:rFonts w:ascii="Times New Roman" w:hAnsi="Times New Roman" w:cs="Times New Roman"/>
                <w:noProof/>
                <w:webHidden/>
              </w:rPr>
              <w:fldChar w:fldCharType="begin"/>
            </w:r>
            <w:r w:rsidR="00E159C5" w:rsidRPr="00E159C5">
              <w:rPr>
                <w:rFonts w:ascii="Times New Roman" w:hAnsi="Times New Roman" w:cs="Times New Roman"/>
                <w:noProof/>
                <w:webHidden/>
              </w:rPr>
              <w:instrText xml:space="preserve"> PAGEREF _Toc156930078 \h </w:instrText>
            </w:r>
            <w:r w:rsidR="00E159C5" w:rsidRPr="00E159C5">
              <w:rPr>
                <w:rFonts w:ascii="Times New Roman" w:hAnsi="Times New Roman" w:cs="Times New Roman"/>
                <w:noProof/>
                <w:webHidden/>
              </w:rPr>
            </w:r>
            <w:r w:rsidR="00E159C5" w:rsidRPr="00E159C5">
              <w:rPr>
                <w:rFonts w:ascii="Times New Roman" w:hAnsi="Times New Roman" w:cs="Times New Roman"/>
                <w:noProof/>
                <w:webHidden/>
              </w:rPr>
              <w:fldChar w:fldCharType="separate"/>
            </w:r>
            <w:r w:rsidR="00E159C5" w:rsidRPr="00E159C5">
              <w:rPr>
                <w:rFonts w:ascii="Times New Roman" w:hAnsi="Times New Roman" w:cs="Times New Roman"/>
                <w:noProof/>
                <w:webHidden/>
              </w:rPr>
              <w:t>10</w:t>
            </w:r>
            <w:r w:rsidR="00E159C5" w:rsidRPr="00E159C5">
              <w:rPr>
                <w:rFonts w:ascii="Times New Roman" w:hAnsi="Times New Roman" w:cs="Times New Roman"/>
                <w:noProof/>
                <w:webHidden/>
              </w:rPr>
              <w:fldChar w:fldCharType="end"/>
            </w:r>
          </w:hyperlink>
        </w:p>
        <w:p w14:paraId="68F787D5" w14:textId="77777777" w:rsidR="00E159C5" w:rsidRPr="00E159C5" w:rsidRDefault="00F4488F" w:rsidP="00BD3DA7">
          <w:pPr>
            <w:pStyle w:val="TOC1"/>
            <w:tabs>
              <w:tab w:val="right" w:leader="dot" w:pos="9350"/>
            </w:tabs>
            <w:spacing w:line="360" w:lineRule="auto"/>
            <w:jc w:val="center"/>
            <w:rPr>
              <w:rFonts w:ascii="Times New Roman" w:hAnsi="Times New Roman" w:cs="Times New Roman"/>
              <w:noProof/>
            </w:rPr>
          </w:pPr>
          <w:hyperlink w:anchor="_Toc156930079" w:history="1">
            <w:r w:rsidR="00E159C5" w:rsidRPr="00E159C5">
              <w:rPr>
                <w:rStyle w:val="Hyperlink"/>
                <w:rFonts w:ascii="Times New Roman" w:hAnsi="Times New Roman" w:cs="Times New Roman"/>
                <w:noProof/>
              </w:rPr>
              <w:t>Conclusion</w:t>
            </w:r>
            <w:r w:rsidR="00E159C5" w:rsidRPr="00E159C5">
              <w:rPr>
                <w:rFonts w:ascii="Times New Roman" w:hAnsi="Times New Roman" w:cs="Times New Roman"/>
                <w:noProof/>
                <w:webHidden/>
              </w:rPr>
              <w:tab/>
            </w:r>
            <w:r w:rsidR="00E159C5" w:rsidRPr="00E159C5">
              <w:rPr>
                <w:rFonts w:ascii="Times New Roman" w:hAnsi="Times New Roman" w:cs="Times New Roman"/>
                <w:noProof/>
                <w:webHidden/>
              </w:rPr>
              <w:fldChar w:fldCharType="begin"/>
            </w:r>
            <w:r w:rsidR="00E159C5" w:rsidRPr="00E159C5">
              <w:rPr>
                <w:rFonts w:ascii="Times New Roman" w:hAnsi="Times New Roman" w:cs="Times New Roman"/>
                <w:noProof/>
                <w:webHidden/>
              </w:rPr>
              <w:instrText xml:space="preserve"> PAGEREF _Toc156930079 \h </w:instrText>
            </w:r>
            <w:r w:rsidR="00E159C5" w:rsidRPr="00E159C5">
              <w:rPr>
                <w:rFonts w:ascii="Times New Roman" w:hAnsi="Times New Roman" w:cs="Times New Roman"/>
                <w:noProof/>
                <w:webHidden/>
              </w:rPr>
            </w:r>
            <w:r w:rsidR="00E159C5" w:rsidRPr="00E159C5">
              <w:rPr>
                <w:rFonts w:ascii="Times New Roman" w:hAnsi="Times New Roman" w:cs="Times New Roman"/>
                <w:noProof/>
                <w:webHidden/>
              </w:rPr>
              <w:fldChar w:fldCharType="separate"/>
            </w:r>
            <w:r w:rsidR="00E159C5" w:rsidRPr="00E159C5">
              <w:rPr>
                <w:rFonts w:ascii="Times New Roman" w:hAnsi="Times New Roman" w:cs="Times New Roman"/>
                <w:noProof/>
                <w:webHidden/>
              </w:rPr>
              <w:t>12</w:t>
            </w:r>
            <w:r w:rsidR="00E159C5" w:rsidRPr="00E159C5">
              <w:rPr>
                <w:rFonts w:ascii="Times New Roman" w:hAnsi="Times New Roman" w:cs="Times New Roman"/>
                <w:noProof/>
                <w:webHidden/>
              </w:rPr>
              <w:fldChar w:fldCharType="end"/>
            </w:r>
          </w:hyperlink>
        </w:p>
        <w:p w14:paraId="7B22EDD0" w14:textId="77777777" w:rsidR="00E159C5" w:rsidRPr="00E159C5" w:rsidRDefault="00F4488F" w:rsidP="00BD3DA7">
          <w:pPr>
            <w:pStyle w:val="TOC1"/>
            <w:tabs>
              <w:tab w:val="right" w:leader="dot" w:pos="9350"/>
            </w:tabs>
            <w:spacing w:line="360" w:lineRule="auto"/>
            <w:jc w:val="center"/>
            <w:rPr>
              <w:rFonts w:ascii="Times New Roman" w:hAnsi="Times New Roman" w:cs="Times New Roman"/>
              <w:noProof/>
            </w:rPr>
          </w:pPr>
          <w:hyperlink w:anchor="_Toc156930080" w:history="1">
            <w:r w:rsidR="00E159C5" w:rsidRPr="00E159C5">
              <w:rPr>
                <w:rStyle w:val="Hyperlink"/>
                <w:rFonts w:ascii="Times New Roman" w:hAnsi="Times New Roman" w:cs="Times New Roman"/>
                <w:noProof/>
              </w:rPr>
              <w:t>Recommendations</w:t>
            </w:r>
            <w:r w:rsidR="00E159C5" w:rsidRPr="00E159C5">
              <w:rPr>
                <w:rFonts w:ascii="Times New Roman" w:hAnsi="Times New Roman" w:cs="Times New Roman"/>
                <w:noProof/>
                <w:webHidden/>
              </w:rPr>
              <w:tab/>
            </w:r>
            <w:r w:rsidR="00E159C5" w:rsidRPr="00E159C5">
              <w:rPr>
                <w:rFonts w:ascii="Times New Roman" w:hAnsi="Times New Roman" w:cs="Times New Roman"/>
                <w:noProof/>
                <w:webHidden/>
              </w:rPr>
              <w:fldChar w:fldCharType="begin"/>
            </w:r>
            <w:r w:rsidR="00E159C5" w:rsidRPr="00E159C5">
              <w:rPr>
                <w:rFonts w:ascii="Times New Roman" w:hAnsi="Times New Roman" w:cs="Times New Roman"/>
                <w:noProof/>
                <w:webHidden/>
              </w:rPr>
              <w:instrText xml:space="preserve"> PAGEREF _Toc156930080 \h </w:instrText>
            </w:r>
            <w:r w:rsidR="00E159C5" w:rsidRPr="00E159C5">
              <w:rPr>
                <w:rFonts w:ascii="Times New Roman" w:hAnsi="Times New Roman" w:cs="Times New Roman"/>
                <w:noProof/>
                <w:webHidden/>
              </w:rPr>
            </w:r>
            <w:r w:rsidR="00E159C5" w:rsidRPr="00E159C5">
              <w:rPr>
                <w:rFonts w:ascii="Times New Roman" w:hAnsi="Times New Roman" w:cs="Times New Roman"/>
                <w:noProof/>
                <w:webHidden/>
              </w:rPr>
              <w:fldChar w:fldCharType="separate"/>
            </w:r>
            <w:r w:rsidR="00E159C5" w:rsidRPr="00E159C5">
              <w:rPr>
                <w:rFonts w:ascii="Times New Roman" w:hAnsi="Times New Roman" w:cs="Times New Roman"/>
                <w:noProof/>
                <w:webHidden/>
              </w:rPr>
              <w:t>12</w:t>
            </w:r>
            <w:r w:rsidR="00E159C5" w:rsidRPr="00E159C5">
              <w:rPr>
                <w:rFonts w:ascii="Times New Roman" w:hAnsi="Times New Roman" w:cs="Times New Roman"/>
                <w:noProof/>
                <w:webHidden/>
              </w:rPr>
              <w:fldChar w:fldCharType="end"/>
            </w:r>
          </w:hyperlink>
        </w:p>
        <w:p w14:paraId="060A32F0" w14:textId="77777777" w:rsidR="00E159C5" w:rsidRPr="00E159C5" w:rsidRDefault="00F4488F" w:rsidP="00BD3DA7">
          <w:pPr>
            <w:pStyle w:val="TOC1"/>
            <w:tabs>
              <w:tab w:val="right" w:leader="dot" w:pos="9350"/>
            </w:tabs>
            <w:spacing w:line="360" w:lineRule="auto"/>
            <w:jc w:val="center"/>
            <w:rPr>
              <w:rFonts w:ascii="Times New Roman" w:hAnsi="Times New Roman" w:cs="Times New Roman"/>
              <w:noProof/>
            </w:rPr>
          </w:pPr>
          <w:hyperlink w:anchor="_Toc156930081" w:history="1">
            <w:r w:rsidR="00E159C5" w:rsidRPr="00E159C5">
              <w:rPr>
                <w:rStyle w:val="Hyperlink"/>
                <w:rFonts w:ascii="Times New Roman" w:hAnsi="Times New Roman" w:cs="Times New Roman"/>
                <w:noProof/>
              </w:rPr>
              <w:t>References</w:t>
            </w:r>
            <w:r w:rsidR="00E159C5" w:rsidRPr="00E159C5">
              <w:rPr>
                <w:rFonts w:ascii="Times New Roman" w:hAnsi="Times New Roman" w:cs="Times New Roman"/>
                <w:noProof/>
                <w:webHidden/>
              </w:rPr>
              <w:tab/>
            </w:r>
            <w:r w:rsidR="00E159C5" w:rsidRPr="00E159C5">
              <w:rPr>
                <w:rFonts w:ascii="Times New Roman" w:hAnsi="Times New Roman" w:cs="Times New Roman"/>
                <w:noProof/>
                <w:webHidden/>
              </w:rPr>
              <w:fldChar w:fldCharType="begin"/>
            </w:r>
            <w:r w:rsidR="00E159C5" w:rsidRPr="00E159C5">
              <w:rPr>
                <w:rFonts w:ascii="Times New Roman" w:hAnsi="Times New Roman" w:cs="Times New Roman"/>
                <w:noProof/>
                <w:webHidden/>
              </w:rPr>
              <w:instrText xml:space="preserve"> PAGEREF _Toc156930081 \h </w:instrText>
            </w:r>
            <w:r w:rsidR="00E159C5" w:rsidRPr="00E159C5">
              <w:rPr>
                <w:rFonts w:ascii="Times New Roman" w:hAnsi="Times New Roman" w:cs="Times New Roman"/>
                <w:noProof/>
                <w:webHidden/>
              </w:rPr>
            </w:r>
            <w:r w:rsidR="00E159C5" w:rsidRPr="00E159C5">
              <w:rPr>
                <w:rFonts w:ascii="Times New Roman" w:hAnsi="Times New Roman" w:cs="Times New Roman"/>
                <w:noProof/>
                <w:webHidden/>
              </w:rPr>
              <w:fldChar w:fldCharType="separate"/>
            </w:r>
            <w:r w:rsidR="00E159C5" w:rsidRPr="00E159C5">
              <w:rPr>
                <w:rFonts w:ascii="Times New Roman" w:hAnsi="Times New Roman" w:cs="Times New Roman"/>
                <w:noProof/>
                <w:webHidden/>
              </w:rPr>
              <w:t>13</w:t>
            </w:r>
            <w:r w:rsidR="00E159C5" w:rsidRPr="00E159C5">
              <w:rPr>
                <w:rFonts w:ascii="Times New Roman" w:hAnsi="Times New Roman" w:cs="Times New Roman"/>
                <w:noProof/>
                <w:webHidden/>
              </w:rPr>
              <w:fldChar w:fldCharType="end"/>
            </w:r>
          </w:hyperlink>
        </w:p>
        <w:p w14:paraId="5050C3BB" w14:textId="77777777" w:rsidR="00E159C5" w:rsidRDefault="00E159C5" w:rsidP="00BD3DA7">
          <w:pPr>
            <w:spacing w:line="360" w:lineRule="auto"/>
            <w:jc w:val="center"/>
          </w:pPr>
          <w:r w:rsidRPr="00E159C5">
            <w:rPr>
              <w:rFonts w:ascii="Times New Roman" w:hAnsi="Times New Roman" w:cs="Times New Roman"/>
              <w:b/>
              <w:bCs/>
              <w:noProof/>
            </w:rPr>
            <w:fldChar w:fldCharType="end"/>
          </w:r>
        </w:p>
      </w:sdtContent>
    </w:sdt>
    <w:p w14:paraId="4571ACA8" w14:textId="77777777" w:rsidR="00215F15" w:rsidRDefault="004D2AC9" w:rsidP="00BD3DA7">
      <w:pPr>
        <w:spacing w:line="360" w:lineRule="auto"/>
        <w:jc w:val="both"/>
        <w:rPr>
          <w:rFonts w:ascii="Times New Roman" w:eastAsia="Times New Roman" w:hAnsi="Times New Roman" w:cs="Times New Roman"/>
          <w:b/>
          <w:sz w:val="24"/>
          <w:szCs w:val="24"/>
        </w:rPr>
      </w:pPr>
      <w:r>
        <w:br w:type="page"/>
      </w:r>
    </w:p>
    <w:p w14:paraId="34F98D10" w14:textId="77777777" w:rsidR="00215F15" w:rsidRPr="00E159C5" w:rsidRDefault="004D2AC9" w:rsidP="00BD3DA7">
      <w:pPr>
        <w:pStyle w:val="Heading1"/>
        <w:spacing w:line="360" w:lineRule="auto"/>
      </w:pPr>
      <w:bookmarkStart w:id="1" w:name="_Toc156930074"/>
      <w:r w:rsidRPr="00E159C5">
        <w:lastRenderedPageBreak/>
        <w:t>Introduction</w:t>
      </w:r>
      <w:bookmarkEnd w:id="1"/>
    </w:p>
    <w:p w14:paraId="64A56518" w14:textId="77777777" w:rsidR="00215F15" w:rsidRDefault="004D2AC9" w:rsidP="00BD3DA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focuses on the premium services that signify luxury while Ibis, aiming for low-budget travelers, develops in delivering services uniformly through its extensive chain. The analysis reveals that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poses opportunities for growth with a careful expansion to conquer the greater part of the regional market while Ibis could gain a wider penetration. Thus, the appropriate recommendations would be the innovative strategy of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in the luxurious niche and local engagement for Ibis targeting the mid-range sector.</w:t>
      </w:r>
    </w:p>
    <w:p w14:paraId="38243218" w14:textId="77777777" w:rsidR="00215F15" w:rsidRDefault="004D2AC9" w:rsidP="00BD3DA7">
      <w:pPr>
        <w:pStyle w:val="Heading1"/>
        <w:spacing w:line="360" w:lineRule="auto"/>
      </w:pPr>
      <w:bookmarkStart w:id="2" w:name="_Toc156930075"/>
      <w:r>
        <w:t>Total Revenue</w:t>
      </w:r>
      <w:bookmarkEnd w:id="2"/>
    </w:p>
    <w:p w14:paraId="5FA29D88" w14:textId="77777777" w:rsidR="00215F15" w:rsidRDefault="004D2AC9" w:rsidP="00BD3DA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is a luxury hotel brand present all over the world targeting elite clients that are sophisticated travelers. This brand is focused on luxury, outstanding service, and unique experiences. In 2022,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revenue totaled $62 million (Corinthia.com, 2024). The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total revenue gives a reflection that this is one of the premium brands in the market. The main revenue contributors for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entail room bookings, food and beverage services, conference and event facilities provision as well as peripheral offerings. Hotel room reservations play a large part in total revenue since the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 has high-class quality rooms available for use (</w:t>
      </w:r>
      <w:proofErr w:type="spellStart"/>
      <w:r>
        <w:rPr>
          <w:rFonts w:ascii="Times New Roman" w:eastAsia="Times New Roman" w:hAnsi="Times New Roman" w:cs="Times New Roman"/>
          <w:sz w:val="24"/>
          <w:szCs w:val="24"/>
        </w:rPr>
        <w:t>Davahli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When the emphasis of a brand is on providing luxurious services, its consumer base pays an extra cost for these services which in turn results in strong room revenues.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also usually hosts upscale events and conferences, thus creating new streams of income (</w:t>
      </w:r>
      <w:proofErr w:type="spellStart"/>
      <w:r>
        <w:rPr>
          <w:rFonts w:ascii="Times New Roman" w:eastAsia="Times New Roman" w:hAnsi="Times New Roman" w:cs="Times New Roman"/>
          <w:sz w:val="24"/>
          <w:szCs w:val="24"/>
        </w:rPr>
        <w:t>Denizci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Guillet</w:t>
      </w:r>
      <w:proofErr w:type="spellEnd"/>
      <w:r>
        <w:rPr>
          <w:rFonts w:ascii="Times New Roman" w:eastAsia="Times New Roman" w:hAnsi="Times New Roman" w:cs="Times New Roman"/>
          <w:sz w:val="24"/>
          <w:szCs w:val="24"/>
        </w:rPr>
        <w:t xml:space="preserve">, 2020). A key to the success of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is the opportunity to address both individual clients aimed at luxury and orders from corporations that organize events, which increase total revenue. From a review of the revenue pattern in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it is apparent that this firm has been growing steadily courtesy of its strict guidelines on high service standards together with constant investment into property product improvement. Customer loyalty and positive reviews were also some important contributors to the constant increase in revenues. The revenue of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is highly stimulated by effective marketing strategies aimed at attracting wealthy clients, proper location selections for their hotels, and cooperation with luxury travel agencies (Liu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Moreover, the company can respond and adjust to emerging trends like wellness and sustainability in travel which has led to its attracting a </w:t>
      </w:r>
      <w:r>
        <w:rPr>
          <w:rFonts w:ascii="Times New Roman" w:eastAsia="Times New Roman" w:hAnsi="Times New Roman" w:cs="Times New Roman"/>
          <w:sz w:val="24"/>
          <w:szCs w:val="24"/>
        </w:rPr>
        <w:lastRenderedPageBreak/>
        <w:t>new niche of travelers more concerned about environment conservation and their focus on healthy living contributing significantly towards revenue diversification.</w:t>
      </w:r>
    </w:p>
    <w:p w14:paraId="7C8249F0" w14:textId="77777777" w:rsidR="00215F15" w:rsidRDefault="004D2AC9" w:rsidP="00BD3D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Ibis Hotels falls under Brand Accor and positions itself in terms of being safe for travelers who prioritize value but do not require luxury. The target market for Ibis Hotels is comparatively wide and focuses on the business as well as casual travelers by emphasizing practicability paired with a budget-friendly approach. In 2022, the total revenue of the Group was €4,224 million. Some revenue sources for Ibis Hotels are room reservations, food and beverage services as well as loyalty programs (</w:t>
      </w:r>
      <w:r>
        <w:rPr>
          <w:rFonts w:ascii="Times New Roman" w:eastAsia="Times New Roman" w:hAnsi="Times New Roman" w:cs="Times New Roman"/>
          <w:color w:val="222222"/>
          <w:sz w:val="24"/>
          <w:szCs w:val="24"/>
          <w:highlight w:val="white"/>
        </w:rPr>
        <w:t>All.accor.com, 2024</w:t>
      </w:r>
      <w:r>
        <w:rPr>
          <w:rFonts w:ascii="Times New Roman" w:eastAsia="Times New Roman" w:hAnsi="Times New Roman" w:cs="Times New Roman"/>
          <w:sz w:val="24"/>
          <w:szCs w:val="24"/>
        </w:rPr>
        <w:t>). This brand is successful because it provides standardized, quality services at an affordable price which appeals to the budget traveler market segments. The revenue trends at Ibis Hotels are affected by adaptations in the state of the economy and international travel. In times of economic recession, Ibis could enjoy higher demand because visitors need cheaper opportunities for staying overnight while periods of fiscal upturn may become hardships for the brand’s efforts in increasing revenue due to its budget-oriented positioning (</w:t>
      </w:r>
      <w:proofErr w:type="spellStart"/>
      <w:r>
        <w:rPr>
          <w:rFonts w:ascii="Times New Roman" w:eastAsia="Times New Roman" w:hAnsi="Times New Roman" w:cs="Times New Roman"/>
          <w:sz w:val="24"/>
          <w:szCs w:val="24"/>
        </w:rPr>
        <w:t>Crespí-Cladera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In terms of what factors contribute to increased revenue generation for Ibis, operations under a wide network of hotels throughout the world may play an essential role as far as using economies of scale in maintaining competitive prices is concerned. The loyalty program provides support to the initial marketing activities; partnerships with online travel agencies and booking platforms increase visibility and availability, thus capturing more bookings along with driving extra revenue.</w:t>
      </w:r>
    </w:p>
    <w:p w14:paraId="2D5B6CBB" w14:textId="77777777" w:rsidR="00215F15" w:rsidRDefault="004D2AC9" w:rsidP="00BD3D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Comparing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and Ibis Hotel in the aspect of total revenue, it is clear that they are each essentially operating within two separate segments of the hospitality market.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therefore dominates the luxury segment with its premium product designed to attract high-paying clients (</w:t>
      </w:r>
      <w:proofErr w:type="spellStart"/>
      <w:r>
        <w:rPr>
          <w:rFonts w:ascii="Times New Roman" w:eastAsia="Times New Roman" w:hAnsi="Times New Roman" w:cs="Times New Roman"/>
          <w:sz w:val="24"/>
          <w:szCs w:val="24"/>
        </w:rPr>
        <w:t>Alrawadieh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In contrast, Ibis is oriented on affordability and efficiency which helps it to attract a wider audience. However,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increases its revenues through an exclusive high-end marketing approach, Ibis flourishes in terms of quantity and availability. </w:t>
      </w:r>
    </w:p>
    <w:p w14:paraId="2767152E" w14:textId="77777777" w:rsidR="00215F15" w:rsidRDefault="004D2AC9" w:rsidP="00BD3DA7">
      <w:pPr>
        <w:pStyle w:val="Heading1"/>
        <w:spacing w:line="360" w:lineRule="auto"/>
      </w:pPr>
      <w:bookmarkStart w:id="3" w:name="_Toc156930076"/>
      <w:r>
        <w:t>Market Position</w:t>
      </w:r>
      <w:bookmarkEnd w:id="3"/>
    </w:p>
    <w:p w14:paraId="38A457FC" w14:textId="77777777" w:rsidR="00215F15" w:rsidRDefault="004D2AC9" w:rsidP="00BD3DA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is an establishment that positions itself as a luxurious brand and focuses on providing services to the high-end market, which wants premium quality products exclusively. The market positioning of the brand is reflected by best-in-class luxury, unprecedented service quality, and a focus on delivering an unforgettable stay full of indulgence. It operates in about 16 </w:t>
      </w:r>
      <w:r>
        <w:rPr>
          <w:rFonts w:ascii="Times New Roman" w:eastAsia="Times New Roman" w:hAnsi="Times New Roman" w:cs="Times New Roman"/>
          <w:sz w:val="24"/>
          <w:szCs w:val="24"/>
        </w:rPr>
        <w:lastRenderedPageBreak/>
        <w:t>countries with approximately 23 hotels (</w:t>
      </w:r>
      <w:proofErr w:type="spellStart"/>
      <w:r>
        <w:rPr>
          <w:rFonts w:ascii="Times New Roman" w:eastAsia="Times New Roman" w:hAnsi="Times New Roman" w:cs="Times New Roman"/>
          <w:sz w:val="24"/>
          <w:szCs w:val="24"/>
        </w:rPr>
        <w:t>Roozen</w:t>
      </w:r>
      <w:proofErr w:type="spellEnd"/>
      <w:r>
        <w:rPr>
          <w:rFonts w:ascii="Times New Roman" w:eastAsia="Times New Roman" w:hAnsi="Times New Roman" w:cs="Times New Roman"/>
          <w:sz w:val="24"/>
          <w:szCs w:val="24"/>
        </w:rPr>
        <w:t xml:space="preserve">, 2023). As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has properties all across the world, they pick and choose only prime locations such as cosmopolitan cities to place their high-end accommodation facilities.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may not be commanding vast market shares as seen in some large hotel chains, but it is a successful competitor to reckon with for the luxury audience (</w:t>
      </w:r>
      <w:proofErr w:type="spellStart"/>
      <w:r>
        <w:rPr>
          <w:rFonts w:ascii="Times New Roman" w:eastAsia="Times New Roman" w:hAnsi="Times New Roman" w:cs="Times New Roman"/>
          <w:sz w:val="24"/>
          <w:szCs w:val="24"/>
        </w:rPr>
        <w:t>Sorin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Sivarajah</w:t>
      </w:r>
      <w:proofErr w:type="spellEnd"/>
      <w:r>
        <w:rPr>
          <w:rFonts w:ascii="Times New Roman" w:eastAsia="Times New Roman" w:hAnsi="Times New Roman" w:cs="Times New Roman"/>
          <w:sz w:val="24"/>
          <w:szCs w:val="24"/>
        </w:rPr>
        <w:t xml:space="preserve">, 2021). It is renowned for offering various services that include five-star hotels, restaurants, and accommodation at a spa or business meeting place. The market share for the brand is characterized by niche; it mainly caters to high-end travelers, celebrities as well as business elites who have great tastes and preferences which call for a need for luxury touch to personalized service. The customer demographics for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tend to be more affluent, executive, and high-net-worth individuals. The hotels in the brand are created for people who value elegance and elitism. Both marketing and promotional campaigns are targeted at such consumer groups, featuring an abundance of luxury goods provided as part of accommodation services, and classified dining solutions together with unique experiences. Elegance and luxury are terms that describe the brand perception of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Favorable reviews and word-of-mouth referrals lead to a good brand perception. </w:t>
      </w:r>
    </w:p>
    <w:p w14:paraId="13D022F6" w14:textId="77777777" w:rsidR="00215F15" w:rsidRDefault="004D2AC9" w:rsidP="00BD3DA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rPr>
        <w:drawing>
          <wp:inline distT="114300" distB="114300" distL="114300" distR="114300" wp14:anchorId="6139305E" wp14:editId="6A016228">
            <wp:extent cx="5943600" cy="3848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848100"/>
                    </a:xfrm>
                    <a:prstGeom prst="rect">
                      <a:avLst/>
                    </a:prstGeom>
                    <a:ln/>
                  </pic:spPr>
                </pic:pic>
              </a:graphicData>
            </a:graphic>
          </wp:inline>
        </w:drawing>
      </w:r>
    </w:p>
    <w:p w14:paraId="32D9E4A0" w14:textId="77777777" w:rsidR="00215F15" w:rsidRDefault="004D2AC9" w:rsidP="00BD3DA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Market size of hospitality industry</w:t>
      </w:r>
    </w:p>
    <w:p w14:paraId="6C249CDF" w14:textId="77777777" w:rsidR="00215F15" w:rsidRDefault="004D2AC9" w:rsidP="00BD3DA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(Source: </w:t>
      </w:r>
      <w:proofErr w:type="spellStart"/>
      <w:r>
        <w:rPr>
          <w:rFonts w:ascii="Times New Roman" w:eastAsia="Times New Roman" w:hAnsi="Times New Roman" w:cs="Times New Roman"/>
          <w:sz w:val="24"/>
          <w:szCs w:val="24"/>
        </w:rPr>
        <w:t>Roozen</w:t>
      </w:r>
      <w:proofErr w:type="spellEnd"/>
      <w:r>
        <w:rPr>
          <w:rFonts w:ascii="Times New Roman" w:eastAsia="Times New Roman" w:hAnsi="Times New Roman" w:cs="Times New Roman"/>
          <w:sz w:val="24"/>
          <w:szCs w:val="24"/>
        </w:rPr>
        <w:t>, 2023)</w:t>
      </w:r>
    </w:p>
    <w:p w14:paraId="53A3138B" w14:textId="77777777" w:rsidR="00215F15" w:rsidRDefault="004D2AC9" w:rsidP="00BD3D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Ibis Hotels situated in different parts of Europe and owned by Accor is an affordable option attracting travelers to choose their services. Ibis utilizes a standardized type of strategy mostly operational efficiency, which is where focus importance is placed on aspects of effectiveness and quality. The brand has a solid international footprint, which implies that there are many properties in various parts of the world ranging from urban centers to travel nodes. Market-wise, Ibis Hotels is a well-known brand for mid-range and budget hotel segments. The power of the brand rests in its capacity to cater to an extensive spectrum, ranging from eco-friendly business travelers or families through </w:t>
      </w:r>
      <w:proofErr w:type="spellStart"/>
      <w:r>
        <w:rPr>
          <w:rFonts w:ascii="Times New Roman" w:eastAsia="Times New Roman" w:hAnsi="Times New Roman" w:cs="Times New Roman"/>
          <w:sz w:val="24"/>
          <w:szCs w:val="24"/>
        </w:rPr>
        <w:t>polygeneration</w:t>
      </w:r>
      <w:proofErr w:type="spellEnd"/>
      <w:r>
        <w:rPr>
          <w:rFonts w:ascii="Times New Roman" w:eastAsia="Times New Roman" w:hAnsi="Times New Roman" w:cs="Times New Roman"/>
          <w:sz w:val="24"/>
          <w:szCs w:val="24"/>
        </w:rPr>
        <w:t xml:space="preserve"> and asity tourism. The Ibis Hotels brand operates 1,218 hotels in approximately 70 countries and has a total of 160 rooms (Ho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This is broad market coverage as Ibis has managed to stay relevant in various regions thereby significantly increasing its stance of the percentage share. It provides various hotel services such as 24/7 welcome, Wi-Fi, buffet, breakfast, parking, bar, and restaurants. The customer profiles Ibis Hotels targets include general markets, such as budget-conscious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and families but also individuals looking for consistency through well-established accommodation (</w:t>
      </w:r>
      <w:proofErr w:type="spellStart"/>
      <w:r>
        <w:rPr>
          <w:rFonts w:ascii="Times New Roman" w:eastAsia="Times New Roman" w:hAnsi="Times New Roman" w:cs="Times New Roman"/>
          <w:sz w:val="24"/>
          <w:szCs w:val="24"/>
        </w:rPr>
        <w:t>Floričić</w:t>
      </w:r>
      <w:proofErr w:type="spellEnd"/>
      <w:r>
        <w:rPr>
          <w:rFonts w:ascii="Times New Roman" w:eastAsia="Times New Roman" w:hAnsi="Times New Roman" w:cs="Times New Roman"/>
          <w:sz w:val="24"/>
          <w:szCs w:val="24"/>
        </w:rPr>
        <w:t>, 2020). This inexpensive approach and its emphasis on functionality correspond with consumers who value doing things for the best price possible.</w:t>
      </w:r>
    </w:p>
    <w:p w14:paraId="32319124" w14:textId="77777777" w:rsidR="00215F15" w:rsidRDefault="004D2AC9" w:rsidP="00BD3DA7">
      <w:pPr>
        <w:pStyle w:val="Heading1"/>
        <w:spacing w:line="360" w:lineRule="auto"/>
      </w:pPr>
      <w:bookmarkStart w:id="4" w:name="_Toc156930077"/>
      <w:r>
        <w:t>Growth Potential</w:t>
      </w:r>
      <w:bookmarkEnd w:id="4"/>
    </w:p>
    <w:p w14:paraId="3299DD28" w14:textId="77777777" w:rsidR="00215F15" w:rsidRDefault="004D2AC9" w:rsidP="00BD3DA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is classified in the high-end niche of hotels and their ability to grow comes through selective expansion that brings strategic advantages without losing an attribute called exclusivity. The brand takes a rigorous strategy concerning the selection of properties and often goes for central locations in metropolitan cities to develop its luxurious hotels. The expansion strategies will involve venturing into upcoming markets that have a significant number of luxury travelers and effectively partnering with regional developers to increase their reach (</w:t>
      </w:r>
      <w:proofErr w:type="spellStart"/>
      <w:r>
        <w:rPr>
          <w:rFonts w:ascii="Times New Roman" w:eastAsia="Times New Roman" w:hAnsi="Times New Roman" w:cs="Times New Roman"/>
          <w:sz w:val="24"/>
          <w:szCs w:val="24"/>
        </w:rPr>
        <w:t>Safaeva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 market opportunities available to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emanate from the fact that they currently serve a niche demand for greater luxury in travel and tourism, particularly among new economies with an increasing elite (</w:t>
      </w:r>
      <w:proofErr w:type="spellStart"/>
      <w:r>
        <w:rPr>
          <w:rFonts w:ascii="Times New Roman" w:eastAsia="Times New Roman" w:hAnsi="Times New Roman" w:cs="Times New Roman"/>
          <w:sz w:val="24"/>
          <w:szCs w:val="24"/>
        </w:rPr>
        <w:t>Achmad</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Yulianah</w:t>
      </w:r>
      <w:proofErr w:type="spellEnd"/>
      <w:r>
        <w:rPr>
          <w:rFonts w:ascii="Times New Roman" w:eastAsia="Times New Roman" w:hAnsi="Times New Roman" w:cs="Times New Roman"/>
          <w:sz w:val="24"/>
          <w:szCs w:val="24"/>
        </w:rPr>
        <w:t xml:space="preserve">, 2022). Thus,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may use the growing global demand for high-end travel as well as clients’ need for special services and products by always providing outstanding service provision along with exclusive offerings (</w:t>
      </w:r>
      <w:proofErr w:type="spellStart"/>
      <w:r>
        <w:rPr>
          <w:rFonts w:ascii="Times New Roman" w:eastAsia="Times New Roman" w:hAnsi="Times New Roman" w:cs="Times New Roman"/>
          <w:sz w:val="24"/>
          <w:szCs w:val="24"/>
        </w:rPr>
        <w:t>Brykova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However, as such brand positioning is exclusive and unique in every market </w:t>
      </w:r>
      <w:r>
        <w:rPr>
          <w:rFonts w:ascii="Times New Roman" w:eastAsia="Times New Roman" w:hAnsi="Times New Roman" w:cs="Times New Roman"/>
          <w:sz w:val="24"/>
          <w:szCs w:val="24"/>
        </w:rPr>
        <w:lastRenderedPageBreak/>
        <w:t>segment the world over, it may be more vulnerable to changes that occur due to global economic conditions. Furthermore, except for abundant demand within the luxury niche, constant innovation and differentiation are necessary to compete with competitors in this particular section as well.</w:t>
      </w:r>
    </w:p>
    <w:p w14:paraId="53C62185" w14:textId="77777777" w:rsidR="00215F15" w:rsidRDefault="004D2AC9" w:rsidP="00BD3DA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rPr>
        <w:drawing>
          <wp:inline distT="114300" distB="114300" distL="114300" distR="114300" wp14:anchorId="521F9AD5" wp14:editId="2183B25A">
            <wp:extent cx="5943600" cy="37211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721100"/>
                    </a:xfrm>
                    <a:prstGeom prst="rect">
                      <a:avLst/>
                    </a:prstGeom>
                    <a:ln/>
                  </pic:spPr>
                </pic:pic>
              </a:graphicData>
            </a:graphic>
          </wp:inline>
        </w:drawing>
      </w:r>
    </w:p>
    <w:p w14:paraId="7300CAEC" w14:textId="77777777" w:rsidR="00215F15" w:rsidRDefault="004D2AC9" w:rsidP="00BD3DA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Revenue of the hotels market worldwide</w:t>
      </w:r>
    </w:p>
    <w:p w14:paraId="0075B740" w14:textId="77777777" w:rsidR="00215F15" w:rsidRDefault="004D2AC9" w:rsidP="00BD3DA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Statista.com, 2024</w:t>
      </w:r>
      <w:r>
        <w:rPr>
          <w:rFonts w:ascii="Times New Roman" w:eastAsia="Times New Roman" w:hAnsi="Times New Roman" w:cs="Times New Roman"/>
          <w:sz w:val="24"/>
          <w:szCs w:val="24"/>
        </w:rPr>
        <w:t>)</w:t>
      </w:r>
    </w:p>
    <w:p w14:paraId="3F03BAF0" w14:textId="77777777" w:rsidR="00215F15" w:rsidRDefault="004D2AC9" w:rsidP="00BD3D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Ibis Hotels falls in the middle class or budget segment and therefore offers huge growth opportunities through overall penetration while moving to a wide range of markets being flexible. The brand utilizes a franchising approach and builds strategic alliances to quickly achieve its worldwide presence, encompassing any types of destinations such as major cities down to suburbs or travel centers (</w:t>
      </w:r>
      <w:proofErr w:type="spellStart"/>
      <w:r>
        <w:rPr>
          <w:rFonts w:ascii="Times New Roman" w:eastAsia="Times New Roman" w:hAnsi="Times New Roman" w:cs="Times New Roman"/>
          <w:sz w:val="24"/>
          <w:szCs w:val="24"/>
        </w:rPr>
        <w:t>Honchar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2023). The market opportunities for Ibis Hotels are plenty considering the increasing appetite around the world for budget and standardized lodging facilities. Ibis, which is oriented on functionality and availability, provides services for customers who prefer reliable value choices for business needs combined even on shorter stays. According to Statista, the international hotel market is estimated to make $446.5 billion by 2024 which is anticipated that revenues will witness a CAGR of 3.32% between the years 2024 and this point in time, would culminate in an estimated market volume worth $508.9 billion (</w:t>
      </w:r>
      <w:r>
        <w:rPr>
          <w:rFonts w:ascii="Times New Roman" w:eastAsia="Times New Roman" w:hAnsi="Times New Roman" w:cs="Times New Roman"/>
          <w:color w:val="222222"/>
          <w:sz w:val="24"/>
          <w:szCs w:val="24"/>
          <w:highlight w:val="white"/>
        </w:rPr>
        <w:t>Statista.com, 2024</w:t>
      </w:r>
      <w:r>
        <w:rPr>
          <w:rFonts w:ascii="Times New Roman" w:eastAsia="Times New Roman" w:hAnsi="Times New Roman" w:cs="Times New Roman"/>
          <w:sz w:val="24"/>
          <w:szCs w:val="24"/>
        </w:rPr>
        <w:t xml:space="preserve">). However, it may have several challenges to its growth that include a continuous need for adjustment in the way </w:t>
      </w:r>
      <w:r>
        <w:rPr>
          <w:rFonts w:ascii="Times New Roman" w:eastAsia="Times New Roman" w:hAnsi="Times New Roman" w:cs="Times New Roman"/>
          <w:sz w:val="24"/>
          <w:szCs w:val="24"/>
        </w:rPr>
        <w:lastRenderedPageBreak/>
        <w:t xml:space="preserve">the company interacts with local customers and regulations requirements. The high level of competition in the mid-range and budget hotel areas dictates a watchful strategy to prevent loss of market share and also pricing. </w:t>
      </w:r>
    </w:p>
    <w:p w14:paraId="0D2754DF" w14:textId="77777777" w:rsidR="00215F15" w:rsidRDefault="004D2AC9" w:rsidP="00BD3DA7">
      <w:pPr>
        <w:pStyle w:val="Heading1"/>
        <w:spacing w:line="360" w:lineRule="auto"/>
      </w:pPr>
      <w:bookmarkStart w:id="5" w:name="_Toc156930078"/>
      <w:r>
        <w:t>Financial Commitment to CSR</w:t>
      </w:r>
      <w:bookmarkEnd w:id="5"/>
    </w:p>
    <w:p w14:paraId="38EF991F" w14:textId="77777777" w:rsidR="00215F15" w:rsidRDefault="004D2AC9" w:rsidP="00BD3D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financial point of view, CSR-related spending for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consists of adopting environmentally friendly approaches like using energy-friendly technologies and sustainably sourced materials (</w:t>
      </w:r>
      <w:proofErr w:type="spellStart"/>
      <w:r>
        <w:rPr>
          <w:rFonts w:ascii="Times New Roman" w:eastAsia="Times New Roman" w:hAnsi="Times New Roman" w:cs="Times New Roman"/>
          <w:sz w:val="24"/>
          <w:szCs w:val="24"/>
        </w:rPr>
        <w:t>Loor</w:t>
      </w:r>
      <w:proofErr w:type="spellEnd"/>
      <w:r>
        <w:rPr>
          <w:rFonts w:ascii="Times New Roman" w:eastAsia="Times New Roman" w:hAnsi="Times New Roman" w:cs="Times New Roman"/>
          <w:sz w:val="24"/>
          <w:szCs w:val="24"/>
        </w:rPr>
        <w:t xml:space="preserve">-Zambrano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In terms of community engagement, the company may enter into agreements with local craftspeople or charitable projects that ultimately enhance socioeconomic factors in areas around its properties. Ethics in business can constitute fair working conditions and the preservation of the local cultures (</w:t>
      </w:r>
      <w:proofErr w:type="spellStart"/>
      <w:r>
        <w:rPr>
          <w:rFonts w:ascii="Times New Roman" w:eastAsia="Times New Roman" w:hAnsi="Times New Roman" w:cs="Times New Roman"/>
          <w:sz w:val="24"/>
          <w:szCs w:val="24"/>
        </w:rPr>
        <w:t>Khojastehpour</w:t>
      </w:r>
      <w:proofErr w:type="spellEnd"/>
      <w:r>
        <w:rPr>
          <w:rFonts w:ascii="Times New Roman" w:eastAsia="Times New Roman" w:hAnsi="Times New Roman" w:cs="Times New Roman"/>
          <w:sz w:val="24"/>
          <w:szCs w:val="24"/>
        </w:rPr>
        <w:t xml:space="preserve"> and Saleh, 2020). In addition, the financial burden on CSR is consistent with a premium image of luxury brands that attract conscientious consumers concerned about nature and society.</w:t>
      </w:r>
    </w:p>
    <w:p w14:paraId="5AD2173F" w14:textId="77777777" w:rsidR="00215F15" w:rsidRDefault="004D2AC9" w:rsidP="00BD3DA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rPr>
        <w:drawing>
          <wp:inline distT="114300" distB="114300" distL="114300" distR="114300" wp14:anchorId="545DD96C" wp14:editId="2F6ADCF3">
            <wp:extent cx="5943600" cy="33401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14:paraId="48D2B5AF" w14:textId="77777777" w:rsidR="00215F15" w:rsidRDefault="004D2AC9" w:rsidP="00BD3DA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Corporate Social Responsibility commitment</w:t>
      </w:r>
    </w:p>
    <w:p w14:paraId="5690E6B2" w14:textId="77777777" w:rsidR="00215F15" w:rsidRDefault="004D2AC9" w:rsidP="00BD3DA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Loor</w:t>
      </w:r>
      <w:proofErr w:type="spellEnd"/>
      <w:r>
        <w:rPr>
          <w:rFonts w:ascii="Times New Roman" w:eastAsia="Times New Roman" w:hAnsi="Times New Roman" w:cs="Times New Roman"/>
          <w:sz w:val="24"/>
          <w:szCs w:val="24"/>
        </w:rPr>
        <w:t xml:space="preserve">-Zambrano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w:t>
      </w:r>
    </w:p>
    <w:p w14:paraId="0FEF18A1" w14:textId="77777777" w:rsidR="00215F15" w:rsidRDefault="004D2AC9" w:rsidP="00BD3D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contrast, Ibis Hotels which operates within the mid-range and budget markets seems to concentrate on CSR initiatives that can be scaled up as well as cost-effective (</w:t>
      </w:r>
      <w:proofErr w:type="spellStart"/>
      <w:r>
        <w:rPr>
          <w:rFonts w:ascii="Times New Roman" w:eastAsia="Times New Roman" w:hAnsi="Times New Roman" w:cs="Times New Roman"/>
          <w:sz w:val="24"/>
          <w:szCs w:val="24"/>
        </w:rPr>
        <w:t>Sciarelli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Financial obligations involve sustainable activities, including energy and resource preservation in </w:t>
      </w:r>
      <w:r>
        <w:rPr>
          <w:rFonts w:ascii="Times New Roman" w:eastAsia="Times New Roman" w:hAnsi="Times New Roman" w:cs="Times New Roman"/>
          <w:sz w:val="24"/>
          <w:szCs w:val="24"/>
        </w:rPr>
        <w:lastRenderedPageBreak/>
        <w:t>their undertakings as well as connecting with the community through collaborations of local charitable organizations or social business partnerships (</w:t>
      </w:r>
      <w:proofErr w:type="spellStart"/>
      <w:r>
        <w:rPr>
          <w:rFonts w:ascii="Times New Roman" w:eastAsia="Times New Roman" w:hAnsi="Times New Roman" w:cs="Times New Roman"/>
          <w:sz w:val="24"/>
          <w:szCs w:val="24"/>
        </w:rPr>
        <w:t>Alatawi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2023). Ethics in business may touch on proper standards of labor and the reputable identification or sourcing of responsible products. The financial implication of CSR for Ibis is based on realizable initiatives that strike a balance between the budget traveler customer and being socially responsible within environmental causes.</w:t>
      </w:r>
    </w:p>
    <w:p w14:paraId="6290836C" w14:textId="77777777" w:rsidR="00215F15" w:rsidRDefault="004D2AC9" w:rsidP="00BD3DA7">
      <w:pPr>
        <w:pStyle w:val="Heading1"/>
        <w:spacing w:line="360" w:lineRule="auto"/>
      </w:pPr>
      <w:bookmarkStart w:id="6" w:name="_Toc156930079"/>
      <w:r>
        <w:t>Conclusion</w:t>
      </w:r>
      <w:bookmarkEnd w:id="6"/>
    </w:p>
    <w:p w14:paraId="5D0EA325" w14:textId="77777777" w:rsidR="00215F15" w:rsidRDefault="004D2AC9" w:rsidP="00BD3D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summary,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and Ibis Hotels are companies catering to different market segments within the hospitality industry, and luxury and budget markets respectively. The growth of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is based on the selective expansion within high-end niches, but Ibis benefits from a franchising approach to ensure its wide penetration. Financial commitments to corporate social responsibility clearly show how they possess market positions. Such an extensive analysis highlights the differences in strategies between these hotel chains and allows them to identify competitive relations within the changing environment of today’s hospitality industry.</w:t>
      </w:r>
    </w:p>
    <w:p w14:paraId="1595A546" w14:textId="77777777" w:rsidR="00215F15" w:rsidRDefault="004D2AC9" w:rsidP="00BD3DA7">
      <w:pPr>
        <w:pStyle w:val="Heading1"/>
        <w:spacing w:line="360" w:lineRule="auto"/>
      </w:pPr>
      <w:bookmarkStart w:id="7" w:name="_Toc156930080"/>
      <w:r>
        <w:t>Recommendations</w:t>
      </w:r>
      <w:bookmarkEnd w:id="7"/>
    </w:p>
    <w:p w14:paraId="28F23850" w14:textId="77777777" w:rsidR="00215F15" w:rsidRDefault="004D2AC9" w:rsidP="00BD3D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proofErr w:type="spellStart"/>
      <w:r>
        <w:rPr>
          <w:rFonts w:ascii="Times New Roman" w:eastAsia="Times New Roman" w:hAnsi="Times New Roman" w:cs="Times New Roman"/>
          <w:sz w:val="24"/>
          <w:szCs w:val="24"/>
        </w:rPr>
        <w:t>Corinthia</w:t>
      </w:r>
      <w:proofErr w:type="spellEnd"/>
      <w:r>
        <w:rPr>
          <w:rFonts w:ascii="Times New Roman" w:eastAsia="Times New Roman" w:hAnsi="Times New Roman" w:cs="Times New Roman"/>
          <w:sz w:val="24"/>
          <w:szCs w:val="24"/>
        </w:rPr>
        <w:t xml:space="preserve"> Hotels, the most logical recommendation is to increase differentiation and innovation within their luxury category. However, their strategies have to be supplemented by investment in sustainable competitiveness and resilience towards global economic shifts while retaining the nature of exclusivity. This is consistent with their premium end positioning and mitigates possible weaknesses. For Ibis Hotels, the recommendation should be focused on better local customer engagement and regulatory compliance by admitting that constant revision is needed in different markets. This is in line with their wide target market coverage and solves the competitiveness problems of both middle-scale as well as low budget hotel accommodation businesses such conundrums relate to on-sale shares prices. </w:t>
      </w:r>
      <w:r>
        <w:br w:type="page"/>
      </w:r>
    </w:p>
    <w:p w14:paraId="6F670C48" w14:textId="77777777" w:rsidR="00215F15" w:rsidRDefault="004D2AC9" w:rsidP="00BD3DA7">
      <w:pPr>
        <w:pStyle w:val="Heading1"/>
        <w:spacing w:line="360" w:lineRule="auto"/>
      </w:pPr>
      <w:bookmarkStart w:id="8" w:name="_Toc156930081"/>
      <w:r>
        <w:lastRenderedPageBreak/>
        <w:t>References</w:t>
      </w:r>
      <w:bookmarkEnd w:id="8"/>
    </w:p>
    <w:p w14:paraId="5F4F2156"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Achmad</w:t>
      </w:r>
      <w:proofErr w:type="spellEnd"/>
      <w:r>
        <w:rPr>
          <w:rFonts w:ascii="Times New Roman" w:eastAsia="Times New Roman" w:hAnsi="Times New Roman" w:cs="Times New Roman"/>
          <w:color w:val="222222"/>
          <w:sz w:val="24"/>
          <w:szCs w:val="24"/>
          <w:highlight w:val="white"/>
        </w:rPr>
        <w:t xml:space="preserve">, W. and </w:t>
      </w:r>
      <w:proofErr w:type="spellStart"/>
      <w:r>
        <w:rPr>
          <w:rFonts w:ascii="Times New Roman" w:eastAsia="Times New Roman" w:hAnsi="Times New Roman" w:cs="Times New Roman"/>
          <w:color w:val="222222"/>
          <w:sz w:val="24"/>
          <w:szCs w:val="24"/>
          <w:highlight w:val="white"/>
        </w:rPr>
        <w:t>Yulianah</w:t>
      </w:r>
      <w:proofErr w:type="spellEnd"/>
      <w:r>
        <w:rPr>
          <w:rFonts w:ascii="Times New Roman" w:eastAsia="Times New Roman" w:hAnsi="Times New Roman" w:cs="Times New Roman"/>
          <w:color w:val="222222"/>
          <w:sz w:val="24"/>
          <w:szCs w:val="24"/>
          <w:highlight w:val="white"/>
        </w:rPr>
        <w:t xml:space="preserve">, Y., (2022). Corporate social responsibility of the hospitality industry in realizing sustainable tourism development. </w:t>
      </w:r>
      <w:r>
        <w:rPr>
          <w:rFonts w:ascii="Times New Roman" w:eastAsia="Times New Roman" w:hAnsi="Times New Roman" w:cs="Times New Roman"/>
          <w:i/>
          <w:color w:val="222222"/>
          <w:sz w:val="24"/>
          <w:szCs w:val="24"/>
          <w:highlight w:val="white"/>
        </w:rPr>
        <w:t>Enrichment: Journal of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(2), pp.1610-1616.</w:t>
      </w:r>
    </w:p>
    <w:p w14:paraId="79BED1C1"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Alatawi</w:t>
      </w:r>
      <w:proofErr w:type="spellEnd"/>
      <w:r>
        <w:rPr>
          <w:rFonts w:ascii="Times New Roman" w:eastAsia="Times New Roman" w:hAnsi="Times New Roman" w:cs="Times New Roman"/>
          <w:color w:val="222222"/>
          <w:sz w:val="24"/>
          <w:szCs w:val="24"/>
          <w:highlight w:val="white"/>
        </w:rPr>
        <w:t xml:space="preserve">, I.A., </w:t>
      </w:r>
      <w:proofErr w:type="spellStart"/>
      <w:r>
        <w:rPr>
          <w:rFonts w:ascii="Times New Roman" w:eastAsia="Times New Roman" w:hAnsi="Times New Roman" w:cs="Times New Roman"/>
          <w:color w:val="222222"/>
          <w:sz w:val="24"/>
          <w:szCs w:val="24"/>
          <w:highlight w:val="white"/>
        </w:rPr>
        <w:t>Ntim</w:t>
      </w:r>
      <w:proofErr w:type="spellEnd"/>
      <w:r>
        <w:rPr>
          <w:rFonts w:ascii="Times New Roman" w:eastAsia="Times New Roman" w:hAnsi="Times New Roman" w:cs="Times New Roman"/>
          <w:color w:val="222222"/>
          <w:sz w:val="24"/>
          <w:szCs w:val="24"/>
          <w:highlight w:val="white"/>
        </w:rPr>
        <w:t xml:space="preserve">, C.G., </w:t>
      </w:r>
      <w:proofErr w:type="spellStart"/>
      <w:r>
        <w:rPr>
          <w:rFonts w:ascii="Times New Roman" w:eastAsia="Times New Roman" w:hAnsi="Times New Roman" w:cs="Times New Roman"/>
          <w:color w:val="222222"/>
          <w:sz w:val="24"/>
          <w:szCs w:val="24"/>
          <w:highlight w:val="white"/>
        </w:rPr>
        <w:t>Zras</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Elmagrhi</w:t>
      </w:r>
      <w:proofErr w:type="spellEnd"/>
      <w:r>
        <w:rPr>
          <w:rFonts w:ascii="Times New Roman" w:eastAsia="Times New Roman" w:hAnsi="Times New Roman" w:cs="Times New Roman"/>
          <w:color w:val="222222"/>
          <w:sz w:val="24"/>
          <w:szCs w:val="24"/>
          <w:highlight w:val="white"/>
        </w:rPr>
        <w:t xml:space="preserve">, M.H., (2023). CSR, financial and non-financial performance in the tourism sector: A systematic literature review and future research agenda. </w:t>
      </w:r>
      <w:r>
        <w:rPr>
          <w:rFonts w:ascii="Times New Roman" w:eastAsia="Times New Roman" w:hAnsi="Times New Roman" w:cs="Times New Roman"/>
          <w:i/>
          <w:color w:val="222222"/>
          <w:sz w:val="24"/>
          <w:szCs w:val="24"/>
          <w:highlight w:val="white"/>
        </w:rPr>
        <w:t>International Review of Financial Analysis</w:t>
      </w:r>
      <w:r>
        <w:rPr>
          <w:rFonts w:ascii="Times New Roman" w:eastAsia="Times New Roman" w:hAnsi="Times New Roman" w:cs="Times New Roman"/>
          <w:color w:val="222222"/>
          <w:sz w:val="24"/>
          <w:szCs w:val="24"/>
          <w:highlight w:val="white"/>
        </w:rPr>
        <w:t>, p.102734.</w:t>
      </w:r>
    </w:p>
    <w:p w14:paraId="2881E06F"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All.accor.com, (2024) [online] </w:t>
      </w:r>
      <w:r>
        <w:rPr>
          <w:rFonts w:ascii="Times New Roman" w:eastAsia="Times New Roman" w:hAnsi="Times New Roman" w:cs="Times New Roman"/>
          <w:i/>
          <w:color w:val="222222"/>
          <w:sz w:val="24"/>
          <w:szCs w:val="24"/>
          <w:highlight w:val="white"/>
        </w:rPr>
        <w:t xml:space="preserve">VIBRANT HOTELS, CARING PEOPLE. </w:t>
      </w:r>
      <w:r>
        <w:rPr>
          <w:rFonts w:ascii="Times New Roman" w:eastAsia="Times New Roman" w:hAnsi="Times New Roman" w:cs="Times New Roman"/>
          <w:color w:val="222222"/>
          <w:sz w:val="24"/>
          <w:szCs w:val="24"/>
          <w:highlight w:val="white"/>
        </w:rPr>
        <w:t xml:space="preserve">Available at: </w:t>
      </w:r>
      <w:hyperlink r:id="rId10">
        <w:r>
          <w:rPr>
            <w:rFonts w:ascii="Times New Roman" w:eastAsia="Times New Roman" w:hAnsi="Times New Roman" w:cs="Times New Roman"/>
            <w:color w:val="1155CC"/>
            <w:sz w:val="24"/>
            <w:szCs w:val="24"/>
            <w:highlight w:val="white"/>
            <w:u w:val="single"/>
          </w:rPr>
          <w:t>https://all.accor.com/brands/ibis.en.shtml</w:t>
        </w:r>
      </w:hyperlink>
      <w:r>
        <w:rPr>
          <w:rFonts w:ascii="Times New Roman" w:eastAsia="Times New Roman" w:hAnsi="Times New Roman" w:cs="Times New Roman"/>
          <w:color w:val="222222"/>
          <w:sz w:val="24"/>
          <w:szCs w:val="24"/>
          <w:highlight w:val="white"/>
        </w:rPr>
        <w:t xml:space="preserve"> [Accessed on: 23rd January 2024]</w:t>
      </w:r>
    </w:p>
    <w:p w14:paraId="198BDDF7"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Alrawadieh</w:t>
      </w:r>
      <w:proofErr w:type="spellEnd"/>
      <w:r>
        <w:rPr>
          <w:rFonts w:ascii="Times New Roman" w:eastAsia="Times New Roman" w:hAnsi="Times New Roman" w:cs="Times New Roman"/>
          <w:color w:val="222222"/>
          <w:sz w:val="24"/>
          <w:szCs w:val="24"/>
          <w:highlight w:val="white"/>
        </w:rPr>
        <w:t xml:space="preserve">, Z., </w:t>
      </w:r>
      <w:proofErr w:type="spellStart"/>
      <w:r>
        <w:rPr>
          <w:rFonts w:ascii="Times New Roman" w:eastAsia="Times New Roman" w:hAnsi="Times New Roman" w:cs="Times New Roman"/>
          <w:color w:val="222222"/>
          <w:sz w:val="24"/>
          <w:szCs w:val="24"/>
          <w:highlight w:val="white"/>
        </w:rPr>
        <w:t>Alrawadieh</w:t>
      </w:r>
      <w:proofErr w:type="spellEnd"/>
      <w:r>
        <w:rPr>
          <w:rFonts w:ascii="Times New Roman" w:eastAsia="Times New Roman" w:hAnsi="Times New Roman" w:cs="Times New Roman"/>
          <w:color w:val="222222"/>
          <w:sz w:val="24"/>
          <w:szCs w:val="24"/>
          <w:highlight w:val="white"/>
        </w:rPr>
        <w:t xml:space="preserve">, Z. and Cetin, G., (2021). Digital transformation and revenue management: Evidence from the hotel industry. </w:t>
      </w:r>
      <w:r>
        <w:rPr>
          <w:rFonts w:ascii="Times New Roman" w:eastAsia="Times New Roman" w:hAnsi="Times New Roman" w:cs="Times New Roman"/>
          <w:i/>
          <w:color w:val="222222"/>
          <w:sz w:val="24"/>
          <w:szCs w:val="24"/>
          <w:highlight w:val="white"/>
        </w:rPr>
        <w:t>Tourism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(2), pp.328-345.</w:t>
      </w:r>
    </w:p>
    <w:p w14:paraId="25CF05D4"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Brykova</w:t>
      </w:r>
      <w:proofErr w:type="spellEnd"/>
      <w:r>
        <w:rPr>
          <w:rFonts w:ascii="Times New Roman" w:eastAsia="Times New Roman" w:hAnsi="Times New Roman" w:cs="Times New Roman"/>
          <w:color w:val="222222"/>
          <w:sz w:val="24"/>
          <w:szCs w:val="24"/>
          <w:highlight w:val="white"/>
        </w:rPr>
        <w:t xml:space="preserve">, T., </w:t>
      </w:r>
      <w:proofErr w:type="spellStart"/>
      <w:r>
        <w:rPr>
          <w:rFonts w:ascii="Times New Roman" w:eastAsia="Times New Roman" w:hAnsi="Times New Roman" w:cs="Times New Roman"/>
          <w:color w:val="222222"/>
          <w:sz w:val="24"/>
          <w:szCs w:val="24"/>
          <w:highlight w:val="white"/>
        </w:rPr>
        <w:t>Postova</w:t>
      </w:r>
      <w:proofErr w:type="spellEnd"/>
      <w:r>
        <w:rPr>
          <w:rFonts w:ascii="Times New Roman" w:eastAsia="Times New Roman" w:hAnsi="Times New Roman" w:cs="Times New Roman"/>
          <w:color w:val="222222"/>
          <w:sz w:val="24"/>
          <w:szCs w:val="24"/>
          <w:highlight w:val="white"/>
        </w:rPr>
        <w:t xml:space="preserve">, V., </w:t>
      </w:r>
      <w:proofErr w:type="spellStart"/>
      <w:r>
        <w:rPr>
          <w:rFonts w:ascii="Times New Roman" w:eastAsia="Times New Roman" w:hAnsi="Times New Roman" w:cs="Times New Roman"/>
          <w:color w:val="222222"/>
          <w:sz w:val="24"/>
          <w:szCs w:val="24"/>
          <w:highlight w:val="white"/>
        </w:rPr>
        <w:t>Mazurkevych</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Kiziun</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Semko</w:t>
      </w:r>
      <w:proofErr w:type="spellEnd"/>
      <w:r>
        <w:rPr>
          <w:rFonts w:ascii="Times New Roman" w:eastAsia="Times New Roman" w:hAnsi="Times New Roman" w:cs="Times New Roman"/>
          <w:color w:val="222222"/>
          <w:sz w:val="24"/>
          <w:szCs w:val="24"/>
          <w:highlight w:val="white"/>
        </w:rPr>
        <w:t xml:space="preserve">, T., (2023). Social and economic potential of the EU countries’ tourism and hospitality industry. </w:t>
      </w:r>
      <w:r>
        <w:rPr>
          <w:rFonts w:ascii="Times New Roman" w:eastAsia="Times New Roman" w:hAnsi="Times New Roman" w:cs="Times New Roman"/>
          <w:i/>
          <w:color w:val="222222"/>
          <w:sz w:val="24"/>
          <w:szCs w:val="24"/>
          <w:highlight w:val="white"/>
        </w:rPr>
        <w:t>Sport and Tourism Central European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pp.133-151.</w:t>
      </w:r>
    </w:p>
    <w:p w14:paraId="121F593B"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Corinthia.com, (2024) [online] </w:t>
      </w:r>
      <w:r>
        <w:rPr>
          <w:rFonts w:ascii="Times New Roman" w:eastAsia="Times New Roman" w:hAnsi="Times New Roman" w:cs="Times New Roman"/>
          <w:i/>
          <w:color w:val="222222"/>
          <w:sz w:val="24"/>
          <w:szCs w:val="24"/>
          <w:highlight w:val="white"/>
        </w:rPr>
        <w:t xml:space="preserve">ELEGANT SURROUNDINGS and exquisite moments </w:t>
      </w:r>
      <w:r>
        <w:rPr>
          <w:rFonts w:ascii="Times New Roman" w:eastAsia="Times New Roman" w:hAnsi="Times New Roman" w:cs="Times New Roman"/>
          <w:color w:val="222222"/>
          <w:sz w:val="24"/>
          <w:szCs w:val="24"/>
          <w:highlight w:val="white"/>
        </w:rPr>
        <w:t xml:space="preserve">Available at: </w:t>
      </w:r>
      <w:hyperlink r:id="rId11">
        <w:r>
          <w:rPr>
            <w:rFonts w:ascii="Times New Roman" w:eastAsia="Times New Roman" w:hAnsi="Times New Roman" w:cs="Times New Roman"/>
            <w:color w:val="1155CC"/>
            <w:sz w:val="24"/>
            <w:szCs w:val="24"/>
            <w:highlight w:val="white"/>
            <w:u w:val="single"/>
          </w:rPr>
          <w:t>https://www.corinthia.com/en-gb/</w:t>
        </w:r>
      </w:hyperlink>
      <w:r>
        <w:rPr>
          <w:rFonts w:ascii="Times New Roman" w:eastAsia="Times New Roman" w:hAnsi="Times New Roman" w:cs="Times New Roman"/>
          <w:color w:val="222222"/>
          <w:sz w:val="24"/>
          <w:szCs w:val="24"/>
          <w:highlight w:val="white"/>
        </w:rPr>
        <w:t xml:space="preserve"> [Accessed on: 23rd January 2024]</w:t>
      </w:r>
    </w:p>
    <w:p w14:paraId="57AEDD49"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Crespí-Cladera</w:t>
      </w:r>
      <w:proofErr w:type="spellEnd"/>
      <w:r>
        <w:rPr>
          <w:rFonts w:ascii="Times New Roman" w:eastAsia="Times New Roman" w:hAnsi="Times New Roman" w:cs="Times New Roman"/>
          <w:color w:val="222222"/>
          <w:sz w:val="24"/>
          <w:szCs w:val="24"/>
          <w:highlight w:val="white"/>
        </w:rPr>
        <w:t xml:space="preserve">, R., Martín-Oliver, A. and </w:t>
      </w:r>
      <w:proofErr w:type="spellStart"/>
      <w:r>
        <w:rPr>
          <w:rFonts w:ascii="Times New Roman" w:eastAsia="Times New Roman" w:hAnsi="Times New Roman" w:cs="Times New Roman"/>
          <w:color w:val="222222"/>
          <w:sz w:val="24"/>
          <w:szCs w:val="24"/>
          <w:highlight w:val="white"/>
        </w:rPr>
        <w:t>Pascual-Fuster</w:t>
      </w:r>
      <w:proofErr w:type="spellEnd"/>
      <w:r>
        <w:rPr>
          <w:rFonts w:ascii="Times New Roman" w:eastAsia="Times New Roman" w:hAnsi="Times New Roman" w:cs="Times New Roman"/>
          <w:color w:val="222222"/>
          <w:sz w:val="24"/>
          <w:szCs w:val="24"/>
          <w:highlight w:val="white"/>
        </w:rPr>
        <w:t xml:space="preserve">, B., (2021). Financial distress in the hospitality industry during the Covid-19 disaster. </w:t>
      </w:r>
      <w:r>
        <w:rPr>
          <w:rFonts w:ascii="Times New Roman" w:eastAsia="Times New Roman" w:hAnsi="Times New Roman" w:cs="Times New Roman"/>
          <w:i/>
          <w:color w:val="222222"/>
          <w:sz w:val="24"/>
          <w:szCs w:val="24"/>
          <w:highlight w:val="white"/>
        </w:rPr>
        <w:t>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85</w:t>
      </w:r>
      <w:r>
        <w:rPr>
          <w:rFonts w:ascii="Times New Roman" w:eastAsia="Times New Roman" w:hAnsi="Times New Roman" w:cs="Times New Roman"/>
          <w:color w:val="222222"/>
          <w:sz w:val="24"/>
          <w:szCs w:val="24"/>
          <w:highlight w:val="white"/>
        </w:rPr>
        <w:t>, p.104301.</w:t>
      </w:r>
    </w:p>
    <w:p w14:paraId="6A6C23D7"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Davahli</w:t>
      </w:r>
      <w:proofErr w:type="spellEnd"/>
      <w:r>
        <w:rPr>
          <w:rFonts w:ascii="Times New Roman" w:eastAsia="Times New Roman" w:hAnsi="Times New Roman" w:cs="Times New Roman"/>
          <w:color w:val="222222"/>
          <w:sz w:val="24"/>
          <w:szCs w:val="24"/>
          <w:highlight w:val="white"/>
        </w:rPr>
        <w:t xml:space="preserve">, M.R., </w:t>
      </w:r>
      <w:proofErr w:type="spellStart"/>
      <w:r>
        <w:rPr>
          <w:rFonts w:ascii="Times New Roman" w:eastAsia="Times New Roman" w:hAnsi="Times New Roman" w:cs="Times New Roman"/>
          <w:color w:val="222222"/>
          <w:sz w:val="24"/>
          <w:szCs w:val="24"/>
          <w:highlight w:val="white"/>
        </w:rPr>
        <w:t>Karwowski</w:t>
      </w:r>
      <w:proofErr w:type="spellEnd"/>
      <w:r>
        <w:rPr>
          <w:rFonts w:ascii="Times New Roman" w:eastAsia="Times New Roman" w:hAnsi="Times New Roman" w:cs="Times New Roman"/>
          <w:color w:val="222222"/>
          <w:sz w:val="24"/>
          <w:szCs w:val="24"/>
          <w:highlight w:val="white"/>
        </w:rPr>
        <w:t xml:space="preserve">, W., </w:t>
      </w:r>
      <w:proofErr w:type="spellStart"/>
      <w:r>
        <w:rPr>
          <w:rFonts w:ascii="Times New Roman" w:eastAsia="Times New Roman" w:hAnsi="Times New Roman" w:cs="Times New Roman"/>
          <w:color w:val="222222"/>
          <w:sz w:val="24"/>
          <w:szCs w:val="24"/>
          <w:highlight w:val="white"/>
        </w:rPr>
        <w:t>Sonmez</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Apostolopoulos</w:t>
      </w:r>
      <w:proofErr w:type="spellEnd"/>
      <w:r>
        <w:rPr>
          <w:rFonts w:ascii="Times New Roman" w:eastAsia="Times New Roman" w:hAnsi="Times New Roman" w:cs="Times New Roman"/>
          <w:color w:val="222222"/>
          <w:sz w:val="24"/>
          <w:szCs w:val="24"/>
          <w:highlight w:val="white"/>
        </w:rPr>
        <w:t xml:space="preserve">, Y., (2020). The hospitality industry in the face of the COVID-19 pandemic: Current topics and research methods. </w:t>
      </w:r>
      <w:r>
        <w:rPr>
          <w:rFonts w:ascii="Times New Roman" w:eastAsia="Times New Roman" w:hAnsi="Times New Roman" w:cs="Times New Roman"/>
          <w:i/>
          <w:color w:val="222222"/>
          <w:sz w:val="24"/>
          <w:szCs w:val="24"/>
          <w:highlight w:val="white"/>
        </w:rPr>
        <w:t>International journal of environmental research and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(20), p.7366.</w:t>
      </w:r>
    </w:p>
    <w:p w14:paraId="51A7E5A4"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Denizci</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Guillet</w:t>
      </w:r>
      <w:proofErr w:type="spellEnd"/>
      <w:r>
        <w:rPr>
          <w:rFonts w:ascii="Times New Roman" w:eastAsia="Times New Roman" w:hAnsi="Times New Roman" w:cs="Times New Roman"/>
          <w:color w:val="222222"/>
          <w:sz w:val="24"/>
          <w:szCs w:val="24"/>
          <w:highlight w:val="white"/>
        </w:rPr>
        <w:t xml:space="preserve">, B., (2020). An evolutionary analysis of revenue management research in hospitality and tourism: is there a paradigm </w:t>
      </w:r>
      <w:proofErr w:type="gramStart"/>
      <w:r>
        <w:rPr>
          <w:rFonts w:ascii="Times New Roman" w:eastAsia="Times New Roman" w:hAnsi="Times New Roman" w:cs="Times New Roman"/>
          <w:color w:val="222222"/>
          <w:sz w:val="24"/>
          <w:szCs w:val="24"/>
          <w:highlight w:val="white"/>
        </w:rPr>
        <w:t>shift?.</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(2), pp.560-587.</w:t>
      </w:r>
    </w:p>
    <w:p w14:paraId="3121AC0E"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Floričić</w:t>
      </w:r>
      <w:proofErr w:type="spellEnd"/>
      <w:r>
        <w:rPr>
          <w:rFonts w:ascii="Times New Roman" w:eastAsia="Times New Roman" w:hAnsi="Times New Roman" w:cs="Times New Roman"/>
          <w:color w:val="222222"/>
          <w:sz w:val="24"/>
          <w:szCs w:val="24"/>
          <w:highlight w:val="white"/>
        </w:rPr>
        <w:t xml:space="preserve">, T., (2020). Sustainable solutions in the hospitality industry and competitiveness context of “green hotels”. </w:t>
      </w:r>
      <w:r>
        <w:rPr>
          <w:rFonts w:ascii="Times New Roman" w:eastAsia="Times New Roman" w:hAnsi="Times New Roman" w:cs="Times New Roman"/>
          <w:i/>
          <w:color w:val="222222"/>
          <w:sz w:val="24"/>
          <w:szCs w:val="24"/>
          <w:highlight w:val="white"/>
        </w:rPr>
        <w:t>Civil Engineering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(6), pp.1104-1113.</w:t>
      </w:r>
    </w:p>
    <w:p w14:paraId="73D26901"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 C.Y., Tsai, B.H., Chen, C.S. and Lu, M.T., (2021). Exploring green marketing orientations toward sustainability the hospitality industry in the COVID-19 pandemic.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(8), p.4348.</w:t>
      </w:r>
    </w:p>
    <w:p w14:paraId="6A1335FC"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Honchar</w:t>
      </w:r>
      <w:proofErr w:type="spellEnd"/>
      <w:r>
        <w:rPr>
          <w:rFonts w:ascii="Times New Roman" w:eastAsia="Times New Roman" w:hAnsi="Times New Roman" w:cs="Times New Roman"/>
          <w:color w:val="222222"/>
          <w:sz w:val="24"/>
          <w:szCs w:val="24"/>
          <w:highlight w:val="white"/>
        </w:rPr>
        <w:t xml:space="preserve">, L., </w:t>
      </w:r>
      <w:proofErr w:type="spellStart"/>
      <w:r>
        <w:rPr>
          <w:rFonts w:ascii="Times New Roman" w:eastAsia="Times New Roman" w:hAnsi="Times New Roman" w:cs="Times New Roman"/>
          <w:color w:val="222222"/>
          <w:sz w:val="24"/>
          <w:szCs w:val="24"/>
          <w:highlight w:val="white"/>
        </w:rPr>
        <w:t>Verezomska</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Zavadynska</w:t>
      </w:r>
      <w:proofErr w:type="spellEnd"/>
      <w:r>
        <w:rPr>
          <w:rFonts w:ascii="Times New Roman" w:eastAsia="Times New Roman" w:hAnsi="Times New Roman" w:cs="Times New Roman"/>
          <w:color w:val="222222"/>
          <w:sz w:val="24"/>
          <w:szCs w:val="24"/>
          <w:highlight w:val="white"/>
        </w:rPr>
        <w:t xml:space="preserve">, O., </w:t>
      </w:r>
      <w:proofErr w:type="spellStart"/>
      <w:r>
        <w:rPr>
          <w:rFonts w:ascii="Times New Roman" w:eastAsia="Times New Roman" w:hAnsi="Times New Roman" w:cs="Times New Roman"/>
          <w:color w:val="222222"/>
          <w:sz w:val="24"/>
          <w:szCs w:val="24"/>
          <w:highlight w:val="white"/>
        </w:rPr>
        <w:t>Neilenko</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Sapelnikova</w:t>
      </w:r>
      <w:proofErr w:type="spellEnd"/>
      <w:r>
        <w:rPr>
          <w:rFonts w:ascii="Times New Roman" w:eastAsia="Times New Roman" w:hAnsi="Times New Roman" w:cs="Times New Roman"/>
          <w:color w:val="222222"/>
          <w:sz w:val="24"/>
          <w:szCs w:val="24"/>
          <w:highlight w:val="white"/>
        </w:rPr>
        <w:t xml:space="preserve">, N. and Krupa, I., (2023). Impact Investing in the Hospitality Industry: Social Responsibility and Economic Benefits. </w:t>
      </w:r>
      <w:r>
        <w:rPr>
          <w:rFonts w:ascii="Times New Roman" w:eastAsia="Times New Roman" w:hAnsi="Times New Roman" w:cs="Times New Roman"/>
          <w:i/>
          <w:color w:val="222222"/>
          <w:sz w:val="24"/>
          <w:szCs w:val="24"/>
          <w:highlight w:val="white"/>
        </w:rPr>
        <w:t>WSEAS Transactions on Environment and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 pp.1008-1016.</w:t>
      </w:r>
    </w:p>
    <w:p w14:paraId="7E0AF0AA"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Khojastehpour</w:t>
      </w:r>
      <w:proofErr w:type="spellEnd"/>
      <w:r>
        <w:rPr>
          <w:rFonts w:ascii="Times New Roman" w:eastAsia="Times New Roman" w:hAnsi="Times New Roman" w:cs="Times New Roman"/>
          <w:color w:val="222222"/>
          <w:sz w:val="24"/>
          <w:szCs w:val="24"/>
          <w:highlight w:val="white"/>
        </w:rPr>
        <w:t xml:space="preserve">, M. and Saleh, M.A., (2020). The effect of CSR commitment on firms’ level of internationalization. </w:t>
      </w:r>
      <w:r>
        <w:rPr>
          <w:rFonts w:ascii="Times New Roman" w:eastAsia="Times New Roman" w:hAnsi="Times New Roman" w:cs="Times New Roman"/>
          <w:i/>
          <w:color w:val="222222"/>
          <w:sz w:val="24"/>
          <w:szCs w:val="24"/>
          <w:highlight w:val="white"/>
        </w:rPr>
        <w:t>Social Responsibility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(8), pp.1415-1432.</w:t>
      </w:r>
    </w:p>
    <w:p w14:paraId="04BFAE16"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Liu, M.T., Wang, S., McCartney, G. and Wong, I.A., (2021). Taking a break is for accomplishing a longer journey: hospitality industry in Macao under the COVID-19 pandemic.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(4), pp.1249-1275.</w:t>
      </w:r>
    </w:p>
    <w:p w14:paraId="48862D13"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Loor</w:t>
      </w:r>
      <w:proofErr w:type="spellEnd"/>
      <w:r>
        <w:rPr>
          <w:rFonts w:ascii="Times New Roman" w:eastAsia="Times New Roman" w:hAnsi="Times New Roman" w:cs="Times New Roman"/>
          <w:color w:val="222222"/>
          <w:sz w:val="24"/>
          <w:szCs w:val="24"/>
          <w:highlight w:val="white"/>
        </w:rPr>
        <w:t>-Zambrano, H.Y., Santos-</w:t>
      </w:r>
      <w:proofErr w:type="spellStart"/>
      <w:r>
        <w:rPr>
          <w:rFonts w:ascii="Times New Roman" w:eastAsia="Times New Roman" w:hAnsi="Times New Roman" w:cs="Times New Roman"/>
          <w:color w:val="222222"/>
          <w:sz w:val="24"/>
          <w:szCs w:val="24"/>
          <w:highlight w:val="white"/>
        </w:rPr>
        <w:t>Roldán</w:t>
      </w:r>
      <w:proofErr w:type="spellEnd"/>
      <w:r>
        <w:rPr>
          <w:rFonts w:ascii="Times New Roman" w:eastAsia="Times New Roman" w:hAnsi="Times New Roman" w:cs="Times New Roman"/>
          <w:color w:val="222222"/>
          <w:sz w:val="24"/>
          <w:szCs w:val="24"/>
          <w:highlight w:val="white"/>
        </w:rPr>
        <w:t xml:space="preserve">, L. and Palacios-Florencio, B., (2022). Relationship CSR and employee commitment: Mediating effects of internal motivation and trust. </w:t>
      </w:r>
      <w:r>
        <w:rPr>
          <w:rFonts w:ascii="Times New Roman" w:eastAsia="Times New Roman" w:hAnsi="Times New Roman" w:cs="Times New Roman"/>
          <w:i/>
          <w:color w:val="222222"/>
          <w:sz w:val="24"/>
          <w:szCs w:val="24"/>
          <w:highlight w:val="white"/>
        </w:rPr>
        <w:t>European research on management and business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(2), p.100185.</w:t>
      </w:r>
    </w:p>
    <w:p w14:paraId="5E7C1CC0"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Roozen</w:t>
      </w:r>
      <w:proofErr w:type="spellEnd"/>
      <w:r>
        <w:rPr>
          <w:rFonts w:ascii="Times New Roman" w:eastAsia="Times New Roman" w:hAnsi="Times New Roman" w:cs="Times New Roman"/>
          <w:color w:val="222222"/>
          <w:sz w:val="24"/>
          <w:szCs w:val="24"/>
          <w:highlight w:val="white"/>
        </w:rPr>
        <w:t xml:space="preserve">, I., (2023). Determinants of an effective Instagram post for the hospitality industry. </w:t>
      </w:r>
      <w:r>
        <w:rPr>
          <w:rFonts w:ascii="Times New Roman" w:eastAsia="Times New Roman" w:hAnsi="Times New Roman" w:cs="Times New Roman"/>
          <w:i/>
          <w:color w:val="222222"/>
          <w:sz w:val="24"/>
          <w:szCs w:val="24"/>
          <w:highlight w:val="white"/>
        </w:rPr>
        <w:t>Journal of Vacation Marketing</w:t>
      </w:r>
      <w:r>
        <w:rPr>
          <w:rFonts w:ascii="Times New Roman" w:eastAsia="Times New Roman" w:hAnsi="Times New Roman" w:cs="Times New Roman"/>
          <w:color w:val="222222"/>
          <w:sz w:val="24"/>
          <w:szCs w:val="24"/>
          <w:highlight w:val="white"/>
        </w:rPr>
        <w:t>, p.13567667231214632.</w:t>
      </w:r>
    </w:p>
    <w:p w14:paraId="5A67CC56"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Safaeva</w:t>
      </w:r>
      <w:proofErr w:type="spellEnd"/>
      <w:r>
        <w:rPr>
          <w:rFonts w:ascii="Times New Roman" w:eastAsia="Times New Roman" w:hAnsi="Times New Roman" w:cs="Times New Roman"/>
          <w:color w:val="222222"/>
          <w:sz w:val="24"/>
          <w:szCs w:val="24"/>
          <w:highlight w:val="white"/>
        </w:rPr>
        <w:t xml:space="preserve">, S.R., </w:t>
      </w:r>
      <w:proofErr w:type="spellStart"/>
      <w:r>
        <w:rPr>
          <w:rFonts w:ascii="Times New Roman" w:eastAsia="Times New Roman" w:hAnsi="Times New Roman" w:cs="Times New Roman"/>
          <w:color w:val="222222"/>
          <w:sz w:val="24"/>
          <w:szCs w:val="24"/>
          <w:highlight w:val="white"/>
        </w:rPr>
        <w:t>Alieva</w:t>
      </w:r>
      <w:proofErr w:type="spellEnd"/>
      <w:r>
        <w:rPr>
          <w:rFonts w:ascii="Times New Roman" w:eastAsia="Times New Roman" w:hAnsi="Times New Roman" w:cs="Times New Roman"/>
          <w:color w:val="222222"/>
          <w:sz w:val="24"/>
          <w:szCs w:val="24"/>
          <w:highlight w:val="white"/>
        </w:rPr>
        <w:t xml:space="preserve">, M.T., </w:t>
      </w:r>
      <w:proofErr w:type="spellStart"/>
      <w:r>
        <w:rPr>
          <w:rFonts w:ascii="Times New Roman" w:eastAsia="Times New Roman" w:hAnsi="Times New Roman" w:cs="Times New Roman"/>
          <w:color w:val="222222"/>
          <w:sz w:val="24"/>
          <w:szCs w:val="24"/>
          <w:highlight w:val="white"/>
        </w:rPr>
        <w:t>Abdukhalilova</w:t>
      </w:r>
      <w:proofErr w:type="spellEnd"/>
      <w:r>
        <w:rPr>
          <w:rFonts w:ascii="Times New Roman" w:eastAsia="Times New Roman" w:hAnsi="Times New Roman" w:cs="Times New Roman"/>
          <w:color w:val="222222"/>
          <w:sz w:val="24"/>
          <w:szCs w:val="24"/>
          <w:highlight w:val="white"/>
        </w:rPr>
        <w:t xml:space="preserve">, L.T., </w:t>
      </w:r>
      <w:proofErr w:type="spellStart"/>
      <w:r>
        <w:rPr>
          <w:rFonts w:ascii="Times New Roman" w:eastAsia="Times New Roman" w:hAnsi="Times New Roman" w:cs="Times New Roman"/>
          <w:color w:val="222222"/>
          <w:sz w:val="24"/>
          <w:szCs w:val="24"/>
          <w:highlight w:val="white"/>
        </w:rPr>
        <w:t>Alimkhodjaeva</w:t>
      </w:r>
      <w:proofErr w:type="spellEnd"/>
      <w:r>
        <w:rPr>
          <w:rFonts w:ascii="Times New Roman" w:eastAsia="Times New Roman" w:hAnsi="Times New Roman" w:cs="Times New Roman"/>
          <w:color w:val="222222"/>
          <w:sz w:val="24"/>
          <w:szCs w:val="24"/>
          <w:highlight w:val="white"/>
        </w:rPr>
        <w:t xml:space="preserve">, N.E. and </w:t>
      </w:r>
      <w:proofErr w:type="spellStart"/>
      <w:r>
        <w:rPr>
          <w:rFonts w:ascii="Times New Roman" w:eastAsia="Times New Roman" w:hAnsi="Times New Roman" w:cs="Times New Roman"/>
          <w:color w:val="222222"/>
          <w:sz w:val="24"/>
          <w:szCs w:val="24"/>
          <w:highlight w:val="white"/>
        </w:rPr>
        <w:t>Konovalova</w:t>
      </w:r>
      <w:proofErr w:type="spellEnd"/>
      <w:r>
        <w:rPr>
          <w:rFonts w:ascii="Times New Roman" w:eastAsia="Times New Roman" w:hAnsi="Times New Roman" w:cs="Times New Roman"/>
          <w:color w:val="222222"/>
          <w:sz w:val="24"/>
          <w:szCs w:val="24"/>
          <w:highlight w:val="white"/>
        </w:rPr>
        <w:t xml:space="preserve">, E.E., (2020). Organizational and economic aspects of the development of the international tourism and hospitality industry. </w:t>
      </w:r>
      <w:r>
        <w:rPr>
          <w:rFonts w:ascii="Times New Roman" w:eastAsia="Times New Roman" w:hAnsi="Times New Roman" w:cs="Times New Roman"/>
          <w:i/>
          <w:color w:val="222222"/>
          <w:sz w:val="24"/>
          <w:szCs w:val="24"/>
          <w:highlight w:val="white"/>
        </w:rPr>
        <w:t>Journal of Environmental Management and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(4), pp.913-919.</w:t>
      </w:r>
    </w:p>
    <w:p w14:paraId="5B16F03C"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Sciarelli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Tani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Landi</w:t>
      </w:r>
      <w:proofErr w:type="spellEnd"/>
      <w:r>
        <w:rPr>
          <w:rFonts w:ascii="Times New Roman" w:eastAsia="Times New Roman" w:hAnsi="Times New Roman" w:cs="Times New Roman"/>
          <w:color w:val="222222"/>
          <w:sz w:val="24"/>
          <w:szCs w:val="24"/>
          <w:highlight w:val="white"/>
        </w:rPr>
        <w:t xml:space="preserve">, G. and </w:t>
      </w:r>
      <w:proofErr w:type="spellStart"/>
      <w:r>
        <w:rPr>
          <w:rFonts w:ascii="Times New Roman" w:eastAsia="Times New Roman" w:hAnsi="Times New Roman" w:cs="Times New Roman"/>
          <w:color w:val="222222"/>
          <w:sz w:val="24"/>
          <w:szCs w:val="24"/>
          <w:highlight w:val="white"/>
        </w:rPr>
        <w:t>Turriziani</w:t>
      </w:r>
      <w:proofErr w:type="spellEnd"/>
      <w:r>
        <w:rPr>
          <w:rFonts w:ascii="Times New Roman" w:eastAsia="Times New Roman" w:hAnsi="Times New Roman" w:cs="Times New Roman"/>
          <w:color w:val="222222"/>
          <w:sz w:val="24"/>
          <w:szCs w:val="24"/>
          <w:highlight w:val="white"/>
        </w:rPr>
        <w:t xml:space="preserve">, L., (2020). CSR perception and financial performance: Evidences from Italian and UK asset management companies. </w:t>
      </w:r>
      <w:r>
        <w:rPr>
          <w:rFonts w:ascii="Times New Roman" w:eastAsia="Times New Roman" w:hAnsi="Times New Roman" w:cs="Times New Roman"/>
          <w:i/>
          <w:color w:val="222222"/>
          <w:sz w:val="24"/>
          <w:szCs w:val="24"/>
          <w:highlight w:val="white"/>
        </w:rPr>
        <w:t>Corporate Social Responsibility and Environmental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(2), pp.841-851.</w:t>
      </w:r>
    </w:p>
    <w:p w14:paraId="1A0B0457"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Sorin</w:t>
      </w:r>
      <w:proofErr w:type="spellEnd"/>
      <w:r>
        <w:rPr>
          <w:rFonts w:ascii="Times New Roman" w:eastAsia="Times New Roman" w:hAnsi="Times New Roman" w:cs="Times New Roman"/>
          <w:color w:val="222222"/>
          <w:sz w:val="24"/>
          <w:szCs w:val="24"/>
          <w:highlight w:val="white"/>
        </w:rPr>
        <w:t xml:space="preserve">, F. and </w:t>
      </w:r>
      <w:proofErr w:type="spellStart"/>
      <w:r>
        <w:rPr>
          <w:rFonts w:ascii="Times New Roman" w:eastAsia="Times New Roman" w:hAnsi="Times New Roman" w:cs="Times New Roman"/>
          <w:color w:val="222222"/>
          <w:sz w:val="24"/>
          <w:szCs w:val="24"/>
          <w:highlight w:val="white"/>
        </w:rPr>
        <w:t>Sivarajah</w:t>
      </w:r>
      <w:proofErr w:type="spellEnd"/>
      <w:r>
        <w:rPr>
          <w:rFonts w:ascii="Times New Roman" w:eastAsia="Times New Roman" w:hAnsi="Times New Roman" w:cs="Times New Roman"/>
          <w:color w:val="222222"/>
          <w:sz w:val="24"/>
          <w:szCs w:val="24"/>
          <w:highlight w:val="white"/>
        </w:rPr>
        <w:t xml:space="preserve">, U., (2021). Exploring Circular economy in the hospitality industry: empirical evidence from Scandinavian hotel operators. </w:t>
      </w:r>
      <w:r>
        <w:rPr>
          <w:rFonts w:ascii="Times New Roman" w:eastAsia="Times New Roman" w:hAnsi="Times New Roman" w:cs="Times New Roman"/>
          <w:i/>
          <w:color w:val="222222"/>
          <w:sz w:val="24"/>
          <w:szCs w:val="24"/>
          <w:highlight w:val="white"/>
        </w:rPr>
        <w:t>Scandinavian Journal of Hospitality and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(3), pp.265-285.</w:t>
      </w:r>
    </w:p>
    <w:p w14:paraId="33B24F94" w14:textId="77777777" w:rsidR="00E159C5" w:rsidRDefault="00E159C5" w:rsidP="00BD3DA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Statista.com, (2024) [online] </w:t>
      </w:r>
      <w:r>
        <w:rPr>
          <w:rFonts w:ascii="Times New Roman" w:eastAsia="Times New Roman" w:hAnsi="Times New Roman" w:cs="Times New Roman"/>
          <w:i/>
          <w:color w:val="222222"/>
          <w:sz w:val="24"/>
          <w:szCs w:val="24"/>
          <w:highlight w:val="white"/>
        </w:rPr>
        <w:t>Revenue of the hotels market worldwide from 2019 to 2028</w:t>
      </w:r>
      <w:r>
        <w:rPr>
          <w:rFonts w:ascii="Times New Roman" w:eastAsia="Times New Roman" w:hAnsi="Times New Roman" w:cs="Times New Roman"/>
          <w:color w:val="222222"/>
          <w:sz w:val="24"/>
          <w:szCs w:val="24"/>
          <w:highlight w:val="white"/>
        </w:rPr>
        <w:t xml:space="preserve"> Available at: </w:t>
      </w:r>
      <w:hyperlink r:id="rId12">
        <w:r>
          <w:rPr>
            <w:rFonts w:ascii="Times New Roman" w:eastAsia="Times New Roman" w:hAnsi="Times New Roman" w:cs="Times New Roman"/>
            <w:color w:val="1155CC"/>
            <w:sz w:val="24"/>
            <w:szCs w:val="24"/>
            <w:highlight w:val="white"/>
            <w:u w:val="single"/>
          </w:rPr>
          <w:t>https://www.statista.com/forecasts/891187/revenue-in-the-hotels-market-worldwide</w:t>
        </w:r>
      </w:hyperlink>
      <w:r>
        <w:rPr>
          <w:rFonts w:ascii="Times New Roman" w:eastAsia="Times New Roman" w:hAnsi="Times New Roman" w:cs="Times New Roman"/>
          <w:color w:val="222222"/>
          <w:sz w:val="24"/>
          <w:szCs w:val="24"/>
          <w:highlight w:val="white"/>
        </w:rPr>
        <w:t xml:space="preserve"> [Accessed on: 23rd January 2024]</w:t>
      </w:r>
    </w:p>
    <w:p w14:paraId="5AA3AFAA" w14:textId="77777777" w:rsidR="00215F15" w:rsidRDefault="00215F15" w:rsidP="00BD3DA7">
      <w:pPr>
        <w:spacing w:line="360" w:lineRule="auto"/>
        <w:jc w:val="both"/>
        <w:rPr>
          <w:rFonts w:ascii="Times New Roman" w:eastAsia="Times New Roman" w:hAnsi="Times New Roman" w:cs="Times New Roman"/>
          <w:b/>
          <w:sz w:val="24"/>
          <w:szCs w:val="24"/>
        </w:rPr>
      </w:pPr>
    </w:p>
    <w:p w14:paraId="5496F0DC" w14:textId="77777777" w:rsidR="00215F15" w:rsidRDefault="00215F15" w:rsidP="00BD3DA7">
      <w:pPr>
        <w:spacing w:line="360" w:lineRule="auto"/>
        <w:jc w:val="both"/>
        <w:rPr>
          <w:rFonts w:ascii="Times New Roman" w:eastAsia="Times New Roman" w:hAnsi="Times New Roman" w:cs="Times New Roman"/>
          <w:b/>
          <w:sz w:val="24"/>
          <w:szCs w:val="24"/>
        </w:rPr>
      </w:pPr>
    </w:p>
    <w:p w14:paraId="3DA31B89" w14:textId="77777777" w:rsidR="00215F15" w:rsidRDefault="00215F15" w:rsidP="00BD3DA7">
      <w:pPr>
        <w:spacing w:line="360" w:lineRule="auto"/>
        <w:jc w:val="both"/>
        <w:rPr>
          <w:rFonts w:ascii="Times New Roman" w:eastAsia="Times New Roman" w:hAnsi="Times New Roman" w:cs="Times New Roman"/>
          <w:b/>
          <w:sz w:val="24"/>
          <w:szCs w:val="24"/>
        </w:rPr>
      </w:pPr>
    </w:p>
    <w:p w14:paraId="35643B06" w14:textId="77777777" w:rsidR="00215F15" w:rsidRDefault="00215F15" w:rsidP="00BD3DA7">
      <w:pPr>
        <w:spacing w:line="360" w:lineRule="auto"/>
        <w:jc w:val="both"/>
        <w:rPr>
          <w:rFonts w:ascii="Times New Roman" w:eastAsia="Times New Roman" w:hAnsi="Times New Roman" w:cs="Times New Roman"/>
          <w:b/>
          <w:sz w:val="24"/>
          <w:szCs w:val="24"/>
        </w:rPr>
      </w:pPr>
    </w:p>
    <w:sectPr w:rsidR="00215F15" w:rsidSect="00E159C5">
      <w:footerReference w:type="default" r:id="rId1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BA9A55" w14:textId="77777777" w:rsidR="00F4488F" w:rsidRDefault="00F4488F" w:rsidP="00E159C5">
      <w:pPr>
        <w:spacing w:line="240" w:lineRule="auto"/>
      </w:pPr>
      <w:r>
        <w:separator/>
      </w:r>
    </w:p>
  </w:endnote>
  <w:endnote w:type="continuationSeparator" w:id="0">
    <w:p w14:paraId="074BFF46" w14:textId="77777777" w:rsidR="00F4488F" w:rsidRDefault="00F4488F" w:rsidP="00E159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16917661"/>
      <w:docPartObj>
        <w:docPartGallery w:val="Page Numbers (Bottom of Page)"/>
        <w:docPartUnique/>
      </w:docPartObj>
    </w:sdtPr>
    <w:sdtEndPr>
      <w:rPr>
        <w:noProof/>
      </w:rPr>
    </w:sdtEndPr>
    <w:sdtContent>
      <w:p w14:paraId="52D09C6D" w14:textId="190F6522" w:rsidR="00E159C5" w:rsidRDefault="00E159C5">
        <w:pPr>
          <w:pStyle w:val="Footer"/>
          <w:jc w:val="right"/>
        </w:pPr>
        <w:r>
          <w:fldChar w:fldCharType="begin"/>
        </w:r>
        <w:r>
          <w:instrText xml:space="preserve"> PAGE   \* MERGEFORMAT </w:instrText>
        </w:r>
        <w:r>
          <w:fldChar w:fldCharType="separate"/>
        </w:r>
        <w:r w:rsidR="00E14574">
          <w:rPr>
            <w:noProof/>
          </w:rPr>
          <w:t>10</w:t>
        </w:r>
        <w:r>
          <w:rPr>
            <w:noProof/>
          </w:rPr>
          <w:fldChar w:fldCharType="end"/>
        </w:r>
      </w:p>
    </w:sdtContent>
  </w:sdt>
  <w:p w14:paraId="280DF18B" w14:textId="77777777" w:rsidR="00E159C5" w:rsidRDefault="00E159C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7CFE59" w14:textId="77777777" w:rsidR="00F4488F" w:rsidRDefault="00F4488F" w:rsidP="00E159C5">
      <w:pPr>
        <w:spacing w:line="240" w:lineRule="auto"/>
      </w:pPr>
      <w:r>
        <w:separator/>
      </w:r>
    </w:p>
  </w:footnote>
  <w:footnote w:type="continuationSeparator" w:id="0">
    <w:p w14:paraId="1CE9BEEC" w14:textId="77777777" w:rsidR="00F4488F" w:rsidRDefault="00F4488F" w:rsidP="00E159C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F15"/>
    <w:rsid w:val="00215F15"/>
    <w:rsid w:val="003D6D57"/>
    <w:rsid w:val="004D2AC9"/>
    <w:rsid w:val="00BD3DA7"/>
    <w:rsid w:val="00D0319E"/>
    <w:rsid w:val="00E14574"/>
    <w:rsid w:val="00E159C5"/>
    <w:rsid w:val="00F44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6B311"/>
  <w15:docId w15:val="{5FA55386-4D2C-452E-AE6B-80FBF184C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E159C5"/>
    <w:pPr>
      <w:keepNext/>
      <w:keepLines/>
      <w:spacing w:before="400" w:after="120" w:line="480" w:lineRule="auto"/>
      <w:jc w:val="both"/>
      <w:outlineLvl w:val="0"/>
    </w:pPr>
    <w:rPr>
      <w:rFonts w:ascii="Times New Roman" w:hAnsi="Times New Roman" w:cs="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E159C5"/>
    <w:pPr>
      <w:tabs>
        <w:tab w:val="center" w:pos="4513"/>
        <w:tab w:val="right" w:pos="9026"/>
      </w:tabs>
      <w:spacing w:line="240" w:lineRule="auto"/>
    </w:pPr>
  </w:style>
  <w:style w:type="character" w:customStyle="1" w:styleId="HeaderChar">
    <w:name w:val="Header Char"/>
    <w:basedOn w:val="DefaultParagraphFont"/>
    <w:link w:val="Header"/>
    <w:uiPriority w:val="99"/>
    <w:rsid w:val="00E159C5"/>
  </w:style>
  <w:style w:type="paragraph" w:styleId="Footer">
    <w:name w:val="footer"/>
    <w:basedOn w:val="Normal"/>
    <w:link w:val="FooterChar"/>
    <w:uiPriority w:val="99"/>
    <w:unhideWhenUsed/>
    <w:rsid w:val="00E159C5"/>
    <w:pPr>
      <w:tabs>
        <w:tab w:val="center" w:pos="4513"/>
        <w:tab w:val="right" w:pos="9026"/>
      </w:tabs>
      <w:spacing w:line="240" w:lineRule="auto"/>
    </w:pPr>
  </w:style>
  <w:style w:type="character" w:customStyle="1" w:styleId="FooterChar">
    <w:name w:val="Footer Char"/>
    <w:basedOn w:val="DefaultParagraphFont"/>
    <w:link w:val="Footer"/>
    <w:uiPriority w:val="99"/>
    <w:rsid w:val="00E159C5"/>
  </w:style>
  <w:style w:type="paragraph" w:styleId="TOCHeading">
    <w:name w:val="TOC Heading"/>
    <w:basedOn w:val="Heading1"/>
    <w:next w:val="Normal"/>
    <w:uiPriority w:val="39"/>
    <w:unhideWhenUsed/>
    <w:qFormat/>
    <w:rsid w:val="00E159C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159C5"/>
    <w:pPr>
      <w:spacing w:after="100"/>
    </w:pPr>
  </w:style>
  <w:style w:type="character" w:styleId="Hyperlink">
    <w:name w:val="Hyperlink"/>
    <w:basedOn w:val="DefaultParagraphFont"/>
    <w:uiPriority w:val="99"/>
    <w:unhideWhenUsed/>
    <w:rsid w:val="00E159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tista.com/forecasts/891187/revenue-in-the-hotels-market-worldwid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orinthia.com/en-gb/"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all.accor.com/brands/ibis.en.s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AA837D-E363-4337-932D-03A864DE9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13</Pages>
  <Words>3071</Words>
  <Characters>17508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anca moraru</cp:lastModifiedBy>
  <cp:revision>4</cp:revision>
  <dcterms:created xsi:type="dcterms:W3CDTF">2024-01-23T13:47:00Z</dcterms:created>
  <dcterms:modified xsi:type="dcterms:W3CDTF">2024-02-01T21:48:00Z</dcterms:modified>
</cp:coreProperties>
</file>