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C9BA97" w14:textId="493569D3" w:rsidR="000C3C28" w:rsidRPr="000C3C28" w:rsidRDefault="005A69B7" w:rsidP="00943B19">
      <w:pPr>
        <w:spacing w:line="360" w:lineRule="auto"/>
        <w:jc w:val="center"/>
      </w:pPr>
      <w:r w:rsidRPr="000C3C28">
        <w:rPr>
          <w:noProof/>
        </w:rPr>
        <w:drawing>
          <wp:inline distT="0" distB="0" distL="0" distR="0" wp14:anchorId="21299F4B" wp14:editId="54D0B957">
            <wp:extent cx="3314472" cy="1327150"/>
            <wp:effectExtent l="0" t="0" r="635" b="6350"/>
            <wp:docPr id="11726415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7738" cy="1328458"/>
                    </a:xfrm>
                    <a:prstGeom prst="rect">
                      <a:avLst/>
                    </a:prstGeom>
                    <a:noFill/>
                    <a:ln>
                      <a:noFill/>
                    </a:ln>
                  </pic:spPr>
                </pic:pic>
              </a:graphicData>
            </a:graphic>
          </wp:inline>
        </w:drawing>
      </w:r>
    </w:p>
    <w:p w14:paraId="640824BF" w14:textId="77777777" w:rsidR="000C3C28" w:rsidRPr="000C3C28" w:rsidRDefault="000C3C28" w:rsidP="00943B19">
      <w:pPr>
        <w:spacing w:line="360" w:lineRule="auto"/>
        <w:jc w:val="center"/>
      </w:pPr>
    </w:p>
    <w:p w14:paraId="277690D3" w14:textId="3513A37F" w:rsidR="000C3C28" w:rsidRPr="00ED07B7" w:rsidRDefault="000C3C28" w:rsidP="00943B19">
      <w:pPr>
        <w:spacing w:line="360" w:lineRule="auto"/>
        <w:jc w:val="center"/>
        <w:rPr>
          <w:b/>
          <w:bCs/>
          <w:sz w:val="28"/>
          <w:szCs w:val="28"/>
        </w:rPr>
      </w:pPr>
      <w:r w:rsidRPr="00ED07B7">
        <w:rPr>
          <w:b/>
          <w:bCs/>
          <w:sz w:val="28"/>
          <w:szCs w:val="28"/>
        </w:rPr>
        <w:t xml:space="preserve">Student Name: </w:t>
      </w:r>
      <w:r w:rsidR="005A69B7" w:rsidRPr="00ED07B7">
        <w:rPr>
          <w:b/>
          <w:bCs/>
          <w:sz w:val="28"/>
          <w:szCs w:val="28"/>
        </w:rPr>
        <w:t>MD MAHTABUR RAHMAN TAREK</w:t>
      </w:r>
    </w:p>
    <w:p w14:paraId="6A898F84" w14:textId="77777777" w:rsidR="005A69B7" w:rsidRDefault="000C3C28" w:rsidP="005A69B7">
      <w:pPr>
        <w:jc w:val="center"/>
      </w:pPr>
      <w:r w:rsidRPr="00ED07B7">
        <w:rPr>
          <w:b/>
          <w:bCs/>
          <w:sz w:val="28"/>
          <w:szCs w:val="28"/>
        </w:rPr>
        <w:t xml:space="preserve">Student ID: </w:t>
      </w:r>
      <w:r w:rsidR="005A69B7" w:rsidRPr="00ED07B7">
        <w:rPr>
          <w:b/>
          <w:bCs/>
          <w:sz w:val="28"/>
          <w:szCs w:val="28"/>
        </w:rPr>
        <w:t>2504937</w:t>
      </w:r>
    </w:p>
    <w:p w14:paraId="0A9EB58A" w14:textId="3A53B89C" w:rsidR="000C3C28" w:rsidRPr="00ED07B7" w:rsidRDefault="000C3C28" w:rsidP="00943B19">
      <w:pPr>
        <w:spacing w:line="360" w:lineRule="auto"/>
        <w:jc w:val="center"/>
        <w:rPr>
          <w:b/>
          <w:bCs/>
          <w:sz w:val="28"/>
          <w:szCs w:val="28"/>
        </w:rPr>
      </w:pPr>
    </w:p>
    <w:p w14:paraId="5C7FD2EF" w14:textId="77777777" w:rsidR="004F5863" w:rsidRPr="000C3C28" w:rsidRDefault="004F5863" w:rsidP="00943B19">
      <w:pPr>
        <w:spacing w:line="360" w:lineRule="auto"/>
        <w:jc w:val="center"/>
        <w:rPr>
          <w:b/>
          <w:bCs/>
        </w:rPr>
      </w:pPr>
    </w:p>
    <w:p w14:paraId="50049EFB" w14:textId="4B0CE8D7" w:rsidR="003C08A4" w:rsidRPr="007213F3" w:rsidRDefault="000C3C28" w:rsidP="007213F3">
      <w:pPr>
        <w:spacing w:line="360" w:lineRule="auto"/>
        <w:jc w:val="center"/>
        <w:rPr>
          <w:b/>
          <w:bCs/>
          <w:sz w:val="28"/>
          <w:szCs w:val="28"/>
        </w:rPr>
      </w:pPr>
      <w:r w:rsidRPr="00ED07B7">
        <w:rPr>
          <w:b/>
          <w:bCs/>
          <w:sz w:val="28"/>
          <w:szCs w:val="28"/>
        </w:rPr>
        <w:t xml:space="preserve">Lecturer’s Name: </w:t>
      </w:r>
      <w:r w:rsidR="00ED07B7" w:rsidRPr="00ED07B7">
        <w:rPr>
          <w:b/>
          <w:bCs/>
          <w:sz w:val="28"/>
          <w:szCs w:val="28"/>
        </w:rPr>
        <w:t xml:space="preserve">Dr </w:t>
      </w:r>
      <w:proofErr w:type="spellStart"/>
      <w:r w:rsidR="00ED07B7" w:rsidRPr="00ED07B7">
        <w:rPr>
          <w:b/>
          <w:bCs/>
          <w:sz w:val="28"/>
          <w:szCs w:val="28"/>
        </w:rPr>
        <w:t>Shengfeng</w:t>
      </w:r>
      <w:proofErr w:type="spellEnd"/>
      <w:r w:rsidR="00ED07B7" w:rsidRPr="00ED07B7">
        <w:rPr>
          <w:b/>
          <w:bCs/>
          <w:sz w:val="28"/>
          <w:szCs w:val="28"/>
        </w:rPr>
        <w:t xml:space="preserve"> Mei</w:t>
      </w:r>
    </w:p>
    <w:p w14:paraId="297BDF32" w14:textId="77777777" w:rsidR="00ED07B7" w:rsidRDefault="00ED07B7" w:rsidP="00943B19">
      <w:pPr>
        <w:spacing w:line="360" w:lineRule="auto"/>
      </w:pPr>
    </w:p>
    <w:p w14:paraId="606D6B70" w14:textId="0599100E" w:rsidR="000C3C28" w:rsidRPr="00160A75" w:rsidRDefault="000C3C28" w:rsidP="00943B19">
      <w:pPr>
        <w:spacing w:line="360" w:lineRule="auto"/>
        <w:jc w:val="center"/>
        <w:rPr>
          <w:b/>
          <w:bCs/>
        </w:rPr>
      </w:pPr>
      <w:r w:rsidRPr="00160A75">
        <w:rPr>
          <w:b/>
          <w:bCs/>
        </w:rPr>
        <w:t>Module Name:</w:t>
      </w:r>
      <w:r w:rsidR="003961A4">
        <w:rPr>
          <w:b/>
          <w:bCs/>
        </w:rPr>
        <w:t xml:space="preserve"> </w:t>
      </w:r>
      <w:r w:rsidR="003961A4" w:rsidRPr="003961A4">
        <w:rPr>
          <w:b/>
          <w:bCs/>
        </w:rPr>
        <w:t>Financial Management</w:t>
      </w:r>
    </w:p>
    <w:p w14:paraId="60BF8559" w14:textId="74BA3B29" w:rsidR="000C3C28" w:rsidRPr="00160A75" w:rsidRDefault="000C3C28" w:rsidP="00943B19">
      <w:pPr>
        <w:spacing w:line="360" w:lineRule="auto"/>
        <w:jc w:val="center"/>
        <w:rPr>
          <w:b/>
          <w:bCs/>
        </w:rPr>
      </w:pPr>
      <w:r w:rsidRPr="00160A75">
        <w:rPr>
          <w:b/>
          <w:bCs/>
        </w:rPr>
        <w:t>Module Code:</w:t>
      </w:r>
      <w:r w:rsidR="003961A4">
        <w:rPr>
          <w:b/>
          <w:bCs/>
        </w:rPr>
        <w:t xml:space="preserve"> </w:t>
      </w:r>
      <w:r w:rsidR="003961A4" w:rsidRPr="003961A4">
        <w:rPr>
          <w:b/>
          <w:bCs/>
        </w:rPr>
        <w:t>LCMB7002</w:t>
      </w:r>
    </w:p>
    <w:p w14:paraId="31549C1E" w14:textId="77777777" w:rsidR="006E0BF6" w:rsidRDefault="006E0BF6" w:rsidP="00943B19">
      <w:pPr>
        <w:spacing w:line="360" w:lineRule="auto"/>
      </w:pPr>
    </w:p>
    <w:p w14:paraId="585B611A" w14:textId="77777777" w:rsidR="00ED07B7" w:rsidRDefault="00ED07B7" w:rsidP="00943B19">
      <w:pPr>
        <w:spacing w:line="360" w:lineRule="auto"/>
      </w:pPr>
    </w:p>
    <w:p w14:paraId="1677827F" w14:textId="105C736A" w:rsidR="006E0BF6" w:rsidRPr="006E0BF6" w:rsidRDefault="006E0BF6" w:rsidP="00943B19">
      <w:pPr>
        <w:spacing w:line="360" w:lineRule="auto"/>
        <w:jc w:val="center"/>
        <w:rPr>
          <w:b/>
          <w:bCs/>
          <w:sz w:val="32"/>
          <w:szCs w:val="32"/>
        </w:rPr>
      </w:pPr>
      <w:r w:rsidRPr="006E0BF6">
        <w:rPr>
          <w:b/>
          <w:bCs/>
          <w:sz w:val="32"/>
          <w:szCs w:val="32"/>
        </w:rPr>
        <w:t xml:space="preserve">Title: Financial performance evaluation and turnaround strategy for </w:t>
      </w:r>
      <w:r w:rsidR="007213F3">
        <w:rPr>
          <w:b/>
          <w:bCs/>
          <w:sz w:val="32"/>
          <w:szCs w:val="32"/>
        </w:rPr>
        <w:t>General Electronics</w:t>
      </w:r>
    </w:p>
    <w:p w14:paraId="0258F125" w14:textId="77777777" w:rsidR="006E0BF6" w:rsidRDefault="006E0BF6" w:rsidP="00943B19">
      <w:pPr>
        <w:spacing w:line="360" w:lineRule="auto"/>
      </w:pPr>
    </w:p>
    <w:p w14:paraId="7545995F" w14:textId="77777777" w:rsidR="006E0BF6" w:rsidRDefault="006E0BF6" w:rsidP="00943B19">
      <w:pPr>
        <w:spacing w:line="360" w:lineRule="auto"/>
      </w:pPr>
    </w:p>
    <w:p w14:paraId="3A3776A6" w14:textId="77777777" w:rsidR="00160A75" w:rsidRPr="00160A75" w:rsidRDefault="00160A75" w:rsidP="00943B19">
      <w:pPr>
        <w:spacing w:line="360" w:lineRule="auto"/>
        <w:jc w:val="center"/>
        <w:rPr>
          <w:b/>
          <w:bCs/>
        </w:rPr>
      </w:pPr>
    </w:p>
    <w:p w14:paraId="4099F14E" w14:textId="77777777" w:rsidR="00160A75" w:rsidRDefault="00160A75" w:rsidP="00943B19">
      <w:pPr>
        <w:spacing w:line="360" w:lineRule="auto"/>
        <w:jc w:val="center"/>
        <w:rPr>
          <w:b/>
          <w:bCs/>
        </w:rPr>
      </w:pPr>
    </w:p>
    <w:p w14:paraId="1286876D" w14:textId="77777777" w:rsidR="006E0BF6" w:rsidRDefault="006E0BF6" w:rsidP="00943B19">
      <w:pPr>
        <w:spacing w:line="360" w:lineRule="auto"/>
      </w:pPr>
    </w:p>
    <w:p w14:paraId="1790302D" w14:textId="77777777" w:rsidR="00B83498" w:rsidRPr="006E0BF6" w:rsidRDefault="00B83498" w:rsidP="00943B19">
      <w:pPr>
        <w:spacing w:line="360" w:lineRule="auto"/>
        <w:rPr>
          <w:b/>
          <w:bCs/>
        </w:rPr>
      </w:pPr>
      <w:r w:rsidRPr="006E0BF6">
        <w:rPr>
          <w:b/>
          <w:bCs/>
        </w:rPr>
        <w:lastRenderedPageBreak/>
        <w:t>Executive Summary</w:t>
      </w:r>
    </w:p>
    <w:p w14:paraId="1194F0AA" w14:textId="68228B9F" w:rsidR="00B83498" w:rsidRDefault="00B83498" w:rsidP="00943B19">
      <w:pPr>
        <w:spacing w:line="360" w:lineRule="auto"/>
      </w:pPr>
      <w:r>
        <w:t xml:space="preserve">General Electronics is a multinational company, and it belongs to a highly competitive consumer electronics market and has lost colossal loss in terms of financial performance over the last five-year period. The financial statement analysis of the company shows that it is losing its profitability, the liquidity is becoming less, the management of the working capital is not efficient and the company is progressively becoming dependent on the liquidity provided by short-term means. Analysis of ratios indicates that the operating and net margin is negative over the past few years and the liquidity ratios indicates that the degree of reluctance to pay off the short-term liabilities is increasing. The efficiency ratios indicate that they have a high turnover of their inventory and slow to collect receivables all </w:t>
      </w:r>
      <w:r w:rsidR="000E4EDC">
        <w:t>these</w:t>
      </w:r>
      <w:r>
        <w:t xml:space="preserve"> points to the pressure in cash flow. In addition to this, the Altman Z-Score puts the company in a poor financial position, which implies that there are high probabilities that the company is in financial distress unless remedial action is taken.</w:t>
      </w:r>
    </w:p>
    <w:p w14:paraId="19E153B8" w14:textId="77777777" w:rsidR="00B83498" w:rsidRDefault="00B83498" w:rsidP="00943B19">
      <w:pPr>
        <w:spacing w:line="360" w:lineRule="auto"/>
      </w:pPr>
      <w:r>
        <w:t>They are to be solved with a full-fledged strategy restructure plan, which is financial in nature to revive the balance sheet strength and grow the operational strength. The important recommendations are the selective disposal of the assets, equipping through financing both equity and debt plus strategic alliance as a method of improving their financial condition and competitiveness in the global arena. Moreover, three suggested projects were appraised on the basis of investment grounds about capital budgeting in capital restriction of PS 60 million. The best value addition project would be project C because of its high NPV, IRR and index of profitability although it is a risky project. To balance the cash flows, General Electronics can achieve the right balance between the liquidity management and the restructuring process to the letter, which will restore the investor confidence and leave the company on a long-term sustainable growth path.</w:t>
      </w:r>
    </w:p>
    <w:p w14:paraId="745588E4" w14:textId="77777777" w:rsidR="00B83498" w:rsidRDefault="00B83498" w:rsidP="00943B19">
      <w:pPr>
        <w:spacing w:line="360" w:lineRule="auto"/>
      </w:pPr>
    </w:p>
    <w:p w14:paraId="590DC9AF" w14:textId="77777777" w:rsidR="005B7E18" w:rsidRDefault="005B7E18" w:rsidP="00943B19">
      <w:pPr>
        <w:spacing w:line="360" w:lineRule="auto"/>
      </w:pPr>
    </w:p>
    <w:p w14:paraId="18F7409D" w14:textId="77777777" w:rsidR="000E4EDC" w:rsidRDefault="000E4EDC" w:rsidP="00943B19">
      <w:pPr>
        <w:spacing w:line="360" w:lineRule="auto"/>
      </w:pPr>
    </w:p>
    <w:p w14:paraId="3F82A004" w14:textId="77777777" w:rsidR="000E4EDC" w:rsidRDefault="000E4EDC" w:rsidP="00943B19">
      <w:pPr>
        <w:spacing w:line="360" w:lineRule="auto"/>
      </w:pPr>
    </w:p>
    <w:sdt>
      <w:sdtPr>
        <w:rPr>
          <w:rFonts w:ascii="Times New Roman" w:eastAsiaTheme="minorHAnsi" w:hAnsi="Times New Roman" w:cstheme="minorBidi"/>
          <w:color w:val="auto"/>
          <w:kern w:val="2"/>
          <w:sz w:val="24"/>
          <w:szCs w:val="22"/>
          <w:lang w:eastAsia="en-US"/>
          <w14:ligatures w14:val="standardContextual"/>
        </w:rPr>
        <w:id w:val="-1927035048"/>
        <w:docPartObj>
          <w:docPartGallery w:val="Table of Contents"/>
          <w:docPartUnique/>
        </w:docPartObj>
      </w:sdtPr>
      <w:sdtEndPr>
        <w:rPr>
          <w:b/>
          <w:bCs/>
        </w:rPr>
      </w:sdtEndPr>
      <w:sdtContent>
        <w:p w14:paraId="3D7AF9D0" w14:textId="554B5893" w:rsidR="00160A75" w:rsidRPr="00160A75" w:rsidRDefault="00160A75" w:rsidP="00943B19">
          <w:pPr>
            <w:pStyle w:val="TOCHeading"/>
            <w:spacing w:line="360" w:lineRule="auto"/>
            <w:rPr>
              <w:rFonts w:ascii="Times New Roman" w:hAnsi="Times New Roman" w:cs="Times New Roman"/>
              <w:b/>
              <w:bCs/>
            </w:rPr>
          </w:pPr>
          <w:r w:rsidRPr="00160A75">
            <w:rPr>
              <w:rFonts w:ascii="Times New Roman" w:hAnsi="Times New Roman" w:cs="Times New Roman"/>
              <w:b/>
              <w:bCs/>
            </w:rPr>
            <w:t>Table of Contents</w:t>
          </w:r>
        </w:p>
        <w:p w14:paraId="1E6E636C" w14:textId="3697075C" w:rsidR="00160A75" w:rsidRDefault="00160A75" w:rsidP="00943B19">
          <w:pPr>
            <w:pStyle w:val="TOC1"/>
            <w:tabs>
              <w:tab w:val="left" w:pos="480"/>
              <w:tab w:val="right" w:leader="dot" w:pos="9350"/>
            </w:tabs>
            <w:spacing w:line="360" w:lineRule="auto"/>
            <w:rPr>
              <w:noProof/>
            </w:rPr>
          </w:pPr>
          <w:r>
            <w:fldChar w:fldCharType="begin"/>
          </w:r>
          <w:r>
            <w:instrText xml:space="preserve"> TOC \o "1-3" \h \z \u </w:instrText>
          </w:r>
          <w:r>
            <w:fldChar w:fldCharType="separate"/>
          </w:r>
          <w:hyperlink w:anchor="_Toc216827510" w:history="1">
            <w:r w:rsidRPr="0061697D">
              <w:rPr>
                <w:rStyle w:val="Hyperlink"/>
                <w:noProof/>
              </w:rPr>
              <w:t>1.</w:t>
            </w:r>
            <w:r>
              <w:rPr>
                <w:noProof/>
              </w:rPr>
              <w:tab/>
            </w:r>
            <w:r w:rsidRPr="0061697D">
              <w:rPr>
                <w:rStyle w:val="Hyperlink"/>
                <w:noProof/>
              </w:rPr>
              <w:t>Introduction</w:t>
            </w:r>
            <w:r>
              <w:rPr>
                <w:noProof/>
                <w:webHidden/>
              </w:rPr>
              <w:tab/>
            </w:r>
            <w:r>
              <w:rPr>
                <w:noProof/>
                <w:webHidden/>
              </w:rPr>
              <w:fldChar w:fldCharType="begin"/>
            </w:r>
            <w:r>
              <w:rPr>
                <w:noProof/>
                <w:webHidden/>
              </w:rPr>
              <w:instrText xml:space="preserve"> PAGEREF _Toc216827510 \h </w:instrText>
            </w:r>
            <w:r>
              <w:rPr>
                <w:noProof/>
                <w:webHidden/>
              </w:rPr>
            </w:r>
            <w:r>
              <w:rPr>
                <w:noProof/>
                <w:webHidden/>
              </w:rPr>
              <w:fldChar w:fldCharType="separate"/>
            </w:r>
            <w:r w:rsidR="00347821">
              <w:rPr>
                <w:noProof/>
                <w:webHidden/>
              </w:rPr>
              <w:t>5</w:t>
            </w:r>
            <w:r>
              <w:rPr>
                <w:noProof/>
                <w:webHidden/>
              </w:rPr>
              <w:fldChar w:fldCharType="end"/>
            </w:r>
          </w:hyperlink>
        </w:p>
        <w:p w14:paraId="0BE8DD89" w14:textId="2BCB04AE" w:rsidR="00160A75" w:rsidRDefault="00160A75" w:rsidP="00943B19">
          <w:pPr>
            <w:pStyle w:val="TOC1"/>
            <w:tabs>
              <w:tab w:val="right" w:leader="dot" w:pos="9350"/>
            </w:tabs>
            <w:spacing w:line="360" w:lineRule="auto"/>
            <w:rPr>
              <w:noProof/>
            </w:rPr>
          </w:pPr>
          <w:hyperlink w:anchor="_Toc216827511" w:history="1">
            <w:r w:rsidRPr="0061697D">
              <w:rPr>
                <w:rStyle w:val="Hyperlink"/>
                <w:noProof/>
              </w:rPr>
              <w:t>2. Financial Health Check</w:t>
            </w:r>
            <w:r>
              <w:rPr>
                <w:noProof/>
                <w:webHidden/>
              </w:rPr>
              <w:tab/>
            </w:r>
            <w:r>
              <w:rPr>
                <w:noProof/>
                <w:webHidden/>
              </w:rPr>
              <w:fldChar w:fldCharType="begin"/>
            </w:r>
            <w:r>
              <w:rPr>
                <w:noProof/>
                <w:webHidden/>
              </w:rPr>
              <w:instrText xml:space="preserve"> PAGEREF _Toc216827511 \h </w:instrText>
            </w:r>
            <w:r>
              <w:rPr>
                <w:noProof/>
                <w:webHidden/>
              </w:rPr>
            </w:r>
            <w:r>
              <w:rPr>
                <w:noProof/>
                <w:webHidden/>
              </w:rPr>
              <w:fldChar w:fldCharType="separate"/>
            </w:r>
            <w:r w:rsidR="00347821">
              <w:rPr>
                <w:noProof/>
                <w:webHidden/>
              </w:rPr>
              <w:t>5</w:t>
            </w:r>
            <w:r>
              <w:rPr>
                <w:noProof/>
                <w:webHidden/>
              </w:rPr>
              <w:fldChar w:fldCharType="end"/>
            </w:r>
          </w:hyperlink>
        </w:p>
        <w:p w14:paraId="7F878631" w14:textId="1FC92FBB" w:rsidR="00160A75" w:rsidRDefault="00160A75" w:rsidP="00943B19">
          <w:pPr>
            <w:pStyle w:val="TOC2"/>
            <w:tabs>
              <w:tab w:val="right" w:leader="dot" w:pos="9350"/>
            </w:tabs>
            <w:spacing w:line="360" w:lineRule="auto"/>
            <w:rPr>
              <w:noProof/>
            </w:rPr>
          </w:pPr>
          <w:hyperlink w:anchor="_Toc216827512" w:history="1">
            <w:r w:rsidRPr="0061697D">
              <w:rPr>
                <w:rStyle w:val="Hyperlink"/>
                <w:noProof/>
              </w:rPr>
              <w:t>2.1 Overview of Financial Performance (2020–2024)</w:t>
            </w:r>
            <w:r>
              <w:rPr>
                <w:noProof/>
                <w:webHidden/>
              </w:rPr>
              <w:tab/>
            </w:r>
            <w:r>
              <w:rPr>
                <w:noProof/>
                <w:webHidden/>
              </w:rPr>
              <w:fldChar w:fldCharType="begin"/>
            </w:r>
            <w:r>
              <w:rPr>
                <w:noProof/>
                <w:webHidden/>
              </w:rPr>
              <w:instrText xml:space="preserve"> PAGEREF _Toc216827512 \h </w:instrText>
            </w:r>
            <w:r>
              <w:rPr>
                <w:noProof/>
                <w:webHidden/>
              </w:rPr>
            </w:r>
            <w:r>
              <w:rPr>
                <w:noProof/>
                <w:webHidden/>
              </w:rPr>
              <w:fldChar w:fldCharType="separate"/>
            </w:r>
            <w:r w:rsidR="00347821">
              <w:rPr>
                <w:noProof/>
                <w:webHidden/>
              </w:rPr>
              <w:t>5</w:t>
            </w:r>
            <w:r>
              <w:rPr>
                <w:noProof/>
                <w:webHidden/>
              </w:rPr>
              <w:fldChar w:fldCharType="end"/>
            </w:r>
          </w:hyperlink>
        </w:p>
        <w:p w14:paraId="0D33F333" w14:textId="3B14C0EF" w:rsidR="00160A75" w:rsidRDefault="00160A75" w:rsidP="00943B19">
          <w:pPr>
            <w:pStyle w:val="TOC2"/>
            <w:tabs>
              <w:tab w:val="right" w:leader="dot" w:pos="9350"/>
            </w:tabs>
            <w:spacing w:line="360" w:lineRule="auto"/>
            <w:rPr>
              <w:noProof/>
            </w:rPr>
          </w:pPr>
          <w:hyperlink w:anchor="_Toc216827513" w:history="1">
            <w:r w:rsidRPr="0061697D">
              <w:rPr>
                <w:rStyle w:val="Hyperlink"/>
                <w:noProof/>
              </w:rPr>
              <w:t>2.2 Profitability Ratio Analysis</w:t>
            </w:r>
            <w:r>
              <w:rPr>
                <w:noProof/>
                <w:webHidden/>
              </w:rPr>
              <w:tab/>
            </w:r>
            <w:r>
              <w:rPr>
                <w:noProof/>
                <w:webHidden/>
              </w:rPr>
              <w:fldChar w:fldCharType="begin"/>
            </w:r>
            <w:r>
              <w:rPr>
                <w:noProof/>
                <w:webHidden/>
              </w:rPr>
              <w:instrText xml:space="preserve"> PAGEREF _Toc216827513 \h </w:instrText>
            </w:r>
            <w:r>
              <w:rPr>
                <w:noProof/>
                <w:webHidden/>
              </w:rPr>
            </w:r>
            <w:r>
              <w:rPr>
                <w:noProof/>
                <w:webHidden/>
              </w:rPr>
              <w:fldChar w:fldCharType="separate"/>
            </w:r>
            <w:r w:rsidR="00347821">
              <w:rPr>
                <w:noProof/>
                <w:webHidden/>
              </w:rPr>
              <w:t>6</w:t>
            </w:r>
            <w:r>
              <w:rPr>
                <w:noProof/>
                <w:webHidden/>
              </w:rPr>
              <w:fldChar w:fldCharType="end"/>
            </w:r>
          </w:hyperlink>
        </w:p>
        <w:p w14:paraId="1D05A680" w14:textId="641E75F3" w:rsidR="00160A75" w:rsidRDefault="00160A75" w:rsidP="00943B19">
          <w:pPr>
            <w:pStyle w:val="TOC2"/>
            <w:tabs>
              <w:tab w:val="right" w:leader="dot" w:pos="9350"/>
            </w:tabs>
            <w:spacing w:line="360" w:lineRule="auto"/>
            <w:rPr>
              <w:noProof/>
            </w:rPr>
          </w:pPr>
          <w:hyperlink w:anchor="_Toc216827514" w:history="1">
            <w:r w:rsidRPr="0061697D">
              <w:rPr>
                <w:rStyle w:val="Hyperlink"/>
                <w:noProof/>
              </w:rPr>
              <w:t>2.3 Liquidity Ratio Analysis</w:t>
            </w:r>
            <w:r>
              <w:rPr>
                <w:noProof/>
                <w:webHidden/>
              </w:rPr>
              <w:tab/>
            </w:r>
            <w:r>
              <w:rPr>
                <w:noProof/>
                <w:webHidden/>
              </w:rPr>
              <w:fldChar w:fldCharType="begin"/>
            </w:r>
            <w:r>
              <w:rPr>
                <w:noProof/>
                <w:webHidden/>
              </w:rPr>
              <w:instrText xml:space="preserve"> PAGEREF _Toc216827514 \h </w:instrText>
            </w:r>
            <w:r>
              <w:rPr>
                <w:noProof/>
                <w:webHidden/>
              </w:rPr>
            </w:r>
            <w:r>
              <w:rPr>
                <w:noProof/>
                <w:webHidden/>
              </w:rPr>
              <w:fldChar w:fldCharType="separate"/>
            </w:r>
            <w:r w:rsidR="00347821">
              <w:rPr>
                <w:noProof/>
                <w:webHidden/>
              </w:rPr>
              <w:t>6</w:t>
            </w:r>
            <w:r>
              <w:rPr>
                <w:noProof/>
                <w:webHidden/>
              </w:rPr>
              <w:fldChar w:fldCharType="end"/>
            </w:r>
          </w:hyperlink>
        </w:p>
        <w:p w14:paraId="7CD12E19" w14:textId="13836C74" w:rsidR="00160A75" w:rsidRDefault="00160A75" w:rsidP="00943B19">
          <w:pPr>
            <w:pStyle w:val="TOC2"/>
            <w:tabs>
              <w:tab w:val="right" w:leader="dot" w:pos="9350"/>
            </w:tabs>
            <w:spacing w:line="360" w:lineRule="auto"/>
            <w:rPr>
              <w:noProof/>
            </w:rPr>
          </w:pPr>
          <w:hyperlink w:anchor="_Toc216827515" w:history="1">
            <w:r w:rsidRPr="0061697D">
              <w:rPr>
                <w:rStyle w:val="Hyperlink"/>
                <w:noProof/>
              </w:rPr>
              <w:t>2.4 Efficiency Ratio Analysis</w:t>
            </w:r>
            <w:r>
              <w:rPr>
                <w:noProof/>
                <w:webHidden/>
              </w:rPr>
              <w:tab/>
            </w:r>
            <w:r>
              <w:rPr>
                <w:noProof/>
                <w:webHidden/>
              </w:rPr>
              <w:fldChar w:fldCharType="begin"/>
            </w:r>
            <w:r>
              <w:rPr>
                <w:noProof/>
                <w:webHidden/>
              </w:rPr>
              <w:instrText xml:space="preserve"> PAGEREF _Toc216827515 \h </w:instrText>
            </w:r>
            <w:r>
              <w:rPr>
                <w:noProof/>
                <w:webHidden/>
              </w:rPr>
            </w:r>
            <w:r>
              <w:rPr>
                <w:noProof/>
                <w:webHidden/>
              </w:rPr>
              <w:fldChar w:fldCharType="separate"/>
            </w:r>
            <w:r w:rsidR="00347821">
              <w:rPr>
                <w:noProof/>
                <w:webHidden/>
              </w:rPr>
              <w:t>7</w:t>
            </w:r>
            <w:r>
              <w:rPr>
                <w:noProof/>
                <w:webHidden/>
              </w:rPr>
              <w:fldChar w:fldCharType="end"/>
            </w:r>
          </w:hyperlink>
        </w:p>
        <w:p w14:paraId="7FE27EB9" w14:textId="24A9FFA2" w:rsidR="00160A75" w:rsidRDefault="00160A75" w:rsidP="00943B19">
          <w:pPr>
            <w:pStyle w:val="TOC2"/>
            <w:tabs>
              <w:tab w:val="right" w:leader="dot" w:pos="9350"/>
            </w:tabs>
            <w:spacing w:line="360" w:lineRule="auto"/>
            <w:rPr>
              <w:noProof/>
            </w:rPr>
          </w:pPr>
          <w:hyperlink w:anchor="_Toc216827516" w:history="1">
            <w:r w:rsidRPr="0061697D">
              <w:rPr>
                <w:rStyle w:val="Hyperlink"/>
                <w:noProof/>
              </w:rPr>
              <w:t>2.5 Gearing and Solvency Analysis.</w:t>
            </w:r>
            <w:r>
              <w:rPr>
                <w:noProof/>
                <w:webHidden/>
              </w:rPr>
              <w:tab/>
            </w:r>
            <w:r>
              <w:rPr>
                <w:noProof/>
                <w:webHidden/>
              </w:rPr>
              <w:fldChar w:fldCharType="begin"/>
            </w:r>
            <w:r>
              <w:rPr>
                <w:noProof/>
                <w:webHidden/>
              </w:rPr>
              <w:instrText xml:space="preserve"> PAGEREF _Toc216827516 \h </w:instrText>
            </w:r>
            <w:r>
              <w:rPr>
                <w:noProof/>
                <w:webHidden/>
              </w:rPr>
            </w:r>
            <w:r>
              <w:rPr>
                <w:noProof/>
                <w:webHidden/>
              </w:rPr>
              <w:fldChar w:fldCharType="separate"/>
            </w:r>
            <w:r w:rsidR="00347821">
              <w:rPr>
                <w:noProof/>
                <w:webHidden/>
              </w:rPr>
              <w:t>7</w:t>
            </w:r>
            <w:r>
              <w:rPr>
                <w:noProof/>
                <w:webHidden/>
              </w:rPr>
              <w:fldChar w:fldCharType="end"/>
            </w:r>
          </w:hyperlink>
        </w:p>
        <w:p w14:paraId="2F2472F9" w14:textId="0F121B58" w:rsidR="00160A75" w:rsidRDefault="00160A75" w:rsidP="00943B19">
          <w:pPr>
            <w:pStyle w:val="TOC2"/>
            <w:tabs>
              <w:tab w:val="right" w:leader="dot" w:pos="9350"/>
            </w:tabs>
            <w:spacing w:line="360" w:lineRule="auto"/>
            <w:rPr>
              <w:noProof/>
            </w:rPr>
          </w:pPr>
          <w:hyperlink w:anchor="_Toc216827517" w:history="1">
            <w:r w:rsidRPr="0061697D">
              <w:rPr>
                <w:rStyle w:val="Hyperlink"/>
                <w:noProof/>
              </w:rPr>
              <w:t>2.6 Investment and Shareholder Performance</w:t>
            </w:r>
            <w:r>
              <w:rPr>
                <w:noProof/>
                <w:webHidden/>
              </w:rPr>
              <w:tab/>
            </w:r>
            <w:r>
              <w:rPr>
                <w:noProof/>
                <w:webHidden/>
              </w:rPr>
              <w:fldChar w:fldCharType="begin"/>
            </w:r>
            <w:r>
              <w:rPr>
                <w:noProof/>
                <w:webHidden/>
              </w:rPr>
              <w:instrText xml:space="preserve"> PAGEREF _Toc216827517 \h </w:instrText>
            </w:r>
            <w:r>
              <w:rPr>
                <w:noProof/>
                <w:webHidden/>
              </w:rPr>
            </w:r>
            <w:r>
              <w:rPr>
                <w:noProof/>
                <w:webHidden/>
              </w:rPr>
              <w:fldChar w:fldCharType="separate"/>
            </w:r>
            <w:r w:rsidR="00347821">
              <w:rPr>
                <w:noProof/>
                <w:webHidden/>
              </w:rPr>
              <w:t>8</w:t>
            </w:r>
            <w:r>
              <w:rPr>
                <w:noProof/>
                <w:webHidden/>
              </w:rPr>
              <w:fldChar w:fldCharType="end"/>
            </w:r>
          </w:hyperlink>
        </w:p>
        <w:p w14:paraId="245B865D" w14:textId="2D62BC83" w:rsidR="00160A75" w:rsidRDefault="00160A75" w:rsidP="00943B19">
          <w:pPr>
            <w:pStyle w:val="TOC2"/>
            <w:tabs>
              <w:tab w:val="right" w:leader="dot" w:pos="9350"/>
            </w:tabs>
            <w:spacing w:line="360" w:lineRule="auto"/>
            <w:rPr>
              <w:noProof/>
            </w:rPr>
          </w:pPr>
          <w:hyperlink w:anchor="_Toc216827518" w:history="1">
            <w:r w:rsidRPr="0061697D">
              <w:rPr>
                <w:rStyle w:val="Hyperlink"/>
                <w:noProof/>
              </w:rPr>
              <w:t>2.7 Corporate Failure Prediction (Altman Z-Score)</w:t>
            </w:r>
            <w:r>
              <w:rPr>
                <w:noProof/>
                <w:webHidden/>
              </w:rPr>
              <w:tab/>
            </w:r>
            <w:r>
              <w:rPr>
                <w:noProof/>
                <w:webHidden/>
              </w:rPr>
              <w:fldChar w:fldCharType="begin"/>
            </w:r>
            <w:r>
              <w:rPr>
                <w:noProof/>
                <w:webHidden/>
              </w:rPr>
              <w:instrText xml:space="preserve"> PAGEREF _Toc216827518 \h </w:instrText>
            </w:r>
            <w:r>
              <w:rPr>
                <w:noProof/>
                <w:webHidden/>
              </w:rPr>
            </w:r>
            <w:r>
              <w:rPr>
                <w:noProof/>
                <w:webHidden/>
              </w:rPr>
              <w:fldChar w:fldCharType="separate"/>
            </w:r>
            <w:r w:rsidR="00347821">
              <w:rPr>
                <w:noProof/>
                <w:webHidden/>
              </w:rPr>
              <w:t>8</w:t>
            </w:r>
            <w:r>
              <w:rPr>
                <w:noProof/>
                <w:webHidden/>
              </w:rPr>
              <w:fldChar w:fldCharType="end"/>
            </w:r>
          </w:hyperlink>
        </w:p>
        <w:p w14:paraId="663E5155" w14:textId="17A9E4EB" w:rsidR="00160A75" w:rsidRDefault="00160A75" w:rsidP="00943B19">
          <w:pPr>
            <w:pStyle w:val="TOC1"/>
            <w:tabs>
              <w:tab w:val="right" w:leader="dot" w:pos="9350"/>
            </w:tabs>
            <w:spacing w:line="360" w:lineRule="auto"/>
            <w:rPr>
              <w:noProof/>
            </w:rPr>
          </w:pPr>
          <w:hyperlink w:anchor="_Toc216827519" w:history="1">
            <w:r w:rsidRPr="0061697D">
              <w:rPr>
                <w:rStyle w:val="Hyperlink"/>
                <w:noProof/>
              </w:rPr>
              <w:t>3. Working Capital Management Analysis</w:t>
            </w:r>
            <w:r>
              <w:rPr>
                <w:noProof/>
                <w:webHidden/>
              </w:rPr>
              <w:tab/>
            </w:r>
            <w:r>
              <w:rPr>
                <w:noProof/>
                <w:webHidden/>
              </w:rPr>
              <w:fldChar w:fldCharType="begin"/>
            </w:r>
            <w:r>
              <w:rPr>
                <w:noProof/>
                <w:webHidden/>
              </w:rPr>
              <w:instrText xml:space="preserve"> PAGEREF _Toc216827519 \h </w:instrText>
            </w:r>
            <w:r>
              <w:rPr>
                <w:noProof/>
                <w:webHidden/>
              </w:rPr>
            </w:r>
            <w:r>
              <w:rPr>
                <w:noProof/>
                <w:webHidden/>
              </w:rPr>
              <w:fldChar w:fldCharType="separate"/>
            </w:r>
            <w:r w:rsidR="00347821">
              <w:rPr>
                <w:noProof/>
                <w:webHidden/>
              </w:rPr>
              <w:t>9</w:t>
            </w:r>
            <w:r>
              <w:rPr>
                <w:noProof/>
                <w:webHidden/>
              </w:rPr>
              <w:fldChar w:fldCharType="end"/>
            </w:r>
          </w:hyperlink>
        </w:p>
        <w:p w14:paraId="7FC328E1" w14:textId="7B82DA2F" w:rsidR="00160A75" w:rsidRDefault="00160A75" w:rsidP="00943B19">
          <w:pPr>
            <w:pStyle w:val="TOC2"/>
            <w:tabs>
              <w:tab w:val="right" w:leader="dot" w:pos="9350"/>
            </w:tabs>
            <w:spacing w:line="360" w:lineRule="auto"/>
            <w:rPr>
              <w:noProof/>
            </w:rPr>
          </w:pPr>
          <w:hyperlink w:anchor="_Toc216827520" w:history="1">
            <w:r w:rsidRPr="0061697D">
              <w:rPr>
                <w:rStyle w:val="Hyperlink"/>
                <w:noProof/>
              </w:rPr>
              <w:t>3.1 Cash Operating Cycle Analysis</w:t>
            </w:r>
            <w:r>
              <w:rPr>
                <w:noProof/>
                <w:webHidden/>
              </w:rPr>
              <w:tab/>
            </w:r>
            <w:r>
              <w:rPr>
                <w:noProof/>
                <w:webHidden/>
              </w:rPr>
              <w:fldChar w:fldCharType="begin"/>
            </w:r>
            <w:r>
              <w:rPr>
                <w:noProof/>
                <w:webHidden/>
              </w:rPr>
              <w:instrText xml:space="preserve"> PAGEREF _Toc216827520 \h </w:instrText>
            </w:r>
            <w:r>
              <w:rPr>
                <w:noProof/>
                <w:webHidden/>
              </w:rPr>
            </w:r>
            <w:r>
              <w:rPr>
                <w:noProof/>
                <w:webHidden/>
              </w:rPr>
              <w:fldChar w:fldCharType="separate"/>
            </w:r>
            <w:r w:rsidR="00347821">
              <w:rPr>
                <w:noProof/>
                <w:webHidden/>
              </w:rPr>
              <w:t>9</w:t>
            </w:r>
            <w:r>
              <w:rPr>
                <w:noProof/>
                <w:webHidden/>
              </w:rPr>
              <w:fldChar w:fldCharType="end"/>
            </w:r>
          </w:hyperlink>
        </w:p>
        <w:p w14:paraId="7D043B5E" w14:textId="313C0D7C" w:rsidR="00160A75" w:rsidRDefault="00160A75" w:rsidP="00943B19">
          <w:pPr>
            <w:pStyle w:val="TOC2"/>
            <w:tabs>
              <w:tab w:val="right" w:leader="dot" w:pos="9350"/>
            </w:tabs>
            <w:spacing w:line="360" w:lineRule="auto"/>
            <w:rPr>
              <w:noProof/>
            </w:rPr>
          </w:pPr>
          <w:hyperlink w:anchor="_Toc216827521" w:history="1">
            <w:r w:rsidRPr="0061697D">
              <w:rPr>
                <w:rStyle w:val="Hyperlink"/>
                <w:noProof/>
              </w:rPr>
              <w:t>3.2 Identification of Working Capital Problems</w:t>
            </w:r>
            <w:r>
              <w:rPr>
                <w:noProof/>
                <w:webHidden/>
              </w:rPr>
              <w:tab/>
            </w:r>
            <w:r>
              <w:rPr>
                <w:noProof/>
                <w:webHidden/>
              </w:rPr>
              <w:fldChar w:fldCharType="begin"/>
            </w:r>
            <w:r>
              <w:rPr>
                <w:noProof/>
                <w:webHidden/>
              </w:rPr>
              <w:instrText xml:space="preserve"> PAGEREF _Toc216827521 \h </w:instrText>
            </w:r>
            <w:r>
              <w:rPr>
                <w:noProof/>
                <w:webHidden/>
              </w:rPr>
            </w:r>
            <w:r>
              <w:rPr>
                <w:noProof/>
                <w:webHidden/>
              </w:rPr>
              <w:fldChar w:fldCharType="separate"/>
            </w:r>
            <w:r w:rsidR="00347821">
              <w:rPr>
                <w:noProof/>
                <w:webHidden/>
              </w:rPr>
              <w:t>9</w:t>
            </w:r>
            <w:r>
              <w:rPr>
                <w:noProof/>
                <w:webHidden/>
              </w:rPr>
              <w:fldChar w:fldCharType="end"/>
            </w:r>
          </w:hyperlink>
        </w:p>
        <w:p w14:paraId="26667A43" w14:textId="6DD07C28" w:rsidR="00160A75" w:rsidRDefault="00160A75" w:rsidP="00943B19">
          <w:pPr>
            <w:pStyle w:val="TOC2"/>
            <w:tabs>
              <w:tab w:val="right" w:leader="dot" w:pos="9350"/>
            </w:tabs>
            <w:spacing w:line="360" w:lineRule="auto"/>
            <w:rPr>
              <w:noProof/>
            </w:rPr>
          </w:pPr>
          <w:hyperlink w:anchor="_Toc216827522" w:history="1">
            <w:r w:rsidRPr="0061697D">
              <w:rPr>
                <w:rStyle w:val="Hyperlink"/>
                <w:noProof/>
              </w:rPr>
              <w:t>3.3 Strategies to Improve Liquidity</w:t>
            </w:r>
            <w:r>
              <w:rPr>
                <w:noProof/>
                <w:webHidden/>
              </w:rPr>
              <w:tab/>
            </w:r>
            <w:r>
              <w:rPr>
                <w:noProof/>
                <w:webHidden/>
              </w:rPr>
              <w:fldChar w:fldCharType="begin"/>
            </w:r>
            <w:r>
              <w:rPr>
                <w:noProof/>
                <w:webHidden/>
              </w:rPr>
              <w:instrText xml:space="preserve"> PAGEREF _Toc216827522 \h </w:instrText>
            </w:r>
            <w:r>
              <w:rPr>
                <w:noProof/>
                <w:webHidden/>
              </w:rPr>
            </w:r>
            <w:r>
              <w:rPr>
                <w:noProof/>
                <w:webHidden/>
              </w:rPr>
              <w:fldChar w:fldCharType="separate"/>
            </w:r>
            <w:r w:rsidR="00347821">
              <w:rPr>
                <w:noProof/>
                <w:webHidden/>
              </w:rPr>
              <w:t>10</w:t>
            </w:r>
            <w:r>
              <w:rPr>
                <w:noProof/>
                <w:webHidden/>
              </w:rPr>
              <w:fldChar w:fldCharType="end"/>
            </w:r>
          </w:hyperlink>
        </w:p>
        <w:p w14:paraId="446D3295" w14:textId="07B67098" w:rsidR="00160A75" w:rsidRDefault="00160A75" w:rsidP="00943B19">
          <w:pPr>
            <w:pStyle w:val="TOC2"/>
            <w:tabs>
              <w:tab w:val="right" w:leader="dot" w:pos="9350"/>
            </w:tabs>
            <w:spacing w:line="360" w:lineRule="auto"/>
            <w:rPr>
              <w:noProof/>
            </w:rPr>
          </w:pPr>
          <w:hyperlink w:anchor="_Toc216827523" w:history="1">
            <w:r w:rsidRPr="0061697D">
              <w:rPr>
                <w:rStyle w:val="Hyperlink"/>
                <w:noProof/>
              </w:rPr>
              <w:t>3.4 Short-Term vs Long-Term Financing Options</w:t>
            </w:r>
            <w:r>
              <w:rPr>
                <w:noProof/>
                <w:webHidden/>
              </w:rPr>
              <w:tab/>
            </w:r>
            <w:r>
              <w:rPr>
                <w:noProof/>
                <w:webHidden/>
              </w:rPr>
              <w:fldChar w:fldCharType="begin"/>
            </w:r>
            <w:r>
              <w:rPr>
                <w:noProof/>
                <w:webHidden/>
              </w:rPr>
              <w:instrText xml:space="preserve"> PAGEREF _Toc216827523 \h </w:instrText>
            </w:r>
            <w:r>
              <w:rPr>
                <w:noProof/>
                <w:webHidden/>
              </w:rPr>
            </w:r>
            <w:r>
              <w:rPr>
                <w:noProof/>
                <w:webHidden/>
              </w:rPr>
              <w:fldChar w:fldCharType="separate"/>
            </w:r>
            <w:r w:rsidR="00347821">
              <w:rPr>
                <w:noProof/>
                <w:webHidden/>
              </w:rPr>
              <w:t>10</w:t>
            </w:r>
            <w:r>
              <w:rPr>
                <w:noProof/>
                <w:webHidden/>
              </w:rPr>
              <w:fldChar w:fldCharType="end"/>
            </w:r>
          </w:hyperlink>
        </w:p>
        <w:p w14:paraId="2C3A5A98" w14:textId="6CC632F4" w:rsidR="00160A75" w:rsidRDefault="00160A75" w:rsidP="00943B19">
          <w:pPr>
            <w:pStyle w:val="TOC1"/>
            <w:tabs>
              <w:tab w:val="right" w:leader="dot" w:pos="9350"/>
            </w:tabs>
            <w:spacing w:line="360" w:lineRule="auto"/>
            <w:rPr>
              <w:noProof/>
            </w:rPr>
          </w:pPr>
          <w:hyperlink w:anchor="_Toc216827524" w:history="1">
            <w:r w:rsidRPr="0061697D">
              <w:rPr>
                <w:rStyle w:val="Hyperlink"/>
                <w:noProof/>
              </w:rPr>
              <w:t>4. Strategic Financial Restructuring Plan</w:t>
            </w:r>
            <w:r>
              <w:rPr>
                <w:noProof/>
                <w:webHidden/>
              </w:rPr>
              <w:tab/>
            </w:r>
            <w:r>
              <w:rPr>
                <w:noProof/>
                <w:webHidden/>
              </w:rPr>
              <w:fldChar w:fldCharType="begin"/>
            </w:r>
            <w:r>
              <w:rPr>
                <w:noProof/>
                <w:webHidden/>
              </w:rPr>
              <w:instrText xml:space="preserve"> PAGEREF _Toc216827524 \h </w:instrText>
            </w:r>
            <w:r>
              <w:rPr>
                <w:noProof/>
                <w:webHidden/>
              </w:rPr>
            </w:r>
            <w:r>
              <w:rPr>
                <w:noProof/>
                <w:webHidden/>
              </w:rPr>
              <w:fldChar w:fldCharType="separate"/>
            </w:r>
            <w:r w:rsidR="00347821">
              <w:rPr>
                <w:noProof/>
                <w:webHidden/>
              </w:rPr>
              <w:t>11</w:t>
            </w:r>
            <w:r>
              <w:rPr>
                <w:noProof/>
                <w:webHidden/>
              </w:rPr>
              <w:fldChar w:fldCharType="end"/>
            </w:r>
          </w:hyperlink>
        </w:p>
        <w:p w14:paraId="55B2323D" w14:textId="294930FC" w:rsidR="00160A75" w:rsidRDefault="00160A75" w:rsidP="00943B19">
          <w:pPr>
            <w:pStyle w:val="TOC2"/>
            <w:tabs>
              <w:tab w:val="right" w:leader="dot" w:pos="9350"/>
            </w:tabs>
            <w:spacing w:line="360" w:lineRule="auto"/>
            <w:rPr>
              <w:noProof/>
            </w:rPr>
          </w:pPr>
          <w:hyperlink w:anchor="_Toc216827525" w:history="1">
            <w:r w:rsidRPr="0061697D">
              <w:rPr>
                <w:rStyle w:val="Hyperlink"/>
                <w:noProof/>
              </w:rPr>
              <w:t>4.1 Need for Financial Restructuring</w:t>
            </w:r>
            <w:r>
              <w:rPr>
                <w:noProof/>
                <w:webHidden/>
              </w:rPr>
              <w:tab/>
            </w:r>
            <w:r>
              <w:rPr>
                <w:noProof/>
                <w:webHidden/>
              </w:rPr>
              <w:fldChar w:fldCharType="begin"/>
            </w:r>
            <w:r>
              <w:rPr>
                <w:noProof/>
                <w:webHidden/>
              </w:rPr>
              <w:instrText xml:space="preserve"> PAGEREF _Toc216827525 \h </w:instrText>
            </w:r>
            <w:r>
              <w:rPr>
                <w:noProof/>
                <w:webHidden/>
              </w:rPr>
            </w:r>
            <w:r>
              <w:rPr>
                <w:noProof/>
                <w:webHidden/>
              </w:rPr>
              <w:fldChar w:fldCharType="separate"/>
            </w:r>
            <w:r w:rsidR="00347821">
              <w:rPr>
                <w:noProof/>
                <w:webHidden/>
              </w:rPr>
              <w:t>11</w:t>
            </w:r>
            <w:r>
              <w:rPr>
                <w:noProof/>
                <w:webHidden/>
              </w:rPr>
              <w:fldChar w:fldCharType="end"/>
            </w:r>
          </w:hyperlink>
        </w:p>
        <w:p w14:paraId="303E30C4" w14:textId="0787893A" w:rsidR="00160A75" w:rsidRDefault="00160A75" w:rsidP="00943B19">
          <w:pPr>
            <w:pStyle w:val="TOC2"/>
            <w:tabs>
              <w:tab w:val="right" w:leader="dot" w:pos="9350"/>
            </w:tabs>
            <w:spacing w:line="360" w:lineRule="auto"/>
            <w:rPr>
              <w:noProof/>
            </w:rPr>
          </w:pPr>
          <w:hyperlink w:anchor="_Toc216827526" w:history="1">
            <w:r w:rsidRPr="0061697D">
              <w:rPr>
                <w:rStyle w:val="Hyperlink"/>
                <w:noProof/>
              </w:rPr>
              <w:t>4.2 Financial Restructuring Options</w:t>
            </w:r>
            <w:r>
              <w:rPr>
                <w:noProof/>
                <w:webHidden/>
              </w:rPr>
              <w:tab/>
            </w:r>
            <w:r>
              <w:rPr>
                <w:noProof/>
                <w:webHidden/>
              </w:rPr>
              <w:fldChar w:fldCharType="begin"/>
            </w:r>
            <w:r>
              <w:rPr>
                <w:noProof/>
                <w:webHidden/>
              </w:rPr>
              <w:instrText xml:space="preserve"> PAGEREF _Toc216827526 \h </w:instrText>
            </w:r>
            <w:r>
              <w:rPr>
                <w:noProof/>
                <w:webHidden/>
              </w:rPr>
            </w:r>
            <w:r>
              <w:rPr>
                <w:noProof/>
                <w:webHidden/>
              </w:rPr>
              <w:fldChar w:fldCharType="separate"/>
            </w:r>
            <w:r w:rsidR="00347821">
              <w:rPr>
                <w:noProof/>
                <w:webHidden/>
              </w:rPr>
              <w:t>11</w:t>
            </w:r>
            <w:r>
              <w:rPr>
                <w:noProof/>
                <w:webHidden/>
              </w:rPr>
              <w:fldChar w:fldCharType="end"/>
            </w:r>
          </w:hyperlink>
        </w:p>
        <w:p w14:paraId="5CE1AA8A" w14:textId="4D37AA8F" w:rsidR="00160A75" w:rsidRDefault="00160A75" w:rsidP="00943B19">
          <w:pPr>
            <w:pStyle w:val="TOC2"/>
            <w:tabs>
              <w:tab w:val="right" w:leader="dot" w:pos="9350"/>
            </w:tabs>
            <w:spacing w:line="360" w:lineRule="auto"/>
            <w:rPr>
              <w:noProof/>
            </w:rPr>
          </w:pPr>
          <w:hyperlink w:anchor="_Toc216827527" w:history="1">
            <w:r w:rsidRPr="0061697D">
              <w:rPr>
                <w:rStyle w:val="Hyperlink"/>
                <w:noProof/>
              </w:rPr>
              <w:t>4.3 Impact on Shareholder Value and Capital Structure</w:t>
            </w:r>
            <w:r>
              <w:rPr>
                <w:noProof/>
                <w:webHidden/>
              </w:rPr>
              <w:tab/>
            </w:r>
            <w:r>
              <w:rPr>
                <w:noProof/>
                <w:webHidden/>
              </w:rPr>
              <w:fldChar w:fldCharType="begin"/>
            </w:r>
            <w:r>
              <w:rPr>
                <w:noProof/>
                <w:webHidden/>
              </w:rPr>
              <w:instrText xml:space="preserve"> PAGEREF _Toc216827527 \h </w:instrText>
            </w:r>
            <w:r>
              <w:rPr>
                <w:noProof/>
                <w:webHidden/>
              </w:rPr>
            </w:r>
            <w:r>
              <w:rPr>
                <w:noProof/>
                <w:webHidden/>
              </w:rPr>
              <w:fldChar w:fldCharType="separate"/>
            </w:r>
            <w:r w:rsidR="00347821">
              <w:rPr>
                <w:noProof/>
                <w:webHidden/>
              </w:rPr>
              <w:t>12</w:t>
            </w:r>
            <w:r>
              <w:rPr>
                <w:noProof/>
                <w:webHidden/>
              </w:rPr>
              <w:fldChar w:fldCharType="end"/>
            </w:r>
          </w:hyperlink>
        </w:p>
        <w:p w14:paraId="58585A15" w14:textId="459A3032" w:rsidR="00160A75" w:rsidRDefault="00160A75" w:rsidP="00943B19">
          <w:pPr>
            <w:pStyle w:val="TOC2"/>
            <w:tabs>
              <w:tab w:val="right" w:leader="dot" w:pos="9350"/>
            </w:tabs>
            <w:spacing w:line="360" w:lineRule="auto"/>
            <w:rPr>
              <w:noProof/>
            </w:rPr>
          </w:pPr>
          <w:hyperlink w:anchor="_Toc216827528" w:history="1">
            <w:r w:rsidRPr="0061697D">
              <w:rPr>
                <w:rStyle w:val="Hyperlink"/>
                <w:noProof/>
              </w:rPr>
              <w:t>4.4 Operational Flexibility and Financial Sustainability</w:t>
            </w:r>
            <w:r>
              <w:rPr>
                <w:noProof/>
                <w:webHidden/>
              </w:rPr>
              <w:tab/>
            </w:r>
            <w:r>
              <w:rPr>
                <w:noProof/>
                <w:webHidden/>
              </w:rPr>
              <w:fldChar w:fldCharType="begin"/>
            </w:r>
            <w:r>
              <w:rPr>
                <w:noProof/>
                <w:webHidden/>
              </w:rPr>
              <w:instrText xml:space="preserve"> PAGEREF _Toc216827528 \h </w:instrText>
            </w:r>
            <w:r>
              <w:rPr>
                <w:noProof/>
                <w:webHidden/>
              </w:rPr>
            </w:r>
            <w:r>
              <w:rPr>
                <w:noProof/>
                <w:webHidden/>
              </w:rPr>
              <w:fldChar w:fldCharType="separate"/>
            </w:r>
            <w:r w:rsidR="00347821">
              <w:rPr>
                <w:noProof/>
                <w:webHidden/>
              </w:rPr>
              <w:t>13</w:t>
            </w:r>
            <w:r>
              <w:rPr>
                <w:noProof/>
                <w:webHidden/>
              </w:rPr>
              <w:fldChar w:fldCharType="end"/>
            </w:r>
          </w:hyperlink>
        </w:p>
        <w:p w14:paraId="5084AB53" w14:textId="28D2C31B" w:rsidR="00160A75" w:rsidRDefault="00160A75" w:rsidP="00943B19">
          <w:pPr>
            <w:pStyle w:val="TOC2"/>
            <w:tabs>
              <w:tab w:val="right" w:leader="dot" w:pos="9350"/>
            </w:tabs>
            <w:spacing w:line="360" w:lineRule="auto"/>
            <w:rPr>
              <w:noProof/>
            </w:rPr>
          </w:pPr>
          <w:hyperlink w:anchor="_Toc216827529" w:history="1">
            <w:r w:rsidRPr="0061697D">
              <w:rPr>
                <w:rStyle w:val="Hyperlink"/>
                <w:noProof/>
              </w:rPr>
              <w:t>4.5 International and Ethical Considerations</w:t>
            </w:r>
            <w:r>
              <w:rPr>
                <w:noProof/>
                <w:webHidden/>
              </w:rPr>
              <w:tab/>
            </w:r>
            <w:r>
              <w:rPr>
                <w:noProof/>
                <w:webHidden/>
              </w:rPr>
              <w:fldChar w:fldCharType="begin"/>
            </w:r>
            <w:r>
              <w:rPr>
                <w:noProof/>
                <w:webHidden/>
              </w:rPr>
              <w:instrText xml:space="preserve"> PAGEREF _Toc216827529 \h </w:instrText>
            </w:r>
            <w:r>
              <w:rPr>
                <w:noProof/>
                <w:webHidden/>
              </w:rPr>
            </w:r>
            <w:r>
              <w:rPr>
                <w:noProof/>
                <w:webHidden/>
              </w:rPr>
              <w:fldChar w:fldCharType="separate"/>
            </w:r>
            <w:r w:rsidR="00347821">
              <w:rPr>
                <w:noProof/>
                <w:webHidden/>
              </w:rPr>
              <w:t>14</w:t>
            </w:r>
            <w:r>
              <w:rPr>
                <w:noProof/>
                <w:webHidden/>
              </w:rPr>
              <w:fldChar w:fldCharType="end"/>
            </w:r>
          </w:hyperlink>
        </w:p>
        <w:p w14:paraId="0CAD64E0" w14:textId="412985B8" w:rsidR="00160A75" w:rsidRDefault="00160A75" w:rsidP="00943B19">
          <w:pPr>
            <w:pStyle w:val="TOC1"/>
            <w:tabs>
              <w:tab w:val="right" w:leader="dot" w:pos="9350"/>
            </w:tabs>
            <w:spacing w:line="360" w:lineRule="auto"/>
            <w:rPr>
              <w:noProof/>
            </w:rPr>
          </w:pPr>
          <w:hyperlink w:anchor="_Toc216827530" w:history="1">
            <w:r w:rsidRPr="0061697D">
              <w:rPr>
                <w:rStyle w:val="Hyperlink"/>
                <w:noProof/>
              </w:rPr>
              <w:t>5. Investment Appraisal and Capital Budgeting</w:t>
            </w:r>
            <w:r>
              <w:rPr>
                <w:noProof/>
                <w:webHidden/>
              </w:rPr>
              <w:tab/>
            </w:r>
            <w:r>
              <w:rPr>
                <w:noProof/>
                <w:webHidden/>
              </w:rPr>
              <w:fldChar w:fldCharType="begin"/>
            </w:r>
            <w:r>
              <w:rPr>
                <w:noProof/>
                <w:webHidden/>
              </w:rPr>
              <w:instrText xml:space="preserve"> PAGEREF _Toc216827530 \h </w:instrText>
            </w:r>
            <w:r>
              <w:rPr>
                <w:noProof/>
                <w:webHidden/>
              </w:rPr>
            </w:r>
            <w:r>
              <w:rPr>
                <w:noProof/>
                <w:webHidden/>
              </w:rPr>
              <w:fldChar w:fldCharType="separate"/>
            </w:r>
            <w:r w:rsidR="00347821">
              <w:rPr>
                <w:noProof/>
                <w:webHidden/>
              </w:rPr>
              <w:t>14</w:t>
            </w:r>
            <w:r>
              <w:rPr>
                <w:noProof/>
                <w:webHidden/>
              </w:rPr>
              <w:fldChar w:fldCharType="end"/>
            </w:r>
          </w:hyperlink>
        </w:p>
        <w:p w14:paraId="7303910E" w14:textId="32D94752" w:rsidR="00160A75" w:rsidRDefault="00160A75" w:rsidP="00943B19">
          <w:pPr>
            <w:pStyle w:val="TOC2"/>
            <w:tabs>
              <w:tab w:val="right" w:leader="dot" w:pos="9350"/>
            </w:tabs>
            <w:spacing w:line="360" w:lineRule="auto"/>
            <w:rPr>
              <w:noProof/>
            </w:rPr>
          </w:pPr>
          <w:hyperlink w:anchor="_Toc216827531" w:history="1">
            <w:r w:rsidRPr="0061697D">
              <w:rPr>
                <w:rStyle w:val="Hyperlink"/>
                <w:noProof/>
              </w:rPr>
              <w:t>5.1 Overview of Capital Budgeting Techniques</w:t>
            </w:r>
            <w:r>
              <w:rPr>
                <w:noProof/>
                <w:webHidden/>
              </w:rPr>
              <w:tab/>
            </w:r>
            <w:r>
              <w:rPr>
                <w:noProof/>
                <w:webHidden/>
              </w:rPr>
              <w:fldChar w:fldCharType="begin"/>
            </w:r>
            <w:r>
              <w:rPr>
                <w:noProof/>
                <w:webHidden/>
              </w:rPr>
              <w:instrText xml:space="preserve"> PAGEREF _Toc216827531 \h </w:instrText>
            </w:r>
            <w:r>
              <w:rPr>
                <w:noProof/>
                <w:webHidden/>
              </w:rPr>
            </w:r>
            <w:r>
              <w:rPr>
                <w:noProof/>
                <w:webHidden/>
              </w:rPr>
              <w:fldChar w:fldCharType="separate"/>
            </w:r>
            <w:r w:rsidR="00347821">
              <w:rPr>
                <w:noProof/>
                <w:webHidden/>
              </w:rPr>
              <w:t>14</w:t>
            </w:r>
            <w:r>
              <w:rPr>
                <w:noProof/>
                <w:webHidden/>
              </w:rPr>
              <w:fldChar w:fldCharType="end"/>
            </w:r>
          </w:hyperlink>
        </w:p>
        <w:p w14:paraId="6AE0C251" w14:textId="4B70AE67" w:rsidR="00160A75" w:rsidRDefault="00160A75" w:rsidP="00943B19">
          <w:pPr>
            <w:pStyle w:val="TOC2"/>
            <w:tabs>
              <w:tab w:val="right" w:leader="dot" w:pos="9350"/>
            </w:tabs>
            <w:spacing w:line="360" w:lineRule="auto"/>
            <w:rPr>
              <w:noProof/>
            </w:rPr>
          </w:pPr>
          <w:hyperlink w:anchor="_Toc216827532" w:history="1">
            <w:r w:rsidRPr="0061697D">
              <w:rPr>
                <w:rStyle w:val="Hyperlink"/>
                <w:noProof/>
              </w:rPr>
              <w:t>5.2 Evaluation of Project A</w:t>
            </w:r>
            <w:r>
              <w:rPr>
                <w:noProof/>
                <w:webHidden/>
              </w:rPr>
              <w:tab/>
            </w:r>
            <w:r>
              <w:rPr>
                <w:noProof/>
                <w:webHidden/>
              </w:rPr>
              <w:fldChar w:fldCharType="begin"/>
            </w:r>
            <w:r>
              <w:rPr>
                <w:noProof/>
                <w:webHidden/>
              </w:rPr>
              <w:instrText xml:space="preserve"> PAGEREF _Toc216827532 \h </w:instrText>
            </w:r>
            <w:r>
              <w:rPr>
                <w:noProof/>
                <w:webHidden/>
              </w:rPr>
            </w:r>
            <w:r>
              <w:rPr>
                <w:noProof/>
                <w:webHidden/>
              </w:rPr>
              <w:fldChar w:fldCharType="separate"/>
            </w:r>
            <w:r w:rsidR="00347821">
              <w:rPr>
                <w:noProof/>
                <w:webHidden/>
              </w:rPr>
              <w:t>15</w:t>
            </w:r>
            <w:r>
              <w:rPr>
                <w:noProof/>
                <w:webHidden/>
              </w:rPr>
              <w:fldChar w:fldCharType="end"/>
            </w:r>
          </w:hyperlink>
        </w:p>
        <w:p w14:paraId="4B8B7D8F" w14:textId="777DF483" w:rsidR="00160A75" w:rsidRDefault="00160A75" w:rsidP="00943B19">
          <w:pPr>
            <w:pStyle w:val="TOC2"/>
            <w:tabs>
              <w:tab w:val="right" w:leader="dot" w:pos="9350"/>
            </w:tabs>
            <w:spacing w:line="360" w:lineRule="auto"/>
            <w:rPr>
              <w:noProof/>
            </w:rPr>
          </w:pPr>
          <w:hyperlink w:anchor="_Toc216827533" w:history="1">
            <w:r w:rsidRPr="0061697D">
              <w:rPr>
                <w:rStyle w:val="Hyperlink"/>
                <w:noProof/>
              </w:rPr>
              <w:t>5.3 Evaluation of Project B</w:t>
            </w:r>
            <w:r>
              <w:rPr>
                <w:noProof/>
                <w:webHidden/>
              </w:rPr>
              <w:tab/>
            </w:r>
            <w:r>
              <w:rPr>
                <w:noProof/>
                <w:webHidden/>
              </w:rPr>
              <w:fldChar w:fldCharType="begin"/>
            </w:r>
            <w:r>
              <w:rPr>
                <w:noProof/>
                <w:webHidden/>
              </w:rPr>
              <w:instrText xml:space="preserve"> PAGEREF _Toc216827533 \h </w:instrText>
            </w:r>
            <w:r>
              <w:rPr>
                <w:noProof/>
                <w:webHidden/>
              </w:rPr>
            </w:r>
            <w:r>
              <w:rPr>
                <w:noProof/>
                <w:webHidden/>
              </w:rPr>
              <w:fldChar w:fldCharType="separate"/>
            </w:r>
            <w:r w:rsidR="00347821">
              <w:rPr>
                <w:noProof/>
                <w:webHidden/>
              </w:rPr>
              <w:t>15</w:t>
            </w:r>
            <w:r>
              <w:rPr>
                <w:noProof/>
                <w:webHidden/>
              </w:rPr>
              <w:fldChar w:fldCharType="end"/>
            </w:r>
          </w:hyperlink>
        </w:p>
        <w:p w14:paraId="415CB296" w14:textId="0B66C79D" w:rsidR="00160A75" w:rsidRDefault="00160A75" w:rsidP="00943B19">
          <w:pPr>
            <w:pStyle w:val="TOC2"/>
            <w:tabs>
              <w:tab w:val="right" w:leader="dot" w:pos="9350"/>
            </w:tabs>
            <w:spacing w:line="360" w:lineRule="auto"/>
            <w:rPr>
              <w:noProof/>
            </w:rPr>
          </w:pPr>
          <w:hyperlink w:anchor="_Toc216827534" w:history="1">
            <w:r w:rsidRPr="0061697D">
              <w:rPr>
                <w:rStyle w:val="Hyperlink"/>
                <w:noProof/>
              </w:rPr>
              <w:t>5.4 Evaluation of Project C</w:t>
            </w:r>
            <w:r>
              <w:rPr>
                <w:noProof/>
                <w:webHidden/>
              </w:rPr>
              <w:tab/>
            </w:r>
            <w:r>
              <w:rPr>
                <w:noProof/>
                <w:webHidden/>
              </w:rPr>
              <w:fldChar w:fldCharType="begin"/>
            </w:r>
            <w:r>
              <w:rPr>
                <w:noProof/>
                <w:webHidden/>
              </w:rPr>
              <w:instrText xml:space="preserve"> PAGEREF _Toc216827534 \h </w:instrText>
            </w:r>
            <w:r>
              <w:rPr>
                <w:noProof/>
                <w:webHidden/>
              </w:rPr>
            </w:r>
            <w:r>
              <w:rPr>
                <w:noProof/>
                <w:webHidden/>
              </w:rPr>
              <w:fldChar w:fldCharType="separate"/>
            </w:r>
            <w:r w:rsidR="00347821">
              <w:rPr>
                <w:noProof/>
                <w:webHidden/>
              </w:rPr>
              <w:t>16</w:t>
            </w:r>
            <w:r>
              <w:rPr>
                <w:noProof/>
                <w:webHidden/>
              </w:rPr>
              <w:fldChar w:fldCharType="end"/>
            </w:r>
          </w:hyperlink>
        </w:p>
        <w:p w14:paraId="1C3C03F4" w14:textId="1F1C4391" w:rsidR="00160A75" w:rsidRDefault="00160A75" w:rsidP="00943B19">
          <w:pPr>
            <w:pStyle w:val="TOC2"/>
            <w:tabs>
              <w:tab w:val="right" w:leader="dot" w:pos="9350"/>
            </w:tabs>
            <w:spacing w:line="360" w:lineRule="auto"/>
            <w:rPr>
              <w:noProof/>
            </w:rPr>
          </w:pPr>
          <w:hyperlink w:anchor="_Toc216827535" w:history="1">
            <w:r w:rsidRPr="0061697D">
              <w:rPr>
                <w:rStyle w:val="Hyperlink"/>
                <w:noProof/>
              </w:rPr>
              <w:t>5.5 Capital Rationing Decision (Maximum £60m)</w:t>
            </w:r>
            <w:r>
              <w:rPr>
                <w:noProof/>
                <w:webHidden/>
              </w:rPr>
              <w:tab/>
            </w:r>
            <w:r>
              <w:rPr>
                <w:noProof/>
                <w:webHidden/>
              </w:rPr>
              <w:fldChar w:fldCharType="begin"/>
            </w:r>
            <w:r>
              <w:rPr>
                <w:noProof/>
                <w:webHidden/>
              </w:rPr>
              <w:instrText xml:space="preserve"> PAGEREF _Toc216827535 \h </w:instrText>
            </w:r>
            <w:r>
              <w:rPr>
                <w:noProof/>
                <w:webHidden/>
              </w:rPr>
            </w:r>
            <w:r>
              <w:rPr>
                <w:noProof/>
                <w:webHidden/>
              </w:rPr>
              <w:fldChar w:fldCharType="separate"/>
            </w:r>
            <w:r w:rsidR="00347821">
              <w:rPr>
                <w:noProof/>
                <w:webHidden/>
              </w:rPr>
              <w:t>17</w:t>
            </w:r>
            <w:r>
              <w:rPr>
                <w:noProof/>
                <w:webHidden/>
              </w:rPr>
              <w:fldChar w:fldCharType="end"/>
            </w:r>
          </w:hyperlink>
        </w:p>
        <w:p w14:paraId="45706ADA" w14:textId="474F0CF2" w:rsidR="00160A75" w:rsidRDefault="00160A75" w:rsidP="00943B19">
          <w:pPr>
            <w:pStyle w:val="TOC2"/>
            <w:tabs>
              <w:tab w:val="right" w:leader="dot" w:pos="9350"/>
            </w:tabs>
            <w:spacing w:line="360" w:lineRule="auto"/>
            <w:rPr>
              <w:noProof/>
            </w:rPr>
          </w:pPr>
          <w:hyperlink w:anchor="_Toc216827536" w:history="1">
            <w:r w:rsidRPr="0061697D">
              <w:rPr>
                <w:rStyle w:val="Hyperlink"/>
                <w:noProof/>
              </w:rPr>
              <w:t>5.6 Final Investment Recommendation and Justification</w:t>
            </w:r>
            <w:r>
              <w:rPr>
                <w:noProof/>
                <w:webHidden/>
              </w:rPr>
              <w:tab/>
            </w:r>
            <w:r>
              <w:rPr>
                <w:noProof/>
                <w:webHidden/>
              </w:rPr>
              <w:fldChar w:fldCharType="begin"/>
            </w:r>
            <w:r>
              <w:rPr>
                <w:noProof/>
                <w:webHidden/>
              </w:rPr>
              <w:instrText xml:space="preserve"> PAGEREF _Toc216827536 \h </w:instrText>
            </w:r>
            <w:r>
              <w:rPr>
                <w:noProof/>
                <w:webHidden/>
              </w:rPr>
            </w:r>
            <w:r>
              <w:rPr>
                <w:noProof/>
                <w:webHidden/>
              </w:rPr>
              <w:fldChar w:fldCharType="separate"/>
            </w:r>
            <w:r w:rsidR="00347821">
              <w:rPr>
                <w:noProof/>
                <w:webHidden/>
              </w:rPr>
              <w:t>17</w:t>
            </w:r>
            <w:r>
              <w:rPr>
                <w:noProof/>
                <w:webHidden/>
              </w:rPr>
              <w:fldChar w:fldCharType="end"/>
            </w:r>
          </w:hyperlink>
        </w:p>
        <w:p w14:paraId="04C0046A" w14:textId="1FE12877" w:rsidR="00160A75" w:rsidRDefault="00160A75" w:rsidP="00943B19">
          <w:pPr>
            <w:pStyle w:val="TOC1"/>
            <w:tabs>
              <w:tab w:val="right" w:leader="dot" w:pos="9350"/>
            </w:tabs>
            <w:spacing w:line="360" w:lineRule="auto"/>
            <w:rPr>
              <w:noProof/>
            </w:rPr>
          </w:pPr>
          <w:hyperlink w:anchor="_Toc216827537" w:history="1">
            <w:r w:rsidRPr="0061697D">
              <w:rPr>
                <w:rStyle w:val="Hyperlink"/>
                <w:noProof/>
              </w:rPr>
              <w:t>6. Conclusion</w:t>
            </w:r>
            <w:r>
              <w:rPr>
                <w:noProof/>
                <w:webHidden/>
              </w:rPr>
              <w:tab/>
            </w:r>
            <w:r>
              <w:rPr>
                <w:noProof/>
                <w:webHidden/>
              </w:rPr>
              <w:fldChar w:fldCharType="begin"/>
            </w:r>
            <w:r>
              <w:rPr>
                <w:noProof/>
                <w:webHidden/>
              </w:rPr>
              <w:instrText xml:space="preserve"> PAGEREF _Toc216827537 \h </w:instrText>
            </w:r>
            <w:r>
              <w:rPr>
                <w:noProof/>
                <w:webHidden/>
              </w:rPr>
            </w:r>
            <w:r>
              <w:rPr>
                <w:noProof/>
                <w:webHidden/>
              </w:rPr>
              <w:fldChar w:fldCharType="separate"/>
            </w:r>
            <w:r w:rsidR="00347821">
              <w:rPr>
                <w:noProof/>
                <w:webHidden/>
              </w:rPr>
              <w:t>18</w:t>
            </w:r>
            <w:r>
              <w:rPr>
                <w:noProof/>
                <w:webHidden/>
              </w:rPr>
              <w:fldChar w:fldCharType="end"/>
            </w:r>
          </w:hyperlink>
        </w:p>
        <w:p w14:paraId="55761A77" w14:textId="6E62F58C" w:rsidR="00160A75" w:rsidRDefault="00160A75" w:rsidP="00943B19">
          <w:pPr>
            <w:pStyle w:val="TOC1"/>
            <w:tabs>
              <w:tab w:val="right" w:leader="dot" w:pos="9350"/>
            </w:tabs>
            <w:spacing w:line="360" w:lineRule="auto"/>
            <w:rPr>
              <w:noProof/>
            </w:rPr>
          </w:pPr>
          <w:hyperlink w:anchor="_Toc216827538" w:history="1">
            <w:r w:rsidRPr="0061697D">
              <w:rPr>
                <w:rStyle w:val="Hyperlink"/>
                <w:noProof/>
              </w:rPr>
              <w:t>References</w:t>
            </w:r>
            <w:r>
              <w:rPr>
                <w:noProof/>
                <w:webHidden/>
              </w:rPr>
              <w:tab/>
            </w:r>
            <w:r>
              <w:rPr>
                <w:noProof/>
                <w:webHidden/>
              </w:rPr>
              <w:fldChar w:fldCharType="begin"/>
            </w:r>
            <w:r>
              <w:rPr>
                <w:noProof/>
                <w:webHidden/>
              </w:rPr>
              <w:instrText xml:space="preserve"> PAGEREF _Toc216827538 \h </w:instrText>
            </w:r>
            <w:r>
              <w:rPr>
                <w:noProof/>
                <w:webHidden/>
              </w:rPr>
            </w:r>
            <w:r>
              <w:rPr>
                <w:noProof/>
                <w:webHidden/>
              </w:rPr>
              <w:fldChar w:fldCharType="separate"/>
            </w:r>
            <w:r w:rsidR="00347821">
              <w:rPr>
                <w:noProof/>
                <w:webHidden/>
              </w:rPr>
              <w:t>19</w:t>
            </w:r>
            <w:r>
              <w:rPr>
                <w:noProof/>
                <w:webHidden/>
              </w:rPr>
              <w:fldChar w:fldCharType="end"/>
            </w:r>
          </w:hyperlink>
        </w:p>
        <w:p w14:paraId="2EE23DC5" w14:textId="2EF1239C" w:rsidR="00160A75" w:rsidRDefault="00160A75" w:rsidP="00943B19">
          <w:pPr>
            <w:pStyle w:val="TOC1"/>
            <w:tabs>
              <w:tab w:val="right" w:leader="dot" w:pos="9350"/>
            </w:tabs>
            <w:spacing w:line="360" w:lineRule="auto"/>
            <w:rPr>
              <w:noProof/>
            </w:rPr>
          </w:pPr>
          <w:hyperlink w:anchor="_Toc216827539" w:history="1">
            <w:r w:rsidRPr="0061697D">
              <w:rPr>
                <w:rStyle w:val="Hyperlink"/>
                <w:noProof/>
              </w:rPr>
              <w:t>Appendix</w:t>
            </w:r>
            <w:r>
              <w:rPr>
                <w:noProof/>
                <w:webHidden/>
              </w:rPr>
              <w:tab/>
            </w:r>
            <w:r>
              <w:rPr>
                <w:noProof/>
                <w:webHidden/>
              </w:rPr>
              <w:fldChar w:fldCharType="begin"/>
            </w:r>
            <w:r>
              <w:rPr>
                <w:noProof/>
                <w:webHidden/>
              </w:rPr>
              <w:instrText xml:space="preserve"> PAGEREF _Toc216827539 \h </w:instrText>
            </w:r>
            <w:r>
              <w:rPr>
                <w:noProof/>
                <w:webHidden/>
              </w:rPr>
            </w:r>
            <w:r>
              <w:rPr>
                <w:noProof/>
                <w:webHidden/>
              </w:rPr>
              <w:fldChar w:fldCharType="separate"/>
            </w:r>
            <w:r w:rsidR="00347821">
              <w:rPr>
                <w:noProof/>
                <w:webHidden/>
              </w:rPr>
              <w:t>22</w:t>
            </w:r>
            <w:r>
              <w:rPr>
                <w:noProof/>
                <w:webHidden/>
              </w:rPr>
              <w:fldChar w:fldCharType="end"/>
            </w:r>
          </w:hyperlink>
        </w:p>
        <w:p w14:paraId="31CE796E" w14:textId="16765945" w:rsidR="00160A75" w:rsidRDefault="00160A75" w:rsidP="00943B19">
          <w:pPr>
            <w:spacing w:line="360" w:lineRule="auto"/>
          </w:pPr>
          <w:r>
            <w:rPr>
              <w:b/>
              <w:bCs/>
            </w:rPr>
            <w:fldChar w:fldCharType="end"/>
          </w:r>
        </w:p>
      </w:sdtContent>
    </w:sdt>
    <w:p w14:paraId="107184DF" w14:textId="77777777" w:rsidR="00B83498" w:rsidRDefault="00B83498" w:rsidP="00943B19">
      <w:pPr>
        <w:spacing w:line="360" w:lineRule="auto"/>
      </w:pPr>
    </w:p>
    <w:p w14:paraId="6E03242B" w14:textId="77777777" w:rsidR="00B83498" w:rsidRDefault="00B83498" w:rsidP="00943B19">
      <w:pPr>
        <w:spacing w:line="360" w:lineRule="auto"/>
      </w:pPr>
    </w:p>
    <w:p w14:paraId="59095C69" w14:textId="77777777" w:rsidR="006E0BF6" w:rsidRDefault="006E0BF6" w:rsidP="00943B19">
      <w:pPr>
        <w:spacing w:line="360" w:lineRule="auto"/>
      </w:pPr>
    </w:p>
    <w:p w14:paraId="2ABDF247" w14:textId="77777777" w:rsidR="006E0BF6" w:rsidRDefault="006E0BF6" w:rsidP="00943B19">
      <w:pPr>
        <w:spacing w:line="360" w:lineRule="auto"/>
      </w:pPr>
    </w:p>
    <w:p w14:paraId="33439806" w14:textId="77777777" w:rsidR="00160A75" w:rsidRDefault="00160A75" w:rsidP="00943B19">
      <w:pPr>
        <w:spacing w:line="360" w:lineRule="auto"/>
      </w:pPr>
    </w:p>
    <w:p w14:paraId="09B3FF89" w14:textId="77777777" w:rsidR="00160A75" w:rsidRDefault="00160A75" w:rsidP="00943B19">
      <w:pPr>
        <w:spacing w:line="360" w:lineRule="auto"/>
      </w:pPr>
    </w:p>
    <w:p w14:paraId="25E01B50" w14:textId="77777777" w:rsidR="00160A75" w:rsidRDefault="00160A75" w:rsidP="00943B19">
      <w:pPr>
        <w:spacing w:line="360" w:lineRule="auto"/>
      </w:pPr>
    </w:p>
    <w:p w14:paraId="765C5D6D" w14:textId="77777777" w:rsidR="00160A75" w:rsidRDefault="00160A75" w:rsidP="00943B19">
      <w:pPr>
        <w:spacing w:line="360" w:lineRule="auto"/>
      </w:pPr>
    </w:p>
    <w:p w14:paraId="514C140B" w14:textId="77777777" w:rsidR="00160A75" w:rsidRDefault="00160A75" w:rsidP="00943B19">
      <w:pPr>
        <w:spacing w:line="360" w:lineRule="auto"/>
      </w:pPr>
    </w:p>
    <w:p w14:paraId="0479BB82" w14:textId="77777777" w:rsidR="00160A75" w:rsidRDefault="00160A75" w:rsidP="00943B19">
      <w:pPr>
        <w:spacing w:line="360" w:lineRule="auto"/>
      </w:pPr>
    </w:p>
    <w:p w14:paraId="2620FF1D" w14:textId="77777777" w:rsidR="00160A75" w:rsidRDefault="00160A75" w:rsidP="00943B19">
      <w:pPr>
        <w:spacing w:line="360" w:lineRule="auto"/>
      </w:pPr>
    </w:p>
    <w:p w14:paraId="089030F8" w14:textId="77777777" w:rsidR="00160A75" w:rsidRDefault="00160A75" w:rsidP="00943B19">
      <w:pPr>
        <w:spacing w:line="360" w:lineRule="auto"/>
      </w:pPr>
    </w:p>
    <w:p w14:paraId="5E54FB7D" w14:textId="77777777" w:rsidR="00160A75" w:rsidRDefault="00160A75" w:rsidP="00943B19">
      <w:pPr>
        <w:spacing w:line="360" w:lineRule="auto"/>
      </w:pPr>
    </w:p>
    <w:p w14:paraId="393F96B7" w14:textId="77777777" w:rsidR="00160A75" w:rsidRDefault="00160A75" w:rsidP="00943B19">
      <w:pPr>
        <w:spacing w:line="360" w:lineRule="auto"/>
      </w:pPr>
    </w:p>
    <w:p w14:paraId="098F7891" w14:textId="77777777" w:rsidR="00B83498" w:rsidRDefault="00B83498" w:rsidP="00943B19">
      <w:pPr>
        <w:spacing w:line="360" w:lineRule="auto"/>
      </w:pPr>
    </w:p>
    <w:p w14:paraId="44E6879B" w14:textId="215BF507" w:rsidR="006E0BF6" w:rsidRDefault="00B83498" w:rsidP="00943B19">
      <w:pPr>
        <w:pStyle w:val="Heading1"/>
        <w:numPr>
          <w:ilvl w:val="0"/>
          <w:numId w:val="2"/>
        </w:numPr>
        <w:spacing w:line="360" w:lineRule="auto"/>
      </w:pPr>
      <w:bookmarkStart w:id="0" w:name="_Toc216827510"/>
      <w:r>
        <w:lastRenderedPageBreak/>
        <w:t>Introduction</w:t>
      </w:r>
      <w:bookmarkEnd w:id="0"/>
    </w:p>
    <w:p w14:paraId="0614EFA4" w14:textId="541A49B2" w:rsidR="00B83498" w:rsidRDefault="00FE71E6" w:rsidP="00943B19">
      <w:pPr>
        <w:spacing w:line="360" w:lineRule="auto"/>
      </w:pPr>
      <w:r>
        <w:t>A very</w:t>
      </w:r>
      <w:r w:rsidR="00B83498">
        <w:t xml:space="preserve"> competitive and innovative segment of the globe is consumer electronics, which is marked by the speed of</w:t>
      </w:r>
      <w:r w:rsidR="004E7E7B">
        <w:t>,</w:t>
      </w:r>
      <w:r w:rsidR="00B83498">
        <w:t xml:space="preserve"> technological development of the world, quick product cycles cycle, as well as the intensity of price competition. The firms within this industry need to strike a balance with the research and development process and ensure the cost involved is kept at a minimum and the operational risk at a minimum</w:t>
      </w:r>
      <w:r w:rsidR="00C25D81">
        <w:t xml:space="preserve"> (</w:t>
      </w:r>
      <w:r w:rsidR="00C25D81" w:rsidRPr="00DF25B2">
        <w:t xml:space="preserve">Markovic, </w:t>
      </w:r>
      <w:r w:rsidR="00C25D81">
        <w:t>et al., 2018)</w:t>
      </w:r>
      <w:r w:rsidR="00B83498">
        <w:t>. The financial tension has also been growing in the last few years due to the global inflation, disruption of the supply chain and fluctuations of consumer demand and supply thus the importance of financial planning and control as the sole source of survival and continued development of the organisation.</w:t>
      </w:r>
      <w:r w:rsidR="00347821">
        <w:t xml:space="preserve"> </w:t>
      </w:r>
    </w:p>
    <w:p w14:paraId="247939A5" w14:textId="6723CA5F" w:rsidR="00B83498" w:rsidRDefault="00B83498" w:rsidP="00943B19">
      <w:pPr>
        <w:spacing w:line="360" w:lineRule="auto"/>
      </w:pPr>
      <w:r>
        <w:t xml:space="preserve">General </w:t>
      </w:r>
      <w:r w:rsidR="003D679F">
        <w:t>Electronics</w:t>
      </w:r>
      <w:r>
        <w:t xml:space="preserve"> is an international consumer electronics firm that has been facing a gradual cut in financial performance over the last 5 years. The company has been complaining of poor sales, operating loss, declining liquidity and excessive reliance in the short run borrowing. The report shall be addressed to the examination of financial health of the company by the ratio analysis and corporate failure prediction model, working capital management that is being carried out by the company, suggested strategic financial restructuring plan, analysis of the future investment project of interest through the application of the capital budgeting techniques. The report is conducted in such a way that it slices across the financial diagnosis and strategic recommendations and investment recommendations based on the assessment requirement. </w:t>
      </w:r>
    </w:p>
    <w:p w14:paraId="59A53453" w14:textId="77777777" w:rsidR="00B83498" w:rsidRDefault="00B83498" w:rsidP="00943B19">
      <w:pPr>
        <w:pStyle w:val="Heading1"/>
        <w:spacing w:line="360" w:lineRule="auto"/>
      </w:pPr>
      <w:bookmarkStart w:id="1" w:name="_Toc216827511"/>
      <w:r>
        <w:t>2. Financial Health Check</w:t>
      </w:r>
      <w:bookmarkEnd w:id="1"/>
    </w:p>
    <w:p w14:paraId="31D535A3" w14:textId="22FD25FE" w:rsidR="00B83498" w:rsidRDefault="007E4987" w:rsidP="00943B19">
      <w:pPr>
        <w:pStyle w:val="Heading2"/>
        <w:spacing w:line="360" w:lineRule="auto"/>
      </w:pPr>
      <w:bookmarkStart w:id="2" w:name="_Toc216827512"/>
      <w:r w:rsidRPr="007E4987">
        <w:t>2.1 Overview of Financial Performance (2020–2024</w:t>
      </w:r>
      <w:r w:rsidR="00B83498">
        <w:t>)</w:t>
      </w:r>
      <w:bookmarkEnd w:id="2"/>
    </w:p>
    <w:p w14:paraId="7C07863D" w14:textId="006D0D0E" w:rsidR="00B83498" w:rsidRDefault="00B83498" w:rsidP="00943B19">
      <w:pPr>
        <w:spacing w:line="360" w:lineRule="auto"/>
      </w:pPr>
      <w:r>
        <w:t xml:space="preserve">General Electronics had an extremely low performance in the total financial performance between the year 2020 and 2024. In 2020 and 2021, high revenues and profitability were noted, and it started to follow a negative trend after 2022. The net sales were reduced and the operating income became negative and experienced the net losses during the year 2023 and 2024. What was worse is that the financial situation of the company was the asset impairments, the increased operating cost, and ever-growing dependence on the short-term funding. Despite there are positive operating cash flows, decreasing balance of cash and depreciation in the </w:t>
      </w:r>
      <w:r w:rsidR="003D679F">
        <w:t>shareholders'</w:t>
      </w:r>
      <w:r>
        <w:t xml:space="preserve"> equity portrays that there is accumulation of financial stress and some correctional measure is needed. </w:t>
      </w:r>
    </w:p>
    <w:p w14:paraId="47B5DCB4" w14:textId="20FE6162" w:rsidR="00B83498" w:rsidRDefault="007B14EF" w:rsidP="00943B19">
      <w:pPr>
        <w:pStyle w:val="Heading2"/>
        <w:spacing w:line="360" w:lineRule="auto"/>
      </w:pPr>
      <w:bookmarkStart w:id="3" w:name="_Toc216827513"/>
      <w:r w:rsidRPr="007B14EF">
        <w:lastRenderedPageBreak/>
        <w:t>2.2 Profitability Ratio Analysis</w:t>
      </w:r>
      <w:bookmarkEnd w:id="3"/>
    </w:p>
    <w:p w14:paraId="26E0B9B0" w14:textId="486A050C" w:rsidR="00B83498" w:rsidRDefault="00B83498" w:rsidP="00943B19">
      <w:pPr>
        <w:spacing w:line="360" w:lineRule="auto"/>
      </w:pPr>
      <w:r>
        <w:t xml:space="preserve">The profitability ratios indicate that indeed, there is a reduction in the capacity of General Electronics to generate profits within the next five years. The effectiveness of the control over different costs on the production level was demonstrated by the fact that the gross profit margin did not change significantly until 2022. On the one hand, however, the year 2023 denotes the unavoidable loss which is the symptom of low power of the price and sales volume in the </w:t>
      </w:r>
      <w:r w:rsidR="003D679F">
        <w:t>ever-growing</w:t>
      </w:r>
      <w:r>
        <w:t xml:space="preserve"> competitive market. This trend implies that the company was not able to transfer increased costs to consumers.</w:t>
      </w:r>
    </w:p>
    <w:p w14:paraId="164055AE" w14:textId="7C597C99" w:rsidR="00B83498" w:rsidRDefault="00B83498" w:rsidP="00943B19">
      <w:pPr>
        <w:spacing w:line="360" w:lineRule="auto"/>
      </w:pPr>
      <w:r>
        <w:t>The operating margin is poor, as it has reduced. Despite the positive margins the company has recorded over the years, the current years have recorded a growth in operating losses in the years 2023 and 2024. To a large extent, this degradation can be explained by the increase in operating cost, restructuring cost and high impairment charges which mean that the cost and strategic decision-making process was not effective</w:t>
      </w:r>
      <w:r w:rsidR="000F5495">
        <w:t xml:space="preserve"> (</w:t>
      </w:r>
      <w:proofErr w:type="spellStart"/>
      <w:r w:rsidR="000F5495" w:rsidRPr="00DF25B2">
        <w:t>Cucchiella</w:t>
      </w:r>
      <w:proofErr w:type="spellEnd"/>
      <w:r w:rsidR="000F5495" w:rsidRPr="00DF25B2">
        <w:t xml:space="preserve">, </w:t>
      </w:r>
      <w:r w:rsidR="000F5495">
        <w:t>et al., 2021)</w:t>
      </w:r>
      <w:r>
        <w:t>. The net profit margin also supports the same trend by showing that the company began with small profits and was still losing a lot of money</w:t>
      </w:r>
      <w:r w:rsidR="003D679F">
        <w:t>,</w:t>
      </w:r>
      <w:r>
        <w:t xml:space="preserve"> </w:t>
      </w:r>
      <w:r w:rsidR="003D679F">
        <w:t>which</w:t>
      </w:r>
      <w:r>
        <w:t xml:space="preserve"> undermined the overall financial performance.</w:t>
      </w:r>
    </w:p>
    <w:p w14:paraId="1B88E0C0" w14:textId="72B56162" w:rsidR="00B83498" w:rsidRDefault="00B83498" w:rsidP="00943B19">
      <w:pPr>
        <w:spacing w:line="360" w:lineRule="auto"/>
      </w:pPr>
      <w:r>
        <w:t xml:space="preserve">The ROA has also declined significantly over the period and this suggests inefficient use of assets to get profits. The last couple of years have shown negative ROA which portrays the fact that assets are no longer adding to the earnings positively. This happens to be the case of the Return on Equity (ROE that went down drastically as a result of the reduction in the net income and the decline in </w:t>
      </w:r>
      <w:r w:rsidR="003D679F">
        <w:t>shareholders'</w:t>
      </w:r>
      <w:r>
        <w:t xml:space="preserve"> equity</w:t>
      </w:r>
      <w:r w:rsidR="00884E8E">
        <w:t xml:space="preserve"> (</w:t>
      </w:r>
      <w:r w:rsidR="00884E8E" w:rsidRPr="00DF25B2">
        <w:t xml:space="preserve">Al Nimer, </w:t>
      </w:r>
      <w:r w:rsidR="00884E8E">
        <w:t>et al., 2015)</w:t>
      </w:r>
      <w:r>
        <w:t>. Negative ROE determines the loss of shareholder value and displays excessive anxiety to the investors regarding the profitability in the long run as well as the existence of the firm.</w:t>
      </w:r>
    </w:p>
    <w:p w14:paraId="6D22E98F" w14:textId="77777777" w:rsidR="00B83498" w:rsidRDefault="00B83498" w:rsidP="00943B19">
      <w:pPr>
        <w:pStyle w:val="Heading2"/>
        <w:spacing w:line="360" w:lineRule="auto"/>
      </w:pPr>
      <w:bookmarkStart w:id="4" w:name="_Toc216827514"/>
      <w:r>
        <w:t>2.3 Liquidity Ratio Analysis</w:t>
      </w:r>
      <w:bookmarkEnd w:id="4"/>
      <w:r>
        <w:t xml:space="preserve"> </w:t>
      </w:r>
    </w:p>
    <w:p w14:paraId="6F66FB8C" w14:textId="454F5E8B" w:rsidR="00B83498" w:rsidRDefault="00B83498" w:rsidP="00943B19">
      <w:pPr>
        <w:spacing w:line="360" w:lineRule="auto"/>
      </w:pPr>
      <w:r>
        <w:t xml:space="preserve">The liquidity ratios also suggest that General Electronics is becoming more challenging to finance its short-term liabilities. The </w:t>
      </w:r>
      <w:r w:rsidR="000C554B">
        <w:t>current period</w:t>
      </w:r>
      <w:r>
        <w:t xml:space="preserve"> ratio was greater than one, but it declined marginally and this indicated that there was minimal short-term financial flexibility. It is an indicator of increasing current liabilities and decreasing current assets particularly cash balances</w:t>
      </w:r>
      <w:r w:rsidR="00756E42">
        <w:t xml:space="preserve"> (</w:t>
      </w:r>
      <w:r w:rsidR="00756E42" w:rsidRPr="00DF25B2">
        <w:t xml:space="preserve">Blessing, and </w:t>
      </w:r>
      <w:proofErr w:type="spellStart"/>
      <w:r w:rsidR="00756E42" w:rsidRPr="00DF25B2">
        <w:t>Sakouvogui</w:t>
      </w:r>
      <w:proofErr w:type="spellEnd"/>
      <w:r w:rsidR="00756E42" w:rsidRPr="00DF25B2">
        <w:t>, 2023</w:t>
      </w:r>
      <w:r w:rsidR="00756E42">
        <w:t>)</w:t>
      </w:r>
      <w:r>
        <w:t xml:space="preserve"> The same can be said about the quick ratio which shows that despite the </w:t>
      </w:r>
      <w:r>
        <w:lastRenderedPageBreak/>
        <w:t xml:space="preserve">omission of the inventories, the firm in terms of capacity to meet the </w:t>
      </w:r>
      <w:proofErr w:type="gramStart"/>
      <w:r>
        <w:t>short term</w:t>
      </w:r>
      <w:proofErr w:type="gramEnd"/>
      <w:r>
        <w:t xml:space="preserve"> debtors weakened over the years.</w:t>
      </w:r>
    </w:p>
    <w:p w14:paraId="435B1603" w14:textId="7767AAED" w:rsidR="00B83498" w:rsidRDefault="00B83498" w:rsidP="00943B19">
      <w:pPr>
        <w:spacing w:line="360" w:lineRule="auto"/>
      </w:pPr>
      <w:r>
        <w:t>Also, there is the liquidity pressure that is reported in the cash position analysis. The reduction in cash and cash equivalents in 2024 was by far caused by operating losses, investment outlay, and payment of debt. The fact that the operating cash flows are positive does not dismiss the fact that the balance of cash is lowering indicating that the level of cash generated by the company itself is not enough to sustain the current operations and other financial requirements.</w:t>
      </w:r>
    </w:p>
    <w:p w14:paraId="1868435D" w14:textId="77777777" w:rsidR="00B83498" w:rsidRDefault="00B83498" w:rsidP="00943B19">
      <w:pPr>
        <w:pStyle w:val="Heading2"/>
        <w:spacing w:line="360" w:lineRule="auto"/>
      </w:pPr>
      <w:bookmarkStart w:id="5" w:name="_Toc216827515"/>
      <w:r>
        <w:t>2.4 Efficiency Ratio Analysis</w:t>
      </w:r>
      <w:bookmarkEnd w:id="5"/>
      <w:r>
        <w:t xml:space="preserve"> </w:t>
      </w:r>
    </w:p>
    <w:p w14:paraId="72ED0B31" w14:textId="26B29A2F" w:rsidR="00B83498" w:rsidRDefault="00B83498" w:rsidP="00943B19">
      <w:pPr>
        <w:spacing w:line="360" w:lineRule="auto"/>
      </w:pPr>
      <w:r>
        <w:t xml:space="preserve">The working capital ratios indicate the flaws in the management of working capital of the company. The period was </w:t>
      </w:r>
      <w:r w:rsidR="0059163B">
        <w:t>characterised</w:t>
      </w:r>
      <w:r>
        <w:t xml:space="preserve"> by the decline in inventory turnover</w:t>
      </w:r>
      <w:r w:rsidR="00E74CCE">
        <w:t>,</w:t>
      </w:r>
      <w:r>
        <w:t xml:space="preserve"> </w:t>
      </w:r>
      <w:r w:rsidR="00E74CCE">
        <w:t>which</w:t>
      </w:r>
      <w:r>
        <w:t xml:space="preserve"> suggests the presence of the slower inventory turnover and even overstocking. What this implies is that demand forecasting and inventory management is inefficient and this may have led to a rise in the holding cost and low liquidity</w:t>
      </w:r>
      <w:r w:rsidR="0084576A">
        <w:t xml:space="preserve"> (</w:t>
      </w:r>
      <w:r w:rsidR="0084576A" w:rsidRPr="00DF25B2">
        <w:t>Akgün, and Memiş Karataş, 2021</w:t>
      </w:r>
      <w:r w:rsidR="0084576A">
        <w:t>)</w:t>
      </w:r>
      <w:r>
        <w:t>.</w:t>
      </w:r>
    </w:p>
    <w:p w14:paraId="67CEFDC4" w14:textId="5C3157A3" w:rsidR="00B83498" w:rsidRDefault="00B83498" w:rsidP="00943B19">
      <w:pPr>
        <w:spacing w:line="360" w:lineRule="auto"/>
      </w:pPr>
      <w:r>
        <w:t>The debt turnover is increasing significantly in the last several years, which means that they cannot service their clients and their credit control policy is flawed. Such slowness of cash receivables also impacts the liquidity and makes the firm more reliant on short-term debts. Conversely, the period of payable payment went toward the later years which mean that the company will take longer to settle the payable to the suppliers so as to save cash. This much as it would alleviate the liquidity pressure in the short-term, could cause the destruction of relationships with the suppliers in addition to the impact on continuity of operations.</w:t>
      </w:r>
    </w:p>
    <w:p w14:paraId="0AEA44BD" w14:textId="77777777" w:rsidR="00B83498" w:rsidRDefault="00B83498" w:rsidP="00943B19">
      <w:pPr>
        <w:pStyle w:val="Heading2"/>
        <w:spacing w:line="360" w:lineRule="auto"/>
      </w:pPr>
      <w:bookmarkStart w:id="6" w:name="_Toc216827516"/>
      <w:r>
        <w:t>2.5 Gearing and Solvency Analysis.</w:t>
      </w:r>
      <w:bookmarkEnd w:id="6"/>
      <w:r>
        <w:t xml:space="preserve"> </w:t>
      </w:r>
    </w:p>
    <w:p w14:paraId="585BB5CA" w14:textId="0E1AB594" w:rsidR="00B83498" w:rsidRDefault="00B83498" w:rsidP="00943B19">
      <w:pPr>
        <w:spacing w:line="360" w:lineRule="auto"/>
      </w:pPr>
      <w:r>
        <w:t xml:space="preserve">Gearing and Solvency ratio show that General Electronics is confronted with a growing financial risk. This debt equity ratio was boosted with the five years of advancement of the </w:t>
      </w:r>
      <w:r w:rsidR="000C554B">
        <w:t>organisation</w:t>
      </w:r>
      <w:r>
        <w:t xml:space="preserve"> and skewed debt capital and reduced shareholders equity. This adjustment of capital structure amplifies the level of financial leverage and leaves the company at a greater risk in the area of changes in earnings.</w:t>
      </w:r>
    </w:p>
    <w:p w14:paraId="016E8BB3" w14:textId="08FC2603" w:rsidR="00B83498" w:rsidRDefault="00B83498" w:rsidP="00943B19">
      <w:pPr>
        <w:spacing w:line="360" w:lineRule="auto"/>
      </w:pPr>
      <w:r>
        <w:t xml:space="preserve">The interest coverage ratio has been very poor and negative in the previous years through operating losses. This shows the company is making low profits to service the interest and hence, it is not </w:t>
      </w:r>
      <w:r>
        <w:lastRenderedPageBreak/>
        <w:t>clear whether the company is positioned to service the interest on the debt. It will increase the aspect of default as it increases the risk of under-interest covering, and forbids further borrowing</w:t>
      </w:r>
      <w:r w:rsidR="002A6895">
        <w:t xml:space="preserve"> (</w:t>
      </w:r>
      <w:proofErr w:type="spellStart"/>
      <w:r w:rsidR="002A6895" w:rsidRPr="00DF424A">
        <w:t>Iotti</w:t>
      </w:r>
      <w:proofErr w:type="spellEnd"/>
      <w:r w:rsidR="002A6895" w:rsidRPr="00DF424A">
        <w:t xml:space="preserve">, </w:t>
      </w:r>
      <w:r w:rsidR="002A6895">
        <w:t>et al., 2024)</w:t>
      </w:r>
      <w:r>
        <w:t xml:space="preserve">. Generally, the financial status of the company has remained </w:t>
      </w:r>
      <w:r w:rsidR="0084576A">
        <w:t>stable</w:t>
      </w:r>
      <w:r>
        <w:t xml:space="preserve"> indicating the necessity of financial restructuring </w:t>
      </w:r>
      <w:r w:rsidR="0084576A">
        <w:t>to balance</w:t>
      </w:r>
      <w:r>
        <w:t xml:space="preserve"> the strength of the balance sheet and financial risk </w:t>
      </w:r>
      <w:r w:rsidR="00AF1D4F">
        <w:t>minimisation</w:t>
      </w:r>
      <w:r>
        <w:t>, in the long term.</w:t>
      </w:r>
    </w:p>
    <w:p w14:paraId="08F20A87" w14:textId="0284EF11" w:rsidR="00B83498" w:rsidRDefault="00AF1D4F" w:rsidP="00943B19">
      <w:pPr>
        <w:pStyle w:val="Heading2"/>
        <w:spacing w:line="360" w:lineRule="auto"/>
      </w:pPr>
      <w:bookmarkStart w:id="7" w:name="_Toc216827517"/>
      <w:r w:rsidRPr="00AF1D4F">
        <w:t>2.6 Investment and Shareholder Performance</w:t>
      </w:r>
      <w:bookmarkEnd w:id="7"/>
      <w:r w:rsidR="00B83498">
        <w:t xml:space="preserve"> </w:t>
      </w:r>
    </w:p>
    <w:p w14:paraId="0B3958D2" w14:textId="63860E80" w:rsidR="00B83498" w:rsidRDefault="00B83498" w:rsidP="00943B19">
      <w:pPr>
        <w:spacing w:line="360" w:lineRule="auto"/>
      </w:pPr>
      <w:r>
        <w:t xml:space="preserve">The investment and shareholder performance measures portray high erosion of value. </w:t>
      </w:r>
      <w:r w:rsidR="000C554B">
        <w:t xml:space="preserve">The </w:t>
      </w:r>
      <w:r>
        <w:t xml:space="preserve">Earnings Per Share (EPS) ratio has gone down to horrific level with negative values in 2023 and 2024, since the business has been making continuous losses, low profitability. This type of trend deteriorates the confidence of investors and makes the shares of the companies less attractive. The trend of </w:t>
      </w:r>
      <w:r w:rsidR="000C554B">
        <w:t>shareholder</w:t>
      </w:r>
      <w:r>
        <w:t xml:space="preserve"> values </w:t>
      </w:r>
      <w:proofErr w:type="gramStart"/>
      <w:r>
        <w:t>are</w:t>
      </w:r>
      <w:proofErr w:type="gramEnd"/>
      <w:r>
        <w:t xml:space="preserve"> also defined by the fact that there is a declining shareholder retained earnings and depleting equity which are attributed to accumulating losses and buying back treasury stocks. The negative EPS and the falling equity a </w:t>
      </w:r>
      <w:proofErr w:type="gramStart"/>
      <w:r w:rsidR="000C554B">
        <w:t>pointers</w:t>
      </w:r>
      <w:proofErr w:type="gramEnd"/>
      <w:r>
        <w:t xml:space="preserve"> that shareholder value is being lost and it means that some immediate strategic and financial actions must be performed to re-build investor confidence and the generation of </w:t>
      </w:r>
      <w:r w:rsidR="000C554B">
        <w:t>long-term</w:t>
      </w:r>
      <w:r>
        <w:t xml:space="preserve"> value.</w:t>
      </w:r>
    </w:p>
    <w:p w14:paraId="32112005" w14:textId="2FA000C1" w:rsidR="00B83498" w:rsidRDefault="00AB71BC" w:rsidP="00943B19">
      <w:pPr>
        <w:pStyle w:val="Heading2"/>
        <w:spacing w:line="360" w:lineRule="auto"/>
      </w:pPr>
      <w:bookmarkStart w:id="8" w:name="_Toc216827518"/>
      <w:r w:rsidRPr="00AB71BC">
        <w:t>2.7 Corporate Failure Prediction (Altman Z-Score)</w:t>
      </w:r>
      <w:bookmarkEnd w:id="8"/>
      <w:r w:rsidR="00B83498">
        <w:t xml:space="preserve"> </w:t>
      </w:r>
    </w:p>
    <w:p w14:paraId="56062E57" w14:textId="1DFD0E2A" w:rsidR="00B83498" w:rsidRDefault="00B83498" w:rsidP="00943B19">
      <w:pPr>
        <w:spacing w:line="360" w:lineRule="auto"/>
      </w:pPr>
      <w:r>
        <w:t>The Altman Z-Score model is one of these popular methods of evaluating the potential risk of financial distress of the corporation; it is a one-score method of assessing the liquidity, profitability, leverage, solvency and activity ratios</w:t>
      </w:r>
      <w:r w:rsidR="00F877B1">
        <w:t xml:space="preserve"> (</w:t>
      </w:r>
      <w:proofErr w:type="spellStart"/>
      <w:r w:rsidR="00F877B1" w:rsidRPr="00DF424A">
        <w:t>Bunyaminu</w:t>
      </w:r>
      <w:proofErr w:type="spellEnd"/>
      <w:r w:rsidR="00F877B1" w:rsidRPr="00DF424A">
        <w:t xml:space="preserve">, </w:t>
      </w:r>
      <w:r w:rsidR="00F877B1">
        <w:t>et al., 2019)</w:t>
      </w:r>
      <w:r>
        <w:t>. It gives a prior warning on the likelihood of bankruptcy and is quite effective in manufacturing and industrial companies.</w:t>
      </w:r>
    </w:p>
    <w:p w14:paraId="37553EAA" w14:textId="0ECCA6BA" w:rsidR="00B83498" w:rsidRDefault="00B83498" w:rsidP="00943B19">
      <w:pPr>
        <w:spacing w:line="360" w:lineRule="auto"/>
      </w:pPr>
      <w:r>
        <w:t xml:space="preserve">The company would be at the grey zone since the </w:t>
      </w:r>
      <w:r w:rsidR="000C554B">
        <w:t>Z-score</w:t>
      </w:r>
      <w:r>
        <w:t xml:space="preserve"> of General Electronics was determined to be in the grey zone, hence exposed to added financial risks. It is not within the distress zone but it is an indicator that it has high probabilities of financial failure unless they take the corrective measures to avert it. This can be attributed to some of the factors that contributed to it that </w:t>
      </w:r>
      <w:r w:rsidR="00991433">
        <w:t>including</w:t>
      </w:r>
      <w:r>
        <w:t xml:space="preserve"> of deteriorated profitability, deteriorated liquidity, high leverage and </w:t>
      </w:r>
      <w:r w:rsidR="00991433">
        <w:t>poorly utilised</w:t>
      </w:r>
      <w:r>
        <w:t>.</w:t>
      </w:r>
    </w:p>
    <w:p w14:paraId="5C51D254" w14:textId="62321875" w:rsidR="00B83498" w:rsidRDefault="00273984" w:rsidP="00943B19">
      <w:pPr>
        <w:pStyle w:val="Heading1"/>
        <w:spacing w:line="360" w:lineRule="auto"/>
      </w:pPr>
      <w:bookmarkStart w:id="9" w:name="_Toc216827519"/>
      <w:r w:rsidRPr="00273984">
        <w:lastRenderedPageBreak/>
        <w:t>3. Working Capital Management Analysis</w:t>
      </w:r>
      <w:bookmarkEnd w:id="9"/>
    </w:p>
    <w:p w14:paraId="49FEC0CC" w14:textId="46E5DDF0" w:rsidR="00B83498" w:rsidRDefault="00273984" w:rsidP="00943B19">
      <w:pPr>
        <w:pStyle w:val="Heading2"/>
        <w:spacing w:line="360" w:lineRule="auto"/>
      </w:pPr>
      <w:bookmarkStart w:id="10" w:name="_Toc216827520"/>
      <w:r w:rsidRPr="00273984">
        <w:t>3.1 Cash Operating Cycle Analysis</w:t>
      </w:r>
      <w:bookmarkEnd w:id="10"/>
      <w:r w:rsidR="00B83498">
        <w:t xml:space="preserve"> </w:t>
      </w:r>
    </w:p>
    <w:p w14:paraId="4D373B9C" w14:textId="0EB7DBEF" w:rsidR="00B83498" w:rsidRDefault="00B83498" w:rsidP="00943B19">
      <w:pPr>
        <w:spacing w:line="360" w:lineRule="auto"/>
      </w:pPr>
      <w:r>
        <w:t>Cash operating cycle determines the success of General Electronics in converting investments in inventory and receivables into cash in consideration of the inventory days, the receivables days, the payables days and the total cash conversion cycle. The number of days to inventory was also improving towards the later years of the period under review which is a sign that the goods and parts production was taking more days before it was out of the storage and sold</w:t>
      </w:r>
      <w:r w:rsidR="0077452A">
        <w:t xml:space="preserve"> (</w:t>
      </w:r>
      <w:r w:rsidR="0077452A" w:rsidRPr="00DF424A">
        <w:t xml:space="preserve">Kolias, </w:t>
      </w:r>
      <w:r w:rsidR="0077452A">
        <w:t>et al., 2020)</w:t>
      </w:r>
      <w:r>
        <w:t xml:space="preserve">. The trend implies poor demand </w:t>
      </w:r>
      <w:proofErr w:type="gramStart"/>
      <w:r>
        <w:t>forecasting,</w:t>
      </w:r>
      <w:proofErr w:type="gramEnd"/>
      <w:r>
        <w:t xml:space="preserve"> sales turnover is low and also the potential of overproduction exists which in a manner raises the cost of holding and limits cash availability.</w:t>
      </w:r>
    </w:p>
    <w:p w14:paraId="5AF69FEB" w14:textId="47E19F97" w:rsidR="00B83498" w:rsidRDefault="00B83498" w:rsidP="00943B19">
      <w:pPr>
        <w:spacing w:line="360" w:lineRule="auto"/>
      </w:pPr>
      <w:r>
        <w:t xml:space="preserve">The days outstanding also increased during the period which indicated that the customers took a long time to clear out the outstanding balances. It is indicative of slack credit policy and bad collection process that results in cash </w:t>
      </w:r>
      <w:r w:rsidR="000C554B">
        <w:t>inflows</w:t>
      </w:r>
      <w:r>
        <w:t xml:space="preserve"> delays. Its long receivables collection further worsens the liquidity situation and pushes the firm to further utilise the outside funding which are short in nature to finance the </w:t>
      </w:r>
      <w:r w:rsidR="000C554B">
        <w:t>day-to-day</w:t>
      </w:r>
      <w:r>
        <w:t xml:space="preserve"> operations of the firm.</w:t>
      </w:r>
    </w:p>
    <w:p w14:paraId="412D69BA" w14:textId="65007729" w:rsidR="00B83498" w:rsidRDefault="00B83498" w:rsidP="00943B19">
      <w:pPr>
        <w:spacing w:line="360" w:lineRule="auto"/>
      </w:pPr>
      <w:r>
        <w:t xml:space="preserve">Conversely, the payables days have been on the rise over the past couple of years meaning that the company has been depriving its </w:t>
      </w:r>
      <w:proofErr w:type="gramStart"/>
      <w:r>
        <w:t>suppliers</w:t>
      </w:r>
      <w:proofErr w:type="gramEnd"/>
      <w:r>
        <w:t xml:space="preserve"> payments in an effort to save its cash. The extension of the payment period, which will increase the liquidity in the </w:t>
      </w:r>
      <w:r w:rsidR="000C554B">
        <w:t>short run</w:t>
      </w:r>
      <w:r>
        <w:t xml:space="preserve">, would place an undue burden on the relationship with the suppliers and the resulting impact would be a broken supply chain. The collective inventory and receivables days of trade are higher in comparison to gains obtained due to the long payable. Therefore, the cash conversion cycle was still long and ineffective. This means that the operation activities are long before the cash is tied up in the operations are </w:t>
      </w:r>
      <w:r w:rsidR="000C554B">
        <w:t>realised</w:t>
      </w:r>
      <w:r>
        <w:t xml:space="preserve">, and this puts General electronics at a </w:t>
      </w:r>
      <w:r w:rsidR="000C554B">
        <w:t>short-term</w:t>
      </w:r>
      <w:r>
        <w:t xml:space="preserve"> liquidity risk and also means that the working capital management structure is also weak.</w:t>
      </w:r>
    </w:p>
    <w:p w14:paraId="063DC935" w14:textId="78D737BB" w:rsidR="00B83498" w:rsidRDefault="00776F96" w:rsidP="00943B19">
      <w:pPr>
        <w:pStyle w:val="Heading2"/>
        <w:spacing w:line="360" w:lineRule="auto"/>
      </w:pPr>
      <w:bookmarkStart w:id="11" w:name="_Toc216827521"/>
      <w:r w:rsidRPr="00776F96">
        <w:t>3.2 Identification of Working Capital Problems</w:t>
      </w:r>
      <w:bookmarkEnd w:id="11"/>
      <w:r w:rsidR="00B83498">
        <w:t xml:space="preserve"> </w:t>
      </w:r>
    </w:p>
    <w:p w14:paraId="7F1BA341" w14:textId="05E629B1" w:rsidR="00B83498" w:rsidRDefault="00B83498" w:rsidP="00943B19">
      <w:pPr>
        <w:spacing w:line="360" w:lineRule="auto"/>
      </w:pPr>
      <w:r>
        <w:t xml:space="preserve">As per the analysis, General Electronics has a number of serious issues in relation to the working capital. To begin with, the large volumes of inventories have tied up a large volume of cash in the non-liquid assets segment thereby making the firm not as vulnerable to financial constraints. This is aggravated by the fact that it has low inventory turnover rate that adds to the storage and obsolescence costs. Second, the receivables management is faulty and, therefore, the cash flows </w:t>
      </w:r>
      <w:r>
        <w:lastRenderedPageBreak/>
        <w:t>and bad debt risks are compromised by the delay in paying the customers. Third, the increasing pattern of the company to compensate its suppliers late indicates that there is no good cash management within the company but instead, there is no cash. This could be a short-term relief but in the long-term it is a short-term solution that could ruin the relationship between the suppliers.</w:t>
      </w:r>
    </w:p>
    <w:p w14:paraId="6252F244" w14:textId="4557CF40" w:rsidR="00B83498" w:rsidRDefault="00776F96" w:rsidP="00943B19">
      <w:pPr>
        <w:pStyle w:val="Heading2"/>
        <w:spacing w:line="360" w:lineRule="auto"/>
      </w:pPr>
      <w:bookmarkStart w:id="12" w:name="_Toc216827522"/>
      <w:r w:rsidRPr="00776F96">
        <w:t>3.3 Strategies to Improve Liquidity</w:t>
      </w:r>
      <w:bookmarkEnd w:id="12"/>
      <w:r w:rsidR="00B83498">
        <w:t xml:space="preserve"> </w:t>
      </w:r>
    </w:p>
    <w:p w14:paraId="23250C12" w14:textId="60C6925B" w:rsidR="00B83498" w:rsidRDefault="00B83498" w:rsidP="00943B19">
      <w:pPr>
        <w:spacing w:line="360" w:lineRule="auto"/>
      </w:pPr>
      <w:r>
        <w:t xml:space="preserve">The liquidity also enhances with some modifications in the inventory, receivables and payables management. The modifications in inventory control should be assumed to decrease the unnecessary inventory by the enhanced accuracy of the demand prediction, the severity of the production plan and the examination of the inventory at a certain period of time. It is possible to adopt lean inventory practice to cut holding costs; it might include adoption of just-in-time system where necessary, and free up cash in the form of unsold stock. The liquidity would also be available because the old or </w:t>
      </w:r>
      <w:r w:rsidR="003E52CC">
        <w:t>slow-moving</w:t>
      </w:r>
      <w:r>
        <w:t xml:space="preserve"> inventory would be eliminated.</w:t>
      </w:r>
    </w:p>
    <w:p w14:paraId="5F4CE18F" w14:textId="6BBA97AB" w:rsidR="00B83498" w:rsidRDefault="00B83498" w:rsidP="00943B19">
      <w:pPr>
        <w:spacing w:line="360" w:lineRule="auto"/>
      </w:pPr>
      <w:r>
        <w:t>The tightening of control over receivables should be provided with the help of more strict credit analysis and more open payment conditions. The cash must be received in time through carrying out frequent check of outstanding amount, invoicing systems and early payment incentive. Furthermore, the fines that are imposed upon the failure to deliver the cash within the time can reject the excess delays and augment the cash flows.</w:t>
      </w:r>
    </w:p>
    <w:p w14:paraId="031DF9FD" w14:textId="1D457224" w:rsidR="00B83498" w:rsidRDefault="00B83498" w:rsidP="00943B19">
      <w:pPr>
        <w:spacing w:line="360" w:lineRule="auto"/>
      </w:pPr>
      <w:r>
        <w:t xml:space="preserve">The cash control plans and the payables have to be oriented to the balancing of the liquidity needs and the stability of the operations. Realistic and longer terms of payment may be negotiated with suppliers who are not central to increase the cash flow in the short run without destroying the relations. Liquidity can also be better improved by </w:t>
      </w:r>
      <w:r w:rsidR="005C5169">
        <w:t xml:space="preserve">a </w:t>
      </w:r>
      <w:r>
        <w:t>centralised cash management system, better cash flow forecasting and closer control of discretionary expenditure</w:t>
      </w:r>
      <w:r w:rsidR="003E52CC">
        <w:t xml:space="preserve"> (</w:t>
      </w:r>
      <w:r w:rsidR="003E52CC" w:rsidRPr="00DF424A">
        <w:t>Barnabas, and Oloyede, 2024</w:t>
      </w:r>
      <w:r w:rsidR="003E52CC">
        <w:t>)</w:t>
      </w:r>
      <w:r>
        <w:t>. Combined, this would shorten the cash conversion cycle and decrease the use of short-term debt and make the company less vulnerable to financing.</w:t>
      </w:r>
    </w:p>
    <w:p w14:paraId="300C0B0B" w14:textId="51F45556" w:rsidR="00B83498" w:rsidRDefault="004B4F67" w:rsidP="00943B19">
      <w:pPr>
        <w:pStyle w:val="Heading2"/>
        <w:spacing w:line="360" w:lineRule="auto"/>
      </w:pPr>
      <w:bookmarkStart w:id="13" w:name="_Toc216827523"/>
      <w:r w:rsidRPr="004B4F67">
        <w:t>3.4 Short-Term vs Long-Term Financing Options</w:t>
      </w:r>
      <w:bookmarkEnd w:id="13"/>
    </w:p>
    <w:p w14:paraId="409BB3F6" w14:textId="797B4A7A" w:rsidR="00B83498" w:rsidRDefault="00B83498" w:rsidP="00943B19">
      <w:pPr>
        <w:spacing w:line="360" w:lineRule="auto"/>
      </w:pPr>
      <w:r>
        <w:t xml:space="preserve">The availability of easy cash and ease can also be obtained through short-term facilities like overdraft and line of credit. The overreliance on the devices, however, puts General Electronics at risk of refinancing implication, change in interest rate, and typical pressure to repay. This is a liquidity risk especially when there is low cash inflow. Long term sources of financing such as </w:t>
      </w:r>
      <w:r>
        <w:lastRenderedPageBreak/>
        <w:t>term loans, bonds or issuance of equity on the other hand are more stable in regard to finance because the repayment can be done over a long period of time. It is probable that increased cost or dilution of ownership will be incurred in long-term finance, whereas the short-term cash burden will be relieved and the sustainability of the balance sheet enhanced by finance of shorter term</w:t>
      </w:r>
      <w:r w:rsidR="005A0206">
        <w:t xml:space="preserve"> (</w:t>
      </w:r>
      <w:r w:rsidR="005A0206" w:rsidRPr="00DF424A">
        <w:t xml:space="preserve">Aguilar, </w:t>
      </w:r>
      <w:r w:rsidR="005A0206">
        <w:t>et al., 2023)</w:t>
      </w:r>
      <w:r>
        <w:t xml:space="preserve">. This could be accomplished with the assistance of an even-handed policy of financing, which is a better </w:t>
      </w:r>
      <w:r w:rsidR="005C5169">
        <w:t>utilisation</w:t>
      </w:r>
      <w:r>
        <w:t xml:space="preserve"> of the working capital and the gradual transition to long-term financing, and which would lead the way to the financial recovery and the mitigation of the liquidity risk.</w:t>
      </w:r>
    </w:p>
    <w:p w14:paraId="651B3BF6" w14:textId="665D0033" w:rsidR="00B83498" w:rsidRDefault="004B4F67" w:rsidP="00943B19">
      <w:pPr>
        <w:pStyle w:val="Heading1"/>
        <w:spacing w:line="360" w:lineRule="auto"/>
      </w:pPr>
      <w:bookmarkStart w:id="14" w:name="_Toc216827524"/>
      <w:r w:rsidRPr="004B4F67">
        <w:t>4. Strategic Financial Restructuring Plan</w:t>
      </w:r>
      <w:bookmarkEnd w:id="14"/>
    </w:p>
    <w:p w14:paraId="60D82F45" w14:textId="37303BF4" w:rsidR="00B83498" w:rsidRDefault="004B4F67" w:rsidP="00943B19">
      <w:pPr>
        <w:pStyle w:val="Heading2"/>
        <w:spacing w:line="360" w:lineRule="auto"/>
      </w:pPr>
      <w:bookmarkStart w:id="15" w:name="_Toc216827525"/>
      <w:r w:rsidRPr="004B4F67">
        <w:t>4.1 Need for Financial Restructuring</w:t>
      </w:r>
      <w:bookmarkEnd w:id="15"/>
    </w:p>
    <w:p w14:paraId="1D92BA43" w14:textId="735C8E67" w:rsidR="00B83498" w:rsidRDefault="00B83498" w:rsidP="00943B19">
      <w:pPr>
        <w:spacing w:line="360" w:lineRule="auto"/>
      </w:pPr>
      <w:r>
        <w:t xml:space="preserve">The financial analysis of the past years of General Electronics proves that the company needs certain kind of urgent strategic financial </w:t>
      </w:r>
      <w:r w:rsidR="0087643E">
        <w:t>reorganisation</w:t>
      </w:r>
      <w:r>
        <w:t xml:space="preserve">. Over the past five years, the company has been grappling with ongoing losses in its operations, declining profitability, worsened liquidity and increased leverage. The capital of the shareholders is exhausted to a significant extent and overreliance of </w:t>
      </w:r>
      <w:r w:rsidR="0087643E">
        <w:t>short-term</w:t>
      </w:r>
      <w:r>
        <w:t xml:space="preserve"> debts has increased the risk of finance and reduced stability of the balance sheet. The pointers pointing at the ineffectiveness of the current capital structure are the negative earnings, low interest coverage ratio, and the loss of investor confidence. Without the restructuring, the company will suffer a prolonged financial shock, limited access to external funding and default risk</w:t>
      </w:r>
      <w:r w:rsidR="000E6465">
        <w:t xml:space="preserve"> (</w:t>
      </w:r>
      <w:r w:rsidR="000E6465" w:rsidRPr="00DF424A">
        <w:t>Agarwal, and Brem, 2015</w:t>
      </w:r>
      <w:r w:rsidR="000E6465">
        <w:t>)</w:t>
      </w:r>
      <w:r>
        <w:t>. It is urgent to reorganise its finances therefore stabilising cash flows, overextended debt pressure and recover its solvency. General Electronics may enhance the financial resilience through rebalancing the capital structure and redistribution of financial assets to enable the company to regain stakeholder confidence and provide a platform on which sustainable recovery can be enacted in an extremely competitive global market of consumer electronics.</w:t>
      </w:r>
    </w:p>
    <w:p w14:paraId="21004B2C" w14:textId="0E046DD7" w:rsidR="00B83498" w:rsidRDefault="00D44B2B" w:rsidP="00943B19">
      <w:pPr>
        <w:pStyle w:val="Heading2"/>
        <w:spacing w:line="360" w:lineRule="auto"/>
      </w:pPr>
      <w:bookmarkStart w:id="16" w:name="_Toc216827526"/>
      <w:r w:rsidRPr="00D44B2B">
        <w:t>4.2 Financial Restructuring Options</w:t>
      </w:r>
      <w:bookmarkEnd w:id="16"/>
      <w:r w:rsidR="00B83498">
        <w:t xml:space="preserve"> </w:t>
      </w:r>
    </w:p>
    <w:p w14:paraId="23509E9E" w14:textId="2ACFB282" w:rsidR="00B83498" w:rsidRDefault="00B83498" w:rsidP="00943B19">
      <w:pPr>
        <w:spacing w:line="360" w:lineRule="auto"/>
      </w:pPr>
      <w:r>
        <w:t xml:space="preserve">Different options of financial restructuring can be employed to address the issues that General Electronics is undergoing. One of the available options is asset divestment that involves the sale of the non-core or non-performing business units. In the short term, this strategy will contribute to </w:t>
      </w:r>
      <w:r>
        <w:lastRenderedPageBreak/>
        <w:t>the creation of cash flows, promote liquidity and reduce the complexity of operations. An analysis of areas which are profitable to the company enables a management to invest more resourcefully</w:t>
      </w:r>
      <w:r w:rsidR="00FC10EA">
        <w:t xml:space="preserve"> (</w:t>
      </w:r>
      <w:r w:rsidR="00FC10EA" w:rsidRPr="00DF424A">
        <w:t xml:space="preserve">Nigam, and </w:t>
      </w:r>
      <w:proofErr w:type="spellStart"/>
      <w:r w:rsidR="00FC10EA" w:rsidRPr="00DF424A">
        <w:t>Boughanmi</w:t>
      </w:r>
      <w:proofErr w:type="spellEnd"/>
      <w:r w:rsidR="00FC10EA" w:rsidRPr="00DF424A">
        <w:t>, 2017</w:t>
      </w:r>
      <w:r w:rsidR="00FC10EA">
        <w:t>)</w:t>
      </w:r>
      <w:r>
        <w:t>. However, the divestment process is also to be regarded in the most comprehensive way possible because selling of strategic assets can also lead to reduction of the chances of future development along with diversification of revenues.</w:t>
      </w:r>
    </w:p>
    <w:p w14:paraId="66E1DFC0" w14:textId="1EA2C41D" w:rsidR="00B83498" w:rsidRDefault="00B83498" w:rsidP="00943B19">
      <w:pPr>
        <w:spacing w:line="360" w:lineRule="auto"/>
      </w:pPr>
      <w:r>
        <w:t xml:space="preserve">The other option is the injection of equity through new share issue or strategic investors. The equity financing improves the balance sheet, increases the shareholders equity and reduce the leverage. It improves </w:t>
      </w:r>
      <w:r w:rsidR="00691C93">
        <w:t>creditworthiness</w:t>
      </w:r>
      <w:r>
        <w:t xml:space="preserve"> and lessens dependence of the business on debt funding. Equity injection has the disadvantage of diluting the ownership of the shareholders but it reduces the financial risk and </w:t>
      </w:r>
      <w:r w:rsidR="00691C93">
        <w:t>interest</w:t>
      </w:r>
      <w:r>
        <w:t xml:space="preserve"> payments hence has a high level of justification as an alternative to firms that are heavily indebted and reduced profits.</w:t>
      </w:r>
    </w:p>
    <w:p w14:paraId="0251A61D" w14:textId="34520C92" w:rsidR="00B83498" w:rsidRDefault="00B83498" w:rsidP="00943B19">
      <w:pPr>
        <w:spacing w:line="360" w:lineRule="auto"/>
      </w:pPr>
      <w:r>
        <w:t xml:space="preserve">One of the highly important aspects of the financial recovery is debt restructuring. These may involve renegotiation of the terms of the loans, debt maturities, reduction of the interest rates or conversion of some of the debts to equity. This could relieve the tightness in cash flows in the </w:t>
      </w:r>
      <w:r w:rsidR="00D44B2B">
        <w:t>short term</w:t>
      </w:r>
      <w:r>
        <w:t>, as well as improve interest coverage ratios</w:t>
      </w:r>
      <w:r w:rsidR="007C626B">
        <w:t xml:space="preserve"> (</w:t>
      </w:r>
      <w:r w:rsidR="007C626B" w:rsidRPr="00DF424A">
        <w:t>Damijan, 2018</w:t>
      </w:r>
      <w:r w:rsidR="007C626B">
        <w:t>)</w:t>
      </w:r>
      <w:r>
        <w:t xml:space="preserve">. Debt restructuring though, might be highly aggressive in dealings with the creditors and temporarily, during the short run, it might influence the credit rating of the company. However, the debt burden must be reduced so as to achieve the </w:t>
      </w:r>
      <w:r w:rsidR="00D44B2B">
        <w:t>long-term</w:t>
      </w:r>
      <w:r>
        <w:t xml:space="preserve"> solvency.</w:t>
      </w:r>
    </w:p>
    <w:p w14:paraId="6D8D214B" w14:textId="66D57294" w:rsidR="00B83498" w:rsidRDefault="00B83498" w:rsidP="00943B19">
      <w:pPr>
        <w:spacing w:line="360" w:lineRule="auto"/>
      </w:pPr>
      <w:r>
        <w:t>A more extreme plan of restructuring is a strategic alliance or a merger. Restructuring or acquisition of a firm of a stronger financial position is capable of accessing financing, technology, management experience and the new market. Cost synergies, economies of scale, as well as risk-sharing opportunities can also be introduced through strategic alliances. Mergers however</w:t>
      </w:r>
      <w:r w:rsidR="00D44B2B">
        <w:t>,</w:t>
      </w:r>
      <w:r>
        <w:t xml:space="preserve"> are related to integration risks, cultural differences and strategic loss.</w:t>
      </w:r>
    </w:p>
    <w:p w14:paraId="5A433115" w14:textId="2F44099E" w:rsidR="00B83498" w:rsidRDefault="00D44B2B" w:rsidP="00943B19">
      <w:pPr>
        <w:pStyle w:val="Heading2"/>
        <w:spacing w:line="360" w:lineRule="auto"/>
      </w:pPr>
      <w:bookmarkStart w:id="17" w:name="_Toc216827527"/>
      <w:r w:rsidRPr="00D44B2B">
        <w:t>4.3 Impact on Shareholder Value and Capital Structure</w:t>
      </w:r>
      <w:bookmarkEnd w:id="17"/>
    </w:p>
    <w:p w14:paraId="5EBECFC3" w14:textId="504B3D9F" w:rsidR="00B83498" w:rsidRDefault="00B83498" w:rsidP="00943B19">
      <w:pPr>
        <w:spacing w:line="360" w:lineRule="auto"/>
      </w:pPr>
      <w:r>
        <w:t xml:space="preserve">The financial reorganisation will be very significant to the shareholder worth and the capital structure of General Electronics. The short-term impacts of asset divestment are positive since they contribute to cash creation and elimination of losses in non-productive units. Nevertheless, there will be a risk of reduced future earnings to the shareholders </w:t>
      </w:r>
      <w:r w:rsidR="00523ADA">
        <w:t>if</w:t>
      </w:r>
      <w:r>
        <w:t xml:space="preserve"> the divested assets were long term </w:t>
      </w:r>
      <w:r>
        <w:lastRenderedPageBreak/>
        <w:t>strategic assets</w:t>
      </w:r>
      <w:r w:rsidR="00523ADA">
        <w:t xml:space="preserve"> (</w:t>
      </w:r>
      <w:r w:rsidR="00523ADA" w:rsidRPr="008577D0">
        <w:t xml:space="preserve">Mielcarz, </w:t>
      </w:r>
      <w:r w:rsidR="00523ADA">
        <w:t>et al., 2018)</w:t>
      </w:r>
      <w:r>
        <w:t>. In such a way, the divestment must be done taking into account the strikes between the short-term liquidity needs and the long-term value creation.</w:t>
      </w:r>
    </w:p>
    <w:p w14:paraId="59356393" w14:textId="33A166E7" w:rsidR="00B83498" w:rsidRDefault="00B83498" w:rsidP="00943B19">
      <w:pPr>
        <w:spacing w:line="360" w:lineRule="auto"/>
      </w:pPr>
      <w:r>
        <w:t xml:space="preserve">The injection of equity is bad and good to shareholders. Even though it dilutes the ownership and initially, it reduces the earnings per share, it fortifies the balance sheet and reduces the financial risk. The higher the equity base, the higher will be investor confidence, cost of capital will be low hence the firm will be able to attract </w:t>
      </w:r>
      <w:r w:rsidR="00B85F21">
        <w:t>long-term</w:t>
      </w:r>
      <w:r>
        <w:t xml:space="preserve"> investment. Its financial stability can be enhanced in the </w:t>
      </w:r>
      <w:r w:rsidR="00B85F21">
        <w:t>long term</w:t>
      </w:r>
      <w:r>
        <w:t xml:space="preserve"> to deliver sustainable profitability and recuperate shareholder value.</w:t>
      </w:r>
    </w:p>
    <w:p w14:paraId="77AAC2DD" w14:textId="5D4E7500" w:rsidR="00B83498" w:rsidRDefault="00B83498" w:rsidP="00943B19">
      <w:pPr>
        <w:spacing w:line="360" w:lineRule="auto"/>
      </w:pPr>
      <w:r>
        <w:t xml:space="preserve">The direct effect of debt restructuring on capital structure of the firm is the reduction of leverage and </w:t>
      </w:r>
      <w:r w:rsidR="00B85F21">
        <w:t>sunk</w:t>
      </w:r>
      <w:r>
        <w:t xml:space="preserve"> financial commitments. The low amount of debt improves the solvency ratios, low level of bankruptcy risk, and cash flows. Nonetheless, creditors can deal with concessions that lead to the following impact on the returns of the shareholders i.e. the debt-to-equity swaps</w:t>
      </w:r>
      <w:r w:rsidR="00B85F21">
        <w:t xml:space="preserve"> (</w:t>
      </w:r>
      <w:r w:rsidR="00B85F21" w:rsidRPr="00DF424A">
        <w:t xml:space="preserve">Altman, </w:t>
      </w:r>
      <w:r w:rsidR="00B85F21">
        <w:t>et al., 2019)</w:t>
      </w:r>
      <w:r>
        <w:t xml:space="preserve">. </w:t>
      </w:r>
      <w:r w:rsidR="00B85F21">
        <w:t>A more moderate capital structure</w:t>
      </w:r>
      <w:r>
        <w:t>, having more proportional equity and long-term debt, will result in financial flexibility and strength. Overall, restructuring measures could be linked to the short-term losses but the ultimate implication on the shareholder value would be a positive one in case the financial stability and sustainable growth is achieved.</w:t>
      </w:r>
    </w:p>
    <w:p w14:paraId="6D0288E6" w14:textId="4052CC37" w:rsidR="00B83498" w:rsidRDefault="00350376" w:rsidP="00943B19">
      <w:pPr>
        <w:pStyle w:val="Heading2"/>
        <w:spacing w:line="360" w:lineRule="auto"/>
      </w:pPr>
      <w:bookmarkStart w:id="18" w:name="_Toc216827528"/>
      <w:r w:rsidRPr="00350376">
        <w:t>4.4 Operational Flexibility and Financial Sustainability</w:t>
      </w:r>
      <w:bookmarkEnd w:id="18"/>
      <w:r w:rsidR="00B83498">
        <w:t xml:space="preserve"> </w:t>
      </w:r>
    </w:p>
    <w:p w14:paraId="154AE00F" w14:textId="40C74D61" w:rsidR="00B83498" w:rsidRDefault="00B83498" w:rsidP="00943B19">
      <w:pPr>
        <w:spacing w:line="360" w:lineRule="auto"/>
      </w:pPr>
      <w:r>
        <w:t>The other significant output of the successful financial restructuring is that it enhances flexibility in operations. Reviewing excess debt liabilities sets free cash flow gains which can be reinvested in the business, innovation and efficiencies. The assets are easy to divest making the organisational structures easier and the management can focus on the areas that are doing well and adjusting to the changes in the market better</w:t>
      </w:r>
      <w:r w:rsidR="004607C9">
        <w:t xml:space="preserve"> (</w:t>
      </w:r>
      <w:proofErr w:type="spellStart"/>
      <w:r w:rsidR="004607C9" w:rsidRPr="00DF424A">
        <w:t>Mavlutova</w:t>
      </w:r>
      <w:proofErr w:type="spellEnd"/>
      <w:r w:rsidR="004607C9" w:rsidRPr="00DF424A">
        <w:t xml:space="preserve">, </w:t>
      </w:r>
      <w:r w:rsidR="004607C9">
        <w:t>et al., 2021)</w:t>
      </w:r>
      <w:r>
        <w:t xml:space="preserve">. Equity strengthen is an advantage that enhances the capability of the company to </w:t>
      </w:r>
      <w:r w:rsidR="00691C93">
        <w:t>internalise</w:t>
      </w:r>
      <w:r>
        <w:t xml:space="preserve"> economic shocks and struggle on the strategic opportunities without straining its financial resources.</w:t>
      </w:r>
    </w:p>
    <w:p w14:paraId="49AAFDA1" w14:textId="62E4C4E0" w:rsidR="00B83498" w:rsidRDefault="00B83498" w:rsidP="00943B19">
      <w:pPr>
        <w:spacing w:line="360" w:lineRule="auto"/>
      </w:pPr>
      <w:r>
        <w:t xml:space="preserve">Financial sustainability is achieved in which the company can generate sufficient cash flows within the firm to continue operating and invest in the firm in conjunction with affordable rates of risks. Restructuring measures bring about long-term sustainability as the earnings are stabilised, and the financial commitment on fixed basis and the spending of these resources are conducted according to the revenues received. Liquidity and solvency are also improved leading to enhanced investment </w:t>
      </w:r>
      <w:r>
        <w:lastRenderedPageBreak/>
        <w:t>that a firm has to undertake in research and development that is critical in the consumer electronics sector.</w:t>
      </w:r>
    </w:p>
    <w:p w14:paraId="3FD0D53E" w14:textId="7D9EB49F" w:rsidR="00B83498" w:rsidRDefault="00350376" w:rsidP="00943B19">
      <w:pPr>
        <w:pStyle w:val="Heading2"/>
        <w:spacing w:line="360" w:lineRule="auto"/>
      </w:pPr>
      <w:bookmarkStart w:id="19" w:name="_Toc216827529"/>
      <w:r w:rsidRPr="00350376">
        <w:t>4.5 International and Ethical Considerations</w:t>
      </w:r>
      <w:bookmarkEnd w:id="19"/>
    </w:p>
    <w:p w14:paraId="49917780" w14:textId="676B7909" w:rsidR="00B83498" w:rsidRDefault="00B83498" w:rsidP="00943B19">
      <w:pPr>
        <w:spacing w:line="360" w:lineRule="auto"/>
      </w:pPr>
      <w:r>
        <w:t>As a multinational company, General Electronics ought to consider international and ethical concerns in doing the financial restructuring. Taxation is also factored during the division of assets or reorgani</w:t>
      </w:r>
      <w:r w:rsidR="004F642B">
        <w:t>s</w:t>
      </w:r>
      <w:r>
        <w:t>ation of operation in different jurisdictions and has to comply with different tax laws and transfer pricing regulations</w:t>
      </w:r>
      <w:r w:rsidR="004F642B">
        <w:t xml:space="preserve"> (</w:t>
      </w:r>
      <w:r w:rsidR="004F642B" w:rsidRPr="00DF424A">
        <w:t>Butler, 2016</w:t>
      </w:r>
      <w:r w:rsidR="004F642B">
        <w:t>)</w:t>
      </w:r>
      <w:r>
        <w:t>. The level of currency risk is high due to the existence of foreign revenues and expenses, and the decisions of restructuring should be based on the exchange rate volatility. Inflation also reflects on cost of inputs, pricing and financial forecast.</w:t>
      </w:r>
    </w:p>
    <w:p w14:paraId="5BB688E7" w14:textId="733592F0" w:rsidR="00B83498" w:rsidRDefault="00B83498" w:rsidP="00943B19">
      <w:pPr>
        <w:spacing w:line="360" w:lineRule="auto"/>
      </w:pPr>
      <w:r>
        <w:t>The restructuring of the workforce, along with the other cost-reduction initiatives, ought to be carried out in a responsible manner that will help curtail the social factor. The principles of Corporate Social Responsibility (CSR) require the establishment of open communication with the stakeholders, ethical treatment of the staff members and the continued maintenance of the ethical business practices</w:t>
      </w:r>
      <w:r w:rsidR="00E5273A">
        <w:t xml:space="preserve"> (</w:t>
      </w:r>
      <w:r w:rsidR="00E5273A" w:rsidRPr="008577D0">
        <w:t>Matthews, 2021</w:t>
      </w:r>
      <w:r w:rsidR="00E5273A">
        <w:t>)</w:t>
      </w:r>
      <w:r>
        <w:t>. Ethical and international elements included in the restructuring of decision makes corporations strong in regard of reputation in which the stakeholders trust it and this makes operations sustainable over the world.</w:t>
      </w:r>
    </w:p>
    <w:p w14:paraId="04AEF75D" w14:textId="2603CC36" w:rsidR="00B83498" w:rsidRDefault="00D77A34" w:rsidP="00943B19">
      <w:pPr>
        <w:pStyle w:val="Heading1"/>
        <w:spacing w:line="360" w:lineRule="auto"/>
      </w:pPr>
      <w:bookmarkStart w:id="20" w:name="_Toc216827530"/>
      <w:r w:rsidRPr="00D77A34">
        <w:t>5. Investment Appraisal and Capital Budgeting</w:t>
      </w:r>
      <w:bookmarkEnd w:id="20"/>
      <w:r w:rsidR="00B83498">
        <w:t xml:space="preserve"> </w:t>
      </w:r>
    </w:p>
    <w:p w14:paraId="47545E69" w14:textId="2D2D436C" w:rsidR="00B83498" w:rsidRDefault="00D77A34" w:rsidP="00943B19">
      <w:pPr>
        <w:pStyle w:val="Heading2"/>
        <w:spacing w:line="360" w:lineRule="auto"/>
      </w:pPr>
      <w:bookmarkStart w:id="21" w:name="_Toc216827531"/>
      <w:r w:rsidRPr="00D77A34">
        <w:t>5.1 Overview of Capital Budgeting Techniques</w:t>
      </w:r>
      <w:bookmarkEnd w:id="21"/>
    </w:p>
    <w:p w14:paraId="2033DA43" w14:textId="38393DE7" w:rsidR="00B83498" w:rsidRDefault="00B83498" w:rsidP="00943B19">
      <w:pPr>
        <w:spacing w:line="360" w:lineRule="auto"/>
      </w:pPr>
      <w:r>
        <w:t xml:space="preserve">Capital budgeting methods are the solution to assist and re-examine the decisions regarding </w:t>
      </w:r>
      <w:r w:rsidR="00F927EF">
        <w:t>long-term</w:t>
      </w:r>
      <w:r>
        <w:t xml:space="preserve"> investment and evaluate the recommendation of the project whether it would or would not increase the shareholders. Payback Period (PBP) is an indicator of time spent to recover the initial investment on cash inflows, and it looks on the liquidity and the risk exposure but does not look at the time value of money. Accounting rate of Return (ARR) is the average accounting profit of the initial investment and is a basic indicator of profitability but makes use of accounting data </w:t>
      </w:r>
      <w:r w:rsidR="00F927EF">
        <w:t>instead of</w:t>
      </w:r>
      <w:r>
        <w:t xml:space="preserve"> cash flows</w:t>
      </w:r>
      <w:r w:rsidR="00F927EF">
        <w:t xml:space="preserve"> (</w:t>
      </w:r>
      <w:proofErr w:type="spellStart"/>
      <w:r w:rsidR="00F927EF" w:rsidRPr="008577D0">
        <w:t>Alkaraan</w:t>
      </w:r>
      <w:proofErr w:type="spellEnd"/>
      <w:r w:rsidR="00F927EF" w:rsidRPr="008577D0">
        <w:t>, 2020</w:t>
      </w:r>
      <w:r w:rsidR="00F927EF">
        <w:t>)</w:t>
      </w:r>
      <w:r>
        <w:t xml:space="preserve">. The Net Present Value (NPV) method discounts the present values taking the cost of capital of the firm in such a way that it may be applied to values creation and is widely regarded to be the most theoretically sound. Profitability Index (PI) is a ratio which is </w:t>
      </w:r>
      <w:r w:rsidR="00F927EF">
        <w:t>utilised</w:t>
      </w:r>
      <w:r>
        <w:t xml:space="preserve"> to show value created/unit of investment particularly in capital rationing. Finally, </w:t>
      </w:r>
      <w:r w:rsidR="00F927EF">
        <w:t xml:space="preserve">the </w:t>
      </w:r>
      <w:r>
        <w:lastRenderedPageBreak/>
        <w:t>Internal rate of Return (IRR), will be the rate of discount at which the NPV will be zero, which is the anticipated project rate. The multi-methodology provides a comprehensive study of profitability, liquidity and risk.</w:t>
      </w:r>
    </w:p>
    <w:p w14:paraId="00490B52" w14:textId="77777777" w:rsidR="00B83498" w:rsidRDefault="00B83498" w:rsidP="00943B19">
      <w:pPr>
        <w:pStyle w:val="Heading2"/>
        <w:spacing w:line="360" w:lineRule="auto"/>
      </w:pPr>
      <w:bookmarkStart w:id="22" w:name="_Toc216827532"/>
      <w:r>
        <w:t>5.2 Evaluation of Project A</w:t>
      </w:r>
      <w:bookmarkEnd w:id="22"/>
      <w:r>
        <w:t xml:space="preserve"> </w:t>
      </w:r>
    </w:p>
    <w:p w14:paraId="0D43E723" w14:textId="77777777" w:rsidR="00B83498" w:rsidRDefault="00B83498" w:rsidP="00943B19">
      <w:pPr>
        <w:spacing w:line="360" w:lineRule="auto"/>
      </w:pPr>
      <w:r>
        <w:t xml:space="preserve">Project A would entail the initial capital figure of PS 40 million and the cash flows that are not equally distributed within five years. Payback period of project A occurs slightly later than project third year that indicates that project recovery period is moderate in comparison to that of the project life. This is liquidity wise to mean that there is a lot of money being invested on a </w:t>
      </w:r>
      <w:proofErr w:type="gramStart"/>
      <w:r>
        <w:t>long term</w:t>
      </w:r>
      <w:proofErr w:type="gramEnd"/>
      <w:r>
        <w:t xml:space="preserve"> basis and this is bound to be hard given the financial pressure that General Electronics is currently experiencing. The payback period is however reasonable as compared to the magnitude and time of investment.</w:t>
      </w:r>
    </w:p>
    <w:p w14:paraId="31B97AF0" w14:textId="21EB4995" w:rsidR="00B83498" w:rsidRDefault="00B83498" w:rsidP="00943B19">
      <w:pPr>
        <w:spacing w:line="360" w:lineRule="auto"/>
      </w:pPr>
      <w:r>
        <w:t xml:space="preserve">The accounting rate of return of project A exceeds the assumed cost of capital and this has displayed the fact that the accounting profitability of </w:t>
      </w:r>
      <w:r w:rsidR="00D5161E">
        <w:t xml:space="preserve">the </w:t>
      </w:r>
      <w:r>
        <w:t>project is reasonable. This means that the project would be able to provide good returns based on reported profits. Also provided by the discounted cash flow analysis is that the project will be more attractive as at the discount rate of 10% the project A will be recorded to have a positive net present value. The positive NPV is applied to demonstrate that the present value of the expected cash flows is a positive growth of the initial investment and this is a value creation to the shareholders</w:t>
      </w:r>
      <w:r w:rsidR="00941094">
        <w:t xml:space="preserve"> (</w:t>
      </w:r>
      <w:r w:rsidR="00941094" w:rsidRPr="008577D0">
        <w:t>Magni, 2016</w:t>
      </w:r>
      <w:r w:rsidR="00941094">
        <w:t>)</w:t>
      </w:r>
      <w:r>
        <w:t xml:space="preserve">. Its index of profitability is greater than one which confirms the observation that </w:t>
      </w:r>
      <w:r w:rsidR="00D5161E">
        <w:t>Project</w:t>
      </w:r>
      <w:r>
        <w:t xml:space="preserve"> A brings value in every pound invested. The internal rate of the returns is also greater than the cost of capital of the firm thus indicating that the project is meeting the minimum returns.</w:t>
      </w:r>
    </w:p>
    <w:p w14:paraId="33AE096E" w14:textId="77777777" w:rsidR="00B83498" w:rsidRDefault="00B83498" w:rsidP="00943B19">
      <w:pPr>
        <w:pStyle w:val="Heading2"/>
        <w:spacing w:line="360" w:lineRule="auto"/>
      </w:pPr>
      <w:bookmarkStart w:id="23" w:name="_Toc216827533"/>
      <w:r>
        <w:t>5.3 Evaluation of Project B</w:t>
      </w:r>
      <w:bookmarkEnd w:id="23"/>
      <w:r>
        <w:t xml:space="preserve"> </w:t>
      </w:r>
    </w:p>
    <w:p w14:paraId="36AC7E67" w14:textId="386AA454" w:rsidR="00B83498" w:rsidRDefault="00B83498" w:rsidP="00943B19">
      <w:pPr>
        <w:spacing w:line="360" w:lineRule="auto"/>
      </w:pPr>
      <w:r>
        <w:t xml:space="preserve">Project B will </w:t>
      </w:r>
      <w:r w:rsidR="00B9110F">
        <w:t>initially be</w:t>
      </w:r>
      <w:r>
        <w:t xml:space="preserve"> invested in PS 30 million and will give it an annual cash inflow of PS 6 million at the same constant rate of five years. Project B will take a longer payback period compared to Project A since the annual inflows will be lower, and it will take a long time to offset the initial investment. This low payback may not be tempting to General Electronics</w:t>
      </w:r>
      <w:r w:rsidR="00D5161E">
        <w:t>,</w:t>
      </w:r>
      <w:r>
        <w:t xml:space="preserve"> that is already </w:t>
      </w:r>
      <w:r w:rsidR="00B9110F">
        <w:t>short-term cash-strained</w:t>
      </w:r>
      <w:r>
        <w:t>. It is also accounting profitability with the accounting rate of return being modest.</w:t>
      </w:r>
    </w:p>
    <w:p w14:paraId="127A0D29" w14:textId="47992A2F" w:rsidR="00B83498" w:rsidRDefault="00B83498" w:rsidP="00943B19">
      <w:pPr>
        <w:spacing w:line="360" w:lineRule="auto"/>
      </w:pPr>
      <w:r>
        <w:lastRenderedPageBreak/>
        <w:t>The discounted cash flow analysis though reveals that Project B will yield a low but positive net present value, at the 10</w:t>
      </w:r>
      <w:r w:rsidR="00EB6999">
        <w:t>%</w:t>
      </w:r>
      <w:r>
        <w:t xml:space="preserve"> discount rate. It implies that the value of the project is low such that it and suits the minimum investment requirement in the firm. The profitability index is slightly better than that which is an inefficient value creation based on the volume of capital invested. Internal rate of return is only marginally higher than the cost of capital which means that there are very low excess returns in the form of excesses in the project.</w:t>
      </w:r>
    </w:p>
    <w:p w14:paraId="1178ACC2" w14:textId="5ADD90BF" w:rsidR="00B83498" w:rsidRDefault="00B83498" w:rsidP="00943B19">
      <w:pPr>
        <w:spacing w:line="360" w:lineRule="auto"/>
      </w:pPr>
      <w:r>
        <w:t xml:space="preserve">The great benefit of Project B is the expected and constant cash flows. When compared to the Project A and C, Project B is not highly volatile and, therefore, it is not a risky project and may be easier to manage as far as cash-flow planning is concerned. This stability may be positive to a stressed company. The addition to </w:t>
      </w:r>
      <w:r w:rsidR="00EB6999">
        <w:t>long-term</w:t>
      </w:r>
      <w:r>
        <w:t xml:space="preserve"> shareholder value is however curtailed by the low returns level. Project B is, hence, arguably, a </w:t>
      </w:r>
      <w:r w:rsidR="00EB6999">
        <w:t>low-risk</w:t>
      </w:r>
      <w:r>
        <w:t xml:space="preserve"> risk low-return project that does not target growth but stability. This will be suitable in the risk mitigation but may fail in the recovery objectives of the firm.</w:t>
      </w:r>
    </w:p>
    <w:p w14:paraId="5D885249" w14:textId="77777777" w:rsidR="00B83498" w:rsidRDefault="00B83498" w:rsidP="00943B19">
      <w:pPr>
        <w:pStyle w:val="Heading2"/>
        <w:spacing w:line="360" w:lineRule="auto"/>
      </w:pPr>
      <w:bookmarkStart w:id="24" w:name="_Toc216827534"/>
      <w:r>
        <w:t>5.4 Evaluation of Project C</w:t>
      </w:r>
      <w:bookmarkEnd w:id="24"/>
      <w:r>
        <w:t xml:space="preserve"> </w:t>
      </w:r>
    </w:p>
    <w:p w14:paraId="51C9A31E" w14:textId="62E5F1FD" w:rsidR="00B83498" w:rsidRDefault="00B83498" w:rsidP="00943B19">
      <w:pPr>
        <w:spacing w:line="360" w:lineRule="auto"/>
      </w:pPr>
      <w:r>
        <w:t>Project C will be the one with the largest initial capital outlay of PS 50 million yet its cash inflows will be significantly greater particularly in the later years. The initial cost is high but the payback period is achieved after a very short time compared to the third year</w:t>
      </w:r>
      <w:r w:rsidR="001E7D7B">
        <w:t>,</w:t>
      </w:r>
      <w:r>
        <w:t xml:space="preserve"> </w:t>
      </w:r>
      <w:r w:rsidR="001E7D7B">
        <w:t>which</w:t>
      </w:r>
      <w:r>
        <w:t xml:space="preserve"> depicts a fairly good liquidity performance with the magnitude of the investment. This means that Project C is more cost-effective in terms of recovery as compared to </w:t>
      </w:r>
      <w:r w:rsidR="001E7D7B">
        <w:t>Project</w:t>
      </w:r>
      <w:r>
        <w:t xml:space="preserve"> B and similarly as Project A.</w:t>
      </w:r>
    </w:p>
    <w:p w14:paraId="3F83A59E" w14:textId="4D2631FA" w:rsidR="00B83498" w:rsidRDefault="00B83498" w:rsidP="00943B19">
      <w:pPr>
        <w:spacing w:line="360" w:lineRule="auto"/>
      </w:pPr>
      <w:r>
        <w:t xml:space="preserve">Project C is the most eminent accounting profitability since it has the highest </w:t>
      </w:r>
      <w:proofErr w:type="gramStart"/>
      <w:r>
        <w:t>Accounting</w:t>
      </w:r>
      <w:proofErr w:type="gramEnd"/>
      <w:r>
        <w:t xml:space="preserve"> rate of return in relation to the other two projects. The discounted cash flow analysis also reveals that it is superior because Project C will present the highest net present value of the 10% discount rate. This implies that the project will contribute maximum value as far as shareholder value is concerned</w:t>
      </w:r>
      <w:r w:rsidR="001E7D7B">
        <w:t xml:space="preserve"> (</w:t>
      </w:r>
      <w:proofErr w:type="spellStart"/>
      <w:r w:rsidR="001E7D7B" w:rsidRPr="008577D0">
        <w:t>Focacci</w:t>
      </w:r>
      <w:proofErr w:type="spellEnd"/>
      <w:r w:rsidR="001E7D7B" w:rsidRPr="008577D0">
        <w:t>, 2017</w:t>
      </w:r>
      <w:r w:rsidR="001E7D7B">
        <w:t>)</w:t>
      </w:r>
      <w:r>
        <w:t>. The profitability index is also significantly high than that of one which portrays enhanced value creation at each unit of capital invested. In addition, the company has high internal rate of return that is far much higher than cost of capital of the firm that is financially appealing.</w:t>
      </w:r>
    </w:p>
    <w:p w14:paraId="0C92B958" w14:textId="7C35FB55" w:rsidR="00B83498" w:rsidRDefault="00B83498" w:rsidP="00943B19">
      <w:pPr>
        <w:spacing w:line="360" w:lineRule="auto"/>
      </w:pPr>
      <w:r>
        <w:t xml:space="preserve">Project C is however skewed towards the later years which makes the cash flows </w:t>
      </w:r>
      <w:proofErr w:type="gramStart"/>
      <w:r>
        <w:t>more uncertain and risky</w:t>
      </w:r>
      <w:proofErr w:type="gramEnd"/>
      <w:r>
        <w:t xml:space="preserve">. The cash flow can be delayed and this may cause short term cash flow difficulties to a firm with cash flow problems. However, the magnitude of the value creation and relatively low </w:t>
      </w:r>
      <w:r>
        <w:lastRenderedPageBreak/>
        <w:t xml:space="preserve">payback decreases a portion of the risk. Overall, Project C is the most value adding investment option but risky and </w:t>
      </w:r>
      <w:r w:rsidR="00D5161E">
        <w:t>capital-intensive</w:t>
      </w:r>
      <w:r>
        <w:t>.</w:t>
      </w:r>
    </w:p>
    <w:p w14:paraId="73DD2D7F" w14:textId="574DD535" w:rsidR="00B83498" w:rsidRDefault="00E30332" w:rsidP="00943B19">
      <w:pPr>
        <w:pStyle w:val="Heading2"/>
        <w:spacing w:line="360" w:lineRule="auto"/>
      </w:pPr>
      <w:bookmarkStart w:id="25" w:name="_Toc216827535"/>
      <w:r w:rsidRPr="00E30332">
        <w:t>5.5 Capital Rationing Decision (Maximum £60m)</w:t>
      </w:r>
      <w:bookmarkEnd w:id="25"/>
      <w:r w:rsidR="00B83498">
        <w:t xml:space="preserve"> </w:t>
      </w:r>
    </w:p>
    <w:p w14:paraId="07275AC0" w14:textId="77777777" w:rsidR="00B83498" w:rsidRDefault="00B83498" w:rsidP="00943B19">
      <w:pPr>
        <w:spacing w:line="360" w:lineRule="auto"/>
      </w:pPr>
      <w:r>
        <w:t>General Electronics is a tight rationing of PS 60 million of capital and therefore it cannot undertake all the projects that it can undertake. Project A (PS 40m) and Project B (PS 30m) are both over the budget similar to project A and project C. This has made some of the viable alternatives to be investment in Project A only, Project B only or investment in Project C only.</w:t>
      </w:r>
    </w:p>
    <w:p w14:paraId="0BD123BD" w14:textId="47BAC5B6" w:rsidR="00B83498" w:rsidRDefault="00B83498" w:rsidP="00943B19">
      <w:pPr>
        <w:spacing w:line="360" w:lineRule="auto"/>
      </w:pPr>
      <w:r>
        <w:t>Maximisation of value and risk considerations ought to be changed to seek the appropriate alternative. The highest net present value and profitability index arise in project C meaning that it generates more value per pound of investment. Project A also has a positive NPV but would cause very low contribution in wealth of the shareholders compared to Project C</w:t>
      </w:r>
      <w:r w:rsidR="00361D1E">
        <w:t xml:space="preserve"> (</w:t>
      </w:r>
      <w:r w:rsidR="00361D1E" w:rsidRPr="008577D0">
        <w:t>Jensen, 2017</w:t>
      </w:r>
      <w:r w:rsidR="00361D1E">
        <w:t>)</w:t>
      </w:r>
      <w:r>
        <w:t>. Project B has a least NPV and IRR which implies that it would contribute little towards the wealth of the shareholders. The profitability index is particularly useful when capital is rationed, the level of efficiency of capital allocation is measured by the profitability index. This criterion is topped by the project C.</w:t>
      </w:r>
    </w:p>
    <w:p w14:paraId="58BDF258" w14:textId="15719726" w:rsidR="00B83498" w:rsidRDefault="00B83498" w:rsidP="00943B19">
      <w:pPr>
        <w:spacing w:line="360" w:lineRule="auto"/>
      </w:pPr>
      <w:r>
        <w:t xml:space="preserve">Although risk C of a project is more due to the lumpy nature of cash flows, it is a good project due to its good returns taking into account that the project is within its capital limit. The move is part of the strategic objective of maximisation of shareholder value and is in line with financial constraints. However, the project must be </w:t>
      </w:r>
      <w:proofErr w:type="spellStart"/>
      <w:r w:rsidR="000C5BB5">
        <w:t>strategised</w:t>
      </w:r>
      <w:proofErr w:type="spellEnd"/>
      <w:r>
        <w:t xml:space="preserve"> on the issue of liquidity to cater to the project during its early stages.</w:t>
      </w:r>
    </w:p>
    <w:p w14:paraId="0A070F89" w14:textId="1F347652" w:rsidR="00B83498" w:rsidRDefault="001A4BEB" w:rsidP="00943B19">
      <w:pPr>
        <w:pStyle w:val="Heading2"/>
        <w:spacing w:line="360" w:lineRule="auto"/>
      </w:pPr>
      <w:bookmarkStart w:id="26" w:name="_Toc216827536"/>
      <w:r w:rsidRPr="001A4BEB">
        <w:t>5.6 Final Investment Recommendation and Justification</w:t>
      </w:r>
      <w:bookmarkEnd w:id="26"/>
      <w:r w:rsidR="00B83498">
        <w:t xml:space="preserve"> </w:t>
      </w:r>
    </w:p>
    <w:p w14:paraId="4BEBAE05" w14:textId="68165226" w:rsidR="00B83498" w:rsidRDefault="00B83498" w:rsidP="00943B19">
      <w:pPr>
        <w:spacing w:line="360" w:lineRule="auto"/>
      </w:pPr>
      <w:r>
        <w:t>As per the overall investment analysis, General Electronics should proceed with Project C. This recommendation can be attributed to the fact that Project C is of a superior net present value, higher profitability index, and better internal rate of return which all depict high value creation</w:t>
      </w:r>
      <w:r w:rsidR="000C5BB5">
        <w:t xml:space="preserve"> (</w:t>
      </w:r>
      <w:r w:rsidR="000C5BB5" w:rsidRPr="008577D0">
        <w:t>Perna, 2024</w:t>
      </w:r>
      <w:r w:rsidR="000C5BB5">
        <w:t>)</w:t>
      </w:r>
      <w:r>
        <w:t xml:space="preserve">. The project C with its more investment at the initial stage will be within the PS 60 million capital threshold and will have the most advantages in the </w:t>
      </w:r>
      <w:proofErr w:type="gramStart"/>
      <w:r>
        <w:t>long term</w:t>
      </w:r>
      <w:proofErr w:type="gramEnd"/>
      <w:r>
        <w:t xml:space="preserve"> regarding finances.</w:t>
      </w:r>
    </w:p>
    <w:p w14:paraId="2A566307" w14:textId="7F341279" w:rsidR="00B83498" w:rsidRDefault="00B83498" w:rsidP="00943B19">
      <w:pPr>
        <w:spacing w:line="360" w:lineRule="auto"/>
      </w:pPr>
      <w:r>
        <w:t xml:space="preserve">The current financial weakness of the firm in liquidity perspective makes it significant that the cash of the company is used wisely. The short payback period and high total returns that will be </w:t>
      </w:r>
      <w:r>
        <w:lastRenderedPageBreak/>
        <w:t>achieved by the project, at least as compared to an excellent working capital improvements and financial restructuring, will be worth investing in despite the fact that the cash inflows of Project C will be lumped together in the later years. Project B has certainty in risk and cash flow stability at the expense of value-generation and Project A has mediocre returns with lower growth prospects. Project C possesses optimal profitability and strategic recovery objectives</w:t>
      </w:r>
      <w:r w:rsidR="00111FDA">
        <w:t xml:space="preserve"> (</w:t>
      </w:r>
      <w:r w:rsidR="00111FDA" w:rsidRPr="008577D0">
        <w:t>Anoop, 2024</w:t>
      </w:r>
      <w:r w:rsidR="00111FDA">
        <w:t>)</w:t>
      </w:r>
      <w:r>
        <w:t xml:space="preserve">. In the same way, Project C can be applied in the </w:t>
      </w:r>
      <w:r w:rsidR="00E647B6">
        <w:t>company's aim to recover profitability, shareholder value, and even long-term sustainability, despite the fact that the number of risks is likely to increase</w:t>
      </w:r>
      <w:r>
        <w:t>.</w:t>
      </w:r>
    </w:p>
    <w:p w14:paraId="4F21C09C" w14:textId="77777777" w:rsidR="00B83498" w:rsidRDefault="00B83498" w:rsidP="00943B19">
      <w:pPr>
        <w:pStyle w:val="Heading1"/>
        <w:spacing w:line="360" w:lineRule="auto"/>
      </w:pPr>
      <w:bookmarkStart w:id="27" w:name="_Toc216827537"/>
      <w:r>
        <w:t>6. Conclusion</w:t>
      </w:r>
      <w:bookmarkEnd w:id="27"/>
    </w:p>
    <w:p w14:paraId="04CE7BBD" w14:textId="5A033CBB" w:rsidR="00B83498" w:rsidRDefault="00B83498" w:rsidP="00943B19">
      <w:pPr>
        <w:spacing w:line="360" w:lineRule="auto"/>
      </w:pPr>
      <w:r w:rsidRPr="00B83498">
        <w:t xml:space="preserve">The report concludes that General Electronics is faced with serious financial problems like </w:t>
      </w:r>
      <w:r w:rsidR="00E647B6">
        <w:t xml:space="preserve">a </w:t>
      </w:r>
      <w:r w:rsidRPr="00B83498">
        <w:t xml:space="preserve">reduction in profitability, low liquidity, ineffective working capital management and growth in financial risk. The financial ratio analysis and the Altman Z-Score confirm the weak position of the firm and the need to intervene critically on its strategic position. These issues have been proposed to be solved through </w:t>
      </w:r>
      <w:r w:rsidR="00D5161E">
        <w:t xml:space="preserve">a </w:t>
      </w:r>
      <w:r w:rsidRPr="00B83498">
        <w:t xml:space="preserve">comprehensive financial restructuring plan on top of liquidity management improvement. Capital rationing of investment appraisals would have the implication that Project C is the best in terms of generating value despite the increased risk. To continue, it will be crucial to successfully implement restructuring measures and rigid investment decisions to </w:t>
      </w:r>
      <w:r w:rsidR="00D5161E">
        <w:t>stabilise</w:t>
      </w:r>
      <w:r w:rsidRPr="00B83498">
        <w:t xml:space="preserve"> the economy and restore the confidence of shareholders and </w:t>
      </w:r>
      <w:r w:rsidR="00D5161E">
        <w:t>long-term</w:t>
      </w:r>
      <w:r w:rsidRPr="00B83498">
        <w:t xml:space="preserve"> profitability.</w:t>
      </w:r>
    </w:p>
    <w:p w14:paraId="751488BE" w14:textId="77777777" w:rsidR="00B83498" w:rsidRDefault="00B83498" w:rsidP="00943B19">
      <w:pPr>
        <w:spacing w:line="360" w:lineRule="auto"/>
      </w:pPr>
    </w:p>
    <w:p w14:paraId="2DE2BF7C" w14:textId="77777777" w:rsidR="00B83498" w:rsidRDefault="00B83498" w:rsidP="00943B19">
      <w:pPr>
        <w:spacing w:line="360" w:lineRule="auto"/>
      </w:pPr>
    </w:p>
    <w:p w14:paraId="0FB95A7A" w14:textId="77777777" w:rsidR="00B83498" w:rsidRDefault="00B83498" w:rsidP="00943B19">
      <w:pPr>
        <w:spacing w:line="360" w:lineRule="auto"/>
      </w:pPr>
    </w:p>
    <w:p w14:paraId="2780F170" w14:textId="77777777" w:rsidR="008618FB" w:rsidRDefault="008618FB" w:rsidP="00943B19">
      <w:pPr>
        <w:spacing w:line="360" w:lineRule="auto"/>
      </w:pPr>
    </w:p>
    <w:p w14:paraId="5AC2DD46" w14:textId="77777777" w:rsidR="008618FB" w:rsidRDefault="008618FB" w:rsidP="00943B19">
      <w:pPr>
        <w:spacing w:line="360" w:lineRule="auto"/>
      </w:pPr>
    </w:p>
    <w:p w14:paraId="6D5680B8" w14:textId="77777777" w:rsidR="008618FB" w:rsidRDefault="008618FB" w:rsidP="00943B19">
      <w:pPr>
        <w:spacing w:line="360" w:lineRule="auto"/>
      </w:pPr>
    </w:p>
    <w:p w14:paraId="302BBD22" w14:textId="77777777" w:rsidR="008618FB" w:rsidRDefault="008618FB" w:rsidP="00943B19">
      <w:pPr>
        <w:spacing w:line="360" w:lineRule="auto"/>
      </w:pPr>
    </w:p>
    <w:p w14:paraId="0C0A0E8C" w14:textId="77777777" w:rsidR="00B83498" w:rsidRDefault="00B83498" w:rsidP="00943B19">
      <w:pPr>
        <w:spacing w:line="360" w:lineRule="auto"/>
      </w:pPr>
    </w:p>
    <w:p w14:paraId="463D0D3F" w14:textId="51B09C06" w:rsidR="00B83498" w:rsidRDefault="001A4BEB" w:rsidP="00943B19">
      <w:pPr>
        <w:pStyle w:val="Heading1"/>
        <w:spacing w:line="360" w:lineRule="auto"/>
      </w:pPr>
      <w:bookmarkStart w:id="28" w:name="_Toc216827538"/>
      <w:r>
        <w:lastRenderedPageBreak/>
        <w:t>References</w:t>
      </w:r>
      <w:bookmarkEnd w:id="28"/>
    </w:p>
    <w:p w14:paraId="13763DDA" w14:textId="77777777" w:rsidR="00523ADA" w:rsidRDefault="00523ADA" w:rsidP="00943B19">
      <w:pPr>
        <w:spacing w:line="360" w:lineRule="auto"/>
      </w:pPr>
      <w:r w:rsidRPr="00DF424A">
        <w:t>Agarwal, N. and Brem, A., 2015. Strategic business transformation through technology convergence: implications from General Electric's industrial internet initiative. </w:t>
      </w:r>
      <w:r w:rsidRPr="008577D0">
        <w:rPr>
          <w:i/>
          <w:iCs/>
        </w:rPr>
        <w:t>International Journal of Technology Management</w:t>
      </w:r>
      <w:r w:rsidRPr="00DF424A">
        <w:t>, </w:t>
      </w:r>
      <w:r w:rsidRPr="008577D0">
        <w:rPr>
          <w:i/>
          <w:iCs/>
        </w:rPr>
        <w:t>67</w:t>
      </w:r>
      <w:r w:rsidRPr="00DF424A">
        <w:t>(2-4), pp.196-214.</w:t>
      </w:r>
    </w:p>
    <w:p w14:paraId="3A2F8A25" w14:textId="77777777" w:rsidR="00523ADA" w:rsidRDefault="00523ADA" w:rsidP="00943B19">
      <w:pPr>
        <w:spacing w:line="360" w:lineRule="auto"/>
      </w:pPr>
      <w:r w:rsidRPr="00DF424A">
        <w:t>Aguilar, B., Pain, M. and Spieler, A.C., 2023. Investing Surplus Cash and Short-Term Borrowing. In </w:t>
      </w:r>
      <w:r w:rsidRPr="008577D0">
        <w:rPr>
          <w:i/>
          <w:iCs/>
        </w:rPr>
        <w:t xml:space="preserve">Working Capital Management: Concepts </w:t>
      </w:r>
      <w:proofErr w:type="gramStart"/>
      <w:r w:rsidRPr="008577D0">
        <w:rPr>
          <w:i/>
          <w:iCs/>
        </w:rPr>
        <w:t>And</w:t>
      </w:r>
      <w:proofErr w:type="gramEnd"/>
      <w:r w:rsidRPr="008577D0">
        <w:rPr>
          <w:i/>
          <w:iCs/>
        </w:rPr>
        <w:t xml:space="preserve"> Strategies</w:t>
      </w:r>
      <w:r w:rsidRPr="00DF424A">
        <w:t> (pp. 165-182).</w:t>
      </w:r>
    </w:p>
    <w:p w14:paraId="4CD37EE3" w14:textId="77777777" w:rsidR="00523ADA" w:rsidRDefault="00523ADA" w:rsidP="00943B19">
      <w:pPr>
        <w:spacing w:line="360" w:lineRule="auto"/>
      </w:pPr>
      <w:r w:rsidRPr="00DF25B2">
        <w:t>Akgün, A.I. and Memiş Karataş, A., 2021. Investigating the relationship between working capital management and business performance: Evidence from the 2008 financial crisis of EU-28. </w:t>
      </w:r>
      <w:r w:rsidRPr="008577D0">
        <w:rPr>
          <w:i/>
          <w:iCs/>
        </w:rPr>
        <w:t>International Journal of Managerial Finance</w:t>
      </w:r>
      <w:r w:rsidRPr="00DF25B2">
        <w:t>, </w:t>
      </w:r>
      <w:r w:rsidRPr="008577D0">
        <w:rPr>
          <w:i/>
          <w:iCs/>
        </w:rPr>
        <w:t>17</w:t>
      </w:r>
      <w:r w:rsidRPr="00DF25B2">
        <w:t>(4), pp.545-567.</w:t>
      </w:r>
    </w:p>
    <w:p w14:paraId="68B7B54F" w14:textId="77777777" w:rsidR="00523ADA" w:rsidRDefault="00523ADA" w:rsidP="00943B19">
      <w:pPr>
        <w:spacing w:line="360" w:lineRule="auto"/>
      </w:pPr>
      <w:r w:rsidRPr="00DF25B2">
        <w:t xml:space="preserve">Al Nimer, M., </w:t>
      </w:r>
      <w:proofErr w:type="spellStart"/>
      <w:r w:rsidRPr="00DF25B2">
        <w:t>Warrad</w:t>
      </w:r>
      <w:proofErr w:type="spellEnd"/>
      <w:r w:rsidRPr="00DF25B2">
        <w:t>, L. and Al Omari, R., 2015. The impact of liquidity on Jordanian banks profitability through return on assets. </w:t>
      </w:r>
      <w:r w:rsidRPr="008577D0">
        <w:rPr>
          <w:i/>
          <w:iCs/>
        </w:rPr>
        <w:t>European Journal of Business and Management</w:t>
      </w:r>
      <w:r w:rsidRPr="00DF25B2">
        <w:t>, </w:t>
      </w:r>
      <w:r w:rsidRPr="008577D0">
        <w:rPr>
          <w:i/>
          <w:iCs/>
        </w:rPr>
        <w:t>7</w:t>
      </w:r>
      <w:r w:rsidRPr="00DF25B2">
        <w:t>(7), pp.229-232.</w:t>
      </w:r>
    </w:p>
    <w:p w14:paraId="6AB398A6" w14:textId="77777777" w:rsidR="00523ADA" w:rsidRDefault="00523ADA" w:rsidP="00943B19">
      <w:pPr>
        <w:spacing w:line="360" w:lineRule="auto"/>
      </w:pPr>
      <w:proofErr w:type="spellStart"/>
      <w:r w:rsidRPr="008577D0">
        <w:t>Alkaraan</w:t>
      </w:r>
      <w:proofErr w:type="spellEnd"/>
      <w:r w:rsidRPr="008577D0">
        <w:t xml:space="preserve">, F., 2020. Strategic investment decision-making practices in large manufacturing companies: a role for emergent analysis </w:t>
      </w:r>
      <w:proofErr w:type="gramStart"/>
      <w:r w:rsidRPr="008577D0">
        <w:t>techniques?.</w:t>
      </w:r>
      <w:proofErr w:type="gramEnd"/>
      <w:r w:rsidRPr="008577D0">
        <w:t> </w:t>
      </w:r>
      <w:proofErr w:type="spellStart"/>
      <w:r w:rsidRPr="008577D0">
        <w:rPr>
          <w:i/>
          <w:iCs/>
        </w:rPr>
        <w:t>Meditari</w:t>
      </w:r>
      <w:proofErr w:type="spellEnd"/>
      <w:r w:rsidRPr="008577D0">
        <w:rPr>
          <w:i/>
          <w:iCs/>
        </w:rPr>
        <w:t xml:space="preserve"> accountancy research</w:t>
      </w:r>
      <w:r w:rsidRPr="008577D0">
        <w:t>, </w:t>
      </w:r>
      <w:r w:rsidRPr="008577D0">
        <w:rPr>
          <w:i/>
          <w:iCs/>
        </w:rPr>
        <w:t>28</w:t>
      </w:r>
      <w:r w:rsidRPr="008577D0">
        <w:t>(4), pp.633-653.</w:t>
      </w:r>
    </w:p>
    <w:p w14:paraId="06F4094D" w14:textId="77777777" w:rsidR="00523ADA" w:rsidRDefault="00523ADA" w:rsidP="00943B19">
      <w:pPr>
        <w:spacing w:line="360" w:lineRule="auto"/>
      </w:pPr>
      <w:r w:rsidRPr="00DF424A">
        <w:t>Altman, E.I., Hotchkiss, E. and Wang, W., 2019. </w:t>
      </w:r>
      <w:r w:rsidRPr="008577D0">
        <w:rPr>
          <w:i/>
          <w:iCs/>
        </w:rPr>
        <w:t xml:space="preserve">Corporate financial distress, restructuring, and bankruptcy: </w:t>
      </w:r>
      <w:proofErr w:type="spellStart"/>
      <w:r w:rsidRPr="008577D0">
        <w:rPr>
          <w:i/>
          <w:iCs/>
        </w:rPr>
        <w:t>analyze</w:t>
      </w:r>
      <w:proofErr w:type="spellEnd"/>
      <w:r w:rsidRPr="008577D0">
        <w:rPr>
          <w:i/>
          <w:iCs/>
        </w:rPr>
        <w:t xml:space="preserve"> leveraged finance, distressed debt, and bankruptcy</w:t>
      </w:r>
      <w:r w:rsidRPr="00DF424A">
        <w:t>. John Wiley &amp; Sons.</w:t>
      </w:r>
    </w:p>
    <w:p w14:paraId="5B157F26" w14:textId="77777777" w:rsidR="00523ADA" w:rsidRDefault="00523ADA" w:rsidP="00943B19">
      <w:pPr>
        <w:spacing w:line="360" w:lineRule="auto"/>
      </w:pPr>
      <w:r w:rsidRPr="008577D0">
        <w:t>Anoop, M.R., 2024. Cash is King: The Strategic Importance of Liquidity in Financial Management-a review. </w:t>
      </w:r>
      <w:r w:rsidRPr="008577D0">
        <w:rPr>
          <w:i/>
          <w:iCs/>
        </w:rPr>
        <w:t>Multidisciplinary Research in Arts, Science &amp; Commerce (Volume-7)</w:t>
      </w:r>
      <w:r w:rsidRPr="008577D0">
        <w:t>, p.26.</w:t>
      </w:r>
    </w:p>
    <w:p w14:paraId="62BBCD23" w14:textId="77777777" w:rsidR="00523ADA" w:rsidRDefault="00523ADA" w:rsidP="00943B19">
      <w:pPr>
        <w:spacing w:line="360" w:lineRule="auto"/>
      </w:pPr>
      <w:r w:rsidRPr="00DF424A">
        <w:t>Barnabas, B. and Oloyede, J., 2024. Cash Flow Optimization: Strategies for Enhancing Short-Term Liquidity. </w:t>
      </w:r>
      <w:r w:rsidRPr="008577D0">
        <w:rPr>
          <w:i/>
          <w:iCs/>
        </w:rPr>
        <w:t>Available at SSRN 5004465</w:t>
      </w:r>
      <w:r w:rsidRPr="00DF424A">
        <w:t>.</w:t>
      </w:r>
    </w:p>
    <w:p w14:paraId="59B9ACFA" w14:textId="77777777" w:rsidR="00523ADA" w:rsidRDefault="00523ADA" w:rsidP="00943B19">
      <w:pPr>
        <w:spacing w:line="360" w:lineRule="auto"/>
      </w:pPr>
      <w:r w:rsidRPr="00DF25B2">
        <w:t xml:space="preserve">Blessing, H. and </w:t>
      </w:r>
      <w:proofErr w:type="spellStart"/>
      <w:r w:rsidRPr="00DF25B2">
        <w:t>Sakouvogui</w:t>
      </w:r>
      <w:proofErr w:type="spellEnd"/>
      <w:r w:rsidRPr="00DF25B2">
        <w:t>, G., 2023. Impact of liquidity and solvency ratios on financial performance: a comprehensive analysis. </w:t>
      </w:r>
      <w:r w:rsidRPr="008577D0">
        <w:rPr>
          <w:i/>
          <w:iCs/>
        </w:rPr>
        <w:t>Indonesia Auditing Research Journal</w:t>
      </w:r>
      <w:r w:rsidRPr="00DF25B2">
        <w:t>, </w:t>
      </w:r>
      <w:r w:rsidRPr="008577D0">
        <w:rPr>
          <w:i/>
          <w:iCs/>
        </w:rPr>
        <w:t>12</w:t>
      </w:r>
      <w:r w:rsidRPr="00DF25B2">
        <w:t>(3), pp.102-115.</w:t>
      </w:r>
    </w:p>
    <w:p w14:paraId="432DD6ED" w14:textId="77777777" w:rsidR="00523ADA" w:rsidRDefault="00523ADA" w:rsidP="00943B19">
      <w:pPr>
        <w:spacing w:line="360" w:lineRule="auto"/>
      </w:pPr>
      <w:proofErr w:type="spellStart"/>
      <w:r w:rsidRPr="00DF424A">
        <w:t>Bunyaminu</w:t>
      </w:r>
      <w:proofErr w:type="spellEnd"/>
      <w:r w:rsidRPr="00DF424A">
        <w:t>, A., Mohammed, I. and Issah, M., 2019. Business failure prediction: A tri-dimensional approach. </w:t>
      </w:r>
      <w:r w:rsidRPr="008577D0">
        <w:rPr>
          <w:i/>
          <w:iCs/>
        </w:rPr>
        <w:t>The Journal of Applied Business and Economics</w:t>
      </w:r>
      <w:r w:rsidRPr="00DF424A">
        <w:t>, </w:t>
      </w:r>
      <w:r w:rsidRPr="008577D0">
        <w:rPr>
          <w:i/>
          <w:iCs/>
        </w:rPr>
        <w:t>21</w:t>
      </w:r>
      <w:r w:rsidRPr="00DF424A">
        <w:t>(2), pp.80-100.</w:t>
      </w:r>
    </w:p>
    <w:p w14:paraId="509B0F59" w14:textId="77777777" w:rsidR="00523ADA" w:rsidRDefault="00523ADA" w:rsidP="00943B19">
      <w:pPr>
        <w:spacing w:line="360" w:lineRule="auto"/>
      </w:pPr>
      <w:r w:rsidRPr="00DF424A">
        <w:t>Butler, K.C., 2016. </w:t>
      </w:r>
      <w:r w:rsidRPr="008577D0">
        <w:rPr>
          <w:i/>
          <w:iCs/>
        </w:rPr>
        <w:t>Multinational finance: Evaluating the opportunities, costs, and risks of multinational operations</w:t>
      </w:r>
      <w:r w:rsidRPr="00DF424A">
        <w:t>. John Wiley &amp; Sons.</w:t>
      </w:r>
    </w:p>
    <w:p w14:paraId="67A8AD96" w14:textId="77777777" w:rsidR="00523ADA" w:rsidRDefault="00523ADA" w:rsidP="00943B19">
      <w:pPr>
        <w:spacing w:line="360" w:lineRule="auto"/>
      </w:pPr>
      <w:proofErr w:type="spellStart"/>
      <w:r w:rsidRPr="00DF25B2">
        <w:lastRenderedPageBreak/>
        <w:t>Cucchiella</w:t>
      </w:r>
      <w:proofErr w:type="spellEnd"/>
      <w:r w:rsidRPr="00DF25B2">
        <w:t xml:space="preserve">, F., D’Adamo, I., Koh, S.L. and Rosa, P., 2016. A profitability assessment of European recycling processes treating printed circuit boards from waste electrical and electronic </w:t>
      </w:r>
      <w:proofErr w:type="spellStart"/>
      <w:r w:rsidRPr="00DF25B2">
        <w:t>equipments</w:t>
      </w:r>
      <w:proofErr w:type="spellEnd"/>
      <w:r w:rsidRPr="00DF25B2">
        <w:t>. </w:t>
      </w:r>
      <w:r w:rsidRPr="008577D0">
        <w:rPr>
          <w:i/>
          <w:iCs/>
        </w:rPr>
        <w:t>Renewable and Sustainable Energy Reviews</w:t>
      </w:r>
      <w:r w:rsidRPr="00DF25B2">
        <w:t>, </w:t>
      </w:r>
      <w:r w:rsidRPr="008577D0">
        <w:rPr>
          <w:i/>
          <w:iCs/>
        </w:rPr>
        <w:t>64</w:t>
      </w:r>
      <w:r w:rsidRPr="00DF25B2">
        <w:t>, pp.749-760.</w:t>
      </w:r>
    </w:p>
    <w:p w14:paraId="4D182EAE" w14:textId="77777777" w:rsidR="00523ADA" w:rsidRDefault="00523ADA" w:rsidP="00943B19">
      <w:pPr>
        <w:spacing w:line="360" w:lineRule="auto"/>
      </w:pPr>
      <w:r w:rsidRPr="00DF424A">
        <w:t>Damijan, J.P., 2018. Corporate financial soundness and its impact on firm performance: Implications for corporate debt restructuring in Slovenia. </w:t>
      </w:r>
      <w:r w:rsidRPr="008577D0">
        <w:rPr>
          <w:i/>
          <w:iCs/>
        </w:rPr>
        <w:t>Post-communist economies</w:t>
      </w:r>
      <w:r w:rsidRPr="00DF424A">
        <w:t>, </w:t>
      </w:r>
      <w:r w:rsidRPr="008577D0">
        <w:rPr>
          <w:i/>
          <w:iCs/>
        </w:rPr>
        <w:t>30</w:t>
      </w:r>
      <w:r w:rsidRPr="00DF424A">
        <w:t>(2), pp.156-192.</w:t>
      </w:r>
    </w:p>
    <w:p w14:paraId="33C3A539" w14:textId="77777777" w:rsidR="00523ADA" w:rsidRDefault="00523ADA" w:rsidP="00943B19">
      <w:pPr>
        <w:spacing w:line="360" w:lineRule="auto"/>
      </w:pPr>
      <w:proofErr w:type="spellStart"/>
      <w:r w:rsidRPr="008577D0">
        <w:t>Focacci</w:t>
      </w:r>
      <w:proofErr w:type="spellEnd"/>
      <w:r w:rsidRPr="008577D0">
        <w:t>, A., 2017. Managing project investments irreversibility by accounting relations. </w:t>
      </w:r>
      <w:r w:rsidRPr="008577D0">
        <w:rPr>
          <w:i/>
          <w:iCs/>
        </w:rPr>
        <w:t>International Journal of Project Management</w:t>
      </w:r>
      <w:r w:rsidRPr="008577D0">
        <w:t>, </w:t>
      </w:r>
      <w:r w:rsidRPr="008577D0">
        <w:rPr>
          <w:i/>
          <w:iCs/>
        </w:rPr>
        <w:t>35</w:t>
      </w:r>
      <w:r w:rsidRPr="008577D0">
        <w:t>(6), pp.955-963.</w:t>
      </w:r>
    </w:p>
    <w:p w14:paraId="73A657A4" w14:textId="77777777" w:rsidR="00523ADA" w:rsidRDefault="00523ADA" w:rsidP="00943B19">
      <w:pPr>
        <w:spacing w:line="360" w:lineRule="auto"/>
      </w:pPr>
      <w:proofErr w:type="spellStart"/>
      <w:r w:rsidRPr="00DF424A">
        <w:t>Iotti</w:t>
      </w:r>
      <w:proofErr w:type="spellEnd"/>
      <w:r w:rsidRPr="00DF424A">
        <w:t>, M., Manghi, E. and Bonazzi, G., 2024. Debt sustainability assessment in the biogas sector: Application of interest coverage ratios in a sample of agricultural firms in Italy. </w:t>
      </w:r>
      <w:r w:rsidRPr="008577D0">
        <w:rPr>
          <w:i/>
          <w:iCs/>
        </w:rPr>
        <w:t>Energies</w:t>
      </w:r>
      <w:r w:rsidRPr="00DF424A">
        <w:t>, </w:t>
      </w:r>
      <w:r w:rsidRPr="008577D0">
        <w:rPr>
          <w:i/>
          <w:iCs/>
        </w:rPr>
        <w:t>17</w:t>
      </w:r>
      <w:r w:rsidRPr="00DF424A">
        <w:t>(6), p.1404.</w:t>
      </w:r>
    </w:p>
    <w:p w14:paraId="4F7D29E9" w14:textId="77777777" w:rsidR="00523ADA" w:rsidRDefault="00523ADA" w:rsidP="00943B19">
      <w:pPr>
        <w:spacing w:line="360" w:lineRule="auto"/>
      </w:pPr>
      <w:r w:rsidRPr="008577D0">
        <w:t>Jensen, M.C., 2017. Value maximisation, stakeholder theory and the corporate objective function. In </w:t>
      </w:r>
      <w:r w:rsidRPr="008577D0">
        <w:rPr>
          <w:i/>
          <w:iCs/>
        </w:rPr>
        <w:t>Unfolding stakeholder thinking</w:t>
      </w:r>
      <w:r w:rsidRPr="008577D0">
        <w:t> (pp. 65-84). Routledge.</w:t>
      </w:r>
    </w:p>
    <w:p w14:paraId="0FBDA8E3" w14:textId="77777777" w:rsidR="00523ADA" w:rsidRDefault="00523ADA" w:rsidP="00943B19">
      <w:pPr>
        <w:spacing w:line="360" w:lineRule="auto"/>
      </w:pPr>
      <w:r w:rsidRPr="00DF424A">
        <w:t>Kolias, G., Arnis, N. and Karamanis, K., 2020. The simultaneous determination of cash conversion cycle components. </w:t>
      </w:r>
      <w:r w:rsidRPr="008577D0">
        <w:rPr>
          <w:i/>
          <w:iCs/>
        </w:rPr>
        <w:t>Accounting and Management Information Systems</w:t>
      </w:r>
      <w:r w:rsidRPr="00DF424A">
        <w:t>, </w:t>
      </w:r>
      <w:r w:rsidRPr="008577D0">
        <w:rPr>
          <w:i/>
          <w:iCs/>
        </w:rPr>
        <w:t>19</w:t>
      </w:r>
      <w:r w:rsidRPr="00DF424A">
        <w:t>(2), pp.311-332.</w:t>
      </w:r>
    </w:p>
    <w:p w14:paraId="7A04CCC0" w14:textId="77777777" w:rsidR="00523ADA" w:rsidRDefault="00523ADA" w:rsidP="00943B19">
      <w:pPr>
        <w:spacing w:line="360" w:lineRule="auto"/>
      </w:pPr>
      <w:r w:rsidRPr="008577D0">
        <w:t>Magni, C.A., 2016. An average-based accounting approach to capital asset investments: The case of project finance. </w:t>
      </w:r>
      <w:r w:rsidRPr="008577D0">
        <w:rPr>
          <w:i/>
          <w:iCs/>
        </w:rPr>
        <w:t>European Accounting Review</w:t>
      </w:r>
      <w:r w:rsidRPr="008577D0">
        <w:t>, </w:t>
      </w:r>
      <w:r w:rsidRPr="008577D0">
        <w:rPr>
          <w:i/>
          <w:iCs/>
        </w:rPr>
        <w:t>25</w:t>
      </w:r>
      <w:r w:rsidRPr="008577D0">
        <w:t>(2), pp.275-286.</w:t>
      </w:r>
    </w:p>
    <w:p w14:paraId="252FDC1C" w14:textId="77777777" w:rsidR="00523ADA" w:rsidRDefault="00523ADA" w:rsidP="00943B19">
      <w:pPr>
        <w:spacing w:line="360" w:lineRule="auto"/>
      </w:pPr>
      <w:r w:rsidRPr="00DF25B2">
        <w:t xml:space="preserve">Markovic, M., Draskovic, N. and </w:t>
      </w:r>
      <w:proofErr w:type="spellStart"/>
      <w:r w:rsidRPr="00DF25B2">
        <w:t>Gnjidic</w:t>
      </w:r>
      <w:proofErr w:type="spellEnd"/>
      <w:r w:rsidRPr="00DF25B2">
        <w:t>, V., 2018. PRODUCT INNOVATION, PROCESS INNOVATION AND COMPETITIVE LESSONS FROM CONSUMER ELECTRONICS INDUSTRY. </w:t>
      </w:r>
      <w:r w:rsidRPr="008577D0">
        <w:rPr>
          <w:i/>
          <w:iCs/>
        </w:rPr>
        <w:t>Annals of DAAAM &amp; Proceedings</w:t>
      </w:r>
      <w:r w:rsidRPr="00DF25B2">
        <w:t>, </w:t>
      </w:r>
      <w:r w:rsidRPr="008577D0">
        <w:rPr>
          <w:i/>
          <w:iCs/>
        </w:rPr>
        <w:t>29</w:t>
      </w:r>
      <w:r w:rsidRPr="00DF25B2">
        <w:t>.</w:t>
      </w:r>
    </w:p>
    <w:p w14:paraId="381BE97A" w14:textId="77777777" w:rsidR="00523ADA" w:rsidRDefault="00523ADA" w:rsidP="00523ADA">
      <w:r w:rsidRPr="008577D0">
        <w:t xml:space="preserve">Matthews, K., 2021. Consequences of </w:t>
      </w:r>
      <w:proofErr w:type="spellStart"/>
      <w:r w:rsidRPr="008577D0">
        <w:t>labor</w:t>
      </w:r>
      <w:proofErr w:type="spellEnd"/>
      <w:r w:rsidRPr="008577D0">
        <w:t xml:space="preserve"> cost reduction practices: A structured literature review. </w:t>
      </w:r>
      <w:r w:rsidRPr="008577D0">
        <w:rPr>
          <w:i/>
          <w:iCs/>
        </w:rPr>
        <w:t>Accounting Perspectives</w:t>
      </w:r>
      <w:r w:rsidRPr="008577D0">
        <w:t>, </w:t>
      </w:r>
      <w:r w:rsidRPr="008577D0">
        <w:rPr>
          <w:i/>
          <w:iCs/>
        </w:rPr>
        <w:t>20</w:t>
      </w:r>
      <w:r w:rsidRPr="008577D0">
        <w:t>(4), pp.687-718.</w:t>
      </w:r>
    </w:p>
    <w:p w14:paraId="21D8B5DA" w14:textId="77777777" w:rsidR="00523ADA" w:rsidRDefault="00523ADA" w:rsidP="00943B19">
      <w:pPr>
        <w:spacing w:line="360" w:lineRule="auto"/>
      </w:pPr>
      <w:proofErr w:type="spellStart"/>
      <w:r w:rsidRPr="00DF424A">
        <w:t>Mavlutova</w:t>
      </w:r>
      <w:proofErr w:type="spellEnd"/>
      <w:r w:rsidRPr="00DF424A">
        <w:t xml:space="preserve">, I., Babenko, V., Dykan, V., Prokopenko, N., </w:t>
      </w:r>
      <w:proofErr w:type="spellStart"/>
      <w:r w:rsidRPr="00DF424A">
        <w:t>Kalinichenko</w:t>
      </w:r>
      <w:proofErr w:type="spellEnd"/>
      <w:r w:rsidRPr="00DF424A">
        <w:t xml:space="preserve">, S. and </w:t>
      </w:r>
      <w:proofErr w:type="spellStart"/>
      <w:r w:rsidRPr="00DF424A">
        <w:t>Tokmakova</w:t>
      </w:r>
      <w:proofErr w:type="spellEnd"/>
      <w:r w:rsidRPr="00DF424A">
        <w:t xml:space="preserve">, I., 2021. Business restructuring as a method of </w:t>
      </w:r>
      <w:proofErr w:type="spellStart"/>
      <w:r w:rsidRPr="00DF424A">
        <w:t>strengtening</w:t>
      </w:r>
      <w:proofErr w:type="spellEnd"/>
      <w:r w:rsidRPr="00DF424A">
        <w:t xml:space="preserve"> company’s financial position. </w:t>
      </w:r>
      <w:r w:rsidRPr="008577D0">
        <w:rPr>
          <w:i/>
          <w:iCs/>
        </w:rPr>
        <w:t>Journal of Optimization in Industrial Engineering</w:t>
      </w:r>
      <w:r w:rsidRPr="00DF424A">
        <w:t>, </w:t>
      </w:r>
      <w:r w:rsidRPr="008577D0">
        <w:rPr>
          <w:i/>
          <w:iCs/>
        </w:rPr>
        <w:t>14</w:t>
      </w:r>
      <w:r w:rsidRPr="00DF424A">
        <w:t>(1), pp.129-139.</w:t>
      </w:r>
    </w:p>
    <w:p w14:paraId="11C53F72" w14:textId="77777777" w:rsidR="00523ADA" w:rsidRDefault="00523ADA" w:rsidP="00523ADA">
      <w:r w:rsidRPr="008577D0">
        <w:t xml:space="preserve">Mielcarz, P., Osiichuk, D. and </w:t>
      </w:r>
      <w:proofErr w:type="spellStart"/>
      <w:r w:rsidRPr="008577D0">
        <w:t>Owczarkowski</w:t>
      </w:r>
      <w:proofErr w:type="spellEnd"/>
      <w:r w:rsidRPr="008577D0">
        <w:t>, R., 2018. Financial restructuring and target capital structure: An iterative algorithm for shareholder value maximization. </w:t>
      </w:r>
      <w:r w:rsidRPr="008577D0">
        <w:rPr>
          <w:i/>
          <w:iCs/>
        </w:rPr>
        <w:t>Review of Accounting and Finance</w:t>
      </w:r>
      <w:r w:rsidRPr="008577D0">
        <w:t>, </w:t>
      </w:r>
      <w:r w:rsidRPr="008577D0">
        <w:rPr>
          <w:i/>
          <w:iCs/>
        </w:rPr>
        <w:t>17</w:t>
      </w:r>
      <w:r w:rsidRPr="008577D0">
        <w:t>(2), pp.280-294.</w:t>
      </w:r>
    </w:p>
    <w:p w14:paraId="571FA452" w14:textId="77777777" w:rsidR="00523ADA" w:rsidRDefault="00523ADA" w:rsidP="00943B19">
      <w:pPr>
        <w:spacing w:line="360" w:lineRule="auto"/>
      </w:pPr>
      <w:r w:rsidRPr="00DF424A">
        <w:lastRenderedPageBreak/>
        <w:t xml:space="preserve">Nigam, N. and </w:t>
      </w:r>
      <w:proofErr w:type="spellStart"/>
      <w:r w:rsidRPr="00DF424A">
        <w:t>Boughanmi</w:t>
      </w:r>
      <w:proofErr w:type="spellEnd"/>
      <w:r w:rsidRPr="00DF424A">
        <w:t xml:space="preserve">, A., 2017. Can </w:t>
      </w:r>
      <w:proofErr w:type="gramStart"/>
      <w:r w:rsidRPr="00DF424A">
        <w:t>innovative</w:t>
      </w:r>
      <w:proofErr w:type="gramEnd"/>
      <w:r w:rsidRPr="00DF424A">
        <w:t xml:space="preserve"> reforms and practices efficiently resolve financial </w:t>
      </w:r>
      <w:proofErr w:type="gramStart"/>
      <w:r w:rsidRPr="00DF424A">
        <w:t>distress?.</w:t>
      </w:r>
      <w:proofErr w:type="gramEnd"/>
      <w:r w:rsidRPr="00DF424A">
        <w:t> </w:t>
      </w:r>
      <w:r w:rsidRPr="008577D0">
        <w:rPr>
          <w:i/>
          <w:iCs/>
        </w:rPr>
        <w:t>Journal of cleaner production</w:t>
      </w:r>
      <w:r w:rsidRPr="00DF424A">
        <w:t>, </w:t>
      </w:r>
      <w:r w:rsidRPr="008577D0">
        <w:rPr>
          <w:i/>
          <w:iCs/>
        </w:rPr>
        <w:t>140</w:t>
      </w:r>
      <w:r w:rsidRPr="00DF424A">
        <w:t>, pp.1860-1871.</w:t>
      </w:r>
    </w:p>
    <w:p w14:paraId="73EFC88F" w14:textId="77777777" w:rsidR="00523ADA" w:rsidRDefault="00523ADA" w:rsidP="00943B19">
      <w:pPr>
        <w:spacing w:line="360" w:lineRule="auto"/>
      </w:pPr>
      <w:r w:rsidRPr="008577D0">
        <w:t>Perna, A., 2024. </w:t>
      </w:r>
      <w:r w:rsidRPr="008577D0">
        <w:rPr>
          <w:i/>
          <w:iCs/>
        </w:rPr>
        <w:t>Optimization of Internal Rate of Return and Net Present Value for investments</w:t>
      </w:r>
      <w:r w:rsidRPr="008577D0">
        <w:t xml:space="preserve"> (Doctoral dissertation, </w:t>
      </w:r>
      <w:proofErr w:type="spellStart"/>
      <w:r w:rsidRPr="008577D0">
        <w:t>Politecnico</w:t>
      </w:r>
      <w:proofErr w:type="spellEnd"/>
      <w:r w:rsidRPr="008577D0">
        <w:t xml:space="preserve"> di Torino).</w:t>
      </w:r>
    </w:p>
    <w:p w14:paraId="4BF41796" w14:textId="77777777" w:rsidR="00523ADA" w:rsidRDefault="00523ADA" w:rsidP="00943B19">
      <w:pPr>
        <w:spacing w:line="360" w:lineRule="auto"/>
      </w:pPr>
    </w:p>
    <w:p w14:paraId="673FCC82" w14:textId="77777777" w:rsidR="001A4BEB" w:rsidRDefault="001A4BEB" w:rsidP="00943B19">
      <w:pPr>
        <w:spacing w:line="360" w:lineRule="auto"/>
      </w:pPr>
    </w:p>
    <w:p w14:paraId="4C881730" w14:textId="77777777" w:rsidR="001A4BEB" w:rsidRDefault="001A4BEB" w:rsidP="00943B19">
      <w:pPr>
        <w:spacing w:line="360" w:lineRule="auto"/>
      </w:pPr>
    </w:p>
    <w:p w14:paraId="5EC704F1" w14:textId="77777777" w:rsidR="00523ADA" w:rsidRDefault="00523ADA" w:rsidP="00943B19">
      <w:pPr>
        <w:spacing w:line="360" w:lineRule="auto"/>
      </w:pPr>
    </w:p>
    <w:p w14:paraId="18DBFDEE" w14:textId="77777777" w:rsidR="00523ADA" w:rsidRDefault="00523ADA" w:rsidP="00943B19">
      <w:pPr>
        <w:spacing w:line="360" w:lineRule="auto"/>
      </w:pPr>
    </w:p>
    <w:p w14:paraId="5A6C7E5C" w14:textId="77777777" w:rsidR="00523ADA" w:rsidRDefault="00523ADA" w:rsidP="00943B19">
      <w:pPr>
        <w:spacing w:line="360" w:lineRule="auto"/>
      </w:pPr>
    </w:p>
    <w:p w14:paraId="036CF288" w14:textId="77777777" w:rsidR="00523ADA" w:rsidRDefault="00523ADA" w:rsidP="00943B19">
      <w:pPr>
        <w:spacing w:line="360" w:lineRule="auto"/>
      </w:pPr>
    </w:p>
    <w:p w14:paraId="0C1FB89F" w14:textId="77777777" w:rsidR="00523ADA" w:rsidRDefault="00523ADA" w:rsidP="00943B19">
      <w:pPr>
        <w:spacing w:line="360" w:lineRule="auto"/>
      </w:pPr>
    </w:p>
    <w:p w14:paraId="1D29E18E" w14:textId="77777777" w:rsidR="00523ADA" w:rsidRDefault="00523ADA" w:rsidP="00943B19">
      <w:pPr>
        <w:spacing w:line="360" w:lineRule="auto"/>
      </w:pPr>
    </w:p>
    <w:p w14:paraId="3568244A" w14:textId="77777777" w:rsidR="00523ADA" w:rsidRDefault="00523ADA" w:rsidP="00943B19">
      <w:pPr>
        <w:spacing w:line="360" w:lineRule="auto"/>
      </w:pPr>
    </w:p>
    <w:p w14:paraId="2E73F7A3" w14:textId="77777777" w:rsidR="00523ADA" w:rsidRDefault="00523ADA" w:rsidP="00943B19">
      <w:pPr>
        <w:spacing w:line="360" w:lineRule="auto"/>
      </w:pPr>
    </w:p>
    <w:p w14:paraId="5F69264F" w14:textId="77777777" w:rsidR="00523ADA" w:rsidRDefault="00523ADA" w:rsidP="00943B19">
      <w:pPr>
        <w:spacing w:line="360" w:lineRule="auto"/>
      </w:pPr>
    </w:p>
    <w:p w14:paraId="036E7372" w14:textId="77777777" w:rsidR="00523ADA" w:rsidRDefault="00523ADA" w:rsidP="00943B19">
      <w:pPr>
        <w:spacing w:line="360" w:lineRule="auto"/>
      </w:pPr>
    </w:p>
    <w:p w14:paraId="68C90116" w14:textId="77777777" w:rsidR="00523ADA" w:rsidRDefault="00523ADA" w:rsidP="00943B19">
      <w:pPr>
        <w:spacing w:line="360" w:lineRule="auto"/>
      </w:pPr>
    </w:p>
    <w:p w14:paraId="43868F7A" w14:textId="77777777" w:rsidR="00523ADA" w:rsidRDefault="00523ADA" w:rsidP="00943B19">
      <w:pPr>
        <w:spacing w:line="360" w:lineRule="auto"/>
      </w:pPr>
    </w:p>
    <w:p w14:paraId="225426D0" w14:textId="77777777" w:rsidR="00523ADA" w:rsidRDefault="00523ADA" w:rsidP="00943B19">
      <w:pPr>
        <w:spacing w:line="360" w:lineRule="auto"/>
      </w:pPr>
    </w:p>
    <w:p w14:paraId="6CFB7600" w14:textId="77777777" w:rsidR="00523ADA" w:rsidRDefault="00523ADA" w:rsidP="00943B19">
      <w:pPr>
        <w:spacing w:line="360" w:lineRule="auto"/>
      </w:pPr>
    </w:p>
    <w:p w14:paraId="2599CF2A" w14:textId="77777777" w:rsidR="001A4BEB" w:rsidRDefault="001A4BEB" w:rsidP="00943B19">
      <w:pPr>
        <w:spacing w:line="360" w:lineRule="auto"/>
      </w:pPr>
    </w:p>
    <w:p w14:paraId="6E39CC7C" w14:textId="7B050DE2" w:rsidR="001A4BEB" w:rsidRDefault="001A4BEB" w:rsidP="000200FC">
      <w:pPr>
        <w:pStyle w:val="Heading1"/>
        <w:spacing w:line="360" w:lineRule="auto"/>
      </w:pPr>
      <w:bookmarkStart w:id="29" w:name="_Toc216827539"/>
      <w:r>
        <w:lastRenderedPageBreak/>
        <w:t>Appendix</w:t>
      </w:r>
      <w:bookmarkEnd w:id="29"/>
    </w:p>
    <w:p w14:paraId="00531236" w14:textId="7E6A8ECB" w:rsidR="001A4BEB" w:rsidRPr="00E647B6" w:rsidRDefault="004F347A" w:rsidP="00943B19">
      <w:pPr>
        <w:spacing w:line="360" w:lineRule="auto"/>
        <w:jc w:val="center"/>
        <w:rPr>
          <w:b/>
          <w:bCs/>
          <w:u w:val="single"/>
        </w:rPr>
      </w:pPr>
      <w:r w:rsidRPr="00E647B6">
        <w:rPr>
          <w:b/>
          <w:bCs/>
          <w:u w:val="single"/>
        </w:rPr>
        <w:t>Appendix A: Financial Ratio Tables</w:t>
      </w:r>
    </w:p>
    <w:p w14:paraId="3A68CB31" w14:textId="52759AD6" w:rsidR="004F347A" w:rsidRPr="00E96F35" w:rsidRDefault="005979F7" w:rsidP="00943B19">
      <w:pPr>
        <w:spacing w:line="360" w:lineRule="auto"/>
        <w:rPr>
          <w:b/>
          <w:bCs/>
        </w:rPr>
      </w:pPr>
      <w:r w:rsidRPr="00E96F35">
        <w:rPr>
          <w:b/>
          <w:bCs/>
        </w:rPr>
        <w:t>A1. Profitability Ratios</w:t>
      </w:r>
    </w:p>
    <w:tbl>
      <w:tblPr>
        <w:tblStyle w:val="TableGrid"/>
        <w:tblW w:w="0" w:type="auto"/>
        <w:tblLook w:val="04A0" w:firstRow="1" w:lastRow="0" w:firstColumn="1" w:lastColumn="0" w:noHBand="0" w:noVBand="1"/>
      </w:tblPr>
      <w:tblGrid>
        <w:gridCol w:w="1327"/>
        <w:gridCol w:w="1533"/>
        <w:gridCol w:w="1298"/>
        <w:gridCol w:w="1298"/>
        <w:gridCol w:w="1298"/>
        <w:gridCol w:w="1298"/>
        <w:gridCol w:w="1298"/>
      </w:tblGrid>
      <w:tr w:rsidR="005979F7" w14:paraId="785BB4DA" w14:textId="77777777" w:rsidTr="00E96F35">
        <w:tc>
          <w:tcPr>
            <w:tcW w:w="1327" w:type="dxa"/>
            <w:vAlign w:val="center"/>
          </w:tcPr>
          <w:p w14:paraId="5137249B" w14:textId="6B3F083B" w:rsidR="005979F7" w:rsidRDefault="005979F7" w:rsidP="00943B19">
            <w:pPr>
              <w:spacing w:line="360" w:lineRule="auto"/>
            </w:pPr>
            <w:r>
              <w:rPr>
                <w:b/>
                <w:bCs/>
              </w:rPr>
              <w:t>Ratio</w:t>
            </w:r>
          </w:p>
        </w:tc>
        <w:tc>
          <w:tcPr>
            <w:tcW w:w="1533" w:type="dxa"/>
            <w:vAlign w:val="center"/>
          </w:tcPr>
          <w:p w14:paraId="4B84381B" w14:textId="6C2B9DC4" w:rsidR="005979F7" w:rsidRDefault="005979F7" w:rsidP="00943B19">
            <w:pPr>
              <w:spacing w:line="360" w:lineRule="auto"/>
            </w:pPr>
            <w:r>
              <w:rPr>
                <w:b/>
                <w:bCs/>
              </w:rPr>
              <w:t>Formula</w:t>
            </w:r>
          </w:p>
        </w:tc>
        <w:tc>
          <w:tcPr>
            <w:tcW w:w="1298" w:type="dxa"/>
            <w:vAlign w:val="center"/>
          </w:tcPr>
          <w:p w14:paraId="2A694FEF" w14:textId="60505C6A" w:rsidR="005979F7" w:rsidRDefault="005979F7" w:rsidP="00943B19">
            <w:pPr>
              <w:spacing w:line="360" w:lineRule="auto"/>
            </w:pPr>
            <w:r>
              <w:rPr>
                <w:b/>
                <w:bCs/>
              </w:rPr>
              <w:t>2020</w:t>
            </w:r>
          </w:p>
        </w:tc>
        <w:tc>
          <w:tcPr>
            <w:tcW w:w="1298" w:type="dxa"/>
            <w:vAlign w:val="center"/>
          </w:tcPr>
          <w:p w14:paraId="252C3B6C" w14:textId="05F64439" w:rsidR="005979F7" w:rsidRDefault="005979F7" w:rsidP="00943B19">
            <w:pPr>
              <w:spacing w:line="360" w:lineRule="auto"/>
            </w:pPr>
            <w:r>
              <w:rPr>
                <w:b/>
                <w:bCs/>
              </w:rPr>
              <w:t>2021</w:t>
            </w:r>
          </w:p>
        </w:tc>
        <w:tc>
          <w:tcPr>
            <w:tcW w:w="1298" w:type="dxa"/>
            <w:vAlign w:val="center"/>
          </w:tcPr>
          <w:p w14:paraId="2CF06F88" w14:textId="53A3FFE5" w:rsidR="005979F7" w:rsidRDefault="005979F7" w:rsidP="00943B19">
            <w:pPr>
              <w:spacing w:line="360" w:lineRule="auto"/>
            </w:pPr>
            <w:r>
              <w:rPr>
                <w:b/>
                <w:bCs/>
              </w:rPr>
              <w:t>2022</w:t>
            </w:r>
          </w:p>
        </w:tc>
        <w:tc>
          <w:tcPr>
            <w:tcW w:w="1298" w:type="dxa"/>
            <w:vAlign w:val="center"/>
          </w:tcPr>
          <w:p w14:paraId="1EF39152" w14:textId="559CCF14" w:rsidR="005979F7" w:rsidRDefault="005979F7" w:rsidP="00943B19">
            <w:pPr>
              <w:spacing w:line="360" w:lineRule="auto"/>
            </w:pPr>
            <w:r>
              <w:rPr>
                <w:b/>
                <w:bCs/>
              </w:rPr>
              <w:t>2023</w:t>
            </w:r>
          </w:p>
        </w:tc>
        <w:tc>
          <w:tcPr>
            <w:tcW w:w="1298" w:type="dxa"/>
            <w:vAlign w:val="center"/>
          </w:tcPr>
          <w:p w14:paraId="011AB343" w14:textId="7BC118C4" w:rsidR="005979F7" w:rsidRDefault="005979F7" w:rsidP="00943B19">
            <w:pPr>
              <w:spacing w:line="360" w:lineRule="auto"/>
            </w:pPr>
            <w:r>
              <w:rPr>
                <w:b/>
                <w:bCs/>
              </w:rPr>
              <w:t>2024</w:t>
            </w:r>
          </w:p>
        </w:tc>
      </w:tr>
      <w:tr w:rsidR="005979F7" w14:paraId="52264BC6" w14:textId="77777777" w:rsidTr="00E96F35">
        <w:tc>
          <w:tcPr>
            <w:tcW w:w="1327" w:type="dxa"/>
            <w:vAlign w:val="center"/>
          </w:tcPr>
          <w:p w14:paraId="71361324" w14:textId="39E003A0" w:rsidR="005979F7" w:rsidRDefault="005979F7" w:rsidP="00943B19">
            <w:pPr>
              <w:spacing w:line="360" w:lineRule="auto"/>
            </w:pPr>
            <w:r>
              <w:t>Gross Profit Margin (%)</w:t>
            </w:r>
          </w:p>
        </w:tc>
        <w:tc>
          <w:tcPr>
            <w:tcW w:w="1533" w:type="dxa"/>
            <w:vAlign w:val="center"/>
          </w:tcPr>
          <w:p w14:paraId="428952E0" w14:textId="61F7E4AB" w:rsidR="005979F7" w:rsidRDefault="005979F7" w:rsidP="00943B19">
            <w:pPr>
              <w:spacing w:line="360" w:lineRule="auto"/>
            </w:pPr>
            <w:r>
              <w:t>Gross Profit / Net Sales</w:t>
            </w:r>
          </w:p>
        </w:tc>
        <w:tc>
          <w:tcPr>
            <w:tcW w:w="1298" w:type="dxa"/>
            <w:vAlign w:val="center"/>
          </w:tcPr>
          <w:p w14:paraId="293D2C86" w14:textId="7E0C6243" w:rsidR="005979F7" w:rsidRDefault="005979F7" w:rsidP="00943B19">
            <w:pPr>
              <w:spacing w:line="360" w:lineRule="auto"/>
            </w:pPr>
            <w:r>
              <w:t>28.7</w:t>
            </w:r>
          </w:p>
        </w:tc>
        <w:tc>
          <w:tcPr>
            <w:tcW w:w="1298" w:type="dxa"/>
            <w:vAlign w:val="center"/>
          </w:tcPr>
          <w:p w14:paraId="2AE1DFA8" w14:textId="3C22A4FE" w:rsidR="005979F7" w:rsidRDefault="005979F7" w:rsidP="00943B19">
            <w:pPr>
              <w:spacing w:line="360" w:lineRule="auto"/>
            </w:pPr>
            <w:r>
              <w:t>28.8</w:t>
            </w:r>
          </w:p>
        </w:tc>
        <w:tc>
          <w:tcPr>
            <w:tcW w:w="1298" w:type="dxa"/>
            <w:vAlign w:val="center"/>
          </w:tcPr>
          <w:p w14:paraId="364DF4BE" w14:textId="18207978" w:rsidR="005979F7" w:rsidRDefault="005979F7" w:rsidP="00943B19">
            <w:pPr>
              <w:spacing w:line="360" w:lineRule="auto"/>
            </w:pPr>
            <w:r>
              <w:t>28.1</w:t>
            </w:r>
          </w:p>
        </w:tc>
        <w:tc>
          <w:tcPr>
            <w:tcW w:w="1298" w:type="dxa"/>
            <w:vAlign w:val="center"/>
          </w:tcPr>
          <w:p w14:paraId="67B2E627" w14:textId="30E0B83A" w:rsidR="005979F7" w:rsidRDefault="005979F7" w:rsidP="00943B19">
            <w:pPr>
              <w:spacing w:line="360" w:lineRule="auto"/>
            </w:pPr>
            <w:r>
              <w:t>23.2</w:t>
            </w:r>
          </w:p>
        </w:tc>
        <w:tc>
          <w:tcPr>
            <w:tcW w:w="1298" w:type="dxa"/>
            <w:vAlign w:val="center"/>
          </w:tcPr>
          <w:p w14:paraId="55344ACC" w14:textId="3808556C" w:rsidR="005979F7" w:rsidRDefault="005979F7" w:rsidP="00943B19">
            <w:pPr>
              <w:spacing w:line="360" w:lineRule="auto"/>
            </w:pPr>
            <w:r>
              <w:t>28.9</w:t>
            </w:r>
          </w:p>
        </w:tc>
      </w:tr>
      <w:tr w:rsidR="005979F7" w14:paraId="2DDBCA1E" w14:textId="77777777" w:rsidTr="00E96F35">
        <w:tc>
          <w:tcPr>
            <w:tcW w:w="1327" w:type="dxa"/>
            <w:vAlign w:val="center"/>
          </w:tcPr>
          <w:p w14:paraId="2235D8B4" w14:textId="32C1ED99" w:rsidR="005979F7" w:rsidRDefault="005979F7" w:rsidP="00943B19">
            <w:pPr>
              <w:spacing w:line="360" w:lineRule="auto"/>
            </w:pPr>
            <w:r>
              <w:t>Operating Margin (%)</w:t>
            </w:r>
          </w:p>
        </w:tc>
        <w:tc>
          <w:tcPr>
            <w:tcW w:w="1533" w:type="dxa"/>
            <w:vAlign w:val="center"/>
          </w:tcPr>
          <w:p w14:paraId="06C728D7" w14:textId="54C4C67F" w:rsidR="005979F7" w:rsidRDefault="005979F7" w:rsidP="00943B19">
            <w:pPr>
              <w:spacing w:line="360" w:lineRule="auto"/>
            </w:pPr>
            <w:r>
              <w:t>Operating Income / Net Sales</w:t>
            </w:r>
          </w:p>
        </w:tc>
        <w:tc>
          <w:tcPr>
            <w:tcW w:w="1298" w:type="dxa"/>
            <w:vAlign w:val="center"/>
          </w:tcPr>
          <w:p w14:paraId="21768378" w14:textId="1BFFCDA8" w:rsidR="005979F7" w:rsidRDefault="005979F7" w:rsidP="00943B19">
            <w:pPr>
              <w:spacing w:line="360" w:lineRule="auto"/>
            </w:pPr>
            <w:r>
              <w:t>6.1</w:t>
            </w:r>
          </w:p>
        </w:tc>
        <w:tc>
          <w:tcPr>
            <w:tcW w:w="1298" w:type="dxa"/>
            <w:vAlign w:val="center"/>
          </w:tcPr>
          <w:p w14:paraId="5A9E5162" w14:textId="3F815F80" w:rsidR="005979F7" w:rsidRDefault="005979F7" w:rsidP="00943B19">
            <w:pPr>
              <w:spacing w:line="360" w:lineRule="auto"/>
            </w:pPr>
            <w:r>
              <w:t>3.9</w:t>
            </w:r>
          </w:p>
        </w:tc>
        <w:tc>
          <w:tcPr>
            <w:tcW w:w="1298" w:type="dxa"/>
            <w:vAlign w:val="center"/>
          </w:tcPr>
          <w:p w14:paraId="06A4FEB0" w14:textId="6139978D" w:rsidR="005979F7" w:rsidRDefault="005979F7" w:rsidP="00943B19">
            <w:pPr>
              <w:spacing w:line="360" w:lineRule="auto"/>
            </w:pPr>
            <w:r>
              <w:t>2.7</w:t>
            </w:r>
          </w:p>
        </w:tc>
        <w:tc>
          <w:tcPr>
            <w:tcW w:w="1298" w:type="dxa"/>
            <w:vAlign w:val="center"/>
          </w:tcPr>
          <w:p w14:paraId="02CB5080" w14:textId="7977E532" w:rsidR="005979F7" w:rsidRDefault="005979F7" w:rsidP="00943B19">
            <w:pPr>
              <w:spacing w:line="360" w:lineRule="auto"/>
            </w:pPr>
            <w:r>
              <w:t>-20.3</w:t>
            </w:r>
          </w:p>
        </w:tc>
        <w:tc>
          <w:tcPr>
            <w:tcW w:w="1298" w:type="dxa"/>
            <w:vAlign w:val="center"/>
          </w:tcPr>
          <w:p w14:paraId="4CDBF892" w14:textId="07A09B5D" w:rsidR="005979F7" w:rsidRDefault="005979F7" w:rsidP="00943B19">
            <w:pPr>
              <w:spacing w:line="360" w:lineRule="auto"/>
            </w:pPr>
            <w:r>
              <w:t>-3.9</w:t>
            </w:r>
          </w:p>
        </w:tc>
      </w:tr>
      <w:tr w:rsidR="005979F7" w14:paraId="3D0A43B7" w14:textId="77777777" w:rsidTr="00E96F35">
        <w:tc>
          <w:tcPr>
            <w:tcW w:w="1327" w:type="dxa"/>
            <w:vAlign w:val="center"/>
          </w:tcPr>
          <w:p w14:paraId="63E5998B" w14:textId="3774FD5A" w:rsidR="005979F7" w:rsidRDefault="005979F7" w:rsidP="00943B19">
            <w:pPr>
              <w:spacing w:line="360" w:lineRule="auto"/>
            </w:pPr>
            <w:r>
              <w:t>Net Profit Margin (%)</w:t>
            </w:r>
          </w:p>
        </w:tc>
        <w:tc>
          <w:tcPr>
            <w:tcW w:w="1533" w:type="dxa"/>
            <w:vAlign w:val="center"/>
          </w:tcPr>
          <w:p w14:paraId="7A404F9F" w14:textId="1E2832E0" w:rsidR="005979F7" w:rsidRDefault="005979F7" w:rsidP="00943B19">
            <w:pPr>
              <w:spacing w:line="360" w:lineRule="auto"/>
            </w:pPr>
            <w:r>
              <w:t>Net Income / Net Sales</w:t>
            </w:r>
          </w:p>
        </w:tc>
        <w:tc>
          <w:tcPr>
            <w:tcW w:w="1298" w:type="dxa"/>
            <w:vAlign w:val="center"/>
          </w:tcPr>
          <w:p w14:paraId="103B76B5" w14:textId="0734724D" w:rsidR="005979F7" w:rsidRDefault="005979F7" w:rsidP="00943B19">
            <w:pPr>
              <w:spacing w:line="360" w:lineRule="auto"/>
            </w:pPr>
            <w:r>
              <w:t>6.3</w:t>
            </w:r>
          </w:p>
        </w:tc>
        <w:tc>
          <w:tcPr>
            <w:tcW w:w="1298" w:type="dxa"/>
            <w:vAlign w:val="center"/>
          </w:tcPr>
          <w:p w14:paraId="5445BF9D" w14:textId="0211ACEC" w:rsidR="005979F7" w:rsidRDefault="005979F7" w:rsidP="00943B19">
            <w:pPr>
              <w:spacing w:line="360" w:lineRule="auto"/>
            </w:pPr>
            <w:r>
              <w:t>0.9</w:t>
            </w:r>
          </w:p>
        </w:tc>
        <w:tc>
          <w:tcPr>
            <w:tcW w:w="1298" w:type="dxa"/>
            <w:vAlign w:val="center"/>
          </w:tcPr>
          <w:p w14:paraId="12D4DD47" w14:textId="7B238F01" w:rsidR="005979F7" w:rsidRDefault="005979F7" w:rsidP="00943B19">
            <w:pPr>
              <w:spacing w:line="360" w:lineRule="auto"/>
            </w:pPr>
            <w:r>
              <w:t>0.1</w:t>
            </w:r>
          </w:p>
        </w:tc>
        <w:tc>
          <w:tcPr>
            <w:tcW w:w="1298" w:type="dxa"/>
            <w:vAlign w:val="center"/>
          </w:tcPr>
          <w:p w14:paraId="0B39AE35" w14:textId="1E321F31" w:rsidR="005979F7" w:rsidRDefault="005979F7" w:rsidP="00943B19">
            <w:pPr>
              <w:spacing w:line="360" w:lineRule="auto"/>
            </w:pPr>
            <w:r>
              <w:t>-23.4</w:t>
            </w:r>
          </w:p>
        </w:tc>
        <w:tc>
          <w:tcPr>
            <w:tcW w:w="1298" w:type="dxa"/>
            <w:vAlign w:val="center"/>
          </w:tcPr>
          <w:p w14:paraId="3EDCF0AF" w14:textId="03E34EBB" w:rsidR="005979F7" w:rsidRDefault="005979F7" w:rsidP="00943B19">
            <w:pPr>
              <w:spacing w:line="360" w:lineRule="auto"/>
            </w:pPr>
            <w:r>
              <w:t>-6.1</w:t>
            </w:r>
          </w:p>
        </w:tc>
      </w:tr>
      <w:tr w:rsidR="005979F7" w14:paraId="21AE3148" w14:textId="77777777" w:rsidTr="00E96F35">
        <w:tc>
          <w:tcPr>
            <w:tcW w:w="1327" w:type="dxa"/>
            <w:vAlign w:val="center"/>
          </w:tcPr>
          <w:p w14:paraId="4DD48AA9" w14:textId="42500AB0" w:rsidR="005979F7" w:rsidRDefault="005979F7" w:rsidP="00943B19">
            <w:pPr>
              <w:spacing w:line="360" w:lineRule="auto"/>
            </w:pPr>
            <w:r>
              <w:t>Return on Assets (ROA) (%)</w:t>
            </w:r>
          </w:p>
        </w:tc>
        <w:tc>
          <w:tcPr>
            <w:tcW w:w="1533" w:type="dxa"/>
            <w:vAlign w:val="center"/>
          </w:tcPr>
          <w:p w14:paraId="6DD864A9" w14:textId="13B6E8F8" w:rsidR="005979F7" w:rsidRDefault="005979F7" w:rsidP="00943B19">
            <w:pPr>
              <w:spacing w:line="360" w:lineRule="auto"/>
            </w:pPr>
            <w:r>
              <w:t>Net Income / Total Assets</w:t>
            </w:r>
          </w:p>
        </w:tc>
        <w:tc>
          <w:tcPr>
            <w:tcW w:w="1298" w:type="dxa"/>
            <w:vAlign w:val="center"/>
          </w:tcPr>
          <w:p w14:paraId="219A9D7C" w14:textId="6B141C33" w:rsidR="005979F7" w:rsidRDefault="005979F7" w:rsidP="00943B19">
            <w:pPr>
              <w:spacing w:line="360" w:lineRule="auto"/>
            </w:pPr>
            <w:r>
              <w:t>7.6</w:t>
            </w:r>
          </w:p>
        </w:tc>
        <w:tc>
          <w:tcPr>
            <w:tcW w:w="1298" w:type="dxa"/>
            <w:vAlign w:val="center"/>
          </w:tcPr>
          <w:p w14:paraId="43985BB7" w14:textId="7D8AD3E0" w:rsidR="005979F7" w:rsidRDefault="005979F7" w:rsidP="00943B19">
            <w:pPr>
              <w:spacing w:line="360" w:lineRule="auto"/>
            </w:pPr>
            <w:r>
              <w:t>1.0</w:t>
            </w:r>
          </w:p>
        </w:tc>
        <w:tc>
          <w:tcPr>
            <w:tcW w:w="1298" w:type="dxa"/>
            <w:vAlign w:val="center"/>
          </w:tcPr>
          <w:p w14:paraId="470341C3" w14:textId="51EF223F" w:rsidR="005979F7" w:rsidRDefault="005979F7" w:rsidP="00943B19">
            <w:pPr>
              <w:spacing w:line="360" w:lineRule="auto"/>
            </w:pPr>
            <w:r>
              <w:t>0.1</w:t>
            </w:r>
          </w:p>
        </w:tc>
        <w:tc>
          <w:tcPr>
            <w:tcW w:w="1298" w:type="dxa"/>
            <w:vAlign w:val="center"/>
          </w:tcPr>
          <w:p w14:paraId="62FEBE37" w14:textId="5E01BE0D" w:rsidR="005979F7" w:rsidRDefault="005979F7" w:rsidP="00943B19">
            <w:pPr>
              <w:spacing w:line="360" w:lineRule="auto"/>
            </w:pPr>
            <w:r>
              <w:t>-27.6</w:t>
            </w:r>
          </w:p>
        </w:tc>
        <w:tc>
          <w:tcPr>
            <w:tcW w:w="1298" w:type="dxa"/>
            <w:vAlign w:val="center"/>
          </w:tcPr>
          <w:p w14:paraId="61D41ECB" w14:textId="03E4D989" w:rsidR="005979F7" w:rsidRDefault="005979F7" w:rsidP="00943B19">
            <w:pPr>
              <w:spacing w:line="360" w:lineRule="auto"/>
            </w:pPr>
            <w:r>
              <w:t>-7.4</w:t>
            </w:r>
          </w:p>
        </w:tc>
      </w:tr>
      <w:tr w:rsidR="005979F7" w14:paraId="0FA7B07E" w14:textId="77777777" w:rsidTr="00E96F35">
        <w:tc>
          <w:tcPr>
            <w:tcW w:w="1327" w:type="dxa"/>
            <w:vAlign w:val="center"/>
          </w:tcPr>
          <w:p w14:paraId="32A56156" w14:textId="7D7A03F4" w:rsidR="005979F7" w:rsidRDefault="005979F7" w:rsidP="00943B19">
            <w:pPr>
              <w:spacing w:line="360" w:lineRule="auto"/>
            </w:pPr>
            <w:r>
              <w:t>Return on Equity (ROE) (%)</w:t>
            </w:r>
          </w:p>
        </w:tc>
        <w:tc>
          <w:tcPr>
            <w:tcW w:w="1533" w:type="dxa"/>
            <w:vAlign w:val="center"/>
          </w:tcPr>
          <w:p w14:paraId="0D93F357" w14:textId="4CF6A7C4" w:rsidR="005979F7" w:rsidRDefault="005979F7" w:rsidP="00943B19">
            <w:pPr>
              <w:spacing w:line="360" w:lineRule="auto"/>
            </w:pPr>
            <w:r>
              <w:t>Net Income / Shareholders’ Equity</w:t>
            </w:r>
          </w:p>
        </w:tc>
        <w:tc>
          <w:tcPr>
            <w:tcW w:w="1298" w:type="dxa"/>
            <w:vAlign w:val="center"/>
          </w:tcPr>
          <w:p w14:paraId="7FEB14F0" w14:textId="2D8EFB6C" w:rsidR="005979F7" w:rsidRDefault="005979F7" w:rsidP="00943B19">
            <w:pPr>
              <w:spacing w:line="360" w:lineRule="auto"/>
            </w:pPr>
            <w:r>
              <w:t>12.3</w:t>
            </w:r>
          </w:p>
        </w:tc>
        <w:tc>
          <w:tcPr>
            <w:tcW w:w="1298" w:type="dxa"/>
            <w:vAlign w:val="center"/>
          </w:tcPr>
          <w:p w14:paraId="788F2E33" w14:textId="61502351" w:rsidR="005979F7" w:rsidRDefault="005979F7" w:rsidP="00943B19">
            <w:pPr>
              <w:spacing w:line="360" w:lineRule="auto"/>
            </w:pPr>
            <w:r>
              <w:t>1.9</w:t>
            </w:r>
          </w:p>
        </w:tc>
        <w:tc>
          <w:tcPr>
            <w:tcW w:w="1298" w:type="dxa"/>
            <w:vAlign w:val="center"/>
          </w:tcPr>
          <w:p w14:paraId="27EC53D7" w14:textId="5A67C665" w:rsidR="005979F7" w:rsidRDefault="005979F7" w:rsidP="00943B19">
            <w:pPr>
              <w:spacing w:line="360" w:lineRule="auto"/>
            </w:pPr>
            <w:r>
              <w:t>0.2</w:t>
            </w:r>
          </w:p>
        </w:tc>
        <w:tc>
          <w:tcPr>
            <w:tcW w:w="1298" w:type="dxa"/>
            <w:vAlign w:val="center"/>
          </w:tcPr>
          <w:p w14:paraId="30591594" w14:textId="5A330714" w:rsidR="005979F7" w:rsidRDefault="005979F7" w:rsidP="00943B19">
            <w:pPr>
              <w:spacing w:line="360" w:lineRule="auto"/>
            </w:pPr>
            <w:r>
              <w:t>-54.9</w:t>
            </w:r>
          </w:p>
        </w:tc>
        <w:tc>
          <w:tcPr>
            <w:tcW w:w="1298" w:type="dxa"/>
            <w:vAlign w:val="center"/>
          </w:tcPr>
          <w:p w14:paraId="649DAAA0" w14:textId="72A363CD" w:rsidR="005979F7" w:rsidRDefault="005979F7" w:rsidP="00943B19">
            <w:pPr>
              <w:spacing w:line="360" w:lineRule="auto"/>
            </w:pPr>
            <w:r>
              <w:t>-15.7</w:t>
            </w:r>
          </w:p>
        </w:tc>
      </w:tr>
    </w:tbl>
    <w:p w14:paraId="66D5CF12" w14:textId="77777777" w:rsidR="005979F7" w:rsidRDefault="005979F7" w:rsidP="00943B19">
      <w:pPr>
        <w:spacing w:line="360" w:lineRule="auto"/>
      </w:pPr>
    </w:p>
    <w:p w14:paraId="1A596347" w14:textId="0E4174BF" w:rsidR="00E96F35" w:rsidRPr="006771BA" w:rsidRDefault="006771BA" w:rsidP="00943B19">
      <w:pPr>
        <w:spacing w:line="360" w:lineRule="auto"/>
        <w:rPr>
          <w:b/>
          <w:bCs/>
        </w:rPr>
      </w:pPr>
      <w:r w:rsidRPr="006771BA">
        <w:rPr>
          <w:b/>
          <w:bCs/>
        </w:rPr>
        <w:t>A2. Liquidity Ratios</w:t>
      </w:r>
    </w:p>
    <w:tbl>
      <w:tblPr>
        <w:tblStyle w:val="TableGrid"/>
        <w:tblW w:w="0" w:type="auto"/>
        <w:tblLook w:val="04A0" w:firstRow="1" w:lastRow="0" w:firstColumn="1" w:lastColumn="0" w:noHBand="0" w:noVBand="1"/>
      </w:tblPr>
      <w:tblGrid>
        <w:gridCol w:w="1334"/>
        <w:gridCol w:w="1351"/>
        <w:gridCol w:w="1333"/>
        <w:gridCol w:w="1333"/>
        <w:gridCol w:w="1333"/>
        <w:gridCol w:w="1333"/>
        <w:gridCol w:w="1333"/>
      </w:tblGrid>
      <w:tr w:rsidR="006771BA" w14:paraId="64E1E814" w14:textId="77777777" w:rsidTr="00DC11E7">
        <w:tc>
          <w:tcPr>
            <w:tcW w:w="1335" w:type="dxa"/>
            <w:vAlign w:val="center"/>
          </w:tcPr>
          <w:p w14:paraId="28DE93D4" w14:textId="111D9D0B" w:rsidR="006771BA" w:rsidRDefault="006771BA" w:rsidP="00943B19">
            <w:pPr>
              <w:spacing w:line="360" w:lineRule="auto"/>
            </w:pPr>
            <w:r>
              <w:rPr>
                <w:b/>
                <w:bCs/>
              </w:rPr>
              <w:t>Ratio</w:t>
            </w:r>
          </w:p>
        </w:tc>
        <w:tc>
          <w:tcPr>
            <w:tcW w:w="1335" w:type="dxa"/>
            <w:vAlign w:val="center"/>
          </w:tcPr>
          <w:p w14:paraId="7DD9E9C1" w14:textId="381E6F96" w:rsidR="006771BA" w:rsidRDefault="006771BA" w:rsidP="00943B19">
            <w:pPr>
              <w:spacing w:line="360" w:lineRule="auto"/>
            </w:pPr>
            <w:r>
              <w:rPr>
                <w:b/>
                <w:bCs/>
              </w:rPr>
              <w:t>Formula</w:t>
            </w:r>
          </w:p>
        </w:tc>
        <w:tc>
          <w:tcPr>
            <w:tcW w:w="1336" w:type="dxa"/>
            <w:vAlign w:val="center"/>
          </w:tcPr>
          <w:p w14:paraId="2BE984BB" w14:textId="02AB9700" w:rsidR="006771BA" w:rsidRDefault="006771BA" w:rsidP="00943B19">
            <w:pPr>
              <w:spacing w:line="360" w:lineRule="auto"/>
            </w:pPr>
            <w:r>
              <w:rPr>
                <w:b/>
                <w:bCs/>
              </w:rPr>
              <w:t>2020</w:t>
            </w:r>
          </w:p>
        </w:tc>
        <w:tc>
          <w:tcPr>
            <w:tcW w:w="1336" w:type="dxa"/>
            <w:vAlign w:val="center"/>
          </w:tcPr>
          <w:p w14:paraId="3895B7E6" w14:textId="0BCC95BF" w:rsidR="006771BA" w:rsidRDefault="006771BA" w:rsidP="00943B19">
            <w:pPr>
              <w:spacing w:line="360" w:lineRule="auto"/>
            </w:pPr>
            <w:r>
              <w:rPr>
                <w:b/>
                <w:bCs/>
              </w:rPr>
              <w:t>2021</w:t>
            </w:r>
          </w:p>
        </w:tc>
        <w:tc>
          <w:tcPr>
            <w:tcW w:w="1336" w:type="dxa"/>
            <w:vAlign w:val="center"/>
          </w:tcPr>
          <w:p w14:paraId="62BCD4B5" w14:textId="42998373" w:rsidR="006771BA" w:rsidRDefault="006771BA" w:rsidP="00943B19">
            <w:pPr>
              <w:spacing w:line="360" w:lineRule="auto"/>
            </w:pPr>
            <w:r>
              <w:rPr>
                <w:b/>
                <w:bCs/>
              </w:rPr>
              <w:t>2022</w:t>
            </w:r>
          </w:p>
        </w:tc>
        <w:tc>
          <w:tcPr>
            <w:tcW w:w="1336" w:type="dxa"/>
            <w:vAlign w:val="center"/>
          </w:tcPr>
          <w:p w14:paraId="01392203" w14:textId="1654B30E" w:rsidR="006771BA" w:rsidRDefault="006771BA" w:rsidP="00943B19">
            <w:pPr>
              <w:spacing w:line="360" w:lineRule="auto"/>
            </w:pPr>
            <w:r>
              <w:rPr>
                <w:b/>
                <w:bCs/>
              </w:rPr>
              <w:t>2023</w:t>
            </w:r>
          </w:p>
        </w:tc>
        <w:tc>
          <w:tcPr>
            <w:tcW w:w="1336" w:type="dxa"/>
            <w:vAlign w:val="center"/>
          </w:tcPr>
          <w:p w14:paraId="07DA830B" w14:textId="4A65D3F0" w:rsidR="006771BA" w:rsidRDefault="006771BA" w:rsidP="00943B19">
            <w:pPr>
              <w:spacing w:line="360" w:lineRule="auto"/>
            </w:pPr>
            <w:r>
              <w:rPr>
                <w:b/>
                <w:bCs/>
              </w:rPr>
              <w:t>2024</w:t>
            </w:r>
          </w:p>
        </w:tc>
      </w:tr>
      <w:tr w:rsidR="006771BA" w14:paraId="1FD15ECA" w14:textId="77777777" w:rsidTr="00DC11E7">
        <w:tc>
          <w:tcPr>
            <w:tcW w:w="1335" w:type="dxa"/>
            <w:vAlign w:val="center"/>
          </w:tcPr>
          <w:p w14:paraId="49913D9D" w14:textId="3F806C57" w:rsidR="006771BA" w:rsidRDefault="006771BA" w:rsidP="00943B19">
            <w:pPr>
              <w:spacing w:line="360" w:lineRule="auto"/>
            </w:pPr>
            <w:r>
              <w:t>Current Ratio</w:t>
            </w:r>
          </w:p>
        </w:tc>
        <w:tc>
          <w:tcPr>
            <w:tcW w:w="1335" w:type="dxa"/>
            <w:vAlign w:val="center"/>
          </w:tcPr>
          <w:p w14:paraId="63F5993C" w14:textId="3CC90A64" w:rsidR="006771BA" w:rsidRDefault="006771BA" w:rsidP="00943B19">
            <w:pPr>
              <w:spacing w:line="360" w:lineRule="auto"/>
            </w:pPr>
            <w:r>
              <w:t>Current Assets / Current Liabilities</w:t>
            </w:r>
          </w:p>
        </w:tc>
        <w:tc>
          <w:tcPr>
            <w:tcW w:w="1336" w:type="dxa"/>
            <w:vAlign w:val="center"/>
          </w:tcPr>
          <w:p w14:paraId="60046D89" w14:textId="07A06E6E" w:rsidR="006771BA" w:rsidRDefault="006771BA" w:rsidP="00943B19">
            <w:pPr>
              <w:spacing w:line="360" w:lineRule="auto"/>
            </w:pPr>
            <w:r>
              <w:t>1.82</w:t>
            </w:r>
          </w:p>
        </w:tc>
        <w:tc>
          <w:tcPr>
            <w:tcW w:w="1336" w:type="dxa"/>
            <w:vAlign w:val="center"/>
          </w:tcPr>
          <w:p w14:paraId="24EAF956" w14:textId="30B92C1B" w:rsidR="006771BA" w:rsidRDefault="006771BA" w:rsidP="00943B19">
            <w:pPr>
              <w:spacing w:line="360" w:lineRule="auto"/>
            </w:pPr>
            <w:r>
              <w:t>1.55</w:t>
            </w:r>
          </w:p>
        </w:tc>
        <w:tc>
          <w:tcPr>
            <w:tcW w:w="1336" w:type="dxa"/>
            <w:vAlign w:val="center"/>
          </w:tcPr>
          <w:p w14:paraId="656C268A" w14:textId="4ADDDFD9" w:rsidR="006771BA" w:rsidRDefault="006771BA" w:rsidP="00943B19">
            <w:pPr>
              <w:spacing w:line="360" w:lineRule="auto"/>
            </w:pPr>
            <w:r>
              <w:t>1.56</w:t>
            </w:r>
          </w:p>
        </w:tc>
        <w:tc>
          <w:tcPr>
            <w:tcW w:w="1336" w:type="dxa"/>
            <w:vAlign w:val="center"/>
          </w:tcPr>
          <w:p w14:paraId="010F7539" w14:textId="3CE17215" w:rsidR="006771BA" w:rsidRDefault="006771BA" w:rsidP="00943B19">
            <w:pPr>
              <w:spacing w:line="360" w:lineRule="auto"/>
            </w:pPr>
            <w:r>
              <w:t>1.61</w:t>
            </w:r>
          </w:p>
        </w:tc>
        <w:tc>
          <w:tcPr>
            <w:tcW w:w="1336" w:type="dxa"/>
            <w:vAlign w:val="center"/>
          </w:tcPr>
          <w:p w14:paraId="4910AD33" w14:textId="2FE258D6" w:rsidR="006771BA" w:rsidRDefault="006771BA" w:rsidP="00943B19">
            <w:pPr>
              <w:spacing w:line="360" w:lineRule="auto"/>
            </w:pPr>
            <w:r>
              <w:t>1.53</w:t>
            </w:r>
          </w:p>
        </w:tc>
      </w:tr>
      <w:tr w:rsidR="006771BA" w14:paraId="1C633DC4" w14:textId="77777777" w:rsidTr="00DC11E7">
        <w:tc>
          <w:tcPr>
            <w:tcW w:w="1335" w:type="dxa"/>
            <w:vAlign w:val="center"/>
          </w:tcPr>
          <w:p w14:paraId="3E2E217B" w14:textId="1976CEFB" w:rsidR="006771BA" w:rsidRDefault="006771BA" w:rsidP="00943B19">
            <w:pPr>
              <w:spacing w:line="360" w:lineRule="auto"/>
            </w:pPr>
            <w:r>
              <w:t>Quick Ratio</w:t>
            </w:r>
          </w:p>
        </w:tc>
        <w:tc>
          <w:tcPr>
            <w:tcW w:w="1335" w:type="dxa"/>
            <w:vAlign w:val="center"/>
          </w:tcPr>
          <w:p w14:paraId="0AC74B12" w14:textId="7DEF205D" w:rsidR="006771BA" w:rsidRDefault="006771BA" w:rsidP="00943B19">
            <w:pPr>
              <w:spacing w:line="360" w:lineRule="auto"/>
            </w:pPr>
            <w:r>
              <w:t>(CA − Inventory) / CL</w:t>
            </w:r>
          </w:p>
        </w:tc>
        <w:tc>
          <w:tcPr>
            <w:tcW w:w="1336" w:type="dxa"/>
            <w:vAlign w:val="center"/>
          </w:tcPr>
          <w:p w14:paraId="1A97ADC9" w14:textId="59B97DEE" w:rsidR="006771BA" w:rsidRDefault="006771BA" w:rsidP="00943B19">
            <w:pPr>
              <w:spacing w:line="360" w:lineRule="auto"/>
            </w:pPr>
            <w:r>
              <w:t>1.15</w:t>
            </w:r>
          </w:p>
        </w:tc>
        <w:tc>
          <w:tcPr>
            <w:tcW w:w="1336" w:type="dxa"/>
            <w:vAlign w:val="center"/>
          </w:tcPr>
          <w:p w14:paraId="47F2ACFE" w14:textId="3C20EDE6" w:rsidR="006771BA" w:rsidRDefault="006771BA" w:rsidP="00943B19">
            <w:pPr>
              <w:spacing w:line="360" w:lineRule="auto"/>
            </w:pPr>
            <w:r>
              <w:t>0.93</w:t>
            </w:r>
          </w:p>
        </w:tc>
        <w:tc>
          <w:tcPr>
            <w:tcW w:w="1336" w:type="dxa"/>
            <w:vAlign w:val="center"/>
          </w:tcPr>
          <w:p w14:paraId="43E37639" w14:textId="5653739C" w:rsidR="006771BA" w:rsidRDefault="006771BA" w:rsidP="00943B19">
            <w:pPr>
              <w:spacing w:line="360" w:lineRule="auto"/>
            </w:pPr>
            <w:r>
              <w:t>0.91</w:t>
            </w:r>
          </w:p>
        </w:tc>
        <w:tc>
          <w:tcPr>
            <w:tcW w:w="1336" w:type="dxa"/>
            <w:vAlign w:val="center"/>
          </w:tcPr>
          <w:p w14:paraId="083B3C68" w14:textId="5A870674" w:rsidR="006771BA" w:rsidRDefault="006771BA" w:rsidP="00943B19">
            <w:pPr>
              <w:spacing w:line="360" w:lineRule="auto"/>
            </w:pPr>
            <w:r>
              <w:t>1.07</w:t>
            </w:r>
          </w:p>
        </w:tc>
        <w:tc>
          <w:tcPr>
            <w:tcW w:w="1336" w:type="dxa"/>
            <w:vAlign w:val="center"/>
          </w:tcPr>
          <w:p w14:paraId="63891122" w14:textId="090F87BB" w:rsidR="006771BA" w:rsidRDefault="006771BA" w:rsidP="00943B19">
            <w:pPr>
              <w:spacing w:line="360" w:lineRule="auto"/>
            </w:pPr>
            <w:r>
              <w:t>1.03</w:t>
            </w:r>
          </w:p>
        </w:tc>
      </w:tr>
      <w:tr w:rsidR="006771BA" w14:paraId="05CCD7A1" w14:textId="77777777" w:rsidTr="00DC11E7">
        <w:tc>
          <w:tcPr>
            <w:tcW w:w="1335" w:type="dxa"/>
            <w:vAlign w:val="center"/>
          </w:tcPr>
          <w:p w14:paraId="264537B6" w14:textId="33D6C084" w:rsidR="006771BA" w:rsidRDefault="006771BA" w:rsidP="00943B19">
            <w:pPr>
              <w:spacing w:line="360" w:lineRule="auto"/>
            </w:pPr>
            <w:r>
              <w:lastRenderedPageBreak/>
              <w:t>Cash Ratio</w:t>
            </w:r>
          </w:p>
        </w:tc>
        <w:tc>
          <w:tcPr>
            <w:tcW w:w="1335" w:type="dxa"/>
            <w:vAlign w:val="center"/>
          </w:tcPr>
          <w:p w14:paraId="4876FABD" w14:textId="50A4488A" w:rsidR="006771BA" w:rsidRDefault="006771BA" w:rsidP="00943B19">
            <w:pPr>
              <w:spacing w:line="360" w:lineRule="auto"/>
            </w:pPr>
            <w:r>
              <w:t>Cash &amp; Equivalents / Current Liabilities</w:t>
            </w:r>
          </w:p>
        </w:tc>
        <w:tc>
          <w:tcPr>
            <w:tcW w:w="1336" w:type="dxa"/>
            <w:vAlign w:val="center"/>
          </w:tcPr>
          <w:p w14:paraId="177DF24A" w14:textId="497FC600" w:rsidR="006771BA" w:rsidRDefault="006771BA" w:rsidP="00943B19">
            <w:pPr>
              <w:spacing w:line="360" w:lineRule="auto"/>
            </w:pPr>
            <w:r>
              <w:t>0.32</w:t>
            </w:r>
          </w:p>
        </w:tc>
        <w:tc>
          <w:tcPr>
            <w:tcW w:w="1336" w:type="dxa"/>
            <w:vAlign w:val="center"/>
          </w:tcPr>
          <w:p w14:paraId="55C4BB40" w14:textId="45DBCF1B" w:rsidR="006771BA" w:rsidRDefault="006771BA" w:rsidP="00943B19">
            <w:pPr>
              <w:spacing w:line="360" w:lineRule="auto"/>
            </w:pPr>
            <w:r>
              <w:t>0.28</w:t>
            </w:r>
          </w:p>
        </w:tc>
        <w:tc>
          <w:tcPr>
            <w:tcW w:w="1336" w:type="dxa"/>
            <w:vAlign w:val="center"/>
          </w:tcPr>
          <w:p w14:paraId="77507331" w14:textId="1CA5283C" w:rsidR="006771BA" w:rsidRDefault="006771BA" w:rsidP="00943B19">
            <w:pPr>
              <w:spacing w:line="360" w:lineRule="auto"/>
            </w:pPr>
            <w:r>
              <w:t>0.31</w:t>
            </w:r>
          </w:p>
        </w:tc>
        <w:tc>
          <w:tcPr>
            <w:tcW w:w="1336" w:type="dxa"/>
            <w:vAlign w:val="center"/>
          </w:tcPr>
          <w:p w14:paraId="6460230C" w14:textId="07054F15" w:rsidR="006771BA" w:rsidRDefault="006771BA" w:rsidP="00943B19">
            <w:pPr>
              <w:spacing w:line="360" w:lineRule="auto"/>
            </w:pPr>
            <w:r>
              <w:t>0.27</w:t>
            </w:r>
          </w:p>
        </w:tc>
        <w:tc>
          <w:tcPr>
            <w:tcW w:w="1336" w:type="dxa"/>
            <w:vAlign w:val="center"/>
          </w:tcPr>
          <w:p w14:paraId="572D7420" w14:textId="71B77E77" w:rsidR="006771BA" w:rsidRDefault="006771BA" w:rsidP="00943B19">
            <w:pPr>
              <w:spacing w:line="360" w:lineRule="auto"/>
            </w:pPr>
            <w:r>
              <w:t>0.17</w:t>
            </w:r>
          </w:p>
        </w:tc>
      </w:tr>
    </w:tbl>
    <w:p w14:paraId="0D1AB630" w14:textId="77777777" w:rsidR="001A4BEB" w:rsidRDefault="001A4BEB" w:rsidP="00943B19">
      <w:pPr>
        <w:spacing w:line="360" w:lineRule="auto"/>
      </w:pPr>
    </w:p>
    <w:p w14:paraId="4D4FD239" w14:textId="4DB25ABE" w:rsidR="006771BA" w:rsidRPr="004D0EFA" w:rsidRDefault="004D0EFA" w:rsidP="00943B19">
      <w:pPr>
        <w:spacing w:line="360" w:lineRule="auto"/>
        <w:rPr>
          <w:b/>
          <w:bCs/>
        </w:rPr>
      </w:pPr>
      <w:r w:rsidRPr="004D0EFA">
        <w:rPr>
          <w:b/>
          <w:bCs/>
        </w:rPr>
        <w:t>A3. Efficiency Ratios</w:t>
      </w:r>
    </w:p>
    <w:tbl>
      <w:tblPr>
        <w:tblStyle w:val="TableGrid"/>
        <w:tblW w:w="0" w:type="auto"/>
        <w:tblLook w:val="04A0" w:firstRow="1" w:lastRow="0" w:firstColumn="1" w:lastColumn="0" w:noHBand="0" w:noVBand="1"/>
      </w:tblPr>
      <w:tblGrid>
        <w:gridCol w:w="1376"/>
        <w:gridCol w:w="1456"/>
        <w:gridCol w:w="1303"/>
        <w:gridCol w:w="1303"/>
        <w:gridCol w:w="1304"/>
        <w:gridCol w:w="1304"/>
        <w:gridCol w:w="1304"/>
      </w:tblGrid>
      <w:tr w:rsidR="004D0EFA" w14:paraId="26749195" w14:textId="77777777" w:rsidTr="008C6B52">
        <w:tc>
          <w:tcPr>
            <w:tcW w:w="1335" w:type="dxa"/>
            <w:vAlign w:val="center"/>
          </w:tcPr>
          <w:p w14:paraId="2067DE5C" w14:textId="022D4D5C" w:rsidR="004D0EFA" w:rsidRDefault="004D0EFA" w:rsidP="00943B19">
            <w:pPr>
              <w:spacing w:line="360" w:lineRule="auto"/>
            </w:pPr>
            <w:r>
              <w:rPr>
                <w:b/>
                <w:bCs/>
              </w:rPr>
              <w:t>Ratio</w:t>
            </w:r>
          </w:p>
        </w:tc>
        <w:tc>
          <w:tcPr>
            <w:tcW w:w="1335" w:type="dxa"/>
            <w:vAlign w:val="center"/>
          </w:tcPr>
          <w:p w14:paraId="4BCA425E" w14:textId="1EFD6890" w:rsidR="004D0EFA" w:rsidRDefault="004D0EFA" w:rsidP="00943B19">
            <w:pPr>
              <w:spacing w:line="360" w:lineRule="auto"/>
            </w:pPr>
            <w:r>
              <w:rPr>
                <w:b/>
                <w:bCs/>
              </w:rPr>
              <w:t>Formula</w:t>
            </w:r>
          </w:p>
        </w:tc>
        <w:tc>
          <w:tcPr>
            <w:tcW w:w="1336" w:type="dxa"/>
            <w:vAlign w:val="center"/>
          </w:tcPr>
          <w:p w14:paraId="2960ECE9" w14:textId="7AA1213F" w:rsidR="004D0EFA" w:rsidRDefault="004D0EFA" w:rsidP="00943B19">
            <w:pPr>
              <w:spacing w:line="360" w:lineRule="auto"/>
            </w:pPr>
            <w:r>
              <w:rPr>
                <w:b/>
                <w:bCs/>
              </w:rPr>
              <w:t>2020</w:t>
            </w:r>
          </w:p>
        </w:tc>
        <w:tc>
          <w:tcPr>
            <w:tcW w:w="1336" w:type="dxa"/>
            <w:vAlign w:val="center"/>
          </w:tcPr>
          <w:p w14:paraId="066D7B8B" w14:textId="128562EE" w:rsidR="004D0EFA" w:rsidRDefault="004D0EFA" w:rsidP="00943B19">
            <w:pPr>
              <w:spacing w:line="360" w:lineRule="auto"/>
            </w:pPr>
            <w:r>
              <w:rPr>
                <w:b/>
                <w:bCs/>
              </w:rPr>
              <w:t>2021</w:t>
            </w:r>
          </w:p>
        </w:tc>
        <w:tc>
          <w:tcPr>
            <w:tcW w:w="1336" w:type="dxa"/>
            <w:vAlign w:val="center"/>
          </w:tcPr>
          <w:p w14:paraId="31292F41" w14:textId="2230ED73" w:rsidR="004D0EFA" w:rsidRDefault="004D0EFA" w:rsidP="00943B19">
            <w:pPr>
              <w:spacing w:line="360" w:lineRule="auto"/>
            </w:pPr>
            <w:r>
              <w:rPr>
                <w:b/>
                <w:bCs/>
              </w:rPr>
              <w:t>2022</w:t>
            </w:r>
          </w:p>
        </w:tc>
        <w:tc>
          <w:tcPr>
            <w:tcW w:w="1336" w:type="dxa"/>
            <w:vAlign w:val="center"/>
          </w:tcPr>
          <w:p w14:paraId="1406AD74" w14:textId="4A1215F7" w:rsidR="004D0EFA" w:rsidRDefault="004D0EFA" w:rsidP="00943B19">
            <w:pPr>
              <w:spacing w:line="360" w:lineRule="auto"/>
            </w:pPr>
            <w:r>
              <w:rPr>
                <w:b/>
                <w:bCs/>
              </w:rPr>
              <w:t>2023</w:t>
            </w:r>
          </w:p>
        </w:tc>
        <w:tc>
          <w:tcPr>
            <w:tcW w:w="1336" w:type="dxa"/>
            <w:vAlign w:val="center"/>
          </w:tcPr>
          <w:p w14:paraId="5F38F0A3" w14:textId="32E17F9F" w:rsidR="004D0EFA" w:rsidRDefault="004D0EFA" w:rsidP="00943B19">
            <w:pPr>
              <w:spacing w:line="360" w:lineRule="auto"/>
            </w:pPr>
            <w:r>
              <w:rPr>
                <w:b/>
                <w:bCs/>
              </w:rPr>
              <w:t>2024</w:t>
            </w:r>
          </w:p>
        </w:tc>
      </w:tr>
      <w:tr w:rsidR="004D0EFA" w14:paraId="2B5D88DD" w14:textId="77777777" w:rsidTr="008C6B52">
        <w:tc>
          <w:tcPr>
            <w:tcW w:w="1335" w:type="dxa"/>
            <w:vAlign w:val="center"/>
          </w:tcPr>
          <w:p w14:paraId="6101B7FA" w14:textId="0FE9B6E7" w:rsidR="004D0EFA" w:rsidRDefault="004D0EFA" w:rsidP="00943B19">
            <w:pPr>
              <w:spacing w:line="360" w:lineRule="auto"/>
            </w:pPr>
            <w:r>
              <w:t>Inventory Turnover (times)</w:t>
            </w:r>
          </w:p>
        </w:tc>
        <w:tc>
          <w:tcPr>
            <w:tcW w:w="1335" w:type="dxa"/>
            <w:vAlign w:val="center"/>
          </w:tcPr>
          <w:p w14:paraId="19FBCA2A" w14:textId="141A81FB" w:rsidR="004D0EFA" w:rsidRDefault="004D0EFA" w:rsidP="00943B19">
            <w:pPr>
              <w:spacing w:line="360" w:lineRule="auto"/>
            </w:pPr>
            <w:r>
              <w:t>Cost of Sales / Inventory</w:t>
            </w:r>
          </w:p>
        </w:tc>
        <w:tc>
          <w:tcPr>
            <w:tcW w:w="1336" w:type="dxa"/>
            <w:vAlign w:val="center"/>
          </w:tcPr>
          <w:p w14:paraId="6B8766A7" w14:textId="57F9274A" w:rsidR="004D0EFA" w:rsidRDefault="004D0EFA" w:rsidP="00943B19">
            <w:pPr>
              <w:spacing w:line="360" w:lineRule="auto"/>
            </w:pPr>
            <w:r>
              <w:t>3.64</w:t>
            </w:r>
          </w:p>
        </w:tc>
        <w:tc>
          <w:tcPr>
            <w:tcW w:w="1336" w:type="dxa"/>
            <w:vAlign w:val="center"/>
          </w:tcPr>
          <w:p w14:paraId="4479F3C1" w14:textId="0C652910" w:rsidR="004D0EFA" w:rsidRDefault="004D0EFA" w:rsidP="00943B19">
            <w:pPr>
              <w:spacing w:line="360" w:lineRule="auto"/>
            </w:pPr>
            <w:r>
              <w:t>3.19</w:t>
            </w:r>
          </w:p>
        </w:tc>
        <w:tc>
          <w:tcPr>
            <w:tcW w:w="1336" w:type="dxa"/>
            <w:vAlign w:val="center"/>
          </w:tcPr>
          <w:p w14:paraId="1588F9EC" w14:textId="1FE502DC" w:rsidR="004D0EFA" w:rsidRDefault="004D0EFA" w:rsidP="00943B19">
            <w:pPr>
              <w:spacing w:line="360" w:lineRule="auto"/>
            </w:pPr>
            <w:r>
              <w:t>2.79</w:t>
            </w:r>
          </w:p>
        </w:tc>
        <w:tc>
          <w:tcPr>
            <w:tcW w:w="1336" w:type="dxa"/>
            <w:vAlign w:val="center"/>
          </w:tcPr>
          <w:p w14:paraId="42E89F29" w14:textId="2FAB86AB" w:rsidR="004D0EFA" w:rsidRDefault="004D0EFA" w:rsidP="00943B19">
            <w:pPr>
              <w:spacing w:line="360" w:lineRule="auto"/>
            </w:pPr>
            <w:r>
              <w:t>3.66</w:t>
            </w:r>
          </w:p>
        </w:tc>
        <w:tc>
          <w:tcPr>
            <w:tcW w:w="1336" w:type="dxa"/>
            <w:vAlign w:val="center"/>
          </w:tcPr>
          <w:p w14:paraId="712ECC39" w14:textId="625A124E" w:rsidR="004D0EFA" w:rsidRDefault="004D0EFA" w:rsidP="00943B19">
            <w:pPr>
              <w:spacing w:line="360" w:lineRule="auto"/>
            </w:pPr>
            <w:r>
              <w:t>3.54</w:t>
            </w:r>
          </w:p>
        </w:tc>
      </w:tr>
      <w:tr w:rsidR="004D0EFA" w14:paraId="6361B9E0" w14:textId="77777777" w:rsidTr="008C6B52">
        <w:tc>
          <w:tcPr>
            <w:tcW w:w="1335" w:type="dxa"/>
            <w:vAlign w:val="center"/>
          </w:tcPr>
          <w:p w14:paraId="3E585E54" w14:textId="347D1F6A" w:rsidR="004D0EFA" w:rsidRDefault="004D0EFA" w:rsidP="00943B19">
            <w:pPr>
              <w:spacing w:line="360" w:lineRule="auto"/>
            </w:pPr>
            <w:r>
              <w:t>Receivables Collection Period (days)</w:t>
            </w:r>
          </w:p>
        </w:tc>
        <w:tc>
          <w:tcPr>
            <w:tcW w:w="1335" w:type="dxa"/>
            <w:vAlign w:val="center"/>
          </w:tcPr>
          <w:p w14:paraId="5F278066" w14:textId="3F2B009F" w:rsidR="004D0EFA" w:rsidRDefault="004D0EFA" w:rsidP="00943B19">
            <w:pPr>
              <w:spacing w:line="360" w:lineRule="auto"/>
            </w:pPr>
            <w:r>
              <w:t>(Receivables / Sales) × 365</w:t>
            </w:r>
          </w:p>
        </w:tc>
        <w:tc>
          <w:tcPr>
            <w:tcW w:w="1336" w:type="dxa"/>
            <w:vAlign w:val="center"/>
          </w:tcPr>
          <w:p w14:paraId="0975B8A0" w14:textId="6FC3A8CE" w:rsidR="004D0EFA" w:rsidRDefault="004D0EFA" w:rsidP="00943B19">
            <w:pPr>
              <w:spacing w:line="360" w:lineRule="auto"/>
            </w:pPr>
            <w:r>
              <w:t>77</w:t>
            </w:r>
          </w:p>
        </w:tc>
        <w:tc>
          <w:tcPr>
            <w:tcW w:w="1336" w:type="dxa"/>
            <w:vAlign w:val="center"/>
          </w:tcPr>
          <w:p w14:paraId="0438975D" w14:textId="402FC6E5" w:rsidR="004D0EFA" w:rsidRDefault="004D0EFA" w:rsidP="00943B19">
            <w:pPr>
              <w:spacing w:line="360" w:lineRule="auto"/>
            </w:pPr>
            <w:r>
              <w:t>78</w:t>
            </w:r>
          </w:p>
        </w:tc>
        <w:tc>
          <w:tcPr>
            <w:tcW w:w="1336" w:type="dxa"/>
            <w:vAlign w:val="center"/>
          </w:tcPr>
          <w:p w14:paraId="0A1377F8" w14:textId="03EE13F0" w:rsidR="004D0EFA" w:rsidRDefault="004D0EFA" w:rsidP="00943B19">
            <w:pPr>
              <w:spacing w:line="360" w:lineRule="auto"/>
            </w:pPr>
            <w:r>
              <w:t>76</w:t>
            </w:r>
          </w:p>
        </w:tc>
        <w:tc>
          <w:tcPr>
            <w:tcW w:w="1336" w:type="dxa"/>
            <w:vAlign w:val="center"/>
          </w:tcPr>
          <w:p w14:paraId="27EE2CE0" w14:textId="5F7FA25F" w:rsidR="004D0EFA" w:rsidRDefault="004D0EFA" w:rsidP="00943B19">
            <w:pPr>
              <w:spacing w:line="360" w:lineRule="auto"/>
            </w:pPr>
            <w:r>
              <w:t>98</w:t>
            </w:r>
          </w:p>
        </w:tc>
        <w:tc>
          <w:tcPr>
            <w:tcW w:w="1336" w:type="dxa"/>
            <w:vAlign w:val="center"/>
          </w:tcPr>
          <w:p w14:paraId="773C67A9" w14:textId="3E84FB97" w:rsidR="004D0EFA" w:rsidRDefault="004D0EFA" w:rsidP="00943B19">
            <w:pPr>
              <w:spacing w:line="360" w:lineRule="auto"/>
            </w:pPr>
            <w:r>
              <w:t>106</w:t>
            </w:r>
          </w:p>
        </w:tc>
      </w:tr>
      <w:tr w:rsidR="004D0EFA" w14:paraId="20EF976D" w14:textId="77777777" w:rsidTr="008C6B52">
        <w:tc>
          <w:tcPr>
            <w:tcW w:w="1335" w:type="dxa"/>
            <w:vAlign w:val="center"/>
          </w:tcPr>
          <w:p w14:paraId="3724AD67" w14:textId="0EB4AAF9" w:rsidR="004D0EFA" w:rsidRDefault="004D0EFA" w:rsidP="00943B19">
            <w:pPr>
              <w:spacing w:line="360" w:lineRule="auto"/>
            </w:pPr>
            <w:r>
              <w:t>Payables Payment Period (days)</w:t>
            </w:r>
          </w:p>
        </w:tc>
        <w:tc>
          <w:tcPr>
            <w:tcW w:w="1335" w:type="dxa"/>
            <w:vAlign w:val="center"/>
          </w:tcPr>
          <w:p w14:paraId="151D18E5" w14:textId="440FC123" w:rsidR="004D0EFA" w:rsidRDefault="004D0EFA" w:rsidP="00943B19">
            <w:pPr>
              <w:spacing w:line="360" w:lineRule="auto"/>
            </w:pPr>
            <w:r>
              <w:t>(Payables / COS) × 365</w:t>
            </w:r>
          </w:p>
        </w:tc>
        <w:tc>
          <w:tcPr>
            <w:tcW w:w="1336" w:type="dxa"/>
            <w:vAlign w:val="center"/>
          </w:tcPr>
          <w:p w14:paraId="1850BFD1" w14:textId="2B713BC6" w:rsidR="004D0EFA" w:rsidRDefault="004D0EFA" w:rsidP="00943B19">
            <w:pPr>
              <w:spacing w:line="360" w:lineRule="auto"/>
            </w:pPr>
            <w:r>
              <w:t>69</w:t>
            </w:r>
          </w:p>
        </w:tc>
        <w:tc>
          <w:tcPr>
            <w:tcW w:w="1336" w:type="dxa"/>
            <w:vAlign w:val="center"/>
          </w:tcPr>
          <w:p w14:paraId="6CDB785C" w14:textId="320EEF86" w:rsidR="004D0EFA" w:rsidRDefault="004D0EFA" w:rsidP="00943B19">
            <w:pPr>
              <w:spacing w:line="360" w:lineRule="auto"/>
            </w:pPr>
            <w:r>
              <w:t>79</w:t>
            </w:r>
          </w:p>
        </w:tc>
        <w:tc>
          <w:tcPr>
            <w:tcW w:w="1336" w:type="dxa"/>
            <w:vAlign w:val="center"/>
          </w:tcPr>
          <w:p w14:paraId="3AA54D8B" w14:textId="0207C44C" w:rsidR="004D0EFA" w:rsidRDefault="004D0EFA" w:rsidP="00943B19">
            <w:pPr>
              <w:spacing w:line="360" w:lineRule="auto"/>
            </w:pPr>
            <w:r>
              <w:t>67</w:t>
            </w:r>
          </w:p>
        </w:tc>
        <w:tc>
          <w:tcPr>
            <w:tcW w:w="1336" w:type="dxa"/>
            <w:vAlign w:val="center"/>
          </w:tcPr>
          <w:p w14:paraId="729CAB87" w14:textId="7F023833" w:rsidR="004D0EFA" w:rsidRDefault="004D0EFA" w:rsidP="00943B19">
            <w:pPr>
              <w:spacing w:line="360" w:lineRule="auto"/>
            </w:pPr>
            <w:r>
              <w:t>65</w:t>
            </w:r>
          </w:p>
        </w:tc>
        <w:tc>
          <w:tcPr>
            <w:tcW w:w="1336" w:type="dxa"/>
            <w:vAlign w:val="center"/>
          </w:tcPr>
          <w:p w14:paraId="7F6D58AB" w14:textId="1332FD42" w:rsidR="004D0EFA" w:rsidRDefault="004D0EFA" w:rsidP="00943B19">
            <w:pPr>
              <w:spacing w:line="360" w:lineRule="auto"/>
            </w:pPr>
            <w:r>
              <w:t>94</w:t>
            </w:r>
          </w:p>
        </w:tc>
      </w:tr>
    </w:tbl>
    <w:p w14:paraId="14161368" w14:textId="0DF6939F" w:rsidR="004D0EFA" w:rsidRDefault="004D0EFA" w:rsidP="00943B19">
      <w:pPr>
        <w:spacing w:line="360" w:lineRule="auto"/>
      </w:pPr>
    </w:p>
    <w:p w14:paraId="497133CC" w14:textId="20EE4F6D" w:rsidR="004D0EFA" w:rsidRPr="004D0EFA" w:rsidRDefault="004D0EFA" w:rsidP="00943B19">
      <w:pPr>
        <w:spacing w:line="360" w:lineRule="auto"/>
        <w:rPr>
          <w:b/>
          <w:bCs/>
        </w:rPr>
      </w:pPr>
      <w:r w:rsidRPr="004D0EFA">
        <w:rPr>
          <w:b/>
          <w:bCs/>
        </w:rPr>
        <w:t>A4. Gearing and Solvency Ratios</w:t>
      </w: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F83133" w14:paraId="776CE834" w14:textId="77777777" w:rsidTr="00134E9C">
        <w:tc>
          <w:tcPr>
            <w:tcW w:w="1335" w:type="dxa"/>
            <w:vAlign w:val="center"/>
          </w:tcPr>
          <w:p w14:paraId="589B4255" w14:textId="08BEBA69" w:rsidR="00F83133" w:rsidRDefault="00F83133" w:rsidP="00943B19">
            <w:pPr>
              <w:spacing w:line="360" w:lineRule="auto"/>
            </w:pPr>
            <w:r>
              <w:rPr>
                <w:b/>
                <w:bCs/>
              </w:rPr>
              <w:t>Ratio</w:t>
            </w:r>
          </w:p>
        </w:tc>
        <w:tc>
          <w:tcPr>
            <w:tcW w:w="1335" w:type="dxa"/>
            <w:vAlign w:val="center"/>
          </w:tcPr>
          <w:p w14:paraId="574C8FBE" w14:textId="1802164E" w:rsidR="00F83133" w:rsidRDefault="00F83133" w:rsidP="00943B19">
            <w:pPr>
              <w:spacing w:line="360" w:lineRule="auto"/>
            </w:pPr>
            <w:r>
              <w:rPr>
                <w:b/>
                <w:bCs/>
              </w:rPr>
              <w:t>Formula</w:t>
            </w:r>
          </w:p>
        </w:tc>
        <w:tc>
          <w:tcPr>
            <w:tcW w:w="1336" w:type="dxa"/>
            <w:vAlign w:val="center"/>
          </w:tcPr>
          <w:p w14:paraId="2F335633" w14:textId="231E5EBE" w:rsidR="00F83133" w:rsidRDefault="00F83133" w:rsidP="00943B19">
            <w:pPr>
              <w:spacing w:line="360" w:lineRule="auto"/>
            </w:pPr>
            <w:r>
              <w:rPr>
                <w:b/>
                <w:bCs/>
              </w:rPr>
              <w:t>2020</w:t>
            </w:r>
          </w:p>
        </w:tc>
        <w:tc>
          <w:tcPr>
            <w:tcW w:w="1336" w:type="dxa"/>
            <w:vAlign w:val="center"/>
          </w:tcPr>
          <w:p w14:paraId="5F7EA4C3" w14:textId="5F255F89" w:rsidR="00F83133" w:rsidRDefault="00F83133" w:rsidP="00943B19">
            <w:pPr>
              <w:spacing w:line="360" w:lineRule="auto"/>
            </w:pPr>
            <w:r>
              <w:rPr>
                <w:b/>
                <w:bCs/>
              </w:rPr>
              <w:t>2021</w:t>
            </w:r>
          </w:p>
        </w:tc>
        <w:tc>
          <w:tcPr>
            <w:tcW w:w="1336" w:type="dxa"/>
            <w:vAlign w:val="center"/>
          </w:tcPr>
          <w:p w14:paraId="1883BC90" w14:textId="37CEF3AC" w:rsidR="00F83133" w:rsidRDefault="00F83133" w:rsidP="00943B19">
            <w:pPr>
              <w:spacing w:line="360" w:lineRule="auto"/>
            </w:pPr>
            <w:r>
              <w:rPr>
                <w:b/>
                <w:bCs/>
              </w:rPr>
              <w:t>2022</w:t>
            </w:r>
          </w:p>
        </w:tc>
        <w:tc>
          <w:tcPr>
            <w:tcW w:w="1336" w:type="dxa"/>
            <w:vAlign w:val="center"/>
          </w:tcPr>
          <w:p w14:paraId="10E58D1F" w14:textId="1966CC5A" w:rsidR="00F83133" w:rsidRDefault="00F83133" w:rsidP="00943B19">
            <w:pPr>
              <w:spacing w:line="360" w:lineRule="auto"/>
            </w:pPr>
            <w:r>
              <w:rPr>
                <w:b/>
                <w:bCs/>
              </w:rPr>
              <w:t>2023</w:t>
            </w:r>
          </w:p>
        </w:tc>
        <w:tc>
          <w:tcPr>
            <w:tcW w:w="1336" w:type="dxa"/>
            <w:vAlign w:val="center"/>
          </w:tcPr>
          <w:p w14:paraId="5163A990" w14:textId="17BA5B62" w:rsidR="00F83133" w:rsidRDefault="00F83133" w:rsidP="00943B19">
            <w:pPr>
              <w:spacing w:line="360" w:lineRule="auto"/>
            </w:pPr>
            <w:r>
              <w:rPr>
                <w:b/>
                <w:bCs/>
              </w:rPr>
              <w:t>2024</w:t>
            </w:r>
          </w:p>
        </w:tc>
      </w:tr>
      <w:tr w:rsidR="00F83133" w14:paraId="3640754C" w14:textId="77777777" w:rsidTr="00134E9C">
        <w:tc>
          <w:tcPr>
            <w:tcW w:w="1335" w:type="dxa"/>
            <w:vAlign w:val="center"/>
          </w:tcPr>
          <w:p w14:paraId="28150C80" w14:textId="63508B67" w:rsidR="00F83133" w:rsidRDefault="00F83133" w:rsidP="00943B19">
            <w:pPr>
              <w:spacing w:line="360" w:lineRule="auto"/>
            </w:pPr>
            <w:r>
              <w:t>Debt-to-Equity Ratio</w:t>
            </w:r>
          </w:p>
        </w:tc>
        <w:tc>
          <w:tcPr>
            <w:tcW w:w="1335" w:type="dxa"/>
            <w:vAlign w:val="center"/>
          </w:tcPr>
          <w:p w14:paraId="4A8D5CD9" w14:textId="2400CF3A" w:rsidR="00F83133" w:rsidRDefault="00F83133" w:rsidP="00943B19">
            <w:pPr>
              <w:spacing w:line="360" w:lineRule="auto"/>
            </w:pPr>
            <w:r>
              <w:t>Total Liabilities / Equity</w:t>
            </w:r>
          </w:p>
        </w:tc>
        <w:tc>
          <w:tcPr>
            <w:tcW w:w="1336" w:type="dxa"/>
            <w:vAlign w:val="center"/>
          </w:tcPr>
          <w:p w14:paraId="2C2FBC36" w14:textId="4E1AB19F" w:rsidR="00F83133" w:rsidRDefault="00F83133" w:rsidP="00943B19">
            <w:pPr>
              <w:spacing w:line="360" w:lineRule="auto"/>
            </w:pPr>
            <w:r>
              <w:t>0.63</w:t>
            </w:r>
          </w:p>
        </w:tc>
        <w:tc>
          <w:tcPr>
            <w:tcW w:w="1336" w:type="dxa"/>
            <w:vAlign w:val="center"/>
          </w:tcPr>
          <w:p w14:paraId="3E54331E" w14:textId="711CFA86" w:rsidR="00F83133" w:rsidRDefault="00F83133" w:rsidP="00943B19">
            <w:pPr>
              <w:spacing w:line="360" w:lineRule="auto"/>
            </w:pPr>
            <w:r>
              <w:t>0.85</w:t>
            </w:r>
          </w:p>
        </w:tc>
        <w:tc>
          <w:tcPr>
            <w:tcW w:w="1336" w:type="dxa"/>
            <w:vAlign w:val="center"/>
          </w:tcPr>
          <w:p w14:paraId="3F39D506" w14:textId="7FC3D7BE" w:rsidR="00F83133" w:rsidRDefault="00F83133" w:rsidP="00943B19">
            <w:pPr>
              <w:spacing w:line="360" w:lineRule="auto"/>
            </w:pPr>
            <w:r>
              <w:t>0.88</w:t>
            </w:r>
          </w:p>
        </w:tc>
        <w:tc>
          <w:tcPr>
            <w:tcW w:w="1336" w:type="dxa"/>
            <w:vAlign w:val="center"/>
          </w:tcPr>
          <w:p w14:paraId="28AE19D4" w14:textId="173897FA" w:rsidR="00F83133" w:rsidRDefault="00F83133" w:rsidP="00943B19">
            <w:pPr>
              <w:spacing w:line="360" w:lineRule="auto"/>
            </w:pPr>
            <w:r>
              <w:t>0.99</w:t>
            </w:r>
          </w:p>
        </w:tc>
        <w:tc>
          <w:tcPr>
            <w:tcW w:w="1336" w:type="dxa"/>
            <w:vAlign w:val="center"/>
          </w:tcPr>
          <w:p w14:paraId="3A219AE7" w14:textId="712B0059" w:rsidR="00F83133" w:rsidRDefault="00F83133" w:rsidP="00943B19">
            <w:pPr>
              <w:spacing w:line="360" w:lineRule="auto"/>
            </w:pPr>
            <w:r>
              <w:t>1.11</w:t>
            </w:r>
          </w:p>
        </w:tc>
      </w:tr>
      <w:tr w:rsidR="00F83133" w14:paraId="53698480" w14:textId="77777777" w:rsidTr="00134E9C">
        <w:tc>
          <w:tcPr>
            <w:tcW w:w="1335" w:type="dxa"/>
            <w:vAlign w:val="center"/>
          </w:tcPr>
          <w:p w14:paraId="61E0B53B" w14:textId="19B94ED2" w:rsidR="00F83133" w:rsidRDefault="00F83133" w:rsidP="00943B19">
            <w:pPr>
              <w:spacing w:line="360" w:lineRule="auto"/>
            </w:pPr>
            <w:r>
              <w:t>Interest Coverage Ratio</w:t>
            </w:r>
          </w:p>
        </w:tc>
        <w:tc>
          <w:tcPr>
            <w:tcW w:w="1335" w:type="dxa"/>
            <w:vAlign w:val="center"/>
          </w:tcPr>
          <w:p w14:paraId="0495835C" w14:textId="751184C2" w:rsidR="00F83133" w:rsidRDefault="00F83133" w:rsidP="00943B19">
            <w:pPr>
              <w:spacing w:line="360" w:lineRule="auto"/>
            </w:pPr>
            <w:r>
              <w:t>EBIT / Interest Expense</w:t>
            </w:r>
          </w:p>
        </w:tc>
        <w:tc>
          <w:tcPr>
            <w:tcW w:w="1336" w:type="dxa"/>
            <w:vAlign w:val="center"/>
          </w:tcPr>
          <w:p w14:paraId="76DD1B9D" w14:textId="3C1F08B4" w:rsidR="00F83133" w:rsidRDefault="00F83133" w:rsidP="00943B19">
            <w:pPr>
              <w:spacing w:line="360" w:lineRule="auto"/>
            </w:pPr>
            <w:r>
              <w:t>26.2</w:t>
            </w:r>
          </w:p>
        </w:tc>
        <w:tc>
          <w:tcPr>
            <w:tcW w:w="1336" w:type="dxa"/>
            <w:vAlign w:val="center"/>
          </w:tcPr>
          <w:p w14:paraId="1B7942E9" w14:textId="0D9DAF8B" w:rsidR="00F83133" w:rsidRDefault="00F83133" w:rsidP="00943B19">
            <w:pPr>
              <w:spacing w:line="360" w:lineRule="auto"/>
            </w:pPr>
            <w:r>
              <w:t>41.1</w:t>
            </w:r>
          </w:p>
        </w:tc>
        <w:tc>
          <w:tcPr>
            <w:tcW w:w="1336" w:type="dxa"/>
            <w:vAlign w:val="center"/>
          </w:tcPr>
          <w:p w14:paraId="16089547" w14:textId="75642C47" w:rsidR="00F83133" w:rsidRDefault="00F83133" w:rsidP="00943B19">
            <w:pPr>
              <w:spacing w:line="360" w:lineRule="auto"/>
            </w:pPr>
            <w:r>
              <w:t>6.6</w:t>
            </w:r>
          </w:p>
        </w:tc>
        <w:tc>
          <w:tcPr>
            <w:tcW w:w="1336" w:type="dxa"/>
            <w:vAlign w:val="center"/>
          </w:tcPr>
          <w:p w14:paraId="625373D9" w14:textId="1F039642" w:rsidR="00F83133" w:rsidRDefault="00F83133" w:rsidP="00943B19">
            <w:pPr>
              <w:spacing w:line="360" w:lineRule="auto"/>
            </w:pPr>
            <w:r>
              <w:t>-19.7</w:t>
            </w:r>
          </w:p>
        </w:tc>
        <w:tc>
          <w:tcPr>
            <w:tcW w:w="1336" w:type="dxa"/>
            <w:vAlign w:val="center"/>
          </w:tcPr>
          <w:p w14:paraId="3690285F" w14:textId="67A81C32" w:rsidR="00F83133" w:rsidRDefault="00F83133" w:rsidP="00943B19">
            <w:pPr>
              <w:spacing w:line="360" w:lineRule="auto"/>
            </w:pPr>
            <w:r>
              <w:t>-4.6</w:t>
            </w:r>
          </w:p>
        </w:tc>
      </w:tr>
    </w:tbl>
    <w:p w14:paraId="147FC8D3" w14:textId="77777777" w:rsidR="004D0EFA" w:rsidRDefault="004D0EFA" w:rsidP="00943B19">
      <w:pPr>
        <w:spacing w:line="360" w:lineRule="auto"/>
      </w:pPr>
    </w:p>
    <w:p w14:paraId="07295651" w14:textId="77777777" w:rsidR="000200FC" w:rsidRDefault="000200FC" w:rsidP="00943B19">
      <w:pPr>
        <w:spacing w:line="360" w:lineRule="auto"/>
      </w:pPr>
    </w:p>
    <w:p w14:paraId="790BD5E3" w14:textId="7C481B53" w:rsidR="00F83133" w:rsidRPr="00F83133" w:rsidRDefault="00F83133" w:rsidP="00943B19">
      <w:pPr>
        <w:spacing w:line="360" w:lineRule="auto"/>
        <w:rPr>
          <w:b/>
          <w:bCs/>
        </w:rPr>
      </w:pPr>
      <w:r w:rsidRPr="00F83133">
        <w:rPr>
          <w:b/>
          <w:bCs/>
        </w:rPr>
        <w:lastRenderedPageBreak/>
        <w:t>A5. Investment and Shareholder Ratios</w:t>
      </w: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F83133" w14:paraId="1A0BB7D4" w14:textId="77777777" w:rsidTr="00F67E60">
        <w:tc>
          <w:tcPr>
            <w:tcW w:w="1335" w:type="dxa"/>
            <w:vAlign w:val="center"/>
          </w:tcPr>
          <w:p w14:paraId="1250179E" w14:textId="0F8023F4" w:rsidR="00F83133" w:rsidRDefault="00F83133" w:rsidP="00943B19">
            <w:pPr>
              <w:spacing w:line="360" w:lineRule="auto"/>
            </w:pPr>
            <w:r>
              <w:rPr>
                <w:b/>
                <w:bCs/>
              </w:rPr>
              <w:t>Indicator</w:t>
            </w:r>
          </w:p>
        </w:tc>
        <w:tc>
          <w:tcPr>
            <w:tcW w:w="1335" w:type="dxa"/>
            <w:vAlign w:val="center"/>
          </w:tcPr>
          <w:p w14:paraId="25A6C6E4" w14:textId="41F00A1A" w:rsidR="00F83133" w:rsidRDefault="00F83133" w:rsidP="00943B19">
            <w:pPr>
              <w:spacing w:line="360" w:lineRule="auto"/>
            </w:pPr>
            <w:r>
              <w:rPr>
                <w:b/>
                <w:bCs/>
              </w:rPr>
              <w:t>2020</w:t>
            </w:r>
          </w:p>
        </w:tc>
        <w:tc>
          <w:tcPr>
            <w:tcW w:w="1336" w:type="dxa"/>
            <w:vAlign w:val="center"/>
          </w:tcPr>
          <w:p w14:paraId="0A28DF0A" w14:textId="30C065B5" w:rsidR="00F83133" w:rsidRDefault="00F83133" w:rsidP="00943B19">
            <w:pPr>
              <w:spacing w:line="360" w:lineRule="auto"/>
            </w:pPr>
            <w:r>
              <w:rPr>
                <w:b/>
                <w:bCs/>
              </w:rPr>
              <w:t>2021</w:t>
            </w:r>
          </w:p>
        </w:tc>
        <w:tc>
          <w:tcPr>
            <w:tcW w:w="1336" w:type="dxa"/>
            <w:vAlign w:val="center"/>
          </w:tcPr>
          <w:p w14:paraId="5D013DAD" w14:textId="600A978F" w:rsidR="00F83133" w:rsidRDefault="00F83133" w:rsidP="00943B19">
            <w:pPr>
              <w:spacing w:line="360" w:lineRule="auto"/>
            </w:pPr>
            <w:r>
              <w:rPr>
                <w:b/>
                <w:bCs/>
              </w:rPr>
              <w:t>2022</w:t>
            </w:r>
          </w:p>
        </w:tc>
        <w:tc>
          <w:tcPr>
            <w:tcW w:w="1336" w:type="dxa"/>
            <w:vAlign w:val="center"/>
          </w:tcPr>
          <w:p w14:paraId="13A7F4C9" w14:textId="11653BBE" w:rsidR="00F83133" w:rsidRDefault="00F83133" w:rsidP="00943B19">
            <w:pPr>
              <w:spacing w:line="360" w:lineRule="auto"/>
            </w:pPr>
            <w:r>
              <w:rPr>
                <w:b/>
                <w:bCs/>
              </w:rPr>
              <w:t>2023</w:t>
            </w:r>
          </w:p>
        </w:tc>
        <w:tc>
          <w:tcPr>
            <w:tcW w:w="1336" w:type="dxa"/>
            <w:vAlign w:val="center"/>
          </w:tcPr>
          <w:p w14:paraId="2D667BD1" w14:textId="73B1A5FC" w:rsidR="00F83133" w:rsidRDefault="00F83133" w:rsidP="00943B19">
            <w:pPr>
              <w:spacing w:line="360" w:lineRule="auto"/>
            </w:pPr>
            <w:r>
              <w:rPr>
                <w:b/>
                <w:bCs/>
              </w:rPr>
              <w:t>2024</w:t>
            </w:r>
          </w:p>
        </w:tc>
        <w:tc>
          <w:tcPr>
            <w:tcW w:w="1336" w:type="dxa"/>
            <w:vAlign w:val="center"/>
          </w:tcPr>
          <w:p w14:paraId="4FA8CEA0" w14:textId="6A19D08E" w:rsidR="00F83133" w:rsidRDefault="00F83133" w:rsidP="00943B19">
            <w:pPr>
              <w:spacing w:line="360" w:lineRule="auto"/>
            </w:pPr>
            <w:r>
              <w:rPr>
                <w:b/>
                <w:bCs/>
              </w:rPr>
              <w:t>Indicator</w:t>
            </w:r>
          </w:p>
        </w:tc>
      </w:tr>
      <w:tr w:rsidR="00F83133" w14:paraId="003B1DCD" w14:textId="77777777" w:rsidTr="00F67E60">
        <w:tc>
          <w:tcPr>
            <w:tcW w:w="1335" w:type="dxa"/>
            <w:vAlign w:val="center"/>
          </w:tcPr>
          <w:p w14:paraId="4E98027A" w14:textId="0139BD12" w:rsidR="00F83133" w:rsidRDefault="00F83133" w:rsidP="00943B19">
            <w:pPr>
              <w:spacing w:line="360" w:lineRule="auto"/>
            </w:pPr>
            <w:r>
              <w:t>Earnings Per Share (£)</w:t>
            </w:r>
          </w:p>
        </w:tc>
        <w:tc>
          <w:tcPr>
            <w:tcW w:w="1335" w:type="dxa"/>
            <w:vAlign w:val="center"/>
          </w:tcPr>
          <w:p w14:paraId="38A3E095" w14:textId="1F170D38" w:rsidR="00F83133" w:rsidRDefault="00F83133" w:rsidP="00943B19">
            <w:pPr>
              <w:spacing w:line="360" w:lineRule="auto"/>
            </w:pPr>
            <w:r>
              <w:t>2.78</w:t>
            </w:r>
          </w:p>
        </w:tc>
        <w:tc>
          <w:tcPr>
            <w:tcW w:w="1336" w:type="dxa"/>
            <w:vAlign w:val="center"/>
          </w:tcPr>
          <w:p w14:paraId="01EB7AF1" w14:textId="5262E13B" w:rsidR="00F83133" w:rsidRDefault="00F83133" w:rsidP="00943B19">
            <w:pPr>
              <w:spacing w:line="360" w:lineRule="auto"/>
            </w:pPr>
            <w:r>
              <w:t>0.39</w:t>
            </w:r>
          </w:p>
        </w:tc>
        <w:tc>
          <w:tcPr>
            <w:tcW w:w="1336" w:type="dxa"/>
            <w:vAlign w:val="center"/>
          </w:tcPr>
          <w:p w14:paraId="41D8159D" w14:textId="36676924" w:rsidR="00F83133" w:rsidRDefault="00F83133" w:rsidP="00943B19">
            <w:pPr>
              <w:spacing w:line="360" w:lineRule="auto"/>
            </w:pPr>
            <w:r>
              <w:t>0.03</w:t>
            </w:r>
          </w:p>
        </w:tc>
        <w:tc>
          <w:tcPr>
            <w:tcW w:w="1336" w:type="dxa"/>
            <w:vAlign w:val="center"/>
          </w:tcPr>
          <w:p w14:paraId="19C20C5E" w14:textId="38395E00" w:rsidR="00F83133" w:rsidRDefault="00F83133" w:rsidP="00943B19">
            <w:pPr>
              <w:spacing w:line="360" w:lineRule="auto"/>
            </w:pPr>
            <w:r>
              <w:t>-7.64</w:t>
            </w:r>
          </w:p>
        </w:tc>
        <w:tc>
          <w:tcPr>
            <w:tcW w:w="1336" w:type="dxa"/>
            <w:vAlign w:val="center"/>
          </w:tcPr>
          <w:p w14:paraId="446144F2" w14:textId="0BD7EA43" w:rsidR="00F83133" w:rsidRDefault="00F83133" w:rsidP="00943B19">
            <w:pPr>
              <w:spacing w:line="360" w:lineRule="auto"/>
            </w:pPr>
            <w:r>
              <w:t>-1.85</w:t>
            </w:r>
          </w:p>
        </w:tc>
        <w:tc>
          <w:tcPr>
            <w:tcW w:w="1336" w:type="dxa"/>
            <w:vAlign w:val="center"/>
          </w:tcPr>
          <w:p w14:paraId="629EC6BD" w14:textId="7B62CFC5" w:rsidR="00F83133" w:rsidRDefault="00F83133" w:rsidP="00943B19">
            <w:pPr>
              <w:spacing w:line="360" w:lineRule="auto"/>
            </w:pPr>
            <w:r>
              <w:t>Earnings Per Share (£)</w:t>
            </w:r>
          </w:p>
        </w:tc>
      </w:tr>
      <w:tr w:rsidR="00F83133" w14:paraId="6D225EF8" w14:textId="77777777" w:rsidTr="00F67E60">
        <w:tc>
          <w:tcPr>
            <w:tcW w:w="1335" w:type="dxa"/>
            <w:vAlign w:val="center"/>
          </w:tcPr>
          <w:p w14:paraId="76F2EC7A" w14:textId="7542D205" w:rsidR="00F83133" w:rsidRDefault="00F83133" w:rsidP="00943B19">
            <w:pPr>
              <w:spacing w:line="360" w:lineRule="auto"/>
            </w:pPr>
            <w:r>
              <w:t>Retained Earnings (£m)</w:t>
            </w:r>
          </w:p>
        </w:tc>
        <w:tc>
          <w:tcPr>
            <w:tcW w:w="1335" w:type="dxa"/>
            <w:vAlign w:val="center"/>
          </w:tcPr>
          <w:p w14:paraId="60670E90" w14:textId="1F80072C" w:rsidR="00F83133" w:rsidRDefault="00F83133" w:rsidP="00943B19">
            <w:pPr>
              <w:spacing w:line="360" w:lineRule="auto"/>
            </w:pPr>
            <w:r>
              <w:t>324,990</w:t>
            </w:r>
          </w:p>
        </w:tc>
        <w:tc>
          <w:tcPr>
            <w:tcW w:w="1336" w:type="dxa"/>
            <w:vAlign w:val="center"/>
          </w:tcPr>
          <w:p w14:paraId="6CA6977B" w14:textId="0D9FF87B" w:rsidR="00F83133" w:rsidRDefault="00F83133" w:rsidP="00943B19">
            <w:pPr>
              <w:spacing w:line="360" w:lineRule="auto"/>
            </w:pPr>
            <w:r>
              <w:t>330,291</w:t>
            </w:r>
          </w:p>
        </w:tc>
        <w:tc>
          <w:tcPr>
            <w:tcW w:w="1336" w:type="dxa"/>
            <w:vAlign w:val="center"/>
          </w:tcPr>
          <w:p w14:paraId="4E0E3C79" w14:textId="4D0C43D3" w:rsidR="00F83133" w:rsidRDefault="00F83133" w:rsidP="00943B19">
            <w:pPr>
              <w:spacing w:line="360" w:lineRule="auto"/>
            </w:pPr>
            <w:r>
              <w:t>330,698</w:t>
            </w:r>
          </w:p>
        </w:tc>
        <w:tc>
          <w:tcPr>
            <w:tcW w:w="1336" w:type="dxa"/>
            <w:vAlign w:val="center"/>
          </w:tcPr>
          <w:p w14:paraId="1332D24A" w14:textId="6A92D7E2" w:rsidR="00F83133" w:rsidRDefault="00F83133" w:rsidP="00943B19">
            <w:pPr>
              <w:spacing w:line="360" w:lineRule="auto"/>
            </w:pPr>
            <w:r>
              <w:t>232,460</w:t>
            </w:r>
          </w:p>
        </w:tc>
        <w:tc>
          <w:tcPr>
            <w:tcW w:w="1336" w:type="dxa"/>
            <w:vAlign w:val="center"/>
          </w:tcPr>
          <w:p w14:paraId="1FBA1CAE" w14:textId="1E70D7F7" w:rsidR="00F83133" w:rsidRDefault="00F83133" w:rsidP="00943B19">
            <w:pPr>
              <w:spacing w:line="360" w:lineRule="auto"/>
            </w:pPr>
            <w:r>
              <w:t>208,431</w:t>
            </w:r>
          </w:p>
        </w:tc>
        <w:tc>
          <w:tcPr>
            <w:tcW w:w="1336" w:type="dxa"/>
            <w:vAlign w:val="center"/>
          </w:tcPr>
          <w:p w14:paraId="41EAF0BD" w14:textId="18C99FE5" w:rsidR="00F83133" w:rsidRDefault="00F83133" w:rsidP="00943B19">
            <w:pPr>
              <w:spacing w:line="360" w:lineRule="auto"/>
            </w:pPr>
            <w:r>
              <w:t>Retained Earnings (£m)</w:t>
            </w:r>
          </w:p>
        </w:tc>
      </w:tr>
    </w:tbl>
    <w:p w14:paraId="0D05CB90" w14:textId="77777777" w:rsidR="00F83133" w:rsidRDefault="00F83133" w:rsidP="00943B19">
      <w:pPr>
        <w:spacing w:line="360" w:lineRule="auto"/>
      </w:pPr>
    </w:p>
    <w:p w14:paraId="0A69F8F3" w14:textId="77777777" w:rsidR="00F83133" w:rsidRDefault="00F83133" w:rsidP="00943B19">
      <w:pPr>
        <w:spacing w:line="360" w:lineRule="auto"/>
      </w:pPr>
    </w:p>
    <w:p w14:paraId="61DF0590" w14:textId="1273D50F" w:rsidR="00242285" w:rsidRPr="00E647B6" w:rsidRDefault="00B42A95" w:rsidP="00943B19">
      <w:pPr>
        <w:spacing w:line="360" w:lineRule="auto"/>
        <w:jc w:val="center"/>
        <w:rPr>
          <w:u w:val="single"/>
        </w:rPr>
      </w:pPr>
      <w:r w:rsidRPr="00E647B6">
        <w:rPr>
          <w:b/>
          <w:bCs/>
          <w:u w:val="single"/>
        </w:rPr>
        <w:t>Appendix B: Ratio Trend Graph Data</w:t>
      </w:r>
    </w:p>
    <w:p w14:paraId="01065FE2" w14:textId="77777777" w:rsidR="005F5C62" w:rsidRDefault="005F5C62" w:rsidP="00943B19">
      <w:pPr>
        <w:spacing w:line="360" w:lineRule="auto"/>
      </w:pPr>
    </w:p>
    <w:p w14:paraId="27B59480" w14:textId="77777777" w:rsidR="003B44FD" w:rsidRDefault="005F5C62" w:rsidP="00943B19">
      <w:pPr>
        <w:keepNext/>
        <w:spacing w:line="360" w:lineRule="auto"/>
        <w:jc w:val="center"/>
      </w:pPr>
      <w:r>
        <w:rPr>
          <w:noProof/>
        </w:rPr>
        <w:drawing>
          <wp:inline distT="0" distB="0" distL="0" distR="0" wp14:anchorId="0E3E4BB1" wp14:editId="77C69C11">
            <wp:extent cx="5772150" cy="3295650"/>
            <wp:effectExtent l="0" t="0" r="0" b="0"/>
            <wp:docPr id="559300657" name="Chart 1">
              <a:extLst xmlns:a="http://schemas.openxmlformats.org/drawingml/2006/main">
                <a:ext uri="{FF2B5EF4-FFF2-40B4-BE49-F238E27FC236}">
                  <a16:creationId xmlns:a16="http://schemas.microsoft.com/office/drawing/2014/main" id="{D8A3685C-B2F0-80F3-A98D-64A274D37E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70ACB33" w14:textId="4B6D1BA6" w:rsidR="005F5C62" w:rsidRDefault="003B44FD" w:rsidP="00943B19">
      <w:pPr>
        <w:pStyle w:val="Caption"/>
        <w:spacing w:line="360" w:lineRule="auto"/>
        <w:jc w:val="center"/>
        <w:rPr>
          <w:sz w:val="24"/>
          <w:szCs w:val="24"/>
        </w:rPr>
      </w:pPr>
      <w:r w:rsidRPr="003B44FD">
        <w:rPr>
          <w:sz w:val="24"/>
          <w:szCs w:val="24"/>
        </w:rPr>
        <w:t xml:space="preserve">Figure </w:t>
      </w:r>
      <w:r w:rsidRPr="003B44FD">
        <w:rPr>
          <w:sz w:val="24"/>
          <w:szCs w:val="24"/>
        </w:rPr>
        <w:fldChar w:fldCharType="begin"/>
      </w:r>
      <w:r w:rsidRPr="003B44FD">
        <w:rPr>
          <w:sz w:val="24"/>
          <w:szCs w:val="24"/>
        </w:rPr>
        <w:instrText xml:space="preserve"> SEQ Figure \* ARABIC </w:instrText>
      </w:r>
      <w:r w:rsidRPr="003B44FD">
        <w:rPr>
          <w:sz w:val="24"/>
          <w:szCs w:val="24"/>
        </w:rPr>
        <w:fldChar w:fldCharType="separate"/>
      </w:r>
      <w:r w:rsidR="006235C6">
        <w:rPr>
          <w:noProof/>
          <w:sz w:val="24"/>
          <w:szCs w:val="24"/>
        </w:rPr>
        <w:t>1</w:t>
      </w:r>
      <w:r w:rsidRPr="003B44FD">
        <w:rPr>
          <w:sz w:val="24"/>
          <w:szCs w:val="24"/>
        </w:rPr>
        <w:fldChar w:fldCharType="end"/>
      </w:r>
      <w:r w:rsidRPr="003B44FD">
        <w:rPr>
          <w:sz w:val="24"/>
          <w:szCs w:val="24"/>
        </w:rPr>
        <w:t xml:space="preserve"> Trend of Profitability Ratios of General Electronics (2020–2024)</w:t>
      </w:r>
    </w:p>
    <w:p w14:paraId="7759BA30" w14:textId="77777777" w:rsidR="003B44FD" w:rsidRDefault="003B44FD" w:rsidP="00943B19">
      <w:pPr>
        <w:spacing w:line="360" w:lineRule="auto"/>
      </w:pPr>
    </w:p>
    <w:p w14:paraId="77F621E3" w14:textId="77777777" w:rsidR="00EF56AC" w:rsidRDefault="00054D47" w:rsidP="00943B19">
      <w:pPr>
        <w:keepNext/>
        <w:spacing w:line="360" w:lineRule="auto"/>
        <w:jc w:val="center"/>
      </w:pPr>
      <w:r>
        <w:rPr>
          <w:noProof/>
        </w:rPr>
        <w:lastRenderedPageBreak/>
        <w:drawing>
          <wp:inline distT="0" distB="0" distL="0" distR="0" wp14:anchorId="04DA3CCD" wp14:editId="5BAF117E">
            <wp:extent cx="5975350" cy="3028950"/>
            <wp:effectExtent l="0" t="0" r="6350" b="0"/>
            <wp:docPr id="206955534" name="Chart 1">
              <a:extLst xmlns:a="http://schemas.openxmlformats.org/drawingml/2006/main">
                <a:ext uri="{FF2B5EF4-FFF2-40B4-BE49-F238E27FC236}">
                  <a16:creationId xmlns:a16="http://schemas.microsoft.com/office/drawing/2014/main" id="{8F553784-B208-62B2-1E1A-8575B72E6A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733629B" w14:textId="7F4DB384" w:rsidR="003B44FD" w:rsidRPr="00EF56AC" w:rsidRDefault="00EF56AC" w:rsidP="00943B19">
      <w:pPr>
        <w:pStyle w:val="Caption"/>
        <w:spacing w:line="360" w:lineRule="auto"/>
        <w:jc w:val="center"/>
        <w:rPr>
          <w:sz w:val="24"/>
          <w:szCs w:val="24"/>
        </w:rPr>
      </w:pPr>
      <w:r w:rsidRPr="00EF56AC">
        <w:rPr>
          <w:sz w:val="24"/>
          <w:szCs w:val="24"/>
        </w:rPr>
        <w:t xml:space="preserve">Figure </w:t>
      </w:r>
      <w:r w:rsidRPr="00EF56AC">
        <w:rPr>
          <w:sz w:val="24"/>
          <w:szCs w:val="24"/>
        </w:rPr>
        <w:fldChar w:fldCharType="begin"/>
      </w:r>
      <w:r w:rsidRPr="00EF56AC">
        <w:rPr>
          <w:sz w:val="24"/>
          <w:szCs w:val="24"/>
        </w:rPr>
        <w:instrText xml:space="preserve"> SEQ Figure \* ARABIC </w:instrText>
      </w:r>
      <w:r w:rsidRPr="00EF56AC">
        <w:rPr>
          <w:sz w:val="24"/>
          <w:szCs w:val="24"/>
        </w:rPr>
        <w:fldChar w:fldCharType="separate"/>
      </w:r>
      <w:r w:rsidR="006235C6">
        <w:rPr>
          <w:noProof/>
          <w:sz w:val="24"/>
          <w:szCs w:val="24"/>
        </w:rPr>
        <w:t>2</w:t>
      </w:r>
      <w:r w:rsidRPr="00EF56AC">
        <w:rPr>
          <w:sz w:val="24"/>
          <w:szCs w:val="24"/>
        </w:rPr>
        <w:fldChar w:fldCharType="end"/>
      </w:r>
      <w:r w:rsidRPr="00EF56AC">
        <w:rPr>
          <w:sz w:val="24"/>
          <w:szCs w:val="24"/>
        </w:rPr>
        <w:t xml:space="preserve"> Liquidity Ratios Trend of General Electronics (2020–2024)</w:t>
      </w:r>
    </w:p>
    <w:p w14:paraId="07DBABA1" w14:textId="77777777" w:rsidR="00EF56AC" w:rsidRDefault="00EF56AC" w:rsidP="00943B19">
      <w:pPr>
        <w:spacing w:line="360" w:lineRule="auto"/>
      </w:pPr>
    </w:p>
    <w:p w14:paraId="4A8BD79E" w14:textId="77777777" w:rsidR="00630FDC" w:rsidRDefault="006A73AC" w:rsidP="00943B19">
      <w:pPr>
        <w:keepNext/>
        <w:spacing w:line="360" w:lineRule="auto"/>
        <w:jc w:val="center"/>
      </w:pPr>
      <w:r>
        <w:rPr>
          <w:noProof/>
        </w:rPr>
        <w:drawing>
          <wp:inline distT="0" distB="0" distL="0" distR="0" wp14:anchorId="208EF4FF" wp14:editId="54CAA6A8">
            <wp:extent cx="5619750" cy="3200400"/>
            <wp:effectExtent l="0" t="0" r="0" b="0"/>
            <wp:docPr id="429593771" name="Chart 1">
              <a:extLst xmlns:a="http://schemas.openxmlformats.org/drawingml/2006/main">
                <a:ext uri="{FF2B5EF4-FFF2-40B4-BE49-F238E27FC236}">
                  <a16:creationId xmlns:a16="http://schemas.microsoft.com/office/drawing/2014/main" id="{C752F3BA-AF0A-3B1C-F0C0-E64E6A983E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ED632BC" w14:textId="1BA1791E" w:rsidR="006A73AC" w:rsidRPr="00630FDC" w:rsidRDefault="00630FDC" w:rsidP="00943B19">
      <w:pPr>
        <w:pStyle w:val="Caption"/>
        <w:spacing w:line="360" w:lineRule="auto"/>
        <w:jc w:val="center"/>
        <w:rPr>
          <w:sz w:val="24"/>
          <w:szCs w:val="24"/>
        </w:rPr>
      </w:pPr>
      <w:r w:rsidRPr="00630FDC">
        <w:rPr>
          <w:sz w:val="24"/>
          <w:szCs w:val="24"/>
        </w:rPr>
        <w:t xml:space="preserve">Figure </w:t>
      </w:r>
      <w:r w:rsidRPr="00630FDC">
        <w:rPr>
          <w:sz w:val="24"/>
          <w:szCs w:val="24"/>
        </w:rPr>
        <w:fldChar w:fldCharType="begin"/>
      </w:r>
      <w:r w:rsidRPr="00630FDC">
        <w:rPr>
          <w:sz w:val="24"/>
          <w:szCs w:val="24"/>
        </w:rPr>
        <w:instrText xml:space="preserve"> SEQ Figure \* ARABIC </w:instrText>
      </w:r>
      <w:r w:rsidRPr="00630FDC">
        <w:rPr>
          <w:sz w:val="24"/>
          <w:szCs w:val="24"/>
        </w:rPr>
        <w:fldChar w:fldCharType="separate"/>
      </w:r>
      <w:r w:rsidR="006235C6">
        <w:rPr>
          <w:noProof/>
          <w:sz w:val="24"/>
          <w:szCs w:val="24"/>
        </w:rPr>
        <w:t>3</w:t>
      </w:r>
      <w:r w:rsidRPr="00630FDC">
        <w:rPr>
          <w:sz w:val="24"/>
          <w:szCs w:val="24"/>
        </w:rPr>
        <w:fldChar w:fldCharType="end"/>
      </w:r>
      <w:r w:rsidRPr="00630FDC">
        <w:rPr>
          <w:sz w:val="24"/>
          <w:szCs w:val="24"/>
        </w:rPr>
        <w:t xml:space="preserve"> Inventory Days and Receivables Collection Period Trend (2020–2024)</w:t>
      </w:r>
    </w:p>
    <w:p w14:paraId="08C12390" w14:textId="77777777" w:rsidR="00630FDC" w:rsidRDefault="00630FDC" w:rsidP="00943B19">
      <w:pPr>
        <w:spacing w:line="360" w:lineRule="auto"/>
      </w:pPr>
    </w:p>
    <w:p w14:paraId="2BE96F85" w14:textId="77777777" w:rsidR="00937422" w:rsidRDefault="000048FD" w:rsidP="00943B19">
      <w:pPr>
        <w:keepNext/>
        <w:spacing w:line="360" w:lineRule="auto"/>
        <w:jc w:val="center"/>
      </w:pPr>
      <w:r>
        <w:rPr>
          <w:noProof/>
        </w:rPr>
        <w:lastRenderedPageBreak/>
        <w:drawing>
          <wp:inline distT="0" distB="0" distL="0" distR="0" wp14:anchorId="46379F7D" wp14:editId="1DF266D0">
            <wp:extent cx="5689600" cy="3124200"/>
            <wp:effectExtent l="0" t="0" r="6350" b="0"/>
            <wp:docPr id="512879246" name="Chart 1">
              <a:extLst xmlns:a="http://schemas.openxmlformats.org/drawingml/2006/main">
                <a:ext uri="{FF2B5EF4-FFF2-40B4-BE49-F238E27FC236}">
                  <a16:creationId xmlns:a16="http://schemas.microsoft.com/office/drawing/2014/main" id="{EE779D93-1059-9FB1-930A-B348542B32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FBBA872" w14:textId="6500E5D6" w:rsidR="000048FD" w:rsidRPr="00937422" w:rsidRDefault="00937422" w:rsidP="00943B19">
      <w:pPr>
        <w:pStyle w:val="Caption"/>
        <w:spacing w:line="360" w:lineRule="auto"/>
        <w:jc w:val="center"/>
        <w:rPr>
          <w:sz w:val="24"/>
          <w:szCs w:val="24"/>
        </w:rPr>
      </w:pPr>
      <w:r w:rsidRPr="00937422">
        <w:rPr>
          <w:sz w:val="24"/>
          <w:szCs w:val="24"/>
        </w:rPr>
        <w:t xml:space="preserve">Figure </w:t>
      </w:r>
      <w:r w:rsidRPr="00937422">
        <w:rPr>
          <w:sz w:val="24"/>
          <w:szCs w:val="24"/>
        </w:rPr>
        <w:fldChar w:fldCharType="begin"/>
      </w:r>
      <w:r w:rsidRPr="00937422">
        <w:rPr>
          <w:sz w:val="24"/>
          <w:szCs w:val="24"/>
        </w:rPr>
        <w:instrText xml:space="preserve"> SEQ Figure \* ARABIC </w:instrText>
      </w:r>
      <w:r w:rsidRPr="00937422">
        <w:rPr>
          <w:sz w:val="24"/>
          <w:szCs w:val="24"/>
        </w:rPr>
        <w:fldChar w:fldCharType="separate"/>
      </w:r>
      <w:r w:rsidR="006235C6">
        <w:rPr>
          <w:noProof/>
          <w:sz w:val="24"/>
          <w:szCs w:val="24"/>
        </w:rPr>
        <w:t>4</w:t>
      </w:r>
      <w:r w:rsidRPr="00937422">
        <w:rPr>
          <w:sz w:val="24"/>
          <w:szCs w:val="24"/>
        </w:rPr>
        <w:fldChar w:fldCharType="end"/>
      </w:r>
      <w:r w:rsidRPr="00937422">
        <w:rPr>
          <w:sz w:val="24"/>
          <w:szCs w:val="24"/>
        </w:rPr>
        <w:t xml:space="preserve"> Payables Payment Period Trend of General Electronics (2020–2024)</w:t>
      </w:r>
    </w:p>
    <w:p w14:paraId="660B2BD9" w14:textId="77777777" w:rsidR="00937422" w:rsidRDefault="00937422" w:rsidP="00943B19">
      <w:pPr>
        <w:spacing w:line="360" w:lineRule="auto"/>
      </w:pPr>
    </w:p>
    <w:p w14:paraId="62CFFB7A" w14:textId="77777777" w:rsidR="009A16AE" w:rsidRDefault="00372E17" w:rsidP="00943B19">
      <w:pPr>
        <w:keepNext/>
        <w:spacing w:line="360" w:lineRule="auto"/>
        <w:jc w:val="center"/>
      </w:pPr>
      <w:r>
        <w:rPr>
          <w:noProof/>
        </w:rPr>
        <w:drawing>
          <wp:inline distT="0" distB="0" distL="0" distR="0" wp14:anchorId="3BF1F43A" wp14:editId="3EAF6DB1">
            <wp:extent cx="5861050" cy="3422650"/>
            <wp:effectExtent l="0" t="0" r="6350" b="6350"/>
            <wp:docPr id="664881372" name="Chart 1">
              <a:extLst xmlns:a="http://schemas.openxmlformats.org/drawingml/2006/main">
                <a:ext uri="{FF2B5EF4-FFF2-40B4-BE49-F238E27FC236}">
                  <a16:creationId xmlns:a16="http://schemas.microsoft.com/office/drawing/2014/main" id="{589D66C0-37EB-644F-CFEA-8291EE33D7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8933F51" w14:textId="47B5BC94" w:rsidR="009A16AE" w:rsidRPr="006546C7" w:rsidRDefault="009A16AE" w:rsidP="006546C7">
      <w:pPr>
        <w:pStyle w:val="Caption"/>
        <w:spacing w:line="360" w:lineRule="auto"/>
        <w:jc w:val="center"/>
        <w:rPr>
          <w:sz w:val="24"/>
          <w:szCs w:val="24"/>
        </w:rPr>
      </w:pPr>
      <w:r w:rsidRPr="009A16AE">
        <w:rPr>
          <w:sz w:val="24"/>
          <w:szCs w:val="24"/>
        </w:rPr>
        <w:t xml:space="preserve">Figure </w:t>
      </w:r>
      <w:r w:rsidRPr="009A16AE">
        <w:rPr>
          <w:sz w:val="24"/>
          <w:szCs w:val="24"/>
        </w:rPr>
        <w:fldChar w:fldCharType="begin"/>
      </w:r>
      <w:r w:rsidRPr="009A16AE">
        <w:rPr>
          <w:sz w:val="24"/>
          <w:szCs w:val="24"/>
        </w:rPr>
        <w:instrText xml:space="preserve"> SEQ Figure \* ARABIC </w:instrText>
      </w:r>
      <w:r w:rsidRPr="009A16AE">
        <w:rPr>
          <w:sz w:val="24"/>
          <w:szCs w:val="24"/>
        </w:rPr>
        <w:fldChar w:fldCharType="separate"/>
      </w:r>
      <w:r w:rsidR="006235C6">
        <w:rPr>
          <w:noProof/>
          <w:sz w:val="24"/>
          <w:szCs w:val="24"/>
        </w:rPr>
        <w:t>5</w:t>
      </w:r>
      <w:r w:rsidRPr="009A16AE">
        <w:rPr>
          <w:sz w:val="24"/>
          <w:szCs w:val="24"/>
        </w:rPr>
        <w:fldChar w:fldCharType="end"/>
      </w:r>
      <w:r w:rsidRPr="009A16AE">
        <w:rPr>
          <w:sz w:val="24"/>
          <w:szCs w:val="24"/>
        </w:rPr>
        <w:t xml:space="preserve"> Debt-to-Equity Ratio Trend of General Electronics (2020–2024)</w:t>
      </w:r>
    </w:p>
    <w:p w14:paraId="62A38338" w14:textId="77777777" w:rsidR="006235C6" w:rsidRDefault="00EC29E8" w:rsidP="00943B19">
      <w:pPr>
        <w:keepNext/>
        <w:spacing w:line="360" w:lineRule="auto"/>
        <w:jc w:val="center"/>
      </w:pPr>
      <w:r>
        <w:rPr>
          <w:noProof/>
        </w:rPr>
        <w:lastRenderedPageBreak/>
        <w:drawing>
          <wp:inline distT="0" distB="0" distL="0" distR="0" wp14:anchorId="7EC20258" wp14:editId="6C6EE46C">
            <wp:extent cx="5543550" cy="3441700"/>
            <wp:effectExtent l="0" t="0" r="0" b="6350"/>
            <wp:docPr id="997699169" name="Chart 1">
              <a:extLst xmlns:a="http://schemas.openxmlformats.org/drawingml/2006/main">
                <a:ext uri="{FF2B5EF4-FFF2-40B4-BE49-F238E27FC236}">
                  <a16:creationId xmlns:a16="http://schemas.microsoft.com/office/drawing/2014/main" id="{D3C5A65F-C064-FD56-0897-735B3DE43B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C50F2D6" w14:textId="020B2DC3" w:rsidR="00EC29E8" w:rsidRPr="000200FC" w:rsidRDefault="006235C6" w:rsidP="000200FC">
      <w:pPr>
        <w:pStyle w:val="Caption"/>
        <w:spacing w:line="360" w:lineRule="auto"/>
        <w:jc w:val="center"/>
        <w:rPr>
          <w:sz w:val="24"/>
          <w:szCs w:val="24"/>
        </w:rPr>
      </w:pPr>
      <w:r w:rsidRPr="006235C6">
        <w:rPr>
          <w:sz w:val="24"/>
          <w:szCs w:val="24"/>
        </w:rPr>
        <w:t xml:space="preserve">Figure </w:t>
      </w:r>
      <w:r w:rsidRPr="006235C6">
        <w:rPr>
          <w:sz w:val="24"/>
          <w:szCs w:val="24"/>
        </w:rPr>
        <w:fldChar w:fldCharType="begin"/>
      </w:r>
      <w:r w:rsidRPr="006235C6">
        <w:rPr>
          <w:sz w:val="24"/>
          <w:szCs w:val="24"/>
        </w:rPr>
        <w:instrText xml:space="preserve"> SEQ Figure \* ARABIC </w:instrText>
      </w:r>
      <w:r w:rsidRPr="006235C6">
        <w:rPr>
          <w:sz w:val="24"/>
          <w:szCs w:val="24"/>
        </w:rPr>
        <w:fldChar w:fldCharType="separate"/>
      </w:r>
      <w:r w:rsidRPr="006235C6">
        <w:rPr>
          <w:noProof/>
          <w:sz w:val="24"/>
          <w:szCs w:val="24"/>
        </w:rPr>
        <w:t>6</w:t>
      </w:r>
      <w:r w:rsidRPr="006235C6">
        <w:rPr>
          <w:sz w:val="24"/>
          <w:szCs w:val="24"/>
        </w:rPr>
        <w:fldChar w:fldCharType="end"/>
      </w:r>
      <w:r w:rsidRPr="006235C6">
        <w:rPr>
          <w:sz w:val="24"/>
          <w:szCs w:val="24"/>
        </w:rPr>
        <w:t xml:space="preserve"> Earnings Per Share (EPS) Trend of General Electronics (2020–2024)</w:t>
      </w:r>
    </w:p>
    <w:p w14:paraId="4DBC8CD4" w14:textId="77777777" w:rsidR="00745C06" w:rsidRDefault="00745C06" w:rsidP="00943B19">
      <w:pPr>
        <w:spacing w:line="360" w:lineRule="auto"/>
      </w:pPr>
    </w:p>
    <w:p w14:paraId="4948A039" w14:textId="6ADD80F3" w:rsidR="00745C06" w:rsidRPr="00E647B6" w:rsidRDefault="00614199" w:rsidP="00943B19">
      <w:pPr>
        <w:spacing w:line="360" w:lineRule="auto"/>
        <w:jc w:val="center"/>
        <w:rPr>
          <w:b/>
          <w:bCs/>
          <w:u w:val="single"/>
        </w:rPr>
      </w:pPr>
      <w:r w:rsidRPr="00E647B6">
        <w:rPr>
          <w:b/>
          <w:bCs/>
          <w:u w:val="single"/>
        </w:rPr>
        <w:t>Appendix C: Altman Z-Score Calculation</w:t>
      </w:r>
    </w:p>
    <w:p w14:paraId="2D3835BB" w14:textId="39991976" w:rsidR="00614199" w:rsidRDefault="008B431F" w:rsidP="00943B19">
      <w:pPr>
        <w:spacing w:line="360" w:lineRule="auto"/>
        <w:rPr>
          <w:b/>
          <w:bCs/>
        </w:rPr>
      </w:pPr>
      <w:r w:rsidRPr="008B431F">
        <w:rPr>
          <w:b/>
          <w:bCs/>
        </w:rPr>
        <w:t>C1. Altman Z-Score Model</w:t>
      </w:r>
    </w:p>
    <w:p w14:paraId="1CCA7103" w14:textId="77777777" w:rsidR="0019384A" w:rsidRPr="0019384A" w:rsidRDefault="0019384A" w:rsidP="00943B19">
      <w:pPr>
        <w:spacing w:line="360" w:lineRule="auto"/>
      </w:pPr>
      <w:r w:rsidRPr="0019384A">
        <w:t>For manufacturing firms, the Altman Z-Score model is expressed as:</w:t>
      </w:r>
    </w:p>
    <w:p w14:paraId="13C2648E" w14:textId="77777777" w:rsidR="0019384A" w:rsidRDefault="0019384A" w:rsidP="00943B19">
      <w:pPr>
        <w:spacing w:line="360" w:lineRule="auto"/>
      </w:pPr>
      <w:r w:rsidRPr="0019384A">
        <w:t>Z=1.2X</w:t>
      </w:r>
      <w:r w:rsidRPr="00406523">
        <w:rPr>
          <w:vertAlign w:val="subscript"/>
        </w:rPr>
        <w:t>1</w:t>
      </w:r>
      <w:r w:rsidRPr="0019384A">
        <w:t>​+1.4X</w:t>
      </w:r>
      <w:r w:rsidRPr="00E10D05">
        <w:rPr>
          <w:vertAlign w:val="subscript"/>
        </w:rPr>
        <w:t>2</w:t>
      </w:r>
      <w:r w:rsidRPr="0019384A">
        <w:t>​+3.3X</w:t>
      </w:r>
      <w:r w:rsidRPr="00E10D05">
        <w:rPr>
          <w:vertAlign w:val="subscript"/>
        </w:rPr>
        <w:t>3</w:t>
      </w:r>
      <w:r w:rsidRPr="0019384A">
        <w:t>​+0.6X</w:t>
      </w:r>
      <w:r w:rsidRPr="00E10D05">
        <w:rPr>
          <w:vertAlign w:val="subscript"/>
        </w:rPr>
        <w:t>4</w:t>
      </w:r>
      <w:r w:rsidRPr="0019384A">
        <w:t>​+1.0X</w:t>
      </w:r>
      <w:r w:rsidRPr="00E10D05">
        <w:rPr>
          <w:vertAlign w:val="subscript"/>
        </w:rPr>
        <w:t>5​</w:t>
      </w:r>
    </w:p>
    <w:p w14:paraId="43688247" w14:textId="5052CE55" w:rsidR="0019384A" w:rsidRPr="0019384A" w:rsidRDefault="0019384A" w:rsidP="00943B19">
      <w:pPr>
        <w:spacing w:line="360" w:lineRule="auto"/>
      </w:pPr>
      <w:r w:rsidRPr="0019384A">
        <w:t>Where:</w:t>
      </w:r>
    </w:p>
    <w:p w14:paraId="1B5AB04B" w14:textId="77777777" w:rsidR="0019384A" w:rsidRPr="0019384A" w:rsidRDefault="0019384A" w:rsidP="00943B19">
      <w:pPr>
        <w:numPr>
          <w:ilvl w:val="0"/>
          <w:numId w:val="4"/>
        </w:numPr>
        <w:spacing w:line="360" w:lineRule="auto"/>
      </w:pPr>
      <w:r w:rsidRPr="0019384A">
        <w:rPr>
          <w:b/>
          <w:bCs/>
        </w:rPr>
        <w:t>X₁</w:t>
      </w:r>
      <w:r w:rsidRPr="0019384A">
        <w:t xml:space="preserve"> = Working Capital / Total Assets</w:t>
      </w:r>
    </w:p>
    <w:p w14:paraId="0129E034" w14:textId="77777777" w:rsidR="0019384A" w:rsidRPr="0019384A" w:rsidRDefault="0019384A" w:rsidP="00943B19">
      <w:pPr>
        <w:numPr>
          <w:ilvl w:val="0"/>
          <w:numId w:val="4"/>
        </w:numPr>
        <w:spacing w:line="360" w:lineRule="auto"/>
      </w:pPr>
      <w:r w:rsidRPr="0019384A">
        <w:rPr>
          <w:b/>
          <w:bCs/>
        </w:rPr>
        <w:t>X₂</w:t>
      </w:r>
      <w:r w:rsidRPr="0019384A">
        <w:t xml:space="preserve"> = Retained Earnings / Total Assets</w:t>
      </w:r>
    </w:p>
    <w:p w14:paraId="3E8ACBC9" w14:textId="77777777" w:rsidR="0019384A" w:rsidRPr="0019384A" w:rsidRDefault="0019384A" w:rsidP="00943B19">
      <w:pPr>
        <w:numPr>
          <w:ilvl w:val="0"/>
          <w:numId w:val="4"/>
        </w:numPr>
        <w:spacing w:line="360" w:lineRule="auto"/>
      </w:pPr>
      <w:r w:rsidRPr="0019384A">
        <w:rPr>
          <w:b/>
          <w:bCs/>
        </w:rPr>
        <w:t>X₃</w:t>
      </w:r>
      <w:r w:rsidRPr="0019384A">
        <w:t xml:space="preserve"> = Earnings Before Interest and Tax (EBIT) / Total Assets</w:t>
      </w:r>
    </w:p>
    <w:p w14:paraId="6DB8ADE4" w14:textId="77777777" w:rsidR="0019384A" w:rsidRPr="0019384A" w:rsidRDefault="0019384A" w:rsidP="00943B19">
      <w:pPr>
        <w:numPr>
          <w:ilvl w:val="0"/>
          <w:numId w:val="4"/>
        </w:numPr>
        <w:spacing w:line="360" w:lineRule="auto"/>
      </w:pPr>
      <w:r w:rsidRPr="0019384A">
        <w:rPr>
          <w:b/>
          <w:bCs/>
        </w:rPr>
        <w:t>X₄</w:t>
      </w:r>
      <w:r w:rsidRPr="0019384A">
        <w:t xml:space="preserve"> = Market Value of Equity / Total Liabilities</w:t>
      </w:r>
    </w:p>
    <w:p w14:paraId="60F40142" w14:textId="77777777" w:rsidR="0019384A" w:rsidRPr="0019384A" w:rsidRDefault="0019384A" w:rsidP="00943B19">
      <w:pPr>
        <w:numPr>
          <w:ilvl w:val="0"/>
          <w:numId w:val="4"/>
        </w:numPr>
        <w:spacing w:line="360" w:lineRule="auto"/>
      </w:pPr>
      <w:r w:rsidRPr="0019384A">
        <w:rPr>
          <w:b/>
          <w:bCs/>
        </w:rPr>
        <w:t>X₅</w:t>
      </w:r>
      <w:r w:rsidRPr="0019384A">
        <w:t xml:space="preserve"> = Sales / Total Assets</w:t>
      </w:r>
    </w:p>
    <w:p w14:paraId="1E2390AC" w14:textId="77777777" w:rsidR="008B431F" w:rsidRDefault="008B431F" w:rsidP="00943B19">
      <w:pPr>
        <w:spacing w:line="360" w:lineRule="auto"/>
      </w:pPr>
    </w:p>
    <w:p w14:paraId="1F72D653" w14:textId="77777777" w:rsidR="00E10D05" w:rsidRPr="00E10D05" w:rsidRDefault="00E10D05" w:rsidP="00943B19">
      <w:pPr>
        <w:spacing w:line="360" w:lineRule="auto"/>
        <w:rPr>
          <w:b/>
          <w:bCs/>
        </w:rPr>
      </w:pPr>
      <w:r w:rsidRPr="00E10D05">
        <w:rPr>
          <w:b/>
          <w:bCs/>
        </w:rPr>
        <w:lastRenderedPageBreak/>
        <w:t>C2. Z-Score Input Variables (2024)</w:t>
      </w:r>
    </w:p>
    <w:tbl>
      <w:tblPr>
        <w:tblStyle w:val="TableGrid"/>
        <w:tblW w:w="0" w:type="auto"/>
        <w:tblLook w:val="04A0" w:firstRow="1" w:lastRow="0" w:firstColumn="1" w:lastColumn="0" w:noHBand="0" w:noVBand="1"/>
      </w:tblPr>
      <w:tblGrid>
        <w:gridCol w:w="3116"/>
        <w:gridCol w:w="3117"/>
        <w:gridCol w:w="3117"/>
      </w:tblGrid>
      <w:tr w:rsidR="00A926E0" w14:paraId="19E2C657" w14:textId="77777777" w:rsidTr="00C26DA8">
        <w:tc>
          <w:tcPr>
            <w:tcW w:w="3116" w:type="dxa"/>
            <w:vAlign w:val="center"/>
          </w:tcPr>
          <w:p w14:paraId="06F7572B" w14:textId="177AF9A8" w:rsidR="00A926E0" w:rsidRDefault="00A926E0" w:rsidP="00943B19">
            <w:pPr>
              <w:spacing w:line="360" w:lineRule="auto"/>
            </w:pPr>
            <w:r>
              <w:rPr>
                <w:b/>
                <w:bCs/>
              </w:rPr>
              <w:t>Variable</w:t>
            </w:r>
          </w:p>
        </w:tc>
        <w:tc>
          <w:tcPr>
            <w:tcW w:w="3117" w:type="dxa"/>
            <w:vAlign w:val="center"/>
          </w:tcPr>
          <w:p w14:paraId="59D7CBDC" w14:textId="63C851E9" w:rsidR="00A926E0" w:rsidRDefault="00A926E0" w:rsidP="00943B19">
            <w:pPr>
              <w:spacing w:line="360" w:lineRule="auto"/>
            </w:pPr>
            <w:r>
              <w:rPr>
                <w:b/>
                <w:bCs/>
              </w:rPr>
              <w:t>Description</w:t>
            </w:r>
          </w:p>
        </w:tc>
        <w:tc>
          <w:tcPr>
            <w:tcW w:w="3117" w:type="dxa"/>
            <w:vAlign w:val="center"/>
          </w:tcPr>
          <w:p w14:paraId="46B49C73" w14:textId="16FB341C" w:rsidR="00A926E0" w:rsidRDefault="00A926E0" w:rsidP="00943B19">
            <w:pPr>
              <w:spacing w:line="360" w:lineRule="auto"/>
            </w:pPr>
            <w:r>
              <w:rPr>
                <w:b/>
                <w:bCs/>
              </w:rPr>
              <w:t>Value</w:t>
            </w:r>
          </w:p>
        </w:tc>
      </w:tr>
      <w:tr w:rsidR="00A926E0" w14:paraId="72AFF2EF" w14:textId="77777777" w:rsidTr="00C26DA8">
        <w:tc>
          <w:tcPr>
            <w:tcW w:w="3116" w:type="dxa"/>
            <w:vAlign w:val="center"/>
          </w:tcPr>
          <w:p w14:paraId="2BDFB3ED" w14:textId="3E0ACF31" w:rsidR="00A926E0" w:rsidRDefault="00A926E0" w:rsidP="00943B19">
            <w:pPr>
              <w:spacing w:line="360" w:lineRule="auto"/>
            </w:pPr>
            <w:r>
              <w:t>X₁</w:t>
            </w:r>
          </w:p>
        </w:tc>
        <w:tc>
          <w:tcPr>
            <w:tcW w:w="3117" w:type="dxa"/>
            <w:vAlign w:val="center"/>
          </w:tcPr>
          <w:p w14:paraId="4006470A" w14:textId="3FBB6D68" w:rsidR="00A926E0" w:rsidRDefault="00A926E0" w:rsidP="00943B19">
            <w:pPr>
              <w:spacing w:line="360" w:lineRule="auto"/>
            </w:pPr>
            <w:r>
              <w:t>Working Capital / Total Assets</w:t>
            </w:r>
          </w:p>
        </w:tc>
        <w:tc>
          <w:tcPr>
            <w:tcW w:w="3117" w:type="dxa"/>
            <w:vAlign w:val="center"/>
          </w:tcPr>
          <w:p w14:paraId="4BE03076" w14:textId="14610A1F" w:rsidR="00A926E0" w:rsidRDefault="00A926E0" w:rsidP="00943B19">
            <w:pPr>
              <w:spacing w:line="360" w:lineRule="auto"/>
            </w:pPr>
            <w:r>
              <w:t>0.26</w:t>
            </w:r>
          </w:p>
        </w:tc>
      </w:tr>
      <w:tr w:rsidR="00A926E0" w14:paraId="6814CFF1" w14:textId="77777777" w:rsidTr="00C26DA8">
        <w:tc>
          <w:tcPr>
            <w:tcW w:w="3116" w:type="dxa"/>
            <w:vAlign w:val="center"/>
          </w:tcPr>
          <w:p w14:paraId="6307B362" w14:textId="69CE0AD8" w:rsidR="00A926E0" w:rsidRDefault="00A926E0" w:rsidP="00943B19">
            <w:pPr>
              <w:spacing w:line="360" w:lineRule="auto"/>
            </w:pPr>
            <w:r>
              <w:t>X₂</w:t>
            </w:r>
          </w:p>
        </w:tc>
        <w:tc>
          <w:tcPr>
            <w:tcW w:w="3117" w:type="dxa"/>
            <w:vAlign w:val="center"/>
          </w:tcPr>
          <w:p w14:paraId="39799A7B" w14:textId="2082FA87" w:rsidR="00A926E0" w:rsidRDefault="00A926E0" w:rsidP="00943B19">
            <w:pPr>
              <w:spacing w:line="360" w:lineRule="auto"/>
            </w:pPr>
            <w:r>
              <w:t>Retained Earnings / Total Assets</w:t>
            </w:r>
          </w:p>
        </w:tc>
        <w:tc>
          <w:tcPr>
            <w:tcW w:w="3117" w:type="dxa"/>
            <w:vAlign w:val="center"/>
          </w:tcPr>
          <w:p w14:paraId="09283F66" w14:textId="5BD1E2C2" w:rsidR="00A926E0" w:rsidRDefault="00A926E0" w:rsidP="00943B19">
            <w:pPr>
              <w:spacing w:line="360" w:lineRule="auto"/>
            </w:pPr>
            <w:r>
              <w:t>0.64</w:t>
            </w:r>
          </w:p>
        </w:tc>
      </w:tr>
      <w:tr w:rsidR="00A926E0" w14:paraId="119F9372" w14:textId="77777777" w:rsidTr="00C26DA8">
        <w:tc>
          <w:tcPr>
            <w:tcW w:w="3116" w:type="dxa"/>
            <w:vAlign w:val="center"/>
          </w:tcPr>
          <w:p w14:paraId="017A50FB" w14:textId="1DF524E4" w:rsidR="00A926E0" w:rsidRDefault="00A926E0" w:rsidP="00943B19">
            <w:pPr>
              <w:spacing w:line="360" w:lineRule="auto"/>
            </w:pPr>
            <w:r>
              <w:t>X₃</w:t>
            </w:r>
          </w:p>
        </w:tc>
        <w:tc>
          <w:tcPr>
            <w:tcW w:w="3117" w:type="dxa"/>
            <w:vAlign w:val="center"/>
          </w:tcPr>
          <w:p w14:paraId="4C816D66" w14:textId="6094EE55" w:rsidR="00A926E0" w:rsidRDefault="00A926E0" w:rsidP="00943B19">
            <w:pPr>
              <w:spacing w:line="360" w:lineRule="auto"/>
            </w:pPr>
            <w:r>
              <w:t>EBIT / Total Assets</w:t>
            </w:r>
          </w:p>
        </w:tc>
        <w:tc>
          <w:tcPr>
            <w:tcW w:w="3117" w:type="dxa"/>
            <w:vAlign w:val="center"/>
          </w:tcPr>
          <w:p w14:paraId="1C4EAF16" w14:textId="4C8812DD" w:rsidR="00A926E0" w:rsidRDefault="00A926E0" w:rsidP="00943B19">
            <w:pPr>
              <w:spacing w:line="360" w:lineRule="auto"/>
            </w:pPr>
            <w:r>
              <w:t>-0.05</w:t>
            </w:r>
          </w:p>
        </w:tc>
      </w:tr>
      <w:tr w:rsidR="00A926E0" w14:paraId="58B41A76" w14:textId="77777777" w:rsidTr="00C26DA8">
        <w:tc>
          <w:tcPr>
            <w:tcW w:w="3116" w:type="dxa"/>
            <w:vAlign w:val="center"/>
          </w:tcPr>
          <w:p w14:paraId="31E83596" w14:textId="1B4875EA" w:rsidR="00A926E0" w:rsidRDefault="00A926E0" w:rsidP="00943B19">
            <w:pPr>
              <w:spacing w:line="360" w:lineRule="auto"/>
            </w:pPr>
            <w:r>
              <w:t>X₄</w:t>
            </w:r>
          </w:p>
        </w:tc>
        <w:tc>
          <w:tcPr>
            <w:tcW w:w="3117" w:type="dxa"/>
            <w:vAlign w:val="center"/>
          </w:tcPr>
          <w:p w14:paraId="345C85AC" w14:textId="45E04C60" w:rsidR="00A926E0" w:rsidRDefault="00A926E0" w:rsidP="00943B19">
            <w:pPr>
              <w:spacing w:line="360" w:lineRule="auto"/>
            </w:pPr>
            <w:r>
              <w:t>Market Value of Equity / Total Liabilities</w:t>
            </w:r>
          </w:p>
        </w:tc>
        <w:tc>
          <w:tcPr>
            <w:tcW w:w="3117" w:type="dxa"/>
            <w:vAlign w:val="center"/>
          </w:tcPr>
          <w:p w14:paraId="5C80EA94" w14:textId="48DEEBD2" w:rsidR="00A926E0" w:rsidRDefault="00A926E0" w:rsidP="00943B19">
            <w:pPr>
              <w:spacing w:line="360" w:lineRule="auto"/>
            </w:pPr>
            <w:r>
              <w:t>0.90</w:t>
            </w:r>
          </w:p>
        </w:tc>
      </w:tr>
      <w:tr w:rsidR="00A926E0" w14:paraId="576ACD44" w14:textId="77777777" w:rsidTr="00C26DA8">
        <w:tc>
          <w:tcPr>
            <w:tcW w:w="3116" w:type="dxa"/>
            <w:vAlign w:val="center"/>
          </w:tcPr>
          <w:p w14:paraId="106813E3" w14:textId="2B09B52D" w:rsidR="00A926E0" w:rsidRDefault="00A926E0" w:rsidP="00943B19">
            <w:pPr>
              <w:spacing w:line="360" w:lineRule="auto"/>
            </w:pPr>
            <w:r>
              <w:t>X₅</w:t>
            </w:r>
          </w:p>
        </w:tc>
        <w:tc>
          <w:tcPr>
            <w:tcW w:w="3117" w:type="dxa"/>
            <w:vAlign w:val="center"/>
          </w:tcPr>
          <w:p w14:paraId="03CF97FA" w14:textId="2E7849AE" w:rsidR="00A926E0" w:rsidRDefault="00A926E0" w:rsidP="00943B19">
            <w:pPr>
              <w:spacing w:line="360" w:lineRule="auto"/>
            </w:pPr>
            <w:r>
              <w:t>Sales / Total Assets</w:t>
            </w:r>
          </w:p>
        </w:tc>
        <w:tc>
          <w:tcPr>
            <w:tcW w:w="3117" w:type="dxa"/>
            <w:vAlign w:val="center"/>
          </w:tcPr>
          <w:p w14:paraId="4E060140" w14:textId="57AF52E1" w:rsidR="00A926E0" w:rsidRDefault="00A926E0" w:rsidP="00943B19">
            <w:pPr>
              <w:spacing w:line="360" w:lineRule="auto"/>
            </w:pPr>
            <w:r>
              <w:t>1.22</w:t>
            </w:r>
          </w:p>
        </w:tc>
      </w:tr>
    </w:tbl>
    <w:p w14:paraId="65F2F41A" w14:textId="77777777" w:rsidR="00A926E0" w:rsidRDefault="00A926E0" w:rsidP="00943B19">
      <w:pPr>
        <w:spacing w:line="360" w:lineRule="auto"/>
      </w:pPr>
    </w:p>
    <w:p w14:paraId="672CA27C" w14:textId="7E416C9C" w:rsidR="00A926E0" w:rsidRPr="000200FC" w:rsidRDefault="00A926E0" w:rsidP="00943B19">
      <w:pPr>
        <w:spacing w:line="360" w:lineRule="auto"/>
        <w:rPr>
          <w:b/>
          <w:bCs/>
        </w:rPr>
      </w:pPr>
      <w:r w:rsidRPr="000200FC">
        <w:rPr>
          <w:b/>
          <w:bCs/>
        </w:rPr>
        <w:t>C3. Z-Score Calculation</w:t>
      </w:r>
    </w:p>
    <w:p w14:paraId="0A68CFEB" w14:textId="77777777" w:rsidR="00A926E0" w:rsidRDefault="00A926E0" w:rsidP="00943B19">
      <w:pPr>
        <w:spacing w:line="360" w:lineRule="auto"/>
      </w:pPr>
      <w:r w:rsidRPr="00A926E0">
        <w:t>Z=1.2(</w:t>
      </w:r>
      <w:proofErr w:type="gramStart"/>
      <w:r w:rsidRPr="00A926E0">
        <w:t>0.26)+</w:t>
      </w:r>
      <w:proofErr w:type="gramEnd"/>
      <w:r w:rsidRPr="00A926E0">
        <w:t>1.4(</w:t>
      </w:r>
      <w:proofErr w:type="gramStart"/>
      <w:r w:rsidRPr="00A926E0">
        <w:t>0.64)+</w:t>
      </w:r>
      <w:proofErr w:type="gramEnd"/>
      <w:r w:rsidRPr="00A926E0">
        <w:t>3.3(−0.</w:t>
      </w:r>
      <w:proofErr w:type="gramStart"/>
      <w:r w:rsidRPr="00A926E0">
        <w:t>05)+</w:t>
      </w:r>
      <w:proofErr w:type="gramEnd"/>
      <w:r w:rsidRPr="00A926E0">
        <w:t>0.6(</w:t>
      </w:r>
      <w:proofErr w:type="gramStart"/>
      <w:r w:rsidRPr="00A926E0">
        <w:t>0.90)+</w:t>
      </w:r>
      <w:proofErr w:type="gramEnd"/>
      <w:r w:rsidRPr="00A926E0">
        <w:t xml:space="preserve">1.0(1.22) </w:t>
      </w:r>
    </w:p>
    <w:p w14:paraId="30AAFAA2" w14:textId="77777777" w:rsidR="00B9605C" w:rsidRDefault="00A926E0" w:rsidP="00943B19">
      <w:pPr>
        <w:spacing w:line="360" w:lineRule="auto"/>
      </w:pPr>
      <w:r w:rsidRPr="00A926E0">
        <w:t>Z=0.312+0.896−0.165+0.540+1.220</w:t>
      </w:r>
    </w:p>
    <w:p w14:paraId="55746F17" w14:textId="2A5DE787" w:rsidR="00A926E0" w:rsidRDefault="00A926E0" w:rsidP="00943B19">
      <w:pPr>
        <w:spacing w:line="360" w:lineRule="auto"/>
      </w:pPr>
      <w:r w:rsidRPr="00A926E0">
        <w:t>Z=2.80</w:t>
      </w:r>
    </w:p>
    <w:p w14:paraId="3144FA2A" w14:textId="77777777" w:rsidR="006337A0" w:rsidRDefault="006337A0" w:rsidP="00943B19">
      <w:pPr>
        <w:spacing w:line="360" w:lineRule="auto"/>
      </w:pPr>
    </w:p>
    <w:p w14:paraId="660D1BFE" w14:textId="29A67A97" w:rsidR="006337A0" w:rsidRPr="006337A0" w:rsidRDefault="006337A0" w:rsidP="00943B19">
      <w:pPr>
        <w:spacing w:line="360" w:lineRule="auto"/>
        <w:rPr>
          <w:b/>
          <w:bCs/>
        </w:rPr>
      </w:pPr>
      <w:r w:rsidRPr="006337A0">
        <w:rPr>
          <w:b/>
          <w:bCs/>
        </w:rPr>
        <w:t>C4. Interpretation of Results</w:t>
      </w:r>
    </w:p>
    <w:tbl>
      <w:tblPr>
        <w:tblStyle w:val="TableGrid"/>
        <w:tblW w:w="0" w:type="auto"/>
        <w:tblLook w:val="04A0" w:firstRow="1" w:lastRow="0" w:firstColumn="1" w:lastColumn="0" w:noHBand="0" w:noVBand="1"/>
      </w:tblPr>
      <w:tblGrid>
        <w:gridCol w:w="4675"/>
        <w:gridCol w:w="4675"/>
      </w:tblGrid>
      <w:tr w:rsidR="006337A0" w14:paraId="11435134" w14:textId="77777777" w:rsidTr="007D443B">
        <w:tc>
          <w:tcPr>
            <w:tcW w:w="4675" w:type="dxa"/>
            <w:vAlign w:val="center"/>
          </w:tcPr>
          <w:p w14:paraId="70B6E151" w14:textId="4A233BE5" w:rsidR="006337A0" w:rsidRDefault="006337A0" w:rsidP="00943B19">
            <w:pPr>
              <w:spacing w:line="360" w:lineRule="auto"/>
            </w:pPr>
            <w:r>
              <w:rPr>
                <w:b/>
                <w:bCs/>
              </w:rPr>
              <w:t>Z-Score Range</w:t>
            </w:r>
          </w:p>
        </w:tc>
        <w:tc>
          <w:tcPr>
            <w:tcW w:w="4675" w:type="dxa"/>
            <w:vAlign w:val="center"/>
          </w:tcPr>
          <w:p w14:paraId="32EEE13B" w14:textId="44BD8CC5" w:rsidR="006337A0" w:rsidRDefault="006337A0" w:rsidP="00943B19">
            <w:pPr>
              <w:spacing w:line="360" w:lineRule="auto"/>
            </w:pPr>
            <w:r>
              <w:rPr>
                <w:b/>
                <w:bCs/>
              </w:rPr>
              <w:t>Interpretation</w:t>
            </w:r>
          </w:p>
        </w:tc>
      </w:tr>
      <w:tr w:rsidR="006337A0" w14:paraId="06AD844C" w14:textId="77777777" w:rsidTr="007D443B">
        <w:tc>
          <w:tcPr>
            <w:tcW w:w="4675" w:type="dxa"/>
            <w:vAlign w:val="center"/>
          </w:tcPr>
          <w:p w14:paraId="5E8EF747" w14:textId="36CE2D78" w:rsidR="006337A0" w:rsidRDefault="006337A0" w:rsidP="00943B19">
            <w:pPr>
              <w:spacing w:line="360" w:lineRule="auto"/>
            </w:pPr>
            <w:r>
              <w:t>Z &gt; 2.99</w:t>
            </w:r>
          </w:p>
        </w:tc>
        <w:tc>
          <w:tcPr>
            <w:tcW w:w="4675" w:type="dxa"/>
            <w:vAlign w:val="center"/>
          </w:tcPr>
          <w:p w14:paraId="2DB15242" w14:textId="1EB32E83" w:rsidR="006337A0" w:rsidRDefault="006337A0" w:rsidP="00943B19">
            <w:pPr>
              <w:spacing w:line="360" w:lineRule="auto"/>
            </w:pPr>
            <w:r>
              <w:t>Safe zone</w:t>
            </w:r>
          </w:p>
        </w:tc>
      </w:tr>
      <w:tr w:rsidR="006337A0" w14:paraId="2BEC7127" w14:textId="77777777" w:rsidTr="007D443B">
        <w:tc>
          <w:tcPr>
            <w:tcW w:w="4675" w:type="dxa"/>
            <w:vAlign w:val="center"/>
          </w:tcPr>
          <w:p w14:paraId="49B914AD" w14:textId="5B0C09DE" w:rsidR="006337A0" w:rsidRDefault="006337A0" w:rsidP="00943B19">
            <w:pPr>
              <w:spacing w:line="360" w:lineRule="auto"/>
            </w:pPr>
            <w:r>
              <w:t>1.81 &lt; Z &lt; 2.99</w:t>
            </w:r>
          </w:p>
        </w:tc>
        <w:tc>
          <w:tcPr>
            <w:tcW w:w="4675" w:type="dxa"/>
            <w:vAlign w:val="center"/>
          </w:tcPr>
          <w:p w14:paraId="5C5B0C1C" w14:textId="77E35EEA" w:rsidR="006337A0" w:rsidRDefault="006337A0" w:rsidP="00943B19">
            <w:pPr>
              <w:spacing w:line="360" w:lineRule="auto"/>
            </w:pPr>
            <w:r>
              <w:t>Grey zone</w:t>
            </w:r>
          </w:p>
        </w:tc>
      </w:tr>
      <w:tr w:rsidR="006337A0" w14:paraId="53E4D465" w14:textId="77777777" w:rsidTr="007D443B">
        <w:tc>
          <w:tcPr>
            <w:tcW w:w="4675" w:type="dxa"/>
            <w:vAlign w:val="center"/>
          </w:tcPr>
          <w:p w14:paraId="28BDBCFC" w14:textId="68BD2BF8" w:rsidR="006337A0" w:rsidRDefault="006337A0" w:rsidP="00943B19">
            <w:pPr>
              <w:spacing w:line="360" w:lineRule="auto"/>
            </w:pPr>
            <w:r>
              <w:t>Z &lt; 1.81</w:t>
            </w:r>
          </w:p>
        </w:tc>
        <w:tc>
          <w:tcPr>
            <w:tcW w:w="4675" w:type="dxa"/>
            <w:vAlign w:val="center"/>
          </w:tcPr>
          <w:p w14:paraId="1207E4E5" w14:textId="3C4CB7C3" w:rsidR="006337A0" w:rsidRDefault="006337A0" w:rsidP="00943B19">
            <w:pPr>
              <w:spacing w:line="360" w:lineRule="auto"/>
            </w:pPr>
            <w:r>
              <w:t>Distress zone</w:t>
            </w:r>
          </w:p>
        </w:tc>
      </w:tr>
    </w:tbl>
    <w:p w14:paraId="5401D070" w14:textId="77777777" w:rsidR="006337A0" w:rsidRDefault="006337A0" w:rsidP="00943B19">
      <w:pPr>
        <w:spacing w:line="360" w:lineRule="auto"/>
      </w:pPr>
    </w:p>
    <w:p w14:paraId="12BF46E0" w14:textId="4E55D777" w:rsidR="00515E5D" w:rsidRPr="000200FC" w:rsidRDefault="00515E5D" w:rsidP="000200FC">
      <w:pPr>
        <w:spacing w:line="360" w:lineRule="auto"/>
        <w:jc w:val="center"/>
        <w:rPr>
          <w:b/>
          <w:bCs/>
          <w:u w:val="single"/>
        </w:rPr>
      </w:pPr>
      <w:r w:rsidRPr="005C67B8">
        <w:rPr>
          <w:b/>
          <w:bCs/>
          <w:u w:val="single"/>
        </w:rPr>
        <w:t>Appendix D: Investment Appraisal Calculations</w:t>
      </w:r>
    </w:p>
    <w:p w14:paraId="02ADDE56" w14:textId="208A7866" w:rsidR="00515E5D" w:rsidRPr="003F3A6E" w:rsidRDefault="003F3A6E" w:rsidP="00943B19">
      <w:pPr>
        <w:spacing w:line="360" w:lineRule="auto"/>
        <w:rPr>
          <w:b/>
          <w:bCs/>
        </w:rPr>
      </w:pPr>
      <w:r w:rsidRPr="003F3A6E">
        <w:rPr>
          <w:b/>
          <w:bCs/>
        </w:rPr>
        <w:t>D1. Project Cash Flow Data (£ million)</w:t>
      </w:r>
    </w:p>
    <w:tbl>
      <w:tblPr>
        <w:tblStyle w:val="TableGrid"/>
        <w:tblW w:w="0" w:type="auto"/>
        <w:tblLook w:val="04A0" w:firstRow="1" w:lastRow="0" w:firstColumn="1" w:lastColumn="0" w:noHBand="0" w:noVBand="1"/>
      </w:tblPr>
      <w:tblGrid>
        <w:gridCol w:w="2337"/>
        <w:gridCol w:w="2337"/>
        <w:gridCol w:w="2338"/>
        <w:gridCol w:w="2338"/>
      </w:tblGrid>
      <w:tr w:rsidR="00A45B66" w14:paraId="75AC78D1" w14:textId="77777777" w:rsidTr="00036A39">
        <w:tc>
          <w:tcPr>
            <w:tcW w:w="2337" w:type="dxa"/>
            <w:vAlign w:val="center"/>
          </w:tcPr>
          <w:p w14:paraId="5D6A8480" w14:textId="53E09BF4" w:rsidR="00A45B66" w:rsidRDefault="00A45B66" w:rsidP="00943B19">
            <w:pPr>
              <w:spacing w:line="360" w:lineRule="auto"/>
            </w:pPr>
            <w:r>
              <w:rPr>
                <w:b/>
                <w:bCs/>
              </w:rPr>
              <w:t>Year</w:t>
            </w:r>
          </w:p>
        </w:tc>
        <w:tc>
          <w:tcPr>
            <w:tcW w:w="2337" w:type="dxa"/>
            <w:vAlign w:val="center"/>
          </w:tcPr>
          <w:p w14:paraId="5A6A0508" w14:textId="6ACBCB9C" w:rsidR="00A45B66" w:rsidRDefault="00A45B66" w:rsidP="00943B19">
            <w:pPr>
              <w:spacing w:line="360" w:lineRule="auto"/>
            </w:pPr>
            <w:r>
              <w:rPr>
                <w:b/>
                <w:bCs/>
              </w:rPr>
              <w:t>Project A</w:t>
            </w:r>
          </w:p>
        </w:tc>
        <w:tc>
          <w:tcPr>
            <w:tcW w:w="2338" w:type="dxa"/>
            <w:vAlign w:val="center"/>
          </w:tcPr>
          <w:p w14:paraId="304FD847" w14:textId="274F160F" w:rsidR="00A45B66" w:rsidRDefault="00A45B66" w:rsidP="00943B19">
            <w:pPr>
              <w:spacing w:line="360" w:lineRule="auto"/>
            </w:pPr>
            <w:r>
              <w:rPr>
                <w:b/>
                <w:bCs/>
              </w:rPr>
              <w:t>Project B</w:t>
            </w:r>
          </w:p>
        </w:tc>
        <w:tc>
          <w:tcPr>
            <w:tcW w:w="2338" w:type="dxa"/>
            <w:vAlign w:val="center"/>
          </w:tcPr>
          <w:p w14:paraId="0228E381" w14:textId="200E16FE" w:rsidR="00A45B66" w:rsidRDefault="00A45B66" w:rsidP="00943B19">
            <w:pPr>
              <w:spacing w:line="360" w:lineRule="auto"/>
            </w:pPr>
            <w:r>
              <w:rPr>
                <w:b/>
                <w:bCs/>
              </w:rPr>
              <w:t>Project C</w:t>
            </w:r>
          </w:p>
        </w:tc>
      </w:tr>
      <w:tr w:rsidR="00A45B66" w14:paraId="67BD97D3" w14:textId="77777777" w:rsidTr="00036A39">
        <w:tc>
          <w:tcPr>
            <w:tcW w:w="2337" w:type="dxa"/>
            <w:vAlign w:val="center"/>
          </w:tcPr>
          <w:p w14:paraId="74A3E987" w14:textId="5794C412" w:rsidR="00A45B66" w:rsidRDefault="00A45B66" w:rsidP="00943B19">
            <w:pPr>
              <w:spacing w:line="360" w:lineRule="auto"/>
            </w:pPr>
            <w:r>
              <w:t>Initial Investment</w:t>
            </w:r>
          </w:p>
        </w:tc>
        <w:tc>
          <w:tcPr>
            <w:tcW w:w="2337" w:type="dxa"/>
            <w:vAlign w:val="center"/>
          </w:tcPr>
          <w:p w14:paraId="4F42DDB2" w14:textId="0132D06B" w:rsidR="00A45B66" w:rsidRDefault="00A45B66" w:rsidP="00943B19">
            <w:pPr>
              <w:spacing w:line="360" w:lineRule="auto"/>
            </w:pPr>
            <w:r>
              <w:t>-40</w:t>
            </w:r>
          </w:p>
        </w:tc>
        <w:tc>
          <w:tcPr>
            <w:tcW w:w="2338" w:type="dxa"/>
            <w:vAlign w:val="center"/>
          </w:tcPr>
          <w:p w14:paraId="533FE708" w14:textId="15723F3D" w:rsidR="00A45B66" w:rsidRDefault="00A45B66" w:rsidP="00943B19">
            <w:pPr>
              <w:spacing w:line="360" w:lineRule="auto"/>
            </w:pPr>
            <w:r>
              <w:t>-30</w:t>
            </w:r>
          </w:p>
        </w:tc>
        <w:tc>
          <w:tcPr>
            <w:tcW w:w="2338" w:type="dxa"/>
            <w:vAlign w:val="center"/>
          </w:tcPr>
          <w:p w14:paraId="558EF0ED" w14:textId="5AF0BAA3" w:rsidR="00A45B66" w:rsidRDefault="00A45B66" w:rsidP="00943B19">
            <w:pPr>
              <w:spacing w:line="360" w:lineRule="auto"/>
            </w:pPr>
            <w:r>
              <w:t>-50</w:t>
            </w:r>
          </w:p>
        </w:tc>
      </w:tr>
      <w:tr w:rsidR="00A45B66" w14:paraId="483585BC" w14:textId="77777777" w:rsidTr="00036A39">
        <w:tc>
          <w:tcPr>
            <w:tcW w:w="2337" w:type="dxa"/>
            <w:vAlign w:val="center"/>
          </w:tcPr>
          <w:p w14:paraId="6F7670C9" w14:textId="6034DC63" w:rsidR="00A45B66" w:rsidRDefault="00A45B66" w:rsidP="00943B19">
            <w:pPr>
              <w:spacing w:line="360" w:lineRule="auto"/>
            </w:pPr>
            <w:r>
              <w:t>Year 1</w:t>
            </w:r>
          </w:p>
        </w:tc>
        <w:tc>
          <w:tcPr>
            <w:tcW w:w="2337" w:type="dxa"/>
            <w:vAlign w:val="center"/>
          </w:tcPr>
          <w:p w14:paraId="2DD1C7E1" w14:textId="66F7A9F7" w:rsidR="00A45B66" w:rsidRDefault="00A45B66" w:rsidP="00943B19">
            <w:pPr>
              <w:spacing w:line="360" w:lineRule="auto"/>
            </w:pPr>
            <w:r>
              <w:t>10</w:t>
            </w:r>
          </w:p>
        </w:tc>
        <w:tc>
          <w:tcPr>
            <w:tcW w:w="2338" w:type="dxa"/>
            <w:vAlign w:val="center"/>
          </w:tcPr>
          <w:p w14:paraId="63EDDC20" w14:textId="46404711" w:rsidR="00A45B66" w:rsidRDefault="00A45B66" w:rsidP="00943B19">
            <w:pPr>
              <w:spacing w:line="360" w:lineRule="auto"/>
            </w:pPr>
            <w:r>
              <w:t>6</w:t>
            </w:r>
          </w:p>
        </w:tc>
        <w:tc>
          <w:tcPr>
            <w:tcW w:w="2338" w:type="dxa"/>
            <w:vAlign w:val="center"/>
          </w:tcPr>
          <w:p w14:paraId="3722AC37" w14:textId="2AF324F4" w:rsidR="00A45B66" w:rsidRDefault="00A45B66" w:rsidP="00943B19">
            <w:pPr>
              <w:spacing w:line="360" w:lineRule="auto"/>
            </w:pPr>
            <w:r>
              <w:t>5</w:t>
            </w:r>
          </w:p>
        </w:tc>
      </w:tr>
      <w:tr w:rsidR="00A45B66" w14:paraId="2F26E402" w14:textId="77777777" w:rsidTr="00036A39">
        <w:tc>
          <w:tcPr>
            <w:tcW w:w="2337" w:type="dxa"/>
            <w:vAlign w:val="center"/>
          </w:tcPr>
          <w:p w14:paraId="48584946" w14:textId="4CDD6CF2" w:rsidR="00A45B66" w:rsidRDefault="00A45B66" w:rsidP="00943B19">
            <w:pPr>
              <w:spacing w:line="360" w:lineRule="auto"/>
            </w:pPr>
            <w:r>
              <w:lastRenderedPageBreak/>
              <w:t>Year 2</w:t>
            </w:r>
          </w:p>
        </w:tc>
        <w:tc>
          <w:tcPr>
            <w:tcW w:w="2337" w:type="dxa"/>
            <w:vAlign w:val="center"/>
          </w:tcPr>
          <w:p w14:paraId="7DFFE34F" w14:textId="65A9649E" w:rsidR="00A45B66" w:rsidRDefault="00A45B66" w:rsidP="00943B19">
            <w:pPr>
              <w:spacing w:line="360" w:lineRule="auto"/>
            </w:pPr>
            <w:r>
              <w:t>12</w:t>
            </w:r>
          </w:p>
        </w:tc>
        <w:tc>
          <w:tcPr>
            <w:tcW w:w="2338" w:type="dxa"/>
            <w:vAlign w:val="center"/>
          </w:tcPr>
          <w:p w14:paraId="5CC04895" w14:textId="2E85E009" w:rsidR="00A45B66" w:rsidRDefault="00A45B66" w:rsidP="00943B19">
            <w:pPr>
              <w:spacing w:line="360" w:lineRule="auto"/>
            </w:pPr>
            <w:r>
              <w:t>6</w:t>
            </w:r>
          </w:p>
        </w:tc>
        <w:tc>
          <w:tcPr>
            <w:tcW w:w="2338" w:type="dxa"/>
            <w:vAlign w:val="center"/>
          </w:tcPr>
          <w:p w14:paraId="57AD51C5" w14:textId="60F07C8E" w:rsidR="00A45B66" w:rsidRDefault="00A45B66" w:rsidP="00943B19">
            <w:pPr>
              <w:spacing w:line="360" w:lineRule="auto"/>
            </w:pPr>
            <w:r>
              <w:t>10</w:t>
            </w:r>
          </w:p>
        </w:tc>
      </w:tr>
      <w:tr w:rsidR="00A45B66" w14:paraId="725A5D2F" w14:textId="77777777" w:rsidTr="00036A39">
        <w:tc>
          <w:tcPr>
            <w:tcW w:w="2337" w:type="dxa"/>
            <w:vAlign w:val="center"/>
          </w:tcPr>
          <w:p w14:paraId="0205FAB8" w14:textId="04E731C6" w:rsidR="00A45B66" w:rsidRDefault="00A45B66" w:rsidP="00943B19">
            <w:pPr>
              <w:spacing w:line="360" w:lineRule="auto"/>
            </w:pPr>
            <w:r>
              <w:t>Year 3</w:t>
            </w:r>
          </w:p>
        </w:tc>
        <w:tc>
          <w:tcPr>
            <w:tcW w:w="2337" w:type="dxa"/>
            <w:vAlign w:val="center"/>
          </w:tcPr>
          <w:p w14:paraId="3A701E17" w14:textId="346D38C5" w:rsidR="00A45B66" w:rsidRDefault="00A45B66" w:rsidP="00943B19">
            <w:pPr>
              <w:spacing w:line="360" w:lineRule="auto"/>
            </w:pPr>
            <w:r>
              <w:t>14</w:t>
            </w:r>
          </w:p>
        </w:tc>
        <w:tc>
          <w:tcPr>
            <w:tcW w:w="2338" w:type="dxa"/>
            <w:vAlign w:val="center"/>
          </w:tcPr>
          <w:p w14:paraId="7A3F2980" w14:textId="5D27AE1D" w:rsidR="00A45B66" w:rsidRDefault="00A45B66" w:rsidP="00943B19">
            <w:pPr>
              <w:spacing w:line="360" w:lineRule="auto"/>
            </w:pPr>
            <w:r>
              <w:t>6</w:t>
            </w:r>
          </w:p>
        </w:tc>
        <w:tc>
          <w:tcPr>
            <w:tcW w:w="2338" w:type="dxa"/>
            <w:vAlign w:val="center"/>
          </w:tcPr>
          <w:p w14:paraId="64281FD7" w14:textId="564F727D" w:rsidR="00A45B66" w:rsidRDefault="00A45B66" w:rsidP="00943B19">
            <w:pPr>
              <w:spacing w:line="360" w:lineRule="auto"/>
            </w:pPr>
            <w:r>
              <w:t>20</w:t>
            </w:r>
          </w:p>
        </w:tc>
      </w:tr>
      <w:tr w:rsidR="00A45B66" w14:paraId="5BCB10C0" w14:textId="77777777" w:rsidTr="00036A39">
        <w:trPr>
          <w:trHeight w:val="278"/>
        </w:trPr>
        <w:tc>
          <w:tcPr>
            <w:tcW w:w="2337" w:type="dxa"/>
            <w:vAlign w:val="center"/>
          </w:tcPr>
          <w:p w14:paraId="0FB5CB5D" w14:textId="40E80B17" w:rsidR="00A45B66" w:rsidRDefault="00A45B66" w:rsidP="00943B19">
            <w:pPr>
              <w:spacing w:line="360" w:lineRule="auto"/>
            </w:pPr>
            <w:r>
              <w:t>Year 4</w:t>
            </w:r>
          </w:p>
        </w:tc>
        <w:tc>
          <w:tcPr>
            <w:tcW w:w="2337" w:type="dxa"/>
            <w:vAlign w:val="center"/>
          </w:tcPr>
          <w:p w14:paraId="4C4768DB" w14:textId="20FE377E" w:rsidR="00A45B66" w:rsidRDefault="00A45B66" w:rsidP="00943B19">
            <w:pPr>
              <w:spacing w:line="360" w:lineRule="auto"/>
            </w:pPr>
            <w:r>
              <w:t>10</w:t>
            </w:r>
          </w:p>
        </w:tc>
        <w:tc>
          <w:tcPr>
            <w:tcW w:w="2338" w:type="dxa"/>
            <w:vAlign w:val="center"/>
          </w:tcPr>
          <w:p w14:paraId="6A8E6AA1" w14:textId="53A390D9" w:rsidR="00A45B66" w:rsidRDefault="00A45B66" w:rsidP="00943B19">
            <w:pPr>
              <w:spacing w:line="360" w:lineRule="auto"/>
            </w:pPr>
            <w:r>
              <w:t>6</w:t>
            </w:r>
          </w:p>
        </w:tc>
        <w:tc>
          <w:tcPr>
            <w:tcW w:w="2338" w:type="dxa"/>
            <w:vAlign w:val="center"/>
          </w:tcPr>
          <w:p w14:paraId="749D90DB" w14:textId="44F8B7E3" w:rsidR="00A45B66" w:rsidRDefault="00A45B66" w:rsidP="00943B19">
            <w:pPr>
              <w:spacing w:line="360" w:lineRule="auto"/>
            </w:pPr>
            <w:r>
              <w:t>25</w:t>
            </w:r>
          </w:p>
        </w:tc>
      </w:tr>
      <w:tr w:rsidR="00A45B66" w14:paraId="7C44B45D" w14:textId="77777777" w:rsidTr="00036A39">
        <w:trPr>
          <w:trHeight w:val="278"/>
        </w:trPr>
        <w:tc>
          <w:tcPr>
            <w:tcW w:w="2337" w:type="dxa"/>
            <w:vAlign w:val="center"/>
          </w:tcPr>
          <w:p w14:paraId="6E48FE0A" w14:textId="14B35E41" w:rsidR="00A45B66" w:rsidRDefault="00A45B66" w:rsidP="00943B19">
            <w:pPr>
              <w:spacing w:line="360" w:lineRule="auto"/>
            </w:pPr>
            <w:r>
              <w:t>Year 5</w:t>
            </w:r>
          </w:p>
        </w:tc>
        <w:tc>
          <w:tcPr>
            <w:tcW w:w="2337" w:type="dxa"/>
            <w:vAlign w:val="center"/>
          </w:tcPr>
          <w:p w14:paraId="0146AA91" w14:textId="40338E79" w:rsidR="00A45B66" w:rsidRDefault="00A45B66" w:rsidP="00943B19">
            <w:pPr>
              <w:spacing w:line="360" w:lineRule="auto"/>
            </w:pPr>
            <w:r>
              <w:t>8</w:t>
            </w:r>
          </w:p>
        </w:tc>
        <w:tc>
          <w:tcPr>
            <w:tcW w:w="2338" w:type="dxa"/>
            <w:vAlign w:val="center"/>
          </w:tcPr>
          <w:p w14:paraId="0F0A2391" w14:textId="14ED8DE7" w:rsidR="00A45B66" w:rsidRDefault="00A45B66" w:rsidP="00943B19">
            <w:pPr>
              <w:spacing w:line="360" w:lineRule="auto"/>
            </w:pPr>
            <w:r>
              <w:t>6</w:t>
            </w:r>
          </w:p>
        </w:tc>
        <w:tc>
          <w:tcPr>
            <w:tcW w:w="2338" w:type="dxa"/>
            <w:vAlign w:val="center"/>
          </w:tcPr>
          <w:p w14:paraId="13032F92" w14:textId="78699781" w:rsidR="00A45B66" w:rsidRDefault="00A45B66" w:rsidP="00943B19">
            <w:pPr>
              <w:spacing w:line="360" w:lineRule="auto"/>
            </w:pPr>
            <w:r>
              <w:t>15</w:t>
            </w:r>
          </w:p>
        </w:tc>
      </w:tr>
    </w:tbl>
    <w:p w14:paraId="42EC6F06" w14:textId="77777777" w:rsidR="003F3A6E" w:rsidRDefault="003F3A6E" w:rsidP="00943B19">
      <w:pPr>
        <w:spacing w:line="360" w:lineRule="auto"/>
      </w:pPr>
    </w:p>
    <w:p w14:paraId="7DA6D8C0" w14:textId="1C2D7366" w:rsidR="00A45B66" w:rsidRPr="00A45B66" w:rsidRDefault="00A45B66" w:rsidP="00943B19">
      <w:pPr>
        <w:spacing w:line="360" w:lineRule="auto"/>
        <w:rPr>
          <w:b/>
          <w:bCs/>
        </w:rPr>
      </w:pPr>
      <w:r w:rsidRPr="00A45B66">
        <w:rPr>
          <w:b/>
          <w:bCs/>
        </w:rPr>
        <w:t>D2. Payback Period (PBP) Calculation</w:t>
      </w:r>
    </w:p>
    <w:p w14:paraId="5BE073C4" w14:textId="5A937316" w:rsidR="00A45B66" w:rsidRPr="000200FC" w:rsidRDefault="008F4008" w:rsidP="00943B19">
      <w:pPr>
        <w:spacing w:line="360" w:lineRule="auto"/>
        <w:rPr>
          <w:b/>
          <w:bCs/>
        </w:rPr>
      </w:pPr>
      <w:r w:rsidRPr="000200FC">
        <w:rPr>
          <w:b/>
          <w:bCs/>
        </w:rPr>
        <w:t>Project A</w:t>
      </w:r>
      <w:r w:rsidR="005C67B8" w:rsidRPr="000200FC">
        <w:rPr>
          <w:b/>
          <w:bCs/>
        </w:rPr>
        <w:t>:</w:t>
      </w:r>
      <w:r w:rsidRPr="000200FC">
        <w:rPr>
          <w:b/>
          <w:bCs/>
        </w:rPr>
        <w:t xml:space="preserve"> Cumulative Cash Flow</w:t>
      </w:r>
    </w:p>
    <w:tbl>
      <w:tblPr>
        <w:tblStyle w:val="TableGrid"/>
        <w:tblW w:w="0" w:type="auto"/>
        <w:tblLook w:val="04A0" w:firstRow="1" w:lastRow="0" w:firstColumn="1" w:lastColumn="0" w:noHBand="0" w:noVBand="1"/>
      </w:tblPr>
      <w:tblGrid>
        <w:gridCol w:w="3116"/>
        <w:gridCol w:w="3117"/>
        <w:gridCol w:w="3117"/>
      </w:tblGrid>
      <w:tr w:rsidR="006048B1" w14:paraId="27806F54" w14:textId="77777777" w:rsidTr="00986E2F">
        <w:tc>
          <w:tcPr>
            <w:tcW w:w="3116" w:type="dxa"/>
            <w:vAlign w:val="center"/>
          </w:tcPr>
          <w:p w14:paraId="0C481FD9" w14:textId="4C55DFDE" w:rsidR="006048B1" w:rsidRDefault="006048B1" w:rsidP="00943B19">
            <w:pPr>
              <w:spacing w:line="360" w:lineRule="auto"/>
            </w:pPr>
            <w:r>
              <w:rPr>
                <w:b/>
                <w:bCs/>
              </w:rPr>
              <w:t>Year</w:t>
            </w:r>
          </w:p>
        </w:tc>
        <w:tc>
          <w:tcPr>
            <w:tcW w:w="3117" w:type="dxa"/>
            <w:vAlign w:val="center"/>
          </w:tcPr>
          <w:p w14:paraId="45FA7F35" w14:textId="0B4C341A" w:rsidR="006048B1" w:rsidRDefault="006048B1" w:rsidP="00943B19">
            <w:pPr>
              <w:spacing w:line="360" w:lineRule="auto"/>
            </w:pPr>
            <w:r>
              <w:rPr>
                <w:b/>
                <w:bCs/>
              </w:rPr>
              <w:t>Cash Flow</w:t>
            </w:r>
          </w:p>
        </w:tc>
        <w:tc>
          <w:tcPr>
            <w:tcW w:w="3117" w:type="dxa"/>
            <w:vAlign w:val="center"/>
          </w:tcPr>
          <w:p w14:paraId="35EEDC26" w14:textId="526DCD83" w:rsidR="006048B1" w:rsidRDefault="006048B1" w:rsidP="00943B19">
            <w:pPr>
              <w:spacing w:line="360" w:lineRule="auto"/>
            </w:pPr>
            <w:r>
              <w:rPr>
                <w:b/>
                <w:bCs/>
              </w:rPr>
              <w:t>Cumulative</w:t>
            </w:r>
          </w:p>
        </w:tc>
      </w:tr>
      <w:tr w:rsidR="006048B1" w14:paraId="6FBBFD72" w14:textId="77777777" w:rsidTr="00986E2F">
        <w:tc>
          <w:tcPr>
            <w:tcW w:w="3116" w:type="dxa"/>
            <w:vAlign w:val="center"/>
          </w:tcPr>
          <w:p w14:paraId="053BB4F9" w14:textId="03E32FD4" w:rsidR="006048B1" w:rsidRDefault="006048B1" w:rsidP="00943B19">
            <w:pPr>
              <w:spacing w:line="360" w:lineRule="auto"/>
            </w:pPr>
            <w:r>
              <w:t>0</w:t>
            </w:r>
          </w:p>
        </w:tc>
        <w:tc>
          <w:tcPr>
            <w:tcW w:w="3117" w:type="dxa"/>
            <w:vAlign w:val="center"/>
          </w:tcPr>
          <w:p w14:paraId="5E9A648F" w14:textId="69335496" w:rsidR="006048B1" w:rsidRDefault="006048B1" w:rsidP="00943B19">
            <w:pPr>
              <w:spacing w:line="360" w:lineRule="auto"/>
            </w:pPr>
            <w:r>
              <w:t>-40</w:t>
            </w:r>
          </w:p>
        </w:tc>
        <w:tc>
          <w:tcPr>
            <w:tcW w:w="3117" w:type="dxa"/>
            <w:vAlign w:val="center"/>
          </w:tcPr>
          <w:p w14:paraId="6410B350" w14:textId="61B7AF87" w:rsidR="006048B1" w:rsidRDefault="006048B1" w:rsidP="00943B19">
            <w:pPr>
              <w:spacing w:line="360" w:lineRule="auto"/>
            </w:pPr>
            <w:r>
              <w:t>-40</w:t>
            </w:r>
          </w:p>
        </w:tc>
      </w:tr>
      <w:tr w:rsidR="006048B1" w14:paraId="1C250187" w14:textId="77777777" w:rsidTr="00986E2F">
        <w:tc>
          <w:tcPr>
            <w:tcW w:w="3116" w:type="dxa"/>
            <w:vAlign w:val="center"/>
          </w:tcPr>
          <w:p w14:paraId="19F6E225" w14:textId="4A92A15A" w:rsidR="006048B1" w:rsidRDefault="006048B1" w:rsidP="00943B19">
            <w:pPr>
              <w:spacing w:line="360" w:lineRule="auto"/>
            </w:pPr>
            <w:r>
              <w:t>1</w:t>
            </w:r>
          </w:p>
        </w:tc>
        <w:tc>
          <w:tcPr>
            <w:tcW w:w="3117" w:type="dxa"/>
            <w:vAlign w:val="center"/>
          </w:tcPr>
          <w:p w14:paraId="2F4E764A" w14:textId="4B232D0B" w:rsidR="006048B1" w:rsidRDefault="006048B1" w:rsidP="00943B19">
            <w:pPr>
              <w:spacing w:line="360" w:lineRule="auto"/>
            </w:pPr>
            <w:r>
              <w:t>10</w:t>
            </w:r>
          </w:p>
        </w:tc>
        <w:tc>
          <w:tcPr>
            <w:tcW w:w="3117" w:type="dxa"/>
            <w:vAlign w:val="center"/>
          </w:tcPr>
          <w:p w14:paraId="701CCE58" w14:textId="1F6A63B1" w:rsidR="006048B1" w:rsidRDefault="006048B1" w:rsidP="00943B19">
            <w:pPr>
              <w:spacing w:line="360" w:lineRule="auto"/>
            </w:pPr>
            <w:r>
              <w:t>-30</w:t>
            </w:r>
          </w:p>
        </w:tc>
      </w:tr>
      <w:tr w:rsidR="006048B1" w14:paraId="63E233F1" w14:textId="77777777" w:rsidTr="00986E2F">
        <w:tc>
          <w:tcPr>
            <w:tcW w:w="3116" w:type="dxa"/>
            <w:vAlign w:val="center"/>
          </w:tcPr>
          <w:p w14:paraId="52B85FC0" w14:textId="62759ACD" w:rsidR="006048B1" w:rsidRDefault="006048B1" w:rsidP="00943B19">
            <w:pPr>
              <w:spacing w:line="360" w:lineRule="auto"/>
            </w:pPr>
            <w:r>
              <w:t>2</w:t>
            </w:r>
          </w:p>
        </w:tc>
        <w:tc>
          <w:tcPr>
            <w:tcW w:w="3117" w:type="dxa"/>
            <w:vAlign w:val="center"/>
          </w:tcPr>
          <w:p w14:paraId="063E1C13" w14:textId="7B8C211B" w:rsidR="006048B1" w:rsidRDefault="006048B1" w:rsidP="00943B19">
            <w:pPr>
              <w:spacing w:line="360" w:lineRule="auto"/>
            </w:pPr>
            <w:r>
              <w:t>12</w:t>
            </w:r>
          </w:p>
        </w:tc>
        <w:tc>
          <w:tcPr>
            <w:tcW w:w="3117" w:type="dxa"/>
            <w:vAlign w:val="center"/>
          </w:tcPr>
          <w:p w14:paraId="17C7B7C8" w14:textId="0CBFC5F6" w:rsidR="006048B1" w:rsidRDefault="006048B1" w:rsidP="00943B19">
            <w:pPr>
              <w:spacing w:line="360" w:lineRule="auto"/>
            </w:pPr>
            <w:r>
              <w:t>-18</w:t>
            </w:r>
          </w:p>
        </w:tc>
      </w:tr>
      <w:tr w:rsidR="006048B1" w14:paraId="3C64CB8E" w14:textId="77777777" w:rsidTr="00986E2F">
        <w:tc>
          <w:tcPr>
            <w:tcW w:w="3116" w:type="dxa"/>
            <w:vAlign w:val="center"/>
          </w:tcPr>
          <w:p w14:paraId="77EF9EE8" w14:textId="694390A1" w:rsidR="006048B1" w:rsidRDefault="006048B1" w:rsidP="00943B19">
            <w:pPr>
              <w:spacing w:line="360" w:lineRule="auto"/>
            </w:pPr>
            <w:r>
              <w:t>3</w:t>
            </w:r>
          </w:p>
        </w:tc>
        <w:tc>
          <w:tcPr>
            <w:tcW w:w="3117" w:type="dxa"/>
            <w:vAlign w:val="center"/>
          </w:tcPr>
          <w:p w14:paraId="3EB01BDF" w14:textId="711C2F57" w:rsidR="006048B1" w:rsidRDefault="006048B1" w:rsidP="00943B19">
            <w:pPr>
              <w:spacing w:line="360" w:lineRule="auto"/>
            </w:pPr>
            <w:r>
              <w:t>14</w:t>
            </w:r>
          </w:p>
        </w:tc>
        <w:tc>
          <w:tcPr>
            <w:tcW w:w="3117" w:type="dxa"/>
            <w:vAlign w:val="center"/>
          </w:tcPr>
          <w:p w14:paraId="052A21F1" w14:textId="006EDB81" w:rsidR="006048B1" w:rsidRDefault="006048B1" w:rsidP="00943B19">
            <w:pPr>
              <w:spacing w:line="360" w:lineRule="auto"/>
            </w:pPr>
            <w:r>
              <w:t>-4</w:t>
            </w:r>
          </w:p>
        </w:tc>
      </w:tr>
      <w:tr w:rsidR="006048B1" w14:paraId="39C864B9" w14:textId="77777777" w:rsidTr="00986E2F">
        <w:tc>
          <w:tcPr>
            <w:tcW w:w="3116" w:type="dxa"/>
            <w:vAlign w:val="center"/>
          </w:tcPr>
          <w:p w14:paraId="625AE1A1" w14:textId="37E7922B" w:rsidR="006048B1" w:rsidRDefault="006048B1" w:rsidP="00943B19">
            <w:pPr>
              <w:spacing w:line="360" w:lineRule="auto"/>
            </w:pPr>
            <w:r>
              <w:t>4</w:t>
            </w:r>
          </w:p>
        </w:tc>
        <w:tc>
          <w:tcPr>
            <w:tcW w:w="3117" w:type="dxa"/>
            <w:vAlign w:val="center"/>
          </w:tcPr>
          <w:p w14:paraId="538EBC32" w14:textId="49DF5F34" w:rsidR="006048B1" w:rsidRDefault="006048B1" w:rsidP="00943B19">
            <w:pPr>
              <w:spacing w:line="360" w:lineRule="auto"/>
            </w:pPr>
            <w:r>
              <w:t>10</w:t>
            </w:r>
          </w:p>
        </w:tc>
        <w:tc>
          <w:tcPr>
            <w:tcW w:w="3117" w:type="dxa"/>
            <w:vAlign w:val="center"/>
          </w:tcPr>
          <w:p w14:paraId="25D6BAC9" w14:textId="19541C32" w:rsidR="006048B1" w:rsidRDefault="006048B1" w:rsidP="00943B19">
            <w:pPr>
              <w:spacing w:line="360" w:lineRule="auto"/>
            </w:pPr>
            <w:r>
              <w:t>+6</w:t>
            </w:r>
          </w:p>
        </w:tc>
      </w:tr>
    </w:tbl>
    <w:p w14:paraId="52A87178" w14:textId="77777777" w:rsidR="008F4008" w:rsidRDefault="008F4008" w:rsidP="00943B19">
      <w:pPr>
        <w:spacing w:line="360" w:lineRule="auto"/>
      </w:pPr>
    </w:p>
    <w:p w14:paraId="7AF493F7" w14:textId="3D23ED0F" w:rsidR="008F4008" w:rsidRPr="000200FC" w:rsidRDefault="006048B1" w:rsidP="00943B19">
      <w:pPr>
        <w:spacing w:line="360" w:lineRule="auto"/>
        <w:rPr>
          <w:b/>
          <w:bCs/>
        </w:rPr>
      </w:pPr>
      <w:r w:rsidRPr="000200FC">
        <w:rPr>
          <w:b/>
          <w:bCs/>
        </w:rPr>
        <w:t>Project B</w:t>
      </w:r>
      <w:r w:rsidR="005C67B8" w:rsidRPr="000200FC">
        <w:rPr>
          <w:b/>
          <w:bCs/>
        </w:rPr>
        <w:t xml:space="preserve">: </w:t>
      </w:r>
      <w:r w:rsidRPr="000200FC">
        <w:rPr>
          <w:b/>
          <w:bCs/>
        </w:rPr>
        <w:t>Cumulative Cash Flow</w:t>
      </w:r>
    </w:p>
    <w:tbl>
      <w:tblPr>
        <w:tblStyle w:val="TableGrid"/>
        <w:tblW w:w="0" w:type="auto"/>
        <w:tblLook w:val="04A0" w:firstRow="1" w:lastRow="0" w:firstColumn="1" w:lastColumn="0" w:noHBand="0" w:noVBand="1"/>
      </w:tblPr>
      <w:tblGrid>
        <w:gridCol w:w="3116"/>
        <w:gridCol w:w="3117"/>
        <w:gridCol w:w="3117"/>
      </w:tblGrid>
      <w:tr w:rsidR="00202D18" w14:paraId="0DFA822A" w14:textId="77777777" w:rsidTr="00E22A20">
        <w:tc>
          <w:tcPr>
            <w:tcW w:w="3116" w:type="dxa"/>
            <w:vAlign w:val="center"/>
          </w:tcPr>
          <w:p w14:paraId="7724B560" w14:textId="528ECBE8" w:rsidR="00202D18" w:rsidRDefault="00202D18" w:rsidP="00943B19">
            <w:pPr>
              <w:spacing w:line="360" w:lineRule="auto"/>
            </w:pPr>
            <w:r>
              <w:rPr>
                <w:b/>
                <w:bCs/>
              </w:rPr>
              <w:t>Year</w:t>
            </w:r>
          </w:p>
        </w:tc>
        <w:tc>
          <w:tcPr>
            <w:tcW w:w="3117" w:type="dxa"/>
            <w:vAlign w:val="center"/>
          </w:tcPr>
          <w:p w14:paraId="564F17F0" w14:textId="4B3177A5" w:rsidR="00202D18" w:rsidRDefault="00202D18" w:rsidP="00943B19">
            <w:pPr>
              <w:spacing w:line="360" w:lineRule="auto"/>
            </w:pPr>
            <w:r>
              <w:rPr>
                <w:b/>
                <w:bCs/>
              </w:rPr>
              <w:t>Cash Flow</w:t>
            </w:r>
          </w:p>
        </w:tc>
        <w:tc>
          <w:tcPr>
            <w:tcW w:w="3117" w:type="dxa"/>
            <w:vAlign w:val="center"/>
          </w:tcPr>
          <w:p w14:paraId="335639F7" w14:textId="43C7D227" w:rsidR="00202D18" w:rsidRDefault="00202D18" w:rsidP="00943B19">
            <w:pPr>
              <w:spacing w:line="360" w:lineRule="auto"/>
            </w:pPr>
            <w:r>
              <w:rPr>
                <w:b/>
                <w:bCs/>
              </w:rPr>
              <w:t>Cumulative</w:t>
            </w:r>
          </w:p>
        </w:tc>
      </w:tr>
      <w:tr w:rsidR="00202D18" w14:paraId="7A867814" w14:textId="77777777" w:rsidTr="00E22A20">
        <w:tc>
          <w:tcPr>
            <w:tcW w:w="3116" w:type="dxa"/>
            <w:vAlign w:val="center"/>
          </w:tcPr>
          <w:p w14:paraId="5E603908" w14:textId="63D5FA82" w:rsidR="00202D18" w:rsidRDefault="00202D18" w:rsidP="00943B19">
            <w:pPr>
              <w:spacing w:line="360" w:lineRule="auto"/>
            </w:pPr>
            <w:r>
              <w:t>0</w:t>
            </w:r>
          </w:p>
        </w:tc>
        <w:tc>
          <w:tcPr>
            <w:tcW w:w="3117" w:type="dxa"/>
            <w:vAlign w:val="center"/>
          </w:tcPr>
          <w:p w14:paraId="2C78D574" w14:textId="22F82CFD" w:rsidR="00202D18" w:rsidRDefault="00202D18" w:rsidP="00943B19">
            <w:pPr>
              <w:spacing w:line="360" w:lineRule="auto"/>
            </w:pPr>
            <w:r>
              <w:t>-30</w:t>
            </w:r>
          </w:p>
        </w:tc>
        <w:tc>
          <w:tcPr>
            <w:tcW w:w="3117" w:type="dxa"/>
            <w:vAlign w:val="center"/>
          </w:tcPr>
          <w:p w14:paraId="32A18C0C" w14:textId="25E29EA2" w:rsidR="00202D18" w:rsidRDefault="00202D18" w:rsidP="00943B19">
            <w:pPr>
              <w:spacing w:line="360" w:lineRule="auto"/>
            </w:pPr>
            <w:r>
              <w:t>-30</w:t>
            </w:r>
          </w:p>
        </w:tc>
      </w:tr>
      <w:tr w:rsidR="00202D18" w14:paraId="5DDBF669" w14:textId="77777777" w:rsidTr="00E22A20">
        <w:tc>
          <w:tcPr>
            <w:tcW w:w="3116" w:type="dxa"/>
            <w:vAlign w:val="center"/>
          </w:tcPr>
          <w:p w14:paraId="13B9A1A9" w14:textId="01EC7397" w:rsidR="00202D18" w:rsidRDefault="00202D18" w:rsidP="00943B19">
            <w:pPr>
              <w:spacing w:line="360" w:lineRule="auto"/>
            </w:pPr>
            <w:r>
              <w:t>1</w:t>
            </w:r>
          </w:p>
        </w:tc>
        <w:tc>
          <w:tcPr>
            <w:tcW w:w="3117" w:type="dxa"/>
            <w:vAlign w:val="center"/>
          </w:tcPr>
          <w:p w14:paraId="537B96C0" w14:textId="671B06F3" w:rsidR="00202D18" w:rsidRDefault="00202D18" w:rsidP="00943B19">
            <w:pPr>
              <w:spacing w:line="360" w:lineRule="auto"/>
            </w:pPr>
            <w:r>
              <w:t>6</w:t>
            </w:r>
          </w:p>
        </w:tc>
        <w:tc>
          <w:tcPr>
            <w:tcW w:w="3117" w:type="dxa"/>
            <w:vAlign w:val="center"/>
          </w:tcPr>
          <w:p w14:paraId="47533318" w14:textId="12E680BC" w:rsidR="00202D18" w:rsidRDefault="00202D18" w:rsidP="00943B19">
            <w:pPr>
              <w:spacing w:line="360" w:lineRule="auto"/>
            </w:pPr>
            <w:r>
              <w:t>-24</w:t>
            </w:r>
          </w:p>
        </w:tc>
      </w:tr>
      <w:tr w:rsidR="00202D18" w14:paraId="0D503FF3" w14:textId="77777777" w:rsidTr="00E22A20">
        <w:tc>
          <w:tcPr>
            <w:tcW w:w="3116" w:type="dxa"/>
            <w:vAlign w:val="center"/>
          </w:tcPr>
          <w:p w14:paraId="5A88FA0D" w14:textId="2FE5585B" w:rsidR="00202D18" w:rsidRDefault="00202D18" w:rsidP="00943B19">
            <w:pPr>
              <w:spacing w:line="360" w:lineRule="auto"/>
            </w:pPr>
            <w:r>
              <w:t>2</w:t>
            </w:r>
          </w:p>
        </w:tc>
        <w:tc>
          <w:tcPr>
            <w:tcW w:w="3117" w:type="dxa"/>
            <w:vAlign w:val="center"/>
          </w:tcPr>
          <w:p w14:paraId="53EDB1BE" w14:textId="0C7B6D69" w:rsidR="00202D18" w:rsidRDefault="00202D18" w:rsidP="00943B19">
            <w:pPr>
              <w:spacing w:line="360" w:lineRule="auto"/>
            </w:pPr>
            <w:r>
              <w:t>6</w:t>
            </w:r>
          </w:p>
        </w:tc>
        <w:tc>
          <w:tcPr>
            <w:tcW w:w="3117" w:type="dxa"/>
            <w:vAlign w:val="center"/>
          </w:tcPr>
          <w:p w14:paraId="60C8AAE0" w14:textId="7620FA28" w:rsidR="00202D18" w:rsidRDefault="00202D18" w:rsidP="00943B19">
            <w:pPr>
              <w:spacing w:line="360" w:lineRule="auto"/>
            </w:pPr>
            <w:r>
              <w:t>-18</w:t>
            </w:r>
          </w:p>
        </w:tc>
      </w:tr>
      <w:tr w:rsidR="00202D18" w14:paraId="246CAC00" w14:textId="77777777" w:rsidTr="00E22A20">
        <w:tc>
          <w:tcPr>
            <w:tcW w:w="3116" w:type="dxa"/>
            <w:vAlign w:val="center"/>
          </w:tcPr>
          <w:p w14:paraId="5AB20852" w14:textId="6A29C664" w:rsidR="00202D18" w:rsidRDefault="00202D18" w:rsidP="00943B19">
            <w:pPr>
              <w:spacing w:line="360" w:lineRule="auto"/>
            </w:pPr>
            <w:r>
              <w:t>3</w:t>
            </w:r>
          </w:p>
        </w:tc>
        <w:tc>
          <w:tcPr>
            <w:tcW w:w="3117" w:type="dxa"/>
            <w:vAlign w:val="center"/>
          </w:tcPr>
          <w:p w14:paraId="7AF610B8" w14:textId="5FACDFE4" w:rsidR="00202D18" w:rsidRDefault="00202D18" w:rsidP="00943B19">
            <w:pPr>
              <w:spacing w:line="360" w:lineRule="auto"/>
            </w:pPr>
            <w:r>
              <w:t>6</w:t>
            </w:r>
          </w:p>
        </w:tc>
        <w:tc>
          <w:tcPr>
            <w:tcW w:w="3117" w:type="dxa"/>
            <w:vAlign w:val="center"/>
          </w:tcPr>
          <w:p w14:paraId="4CEC685E" w14:textId="06160772" w:rsidR="00202D18" w:rsidRDefault="00202D18" w:rsidP="00943B19">
            <w:pPr>
              <w:spacing w:line="360" w:lineRule="auto"/>
            </w:pPr>
            <w:r>
              <w:t>-12</w:t>
            </w:r>
          </w:p>
        </w:tc>
      </w:tr>
      <w:tr w:rsidR="00202D18" w14:paraId="2CB99428" w14:textId="77777777" w:rsidTr="00E22A20">
        <w:tc>
          <w:tcPr>
            <w:tcW w:w="3116" w:type="dxa"/>
            <w:vAlign w:val="center"/>
          </w:tcPr>
          <w:p w14:paraId="780F4B45" w14:textId="16285D2F" w:rsidR="00202D18" w:rsidRDefault="00202D18" w:rsidP="00943B19">
            <w:pPr>
              <w:spacing w:line="360" w:lineRule="auto"/>
            </w:pPr>
            <w:r>
              <w:t>4</w:t>
            </w:r>
          </w:p>
        </w:tc>
        <w:tc>
          <w:tcPr>
            <w:tcW w:w="3117" w:type="dxa"/>
            <w:vAlign w:val="center"/>
          </w:tcPr>
          <w:p w14:paraId="7DC79D02" w14:textId="258B9377" w:rsidR="00202D18" w:rsidRDefault="00202D18" w:rsidP="00943B19">
            <w:pPr>
              <w:spacing w:line="360" w:lineRule="auto"/>
            </w:pPr>
            <w:r>
              <w:t>6</w:t>
            </w:r>
          </w:p>
        </w:tc>
        <w:tc>
          <w:tcPr>
            <w:tcW w:w="3117" w:type="dxa"/>
            <w:vAlign w:val="center"/>
          </w:tcPr>
          <w:p w14:paraId="6DDF5B2C" w14:textId="76A50954" w:rsidR="00202D18" w:rsidRDefault="00202D18" w:rsidP="00943B19">
            <w:pPr>
              <w:spacing w:line="360" w:lineRule="auto"/>
            </w:pPr>
            <w:r>
              <w:t>-6</w:t>
            </w:r>
          </w:p>
        </w:tc>
      </w:tr>
      <w:tr w:rsidR="00202D18" w14:paraId="43E0BD5D" w14:textId="77777777" w:rsidTr="00E22A20">
        <w:tc>
          <w:tcPr>
            <w:tcW w:w="3116" w:type="dxa"/>
            <w:vAlign w:val="center"/>
          </w:tcPr>
          <w:p w14:paraId="66758F08" w14:textId="3463D833" w:rsidR="00202D18" w:rsidRDefault="00202D18" w:rsidP="00943B19">
            <w:pPr>
              <w:spacing w:line="360" w:lineRule="auto"/>
            </w:pPr>
            <w:r>
              <w:t>5</w:t>
            </w:r>
          </w:p>
        </w:tc>
        <w:tc>
          <w:tcPr>
            <w:tcW w:w="3117" w:type="dxa"/>
            <w:vAlign w:val="center"/>
          </w:tcPr>
          <w:p w14:paraId="46FD1134" w14:textId="7569D997" w:rsidR="00202D18" w:rsidRDefault="00202D18" w:rsidP="00943B19">
            <w:pPr>
              <w:spacing w:line="360" w:lineRule="auto"/>
            </w:pPr>
            <w:r>
              <w:t>6</w:t>
            </w:r>
          </w:p>
        </w:tc>
        <w:tc>
          <w:tcPr>
            <w:tcW w:w="3117" w:type="dxa"/>
            <w:vAlign w:val="center"/>
          </w:tcPr>
          <w:p w14:paraId="7589D5EC" w14:textId="78CD777A" w:rsidR="00202D18" w:rsidRDefault="00202D18" w:rsidP="00943B19">
            <w:pPr>
              <w:spacing w:line="360" w:lineRule="auto"/>
            </w:pPr>
            <w:r>
              <w:t>0</w:t>
            </w:r>
          </w:p>
        </w:tc>
      </w:tr>
    </w:tbl>
    <w:p w14:paraId="2B665098" w14:textId="77777777" w:rsidR="00202D18" w:rsidRDefault="00202D18" w:rsidP="00943B19">
      <w:pPr>
        <w:spacing w:line="360" w:lineRule="auto"/>
      </w:pPr>
    </w:p>
    <w:p w14:paraId="0D317F4A" w14:textId="74E62E38" w:rsidR="00202D18" w:rsidRPr="000200FC" w:rsidRDefault="00822B68" w:rsidP="00943B19">
      <w:pPr>
        <w:spacing w:line="360" w:lineRule="auto"/>
        <w:rPr>
          <w:b/>
          <w:bCs/>
        </w:rPr>
      </w:pPr>
      <w:r w:rsidRPr="000200FC">
        <w:rPr>
          <w:b/>
          <w:bCs/>
        </w:rPr>
        <w:t>Project C</w:t>
      </w:r>
      <w:r w:rsidR="00881CB5" w:rsidRPr="000200FC">
        <w:rPr>
          <w:b/>
          <w:bCs/>
        </w:rPr>
        <w:t>:</w:t>
      </w:r>
      <w:r w:rsidRPr="000200FC">
        <w:rPr>
          <w:b/>
          <w:bCs/>
        </w:rPr>
        <w:t xml:space="preserve"> Cumulative Cash Flow</w:t>
      </w:r>
    </w:p>
    <w:tbl>
      <w:tblPr>
        <w:tblStyle w:val="TableGrid"/>
        <w:tblW w:w="0" w:type="auto"/>
        <w:tblLook w:val="04A0" w:firstRow="1" w:lastRow="0" w:firstColumn="1" w:lastColumn="0" w:noHBand="0" w:noVBand="1"/>
      </w:tblPr>
      <w:tblGrid>
        <w:gridCol w:w="3116"/>
        <w:gridCol w:w="3117"/>
        <w:gridCol w:w="3117"/>
      </w:tblGrid>
      <w:tr w:rsidR="00822B68" w14:paraId="6CD3CC00" w14:textId="77777777" w:rsidTr="00886A8F">
        <w:tc>
          <w:tcPr>
            <w:tcW w:w="3116" w:type="dxa"/>
            <w:vAlign w:val="center"/>
          </w:tcPr>
          <w:p w14:paraId="0F51F444" w14:textId="47B9773C" w:rsidR="00822B68" w:rsidRDefault="00822B68" w:rsidP="00943B19">
            <w:pPr>
              <w:spacing w:line="360" w:lineRule="auto"/>
            </w:pPr>
            <w:r>
              <w:rPr>
                <w:b/>
                <w:bCs/>
              </w:rPr>
              <w:t>Year</w:t>
            </w:r>
          </w:p>
        </w:tc>
        <w:tc>
          <w:tcPr>
            <w:tcW w:w="3117" w:type="dxa"/>
            <w:vAlign w:val="center"/>
          </w:tcPr>
          <w:p w14:paraId="5614A028" w14:textId="3120163C" w:rsidR="00822B68" w:rsidRDefault="00822B68" w:rsidP="00943B19">
            <w:pPr>
              <w:spacing w:line="360" w:lineRule="auto"/>
            </w:pPr>
            <w:r>
              <w:rPr>
                <w:b/>
                <w:bCs/>
              </w:rPr>
              <w:t>Cash Flow</w:t>
            </w:r>
          </w:p>
        </w:tc>
        <w:tc>
          <w:tcPr>
            <w:tcW w:w="3117" w:type="dxa"/>
            <w:vAlign w:val="center"/>
          </w:tcPr>
          <w:p w14:paraId="7050F4FF" w14:textId="3701C2AE" w:rsidR="00822B68" w:rsidRDefault="00822B68" w:rsidP="00943B19">
            <w:pPr>
              <w:spacing w:line="360" w:lineRule="auto"/>
            </w:pPr>
            <w:r>
              <w:rPr>
                <w:b/>
                <w:bCs/>
              </w:rPr>
              <w:t>Cumulative</w:t>
            </w:r>
          </w:p>
        </w:tc>
      </w:tr>
      <w:tr w:rsidR="00822B68" w14:paraId="75E2A041" w14:textId="77777777" w:rsidTr="00886A8F">
        <w:tc>
          <w:tcPr>
            <w:tcW w:w="3116" w:type="dxa"/>
            <w:vAlign w:val="center"/>
          </w:tcPr>
          <w:p w14:paraId="14461576" w14:textId="5996609B" w:rsidR="00822B68" w:rsidRDefault="00822B68" w:rsidP="00943B19">
            <w:pPr>
              <w:spacing w:line="360" w:lineRule="auto"/>
            </w:pPr>
            <w:r>
              <w:t>0</w:t>
            </w:r>
          </w:p>
        </w:tc>
        <w:tc>
          <w:tcPr>
            <w:tcW w:w="3117" w:type="dxa"/>
            <w:vAlign w:val="center"/>
          </w:tcPr>
          <w:p w14:paraId="5FB21446" w14:textId="7904FA83" w:rsidR="00822B68" w:rsidRDefault="00822B68" w:rsidP="00943B19">
            <w:pPr>
              <w:spacing w:line="360" w:lineRule="auto"/>
            </w:pPr>
            <w:r>
              <w:t>-50</w:t>
            </w:r>
          </w:p>
        </w:tc>
        <w:tc>
          <w:tcPr>
            <w:tcW w:w="3117" w:type="dxa"/>
            <w:vAlign w:val="center"/>
          </w:tcPr>
          <w:p w14:paraId="4DC0BB6A" w14:textId="4F0B7C7C" w:rsidR="00822B68" w:rsidRDefault="00822B68" w:rsidP="00943B19">
            <w:pPr>
              <w:spacing w:line="360" w:lineRule="auto"/>
            </w:pPr>
            <w:r>
              <w:t>-50</w:t>
            </w:r>
          </w:p>
        </w:tc>
      </w:tr>
      <w:tr w:rsidR="00822B68" w14:paraId="08835288" w14:textId="77777777" w:rsidTr="00886A8F">
        <w:tc>
          <w:tcPr>
            <w:tcW w:w="3116" w:type="dxa"/>
            <w:vAlign w:val="center"/>
          </w:tcPr>
          <w:p w14:paraId="122ADA26" w14:textId="06B3757F" w:rsidR="00822B68" w:rsidRDefault="00822B68" w:rsidP="00943B19">
            <w:pPr>
              <w:spacing w:line="360" w:lineRule="auto"/>
            </w:pPr>
            <w:r>
              <w:t>1</w:t>
            </w:r>
          </w:p>
        </w:tc>
        <w:tc>
          <w:tcPr>
            <w:tcW w:w="3117" w:type="dxa"/>
            <w:vAlign w:val="center"/>
          </w:tcPr>
          <w:p w14:paraId="10FF9316" w14:textId="2DAF3173" w:rsidR="00822B68" w:rsidRDefault="00822B68" w:rsidP="00943B19">
            <w:pPr>
              <w:spacing w:line="360" w:lineRule="auto"/>
            </w:pPr>
            <w:r>
              <w:t>5</w:t>
            </w:r>
          </w:p>
        </w:tc>
        <w:tc>
          <w:tcPr>
            <w:tcW w:w="3117" w:type="dxa"/>
            <w:vAlign w:val="center"/>
          </w:tcPr>
          <w:p w14:paraId="37BA7E12" w14:textId="3508D7FA" w:rsidR="00822B68" w:rsidRDefault="00822B68" w:rsidP="00943B19">
            <w:pPr>
              <w:spacing w:line="360" w:lineRule="auto"/>
            </w:pPr>
            <w:r>
              <w:t>-45</w:t>
            </w:r>
          </w:p>
        </w:tc>
      </w:tr>
      <w:tr w:rsidR="00822B68" w14:paraId="0B9145A1" w14:textId="77777777" w:rsidTr="00886A8F">
        <w:tc>
          <w:tcPr>
            <w:tcW w:w="3116" w:type="dxa"/>
            <w:vAlign w:val="center"/>
          </w:tcPr>
          <w:p w14:paraId="3101E4A7" w14:textId="2F526B70" w:rsidR="00822B68" w:rsidRDefault="00822B68" w:rsidP="00943B19">
            <w:pPr>
              <w:spacing w:line="360" w:lineRule="auto"/>
            </w:pPr>
            <w:r>
              <w:lastRenderedPageBreak/>
              <w:t>2</w:t>
            </w:r>
          </w:p>
        </w:tc>
        <w:tc>
          <w:tcPr>
            <w:tcW w:w="3117" w:type="dxa"/>
            <w:vAlign w:val="center"/>
          </w:tcPr>
          <w:p w14:paraId="30ADABD1" w14:textId="07F06475" w:rsidR="00822B68" w:rsidRDefault="00822B68" w:rsidP="00943B19">
            <w:pPr>
              <w:spacing w:line="360" w:lineRule="auto"/>
            </w:pPr>
            <w:r>
              <w:t>10</w:t>
            </w:r>
          </w:p>
        </w:tc>
        <w:tc>
          <w:tcPr>
            <w:tcW w:w="3117" w:type="dxa"/>
            <w:vAlign w:val="center"/>
          </w:tcPr>
          <w:p w14:paraId="11A53FE7" w14:textId="2C4A9BE5" w:rsidR="00822B68" w:rsidRDefault="00822B68" w:rsidP="00943B19">
            <w:pPr>
              <w:spacing w:line="360" w:lineRule="auto"/>
            </w:pPr>
            <w:r>
              <w:t>-35</w:t>
            </w:r>
          </w:p>
        </w:tc>
      </w:tr>
      <w:tr w:rsidR="00822B68" w14:paraId="29963707" w14:textId="77777777" w:rsidTr="00886A8F">
        <w:tc>
          <w:tcPr>
            <w:tcW w:w="3116" w:type="dxa"/>
            <w:vAlign w:val="center"/>
          </w:tcPr>
          <w:p w14:paraId="5F28FA9E" w14:textId="454B6D4B" w:rsidR="00822B68" w:rsidRDefault="00822B68" w:rsidP="00943B19">
            <w:pPr>
              <w:spacing w:line="360" w:lineRule="auto"/>
            </w:pPr>
            <w:r>
              <w:t>3</w:t>
            </w:r>
          </w:p>
        </w:tc>
        <w:tc>
          <w:tcPr>
            <w:tcW w:w="3117" w:type="dxa"/>
            <w:vAlign w:val="center"/>
          </w:tcPr>
          <w:p w14:paraId="42236407" w14:textId="79ACAC8F" w:rsidR="00822B68" w:rsidRDefault="00822B68" w:rsidP="00943B19">
            <w:pPr>
              <w:spacing w:line="360" w:lineRule="auto"/>
            </w:pPr>
            <w:r>
              <w:t>20</w:t>
            </w:r>
          </w:p>
        </w:tc>
        <w:tc>
          <w:tcPr>
            <w:tcW w:w="3117" w:type="dxa"/>
            <w:vAlign w:val="center"/>
          </w:tcPr>
          <w:p w14:paraId="62C13835" w14:textId="7064F3BD" w:rsidR="00822B68" w:rsidRDefault="00822B68" w:rsidP="00943B19">
            <w:pPr>
              <w:spacing w:line="360" w:lineRule="auto"/>
            </w:pPr>
            <w:r>
              <w:t>-15</w:t>
            </w:r>
          </w:p>
        </w:tc>
      </w:tr>
      <w:tr w:rsidR="00822B68" w14:paraId="0E257C73" w14:textId="77777777" w:rsidTr="00886A8F">
        <w:tc>
          <w:tcPr>
            <w:tcW w:w="3116" w:type="dxa"/>
            <w:vAlign w:val="center"/>
          </w:tcPr>
          <w:p w14:paraId="02C9BEFE" w14:textId="6BE79B5C" w:rsidR="00822B68" w:rsidRDefault="00822B68" w:rsidP="00943B19">
            <w:pPr>
              <w:spacing w:line="360" w:lineRule="auto"/>
            </w:pPr>
            <w:r>
              <w:t>4</w:t>
            </w:r>
          </w:p>
        </w:tc>
        <w:tc>
          <w:tcPr>
            <w:tcW w:w="3117" w:type="dxa"/>
            <w:vAlign w:val="center"/>
          </w:tcPr>
          <w:p w14:paraId="10B0D9A3" w14:textId="2F400272" w:rsidR="00822B68" w:rsidRDefault="00822B68" w:rsidP="00943B19">
            <w:pPr>
              <w:spacing w:line="360" w:lineRule="auto"/>
            </w:pPr>
            <w:r>
              <w:t>25</w:t>
            </w:r>
          </w:p>
        </w:tc>
        <w:tc>
          <w:tcPr>
            <w:tcW w:w="3117" w:type="dxa"/>
            <w:vAlign w:val="center"/>
          </w:tcPr>
          <w:p w14:paraId="6B9A0101" w14:textId="45AAAA27" w:rsidR="00822B68" w:rsidRDefault="00822B68" w:rsidP="00943B19">
            <w:pPr>
              <w:spacing w:line="360" w:lineRule="auto"/>
            </w:pPr>
            <w:r>
              <w:t>+10</w:t>
            </w:r>
          </w:p>
        </w:tc>
      </w:tr>
    </w:tbl>
    <w:p w14:paraId="4183B339" w14:textId="77777777" w:rsidR="00822B68" w:rsidRDefault="00822B68" w:rsidP="00943B19">
      <w:pPr>
        <w:spacing w:line="360" w:lineRule="auto"/>
      </w:pPr>
    </w:p>
    <w:p w14:paraId="0B2D4FD5" w14:textId="5DAA40B0" w:rsidR="00822B68" w:rsidRPr="00184C62" w:rsidRDefault="00184C62" w:rsidP="00943B19">
      <w:pPr>
        <w:spacing w:line="360" w:lineRule="auto"/>
        <w:rPr>
          <w:b/>
          <w:bCs/>
        </w:rPr>
      </w:pPr>
      <w:r w:rsidRPr="00184C62">
        <w:rPr>
          <w:b/>
          <w:bCs/>
        </w:rPr>
        <w:t>D3. Accounting Rate of Return (ARR)</w:t>
      </w:r>
    </w:p>
    <w:p w14:paraId="13C01218" w14:textId="77777777" w:rsidR="00184C62" w:rsidRPr="00184C62" w:rsidRDefault="00184C62" w:rsidP="00943B19">
      <w:pPr>
        <w:spacing w:line="360" w:lineRule="auto"/>
      </w:pPr>
      <w:r w:rsidRPr="00184C62">
        <w:rPr>
          <w:b/>
          <w:bCs/>
        </w:rPr>
        <w:t>Formula:</w:t>
      </w:r>
    </w:p>
    <w:p w14:paraId="773A1FB5" w14:textId="0DFDEFF3" w:rsidR="00184C62" w:rsidRDefault="00FD05B3" w:rsidP="00943B19">
      <w:pPr>
        <w:spacing w:line="360" w:lineRule="auto"/>
      </w:pPr>
      <w:r w:rsidRPr="00FD05B3">
        <w:t>ARR</w:t>
      </w:r>
      <w:proofErr w:type="gramStart"/>
      <w:r w:rsidRPr="00FD05B3">
        <w:t>=</w:t>
      </w:r>
      <w:r>
        <w:t>(</w:t>
      </w:r>
      <w:proofErr w:type="gramEnd"/>
      <w:r w:rsidRPr="00FD05B3">
        <w:t>Initial </w:t>
      </w:r>
      <w:proofErr w:type="spellStart"/>
      <w:r w:rsidRPr="00FD05B3">
        <w:t>InvestmentAverage</w:t>
      </w:r>
      <w:proofErr w:type="spellEnd"/>
      <w:r>
        <w:t>/</w:t>
      </w:r>
      <w:r w:rsidRPr="00FD05B3">
        <w:t>Annual Profit</w:t>
      </w:r>
      <w:r>
        <w:t>)</w:t>
      </w:r>
      <w:r w:rsidRPr="00FD05B3">
        <w:t>​×100</w:t>
      </w:r>
    </w:p>
    <w:tbl>
      <w:tblPr>
        <w:tblStyle w:val="TableGrid"/>
        <w:tblW w:w="0" w:type="auto"/>
        <w:tblLook w:val="04A0" w:firstRow="1" w:lastRow="0" w:firstColumn="1" w:lastColumn="0" w:noHBand="0" w:noVBand="1"/>
      </w:tblPr>
      <w:tblGrid>
        <w:gridCol w:w="2337"/>
        <w:gridCol w:w="2337"/>
        <w:gridCol w:w="2338"/>
        <w:gridCol w:w="2338"/>
      </w:tblGrid>
      <w:tr w:rsidR="00FD05B3" w14:paraId="54C63051" w14:textId="77777777" w:rsidTr="00D75064">
        <w:tc>
          <w:tcPr>
            <w:tcW w:w="2337" w:type="dxa"/>
            <w:vAlign w:val="center"/>
          </w:tcPr>
          <w:p w14:paraId="22D3A10E" w14:textId="5E309799" w:rsidR="00FD05B3" w:rsidRDefault="00FD05B3" w:rsidP="00943B19">
            <w:pPr>
              <w:spacing w:line="360" w:lineRule="auto"/>
            </w:pPr>
            <w:r>
              <w:rPr>
                <w:b/>
                <w:bCs/>
              </w:rPr>
              <w:t>Project</w:t>
            </w:r>
          </w:p>
        </w:tc>
        <w:tc>
          <w:tcPr>
            <w:tcW w:w="2337" w:type="dxa"/>
            <w:vAlign w:val="center"/>
          </w:tcPr>
          <w:p w14:paraId="2BD65733" w14:textId="0934A68C" w:rsidR="00FD05B3" w:rsidRDefault="00FD05B3" w:rsidP="00943B19">
            <w:pPr>
              <w:spacing w:line="360" w:lineRule="auto"/>
            </w:pPr>
            <w:r>
              <w:rPr>
                <w:b/>
                <w:bCs/>
              </w:rPr>
              <w:t>Average Annual Profit (£m)</w:t>
            </w:r>
          </w:p>
        </w:tc>
        <w:tc>
          <w:tcPr>
            <w:tcW w:w="2338" w:type="dxa"/>
            <w:vAlign w:val="center"/>
          </w:tcPr>
          <w:p w14:paraId="58DC1372" w14:textId="43E5F3CB" w:rsidR="00FD05B3" w:rsidRDefault="00FD05B3" w:rsidP="00943B19">
            <w:pPr>
              <w:spacing w:line="360" w:lineRule="auto"/>
            </w:pPr>
            <w:r>
              <w:rPr>
                <w:b/>
                <w:bCs/>
              </w:rPr>
              <w:t>Initial Investment (£m)</w:t>
            </w:r>
          </w:p>
        </w:tc>
        <w:tc>
          <w:tcPr>
            <w:tcW w:w="2338" w:type="dxa"/>
            <w:vAlign w:val="center"/>
          </w:tcPr>
          <w:p w14:paraId="0DE2E70A" w14:textId="67C68FA8" w:rsidR="00FD05B3" w:rsidRDefault="00FD05B3" w:rsidP="00943B19">
            <w:pPr>
              <w:spacing w:line="360" w:lineRule="auto"/>
            </w:pPr>
            <w:r>
              <w:rPr>
                <w:b/>
                <w:bCs/>
              </w:rPr>
              <w:t>ARR (%)</w:t>
            </w:r>
          </w:p>
        </w:tc>
      </w:tr>
      <w:tr w:rsidR="00FD05B3" w14:paraId="22FBE732" w14:textId="77777777" w:rsidTr="00D75064">
        <w:tc>
          <w:tcPr>
            <w:tcW w:w="2337" w:type="dxa"/>
            <w:vAlign w:val="center"/>
          </w:tcPr>
          <w:p w14:paraId="52386A6B" w14:textId="478202DD" w:rsidR="00FD05B3" w:rsidRDefault="00FD05B3" w:rsidP="00943B19">
            <w:pPr>
              <w:spacing w:line="360" w:lineRule="auto"/>
            </w:pPr>
            <w:r>
              <w:t>A</w:t>
            </w:r>
          </w:p>
        </w:tc>
        <w:tc>
          <w:tcPr>
            <w:tcW w:w="2337" w:type="dxa"/>
            <w:vAlign w:val="center"/>
          </w:tcPr>
          <w:p w14:paraId="5957604A" w14:textId="61B4A22A" w:rsidR="00FD05B3" w:rsidRDefault="00FD05B3" w:rsidP="00943B19">
            <w:pPr>
              <w:spacing w:line="360" w:lineRule="auto"/>
            </w:pPr>
            <w:r>
              <w:t>6.2</w:t>
            </w:r>
          </w:p>
        </w:tc>
        <w:tc>
          <w:tcPr>
            <w:tcW w:w="2338" w:type="dxa"/>
            <w:vAlign w:val="center"/>
          </w:tcPr>
          <w:p w14:paraId="0815D36C" w14:textId="69BE02D7" w:rsidR="00FD05B3" w:rsidRDefault="00FD05B3" w:rsidP="00943B19">
            <w:pPr>
              <w:spacing w:line="360" w:lineRule="auto"/>
            </w:pPr>
            <w:r>
              <w:t>40</w:t>
            </w:r>
          </w:p>
        </w:tc>
        <w:tc>
          <w:tcPr>
            <w:tcW w:w="2338" w:type="dxa"/>
            <w:vAlign w:val="center"/>
          </w:tcPr>
          <w:p w14:paraId="485C9639" w14:textId="397FED4A" w:rsidR="00FD05B3" w:rsidRDefault="00FD05B3" w:rsidP="00943B19">
            <w:pPr>
              <w:spacing w:line="360" w:lineRule="auto"/>
            </w:pPr>
            <w:r>
              <w:t>15.5%</w:t>
            </w:r>
          </w:p>
        </w:tc>
      </w:tr>
      <w:tr w:rsidR="00FD05B3" w14:paraId="4AD7B4D0" w14:textId="77777777" w:rsidTr="00D75064">
        <w:tc>
          <w:tcPr>
            <w:tcW w:w="2337" w:type="dxa"/>
            <w:vAlign w:val="center"/>
          </w:tcPr>
          <w:p w14:paraId="34E11E84" w14:textId="7BBEFB08" w:rsidR="00FD05B3" w:rsidRDefault="00FD05B3" w:rsidP="00943B19">
            <w:pPr>
              <w:spacing w:line="360" w:lineRule="auto"/>
            </w:pPr>
            <w:r>
              <w:t>B</w:t>
            </w:r>
          </w:p>
        </w:tc>
        <w:tc>
          <w:tcPr>
            <w:tcW w:w="2337" w:type="dxa"/>
            <w:vAlign w:val="center"/>
          </w:tcPr>
          <w:p w14:paraId="3B5C6E04" w14:textId="68B16939" w:rsidR="00FD05B3" w:rsidRDefault="00FD05B3" w:rsidP="00943B19">
            <w:pPr>
              <w:spacing w:line="360" w:lineRule="auto"/>
            </w:pPr>
            <w:r>
              <w:t>3.6</w:t>
            </w:r>
          </w:p>
        </w:tc>
        <w:tc>
          <w:tcPr>
            <w:tcW w:w="2338" w:type="dxa"/>
            <w:vAlign w:val="center"/>
          </w:tcPr>
          <w:p w14:paraId="63F574E7" w14:textId="791EB1B4" w:rsidR="00FD05B3" w:rsidRDefault="00FD05B3" w:rsidP="00943B19">
            <w:pPr>
              <w:spacing w:line="360" w:lineRule="auto"/>
            </w:pPr>
            <w:r>
              <w:t>30</w:t>
            </w:r>
          </w:p>
        </w:tc>
        <w:tc>
          <w:tcPr>
            <w:tcW w:w="2338" w:type="dxa"/>
            <w:vAlign w:val="center"/>
          </w:tcPr>
          <w:p w14:paraId="5A92BFDF" w14:textId="29944C37" w:rsidR="00FD05B3" w:rsidRDefault="00FD05B3" w:rsidP="00943B19">
            <w:pPr>
              <w:spacing w:line="360" w:lineRule="auto"/>
            </w:pPr>
            <w:r>
              <w:t>12.0%</w:t>
            </w:r>
          </w:p>
        </w:tc>
      </w:tr>
      <w:tr w:rsidR="00FD05B3" w14:paraId="638DA8A3" w14:textId="77777777" w:rsidTr="00D75064">
        <w:tc>
          <w:tcPr>
            <w:tcW w:w="2337" w:type="dxa"/>
            <w:vAlign w:val="center"/>
          </w:tcPr>
          <w:p w14:paraId="5040717E" w14:textId="393C9D57" w:rsidR="00FD05B3" w:rsidRDefault="00FD05B3" w:rsidP="00943B19">
            <w:pPr>
              <w:spacing w:line="360" w:lineRule="auto"/>
            </w:pPr>
            <w:r>
              <w:t>C</w:t>
            </w:r>
          </w:p>
        </w:tc>
        <w:tc>
          <w:tcPr>
            <w:tcW w:w="2337" w:type="dxa"/>
            <w:vAlign w:val="center"/>
          </w:tcPr>
          <w:p w14:paraId="534ED81F" w14:textId="656CF7C2" w:rsidR="00FD05B3" w:rsidRDefault="00FD05B3" w:rsidP="00943B19">
            <w:pPr>
              <w:spacing w:line="360" w:lineRule="auto"/>
            </w:pPr>
            <w:r>
              <w:t>9.1</w:t>
            </w:r>
          </w:p>
        </w:tc>
        <w:tc>
          <w:tcPr>
            <w:tcW w:w="2338" w:type="dxa"/>
            <w:vAlign w:val="center"/>
          </w:tcPr>
          <w:p w14:paraId="12C605F1" w14:textId="2069AF8F" w:rsidR="00FD05B3" w:rsidRDefault="00FD05B3" w:rsidP="00943B19">
            <w:pPr>
              <w:spacing w:line="360" w:lineRule="auto"/>
            </w:pPr>
            <w:r>
              <w:t>50</w:t>
            </w:r>
          </w:p>
        </w:tc>
        <w:tc>
          <w:tcPr>
            <w:tcW w:w="2338" w:type="dxa"/>
            <w:vAlign w:val="center"/>
          </w:tcPr>
          <w:p w14:paraId="51DE9883" w14:textId="1180D1E0" w:rsidR="00FD05B3" w:rsidRDefault="00FD05B3" w:rsidP="00943B19">
            <w:pPr>
              <w:spacing w:line="360" w:lineRule="auto"/>
            </w:pPr>
            <w:r>
              <w:t>18.2%</w:t>
            </w:r>
          </w:p>
        </w:tc>
      </w:tr>
    </w:tbl>
    <w:p w14:paraId="0FF18D75" w14:textId="77777777" w:rsidR="00FD05B3" w:rsidRDefault="00FD05B3" w:rsidP="00943B19">
      <w:pPr>
        <w:spacing w:line="360" w:lineRule="auto"/>
      </w:pPr>
    </w:p>
    <w:p w14:paraId="32AE144C" w14:textId="436B3D50" w:rsidR="00E110D6" w:rsidRPr="00881CB5" w:rsidRDefault="00C50401" w:rsidP="00943B19">
      <w:pPr>
        <w:spacing w:line="360" w:lineRule="auto"/>
        <w:rPr>
          <w:b/>
          <w:bCs/>
        </w:rPr>
      </w:pPr>
      <w:r w:rsidRPr="00160A75">
        <w:rPr>
          <w:b/>
          <w:bCs/>
        </w:rPr>
        <w:t>D4. Net Present Value (NPV) Calculation (10%)</w:t>
      </w:r>
    </w:p>
    <w:tbl>
      <w:tblPr>
        <w:tblStyle w:val="TableGrid"/>
        <w:tblW w:w="0" w:type="auto"/>
        <w:tblLook w:val="04A0" w:firstRow="1" w:lastRow="0" w:firstColumn="1" w:lastColumn="0" w:noHBand="0" w:noVBand="1"/>
      </w:tblPr>
      <w:tblGrid>
        <w:gridCol w:w="2337"/>
        <w:gridCol w:w="2337"/>
        <w:gridCol w:w="2338"/>
        <w:gridCol w:w="2338"/>
      </w:tblGrid>
      <w:tr w:rsidR="00E110D6" w14:paraId="6A852295" w14:textId="77777777" w:rsidTr="00344466">
        <w:tc>
          <w:tcPr>
            <w:tcW w:w="2337" w:type="dxa"/>
            <w:vAlign w:val="center"/>
          </w:tcPr>
          <w:p w14:paraId="0D555049" w14:textId="30B37C9A" w:rsidR="00E110D6" w:rsidRDefault="00E110D6" w:rsidP="00943B19">
            <w:pPr>
              <w:spacing w:line="360" w:lineRule="auto"/>
            </w:pPr>
            <w:r>
              <w:rPr>
                <w:b/>
                <w:bCs/>
              </w:rPr>
              <w:t>Project</w:t>
            </w:r>
          </w:p>
        </w:tc>
        <w:tc>
          <w:tcPr>
            <w:tcW w:w="2337" w:type="dxa"/>
            <w:vAlign w:val="center"/>
          </w:tcPr>
          <w:p w14:paraId="1CF5C9CD" w14:textId="70BFE806" w:rsidR="00E110D6" w:rsidRDefault="00E110D6" w:rsidP="00943B19">
            <w:pPr>
              <w:spacing w:line="360" w:lineRule="auto"/>
            </w:pPr>
            <w:r>
              <w:rPr>
                <w:b/>
                <w:bCs/>
              </w:rPr>
              <w:t>PV of Cash Inflows (£m)</w:t>
            </w:r>
          </w:p>
        </w:tc>
        <w:tc>
          <w:tcPr>
            <w:tcW w:w="2338" w:type="dxa"/>
            <w:vAlign w:val="center"/>
          </w:tcPr>
          <w:p w14:paraId="1C4B89AD" w14:textId="0D352458" w:rsidR="00E110D6" w:rsidRDefault="00E110D6" w:rsidP="00943B19">
            <w:pPr>
              <w:spacing w:line="360" w:lineRule="auto"/>
            </w:pPr>
            <w:r>
              <w:rPr>
                <w:b/>
                <w:bCs/>
              </w:rPr>
              <w:t>Initial Investment (£m)</w:t>
            </w:r>
          </w:p>
        </w:tc>
        <w:tc>
          <w:tcPr>
            <w:tcW w:w="2338" w:type="dxa"/>
            <w:vAlign w:val="center"/>
          </w:tcPr>
          <w:p w14:paraId="18ED8146" w14:textId="4AC008AD" w:rsidR="00E110D6" w:rsidRDefault="00E110D6" w:rsidP="00943B19">
            <w:pPr>
              <w:spacing w:line="360" w:lineRule="auto"/>
            </w:pPr>
            <w:r>
              <w:rPr>
                <w:b/>
                <w:bCs/>
              </w:rPr>
              <w:t>NPV (£m)</w:t>
            </w:r>
          </w:p>
        </w:tc>
      </w:tr>
      <w:tr w:rsidR="00E110D6" w14:paraId="1AB056F7" w14:textId="77777777" w:rsidTr="00344466">
        <w:tc>
          <w:tcPr>
            <w:tcW w:w="2337" w:type="dxa"/>
            <w:vAlign w:val="center"/>
          </w:tcPr>
          <w:p w14:paraId="108CAB43" w14:textId="4419C457" w:rsidR="00E110D6" w:rsidRDefault="00E110D6" w:rsidP="00943B19">
            <w:pPr>
              <w:spacing w:line="360" w:lineRule="auto"/>
            </w:pPr>
            <w:r>
              <w:t>A</w:t>
            </w:r>
          </w:p>
        </w:tc>
        <w:tc>
          <w:tcPr>
            <w:tcW w:w="2337" w:type="dxa"/>
            <w:vAlign w:val="center"/>
          </w:tcPr>
          <w:p w14:paraId="7F92E9D9" w14:textId="2B8E223C" w:rsidR="00E110D6" w:rsidRDefault="00E110D6" w:rsidP="00943B19">
            <w:pPr>
              <w:spacing w:line="360" w:lineRule="auto"/>
            </w:pPr>
            <w:r>
              <w:t>44.6</w:t>
            </w:r>
          </w:p>
        </w:tc>
        <w:tc>
          <w:tcPr>
            <w:tcW w:w="2338" w:type="dxa"/>
            <w:vAlign w:val="center"/>
          </w:tcPr>
          <w:p w14:paraId="42223918" w14:textId="06C42F77" w:rsidR="00E110D6" w:rsidRDefault="00E110D6" w:rsidP="00943B19">
            <w:pPr>
              <w:spacing w:line="360" w:lineRule="auto"/>
            </w:pPr>
            <w:r>
              <w:t>-40</w:t>
            </w:r>
          </w:p>
        </w:tc>
        <w:tc>
          <w:tcPr>
            <w:tcW w:w="2338" w:type="dxa"/>
            <w:vAlign w:val="center"/>
          </w:tcPr>
          <w:p w14:paraId="35F532F3" w14:textId="2F5DAFA3" w:rsidR="00E110D6" w:rsidRDefault="00E110D6" w:rsidP="00943B19">
            <w:pPr>
              <w:spacing w:line="360" w:lineRule="auto"/>
            </w:pPr>
            <w:r>
              <w:t>+4.6</w:t>
            </w:r>
          </w:p>
        </w:tc>
      </w:tr>
      <w:tr w:rsidR="00E110D6" w14:paraId="36852CB0" w14:textId="77777777" w:rsidTr="00344466">
        <w:tc>
          <w:tcPr>
            <w:tcW w:w="2337" w:type="dxa"/>
            <w:vAlign w:val="center"/>
          </w:tcPr>
          <w:p w14:paraId="7A050E87" w14:textId="3827DE07" w:rsidR="00E110D6" w:rsidRDefault="00E110D6" w:rsidP="00943B19">
            <w:pPr>
              <w:spacing w:line="360" w:lineRule="auto"/>
            </w:pPr>
            <w:r>
              <w:t>B</w:t>
            </w:r>
          </w:p>
        </w:tc>
        <w:tc>
          <w:tcPr>
            <w:tcW w:w="2337" w:type="dxa"/>
            <w:vAlign w:val="center"/>
          </w:tcPr>
          <w:p w14:paraId="2F0B5837" w14:textId="6C7D75E7" w:rsidR="00E110D6" w:rsidRDefault="00E110D6" w:rsidP="00943B19">
            <w:pPr>
              <w:spacing w:line="360" w:lineRule="auto"/>
            </w:pPr>
            <w:r>
              <w:t>32.7</w:t>
            </w:r>
          </w:p>
        </w:tc>
        <w:tc>
          <w:tcPr>
            <w:tcW w:w="2338" w:type="dxa"/>
            <w:vAlign w:val="center"/>
          </w:tcPr>
          <w:p w14:paraId="61440388" w14:textId="24210413" w:rsidR="00E110D6" w:rsidRDefault="00E110D6" w:rsidP="00943B19">
            <w:pPr>
              <w:spacing w:line="360" w:lineRule="auto"/>
            </w:pPr>
            <w:r>
              <w:t>-30</w:t>
            </w:r>
          </w:p>
        </w:tc>
        <w:tc>
          <w:tcPr>
            <w:tcW w:w="2338" w:type="dxa"/>
            <w:vAlign w:val="center"/>
          </w:tcPr>
          <w:p w14:paraId="0948522D" w14:textId="21A608C6" w:rsidR="00E110D6" w:rsidRDefault="00E110D6" w:rsidP="00943B19">
            <w:pPr>
              <w:spacing w:line="360" w:lineRule="auto"/>
            </w:pPr>
            <w:r>
              <w:t>+2.7</w:t>
            </w:r>
          </w:p>
        </w:tc>
      </w:tr>
      <w:tr w:rsidR="00E110D6" w14:paraId="4A5C803E" w14:textId="77777777" w:rsidTr="00344466">
        <w:tc>
          <w:tcPr>
            <w:tcW w:w="2337" w:type="dxa"/>
            <w:vAlign w:val="center"/>
          </w:tcPr>
          <w:p w14:paraId="2E103973" w14:textId="79AB4C6C" w:rsidR="00E110D6" w:rsidRDefault="00E110D6" w:rsidP="00943B19">
            <w:pPr>
              <w:spacing w:line="360" w:lineRule="auto"/>
            </w:pPr>
            <w:r>
              <w:t>C</w:t>
            </w:r>
          </w:p>
        </w:tc>
        <w:tc>
          <w:tcPr>
            <w:tcW w:w="2337" w:type="dxa"/>
            <w:vAlign w:val="center"/>
          </w:tcPr>
          <w:p w14:paraId="3F78BEA1" w14:textId="3B9FC9CA" w:rsidR="00E110D6" w:rsidRDefault="00E110D6" w:rsidP="00943B19">
            <w:pPr>
              <w:spacing w:line="360" w:lineRule="auto"/>
            </w:pPr>
            <w:r>
              <w:t>59.8</w:t>
            </w:r>
          </w:p>
        </w:tc>
        <w:tc>
          <w:tcPr>
            <w:tcW w:w="2338" w:type="dxa"/>
            <w:vAlign w:val="center"/>
          </w:tcPr>
          <w:p w14:paraId="1635F5C4" w14:textId="7C0D1C47" w:rsidR="00E110D6" w:rsidRDefault="00E110D6" w:rsidP="00943B19">
            <w:pPr>
              <w:spacing w:line="360" w:lineRule="auto"/>
            </w:pPr>
            <w:r>
              <w:t>-50</w:t>
            </w:r>
          </w:p>
        </w:tc>
        <w:tc>
          <w:tcPr>
            <w:tcW w:w="2338" w:type="dxa"/>
            <w:vAlign w:val="center"/>
          </w:tcPr>
          <w:p w14:paraId="2F221A6C" w14:textId="1E02BE17" w:rsidR="00E110D6" w:rsidRDefault="00E110D6" w:rsidP="00943B19">
            <w:pPr>
              <w:spacing w:line="360" w:lineRule="auto"/>
            </w:pPr>
            <w:r>
              <w:t>+9.8</w:t>
            </w:r>
          </w:p>
        </w:tc>
      </w:tr>
    </w:tbl>
    <w:p w14:paraId="03CF3470" w14:textId="77777777" w:rsidR="00C50401" w:rsidRDefault="00C50401" w:rsidP="00943B19">
      <w:pPr>
        <w:spacing w:line="360" w:lineRule="auto"/>
      </w:pPr>
    </w:p>
    <w:p w14:paraId="498B4DD3" w14:textId="77777777" w:rsidR="00250490" w:rsidRPr="00250490" w:rsidRDefault="00250490" w:rsidP="00943B19">
      <w:pPr>
        <w:spacing w:line="360" w:lineRule="auto"/>
        <w:rPr>
          <w:b/>
          <w:bCs/>
        </w:rPr>
      </w:pPr>
      <w:r w:rsidRPr="00250490">
        <w:rPr>
          <w:b/>
          <w:bCs/>
        </w:rPr>
        <w:t>D5. Profitability Index (PI)</w:t>
      </w:r>
    </w:p>
    <w:p w14:paraId="462CECD3" w14:textId="247F10BE" w:rsidR="00250490" w:rsidRDefault="00250490" w:rsidP="00943B19">
      <w:pPr>
        <w:spacing w:line="360" w:lineRule="auto"/>
        <w:rPr>
          <w:b/>
          <w:bCs/>
        </w:rPr>
      </w:pPr>
      <w:r w:rsidRPr="00250490">
        <w:rPr>
          <w:b/>
          <w:bCs/>
        </w:rPr>
        <w:t>Formula:</w:t>
      </w:r>
    </w:p>
    <w:p w14:paraId="0D9618F4" w14:textId="31F75E91" w:rsidR="00CA02EC" w:rsidRDefault="00CA02EC" w:rsidP="00943B19">
      <w:pPr>
        <w:spacing w:line="360" w:lineRule="auto"/>
      </w:pPr>
      <w:r w:rsidRPr="00CA02EC">
        <w:t>PI=</w:t>
      </w:r>
      <w:proofErr w:type="spellStart"/>
      <w:r w:rsidR="002817C1">
        <w:t>P</w:t>
      </w:r>
      <w:r>
        <w:t>v</w:t>
      </w:r>
      <w:proofErr w:type="spellEnd"/>
      <w:r>
        <w:t xml:space="preserve"> </w:t>
      </w:r>
      <w:r w:rsidRPr="00CA02EC">
        <w:t>of Future Cash Inflows​</w:t>
      </w:r>
      <w:r>
        <w:t>/</w:t>
      </w:r>
      <w:r w:rsidRPr="00CA02EC">
        <w:t>Initial Investment</w:t>
      </w:r>
    </w:p>
    <w:tbl>
      <w:tblPr>
        <w:tblStyle w:val="TableGrid"/>
        <w:tblW w:w="0" w:type="auto"/>
        <w:tblLook w:val="04A0" w:firstRow="1" w:lastRow="0" w:firstColumn="1" w:lastColumn="0" w:noHBand="0" w:noVBand="1"/>
      </w:tblPr>
      <w:tblGrid>
        <w:gridCol w:w="4675"/>
        <w:gridCol w:w="4675"/>
      </w:tblGrid>
      <w:tr w:rsidR="000E3B56" w14:paraId="3D02C602" w14:textId="77777777" w:rsidTr="00B826B8">
        <w:tc>
          <w:tcPr>
            <w:tcW w:w="4675" w:type="dxa"/>
            <w:vAlign w:val="center"/>
          </w:tcPr>
          <w:p w14:paraId="0C227898" w14:textId="0CDE2A5A" w:rsidR="000E3B56" w:rsidRDefault="000E3B56" w:rsidP="00943B19">
            <w:pPr>
              <w:spacing w:line="360" w:lineRule="auto"/>
            </w:pPr>
            <w:r>
              <w:rPr>
                <w:b/>
                <w:bCs/>
              </w:rPr>
              <w:t>Project</w:t>
            </w:r>
          </w:p>
        </w:tc>
        <w:tc>
          <w:tcPr>
            <w:tcW w:w="4675" w:type="dxa"/>
            <w:vAlign w:val="center"/>
          </w:tcPr>
          <w:p w14:paraId="2179140C" w14:textId="420B80B5" w:rsidR="000E3B56" w:rsidRDefault="000E3B56" w:rsidP="00943B19">
            <w:pPr>
              <w:spacing w:line="360" w:lineRule="auto"/>
            </w:pPr>
            <w:r>
              <w:rPr>
                <w:b/>
                <w:bCs/>
              </w:rPr>
              <w:t>PI</w:t>
            </w:r>
          </w:p>
        </w:tc>
      </w:tr>
      <w:tr w:rsidR="000E3B56" w14:paraId="014154AA" w14:textId="77777777" w:rsidTr="00B826B8">
        <w:tc>
          <w:tcPr>
            <w:tcW w:w="4675" w:type="dxa"/>
            <w:vAlign w:val="center"/>
          </w:tcPr>
          <w:p w14:paraId="2E7316AA" w14:textId="4E557A91" w:rsidR="000E3B56" w:rsidRDefault="000E3B56" w:rsidP="00943B19">
            <w:pPr>
              <w:spacing w:line="360" w:lineRule="auto"/>
            </w:pPr>
            <w:r>
              <w:t>A</w:t>
            </w:r>
          </w:p>
        </w:tc>
        <w:tc>
          <w:tcPr>
            <w:tcW w:w="4675" w:type="dxa"/>
            <w:vAlign w:val="center"/>
          </w:tcPr>
          <w:p w14:paraId="10394CBB" w14:textId="404BEC36" w:rsidR="000E3B56" w:rsidRDefault="000E3B56" w:rsidP="00943B19">
            <w:pPr>
              <w:spacing w:line="360" w:lineRule="auto"/>
            </w:pPr>
            <w:r>
              <w:t>1.12</w:t>
            </w:r>
          </w:p>
        </w:tc>
      </w:tr>
      <w:tr w:rsidR="000E3B56" w14:paraId="17BDD817" w14:textId="77777777" w:rsidTr="00B826B8">
        <w:tc>
          <w:tcPr>
            <w:tcW w:w="4675" w:type="dxa"/>
            <w:vAlign w:val="center"/>
          </w:tcPr>
          <w:p w14:paraId="4259B01C" w14:textId="3BB19DCC" w:rsidR="000E3B56" w:rsidRDefault="000E3B56" w:rsidP="00943B19">
            <w:pPr>
              <w:spacing w:line="360" w:lineRule="auto"/>
            </w:pPr>
            <w:r>
              <w:t>B</w:t>
            </w:r>
          </w:p>
        </w:tc>
        <w:tc>
          <w:tcPr>
            <w:tcW w:w="4675" w:type="dxa"/>
            <w:vAlign w:val="center"/>
          </w:tcPr>
          <w:p w14:paraId="05C5FE6A" w14:textId="27FF6E35" w:rsidR="000E3B56" w:rsidRDefault="000E3B56" w:rsidP="00943B19">
            <w:pPr>
              <w:spacing w:line="360" w:lineRule="auto"/>
            </w:pPr>
            <w:r>
              <w:t>1.09</w:t>
            </w:r>
          </w:p>
        </w:tc>
      </w:tr>
      <w:tr w:rsidR="000E3B56" w14:paraId="15F31CFB" w14:textId="77777777" w:rsidTr="00B826B8">
        <w:tc>
          <w:tcPr>
            <w:tcW w:w="4675" w:type="dxa"/>
            <w:vAlign w:val="center"/>
          </w:tcPr>
          <w:p w14:paraId="6917AAF1" w14:textId="0D33AB98" w:rsidR="000E3B56" w:rsidRDefault="000E3B56" w:rsidP="00943B19">
            <w:pPr>
              <w:spacing w:line="360" w:lineRule="auto"/>
            </w:pPr>
            <w:r>
              <w:lastRenderedPageBreak/>
              <w:t>C</w:t>
            </w:r>
          </w:p>
        </w:tc>
        <w:tc>
          <w:tcPr>
            <w:tcW w:w="4675" w:type="dxa"/>
            <w:vAlign w:val="center"/>
          </w:tcPr>
          <w:p w14:paraId="4C05CF6B" w14:textId="124A8C83" w:rsidR="000E3B56" w:rsidRDefault="000E3B56" w:rsidP="00943B19">
            <w:pPr>
              <w:spacing w:line="360" w:lineRule="auto"/>
            </w:pPr>
            <w:r>
              <w:t>1.20</w:t>
            </w:r>
          </w:p>
        </w:tc>
      </w:tr>
    </w:tbl>
    <w:p w14:paraId="3CC9F05A" w14:textId="77777777" w:rsidR="002817C1" w:rsidRDefault="002817C1" w:rsidP="00943B19">
      <w:pPr>
        <w:spacing w:line="360" w:lineRule="auto"/>
      </w:pPr>
    </w:p>
    <w:p w14:paraId="405D65E2" w14:textId="0FB56907" w:rsidR="000E3B56" w:rsidRPr="00881CB5" w:rsidRDefault="000E3B56" w:rsidP="00943B19">
      <w:pPr>
        <w:spacing w:line="360" w:lineRule="auto"/>
        <w:rPr>
          <w:b/>
          <w:bCs/>
        </w:rPr>
      </w:pPr>
      <w:r w:rsidRPr="00881CB5">
        <w:rPr>
          <w:b/>
          <w:bCs/>
        </w:rPr>
        <w:t>D6. Internal Rate of Return (IRR)</w:t>
      </w:r>
    </w:p>
    <w:tbl>
      <w:tblPr>
        <w:tblStyle w:val="TableGrid"/>
        <w:tblW w:w="0" w:type="auto"/>
        <w:tblLook w:val="04A0" w:firstRow="1" w:lastRow="0" w:firstColumn="1" w:lastColumn="0" w:noHBand="0" w:noVBand="1"/>
      </w:tblPr>
      <w:tblGrid>
        <w:gridCol w:w="4675"/>
        <w:gridCol w:w="4675"/>
      </w:tblGrid>
      <w:tr w:rsidR="00FB2874" w14:paraId="0BC2BDAB" w14:textId="77777777" w:rsidTr="00671FAF">
        <w:tc>
          <w:tcPr>
            <w:tcW w:w="4675" w:type="dxa"/>
            <w:vAlign w:val="center"/>
          </w:tcPr>
          <w:p w14:paraId="15CB2F5B" w14:textId="3753A55C" w:rsidR="00FB2874" w:rsidRDefault="00FB2874" w:rsidP="00943B19">
            <w:pPr>
              <w:spacing w:line="360" w:lineRule="auto"/>
            </w:pPr>
            <w:r>
              <w:rPr>
                <w:b/>
                <w:bCs/>
              </w:rPr>
              <w:t>Project</w:t>
            </w:r>
          </w:p>
        </w:tc>
        <w:tc>
          <w:tcPr>
            <w:tcW w:w="4675" w:type="dxa"/>
            <w:vAlign w:val="center"/>
          </w:tcPr>
          <w:p w14:paraId="2EE469FC" w14:textId="1EFB8BCC" w:rsidR="00FB2874" w:rsidRDefault="00FB2874" w:rsidP="00943B19">
            <w:pPr>
              <w:spacing w:line="360" w:lineRule="auto"/>
            </w:pPr>
            <w:r>
              <w:rPr>
                <w:b/>
                <w:bCs/>
              </w:rPr>
              <w:t>IRR (%)</w:t>
            </w:r>
          </w:p>
        </w:tc>
      </w:tr>
      <w:tr w:rsidR="00FB2874" w14:paraId="44A9A2C2" w14:textId="77777777" w:rsidTr="00671FAF">
        <w:tc>
          <w:tcPr>
            <w:tcW w:w="4675" w:type="dxa"/>
            <w:vAlign w:val="center"/>
          </w:tcPr>
          <w:p w14:paraId="48F309C9" w14:textId="332ECEA0" w:rsidR="00FB2874" w:rsidRDefault="00FB2874" w:rsidP="00943B19">
            <w:pPr>
              <w:spacing w:line="360" w:lineRule="auto"/>
            </w:pPr>
            <w:r>
              <w:t>A</w:t>
            </w:r>
          </w:p>
        </w:tc>
        <w:tc>
          <w:tcPr>
            <w:tcW w:w="4675" w:type="dxa"/>
            <w:vAlign w:val="center"/>
          </w:tcPr>
          <w:p w14:paraId="2ECB347E" w14:textId="25B9AED6" w:rsidR="00FB2874" w:rsidRDefault="00FB2874" w:rsidP="00943B19">
            <w:pPr>
              <w:spacing w:line="360" w:lineRule="auto"/>
            </w:pPr>
            <w:r>
              <w:t>13.8%</w:t>
            </w:r>
          </w:p>
        </w:tc>
      </w:tr>
      <w:tr w:rsidR="00FB2874" w14:paraId="271C2A2F" w14:textId="77777777" w:rsidTr="00671FAF">
        <w:tc>
          <w:tcPr>
            <w:tcW w:w="4675" w:type="dxa"/>
            <w:vAlign w:val="center"/>
          </w:tcPr>
          <w:p w14:paraId="3AD5D647" w14:textId="5F7511FF" w:rsidR="00FB2874" w:rsidRDefault="00FB2874" w:rsidP="00943B19">
            <w:pPr>
              <w:spacing w:line="360" w:lineRule="auto"/>
            </w:pPr>
            <w:r>
              <w:t>B</w:t>
            </w:r>
          </w:p>
        </w:tc>
        <w:tc>
          <w:tcPr>
            <w:tcW w:w="4675" w:type="dxa"/>
            <w:vAlign w:val="center"/>
          </w:tcPr>
          <w:p w14:paraId="388A278D" w14:textId="29403DB4" w:rsidR="00FB2874" w:rsidRDefault="00FB2874" w:rsidP="00943B19">
            <w:pPr>
              <w:spacing w:line="360" w:lineRule="auto"/>
            </w:pPr>
            <w:r>
              <w:t>11.6%</w:t>
            </w:r>
          </w:p>
        </w:tc>
      </w:tr>
      <w:tr w:rsidR="00FB2874" w14:paraId="6C0BB510" w14:textId="77777777" w:rsidTr="00671FAF">
        <w:tc>
          <w:tcPr>
            <w:tcW w:w="4675" w:type="dxa"/>
            <w:vAlign w:val="center"/>
          </w:tcPr>
          <w:p w14:paraId="7E8B1E5E" w14:textId="208BE29B" w:rsidR="00FB2874" w:rsidRDefault="00FB2874" w:rsidP="00943B19">
            <w:pPr>
              <w:spacing w:line="360" w:lineRule="auto"/>
            </w:pPr>
            <w:r>
              <w:t>C</w:t>
            </w:r>
          </w:p>
        </w:tc>
        <w:tc>
          <w:tcPr>
            <w:tcW w:w="4675" w:type="dxa"/>
            <w:vAlign w:val="center"/>
          </w:tcPr>
          <w:p w14:paraId="3A18FF6C" w14:textId="31812156" w:rsidR="00FB2874" w:rsidRDefault="00FB2874" w:rsidP="00943B19">
            <w:pPr>
              <w:spacing w:line="360" w:lineRule="auto"/>
            </w:pPr>
            <w:r>
              <w:t>16.9%</w:t>
            </w:r>
          </w:p>
        </w:tc>
      </w:tr>
    </w:tbl>
    <w:p w14:paraId="7F94F479" w14:textId="77777777" w:rsidR="000E3B56" w:rsidRDefault="000E3B56" w:rsidP="00943B19">
      <w:pPr>
        <w:spacing w:line="360" w:lineRule="auto"/>
      </w:pPr>
    </w:p>
    <w:p w14:paraId="28153564" w14:textId="5313F680" w:rsidR="00FB2874" w:rsidRPr="00881CB5" w:rsidRDefault="00D57548" w:rsidP="00943B19">
      <w:pPr>
        <w:spacing w:line="360" w:lineRule="auto"/>
        <w:rPr>
          <w:b/>
          <w:bCs/>
        </w:rPr>
      </w:pPr>
      <w:r w:rsidRPr="00881CB5">
        <w:rPr>
          <w:b/>
          <w:bCs/>
        </w:rPr>
        <w:t>D7. Summary of Investment Appraisal Results</w:t>
      </w:r>
    </w:p>
    <w:tbl>
      <w:tblPr>
        <w:tblStyle w:val="TableGrid"/>
        <w:tblW w:w="0" w:type="auto"/>
        <w:tblLook w:val="04A0" w:firstRow="1" w:lastRow="0" w:firstColumn="1" w:lastColumn="0" w:noHBand="0" w:noVBand="1"/>
      </w:tblPr>
      <w:tblGrid>
        <w:gridCol w:w="2337"/>
        <w:gridCol w:w="2337"/>
        <w:gridCol w:w="2338"/>
        <w:gridCol w:w="2338"/>
      </w:tblGrid>
      <w:tr w:rsidR="00D57548" w14:paraId="74D297A1" w14:textId="77777777" w:rsidTr="00097E44">
        <w:tc>
          <w:tcPr>
            <w:tcW w:w="2337" w:type="dxa"/>
            <w:vAlign w:val="center"/>
          </w:tcPr>
          <w:p w14:paraId="4C96FE9A" w14:textId="3F7C9FDB" w:rsidR="00D57548" w:rsidRDefault="00D57548" w:rsidP="00943B19">
            <w:pPr>
              <w:spacing w:line="360" w:lineRule="auto"/>
            </w:pPr>
            <w:r>
              <w:rPr>
                <w:b/>
                <w:bCs/>
              </w:rPr>
              <w:t>Method</w:t>
            </w:r>
          </w:p>
        </w:tc>
        <w:tc>
          <w:tcPr>
            <w:tcW w:w="2337" w:type="dxa"/>
            <w:vAlign w:val="center"/>
          </w:tcPr>
          <w:p w14:paraId="57B23A14" w14:textId="2B0D6F00" w:rsidR="00D57548" w:rsidRDefault="00D57548" w:rsidP="00943B19">
            <w:pPr>
              <w:spacing w:line="360" w:lineRule="auto"/>
            </w:pPr>
            <w:r>
              <w:rPr>
                <w:b/>
                <w:bCs/>
              </w:rPr>
              <w:t>Project A</w:t>
            </w:r>
          </w:p>
        </w:tc>
        <w:tc>
          <w:tcPr>
            <w:tcW w:w="2338" w:type="dxa"/>
            <w:vAlign w:val="center"/>
          </w:tcPr>
          <w:p w14:paraId="6B6AECD3" w14:textId="3D680FB1" w:rsidR="00D57548" w:rsidRDefault="00D57548" w:rsidP="00943B19">
            <w:pPr>
              <w:spacing w:line="360" w:lineRule="auto"/>
            </w:pPr>
            <w:r>
              <w:rPr>
                <w:b/>
                <w:bCs/>
              </w:rPr>
              <w:t>Project B</w:t>
            </w:r>
          </w:p>
        </w:tc>
        <w:tc>
          <w:tcPr>
            <w:tcW w:w="2338" w:type="dxa"/>
            <w:vAlign w:val="center"/>
          </w:tcPr>
          <w:p w14:paraId="000C5983" w14:textId="5C2ED815" w:rsidR="00D57548" w:rsidRDefault="00D57548" w:rsidP="00943B19">
            <w:pPr>
              <w:spacing w:line="360" w:lineRule="auto"/>
            </w:pPr>
            <w:r>
              <w:rPr>
                <w:b/>
                <w:bCs/>
              </w:rPr>
              <w:t>Project C</w:t>
            </w:r>
          </w:p>
        </w:tc>
      </w:tr>
      <w:tr w:rsidR="00D57548" w14:paraId="6E6B3D11" w14:textId="77777777" w:rsidTr="00097E44">
        <w:tc>
          <w:tcPr>
            <w:tcW w:w="2337" w:type="dxa"/>
            <w:vAlign w:val="center"/>
          </w:tcPr>
          <w:p w14:paraId="4E0FFFAA" w14:textId="0C249538" w:rsidR="00D57548" w:rsidRDefault="00D57548" w:rsidP="00943B19">
            <w:pPr>
              <w:spacing w:line="360" w:lineRule="auto"/>
            </w:pPr>
            <w:r>
              <w:t>Payback Period (years)</w:t>
            </w:r>
          </w:p>
        </w:tc>
        <w:tc>
          <w:tcPr>
            <w:tcW w:w="2337" w:type="dxa"/>
            <w:vAlign w:val="center"/>
          </w:tcPr>
          <w:p w14:paraId="56CFEDE7" w14:textId="727D34EC" w:rsidR="00D57548" w:rsidRDefault="00D57548" w:rsidP="00943B19">
            <w:pPr>
              <w:spacing w:line="360" w:lineRule="auto"/>
            </w:pPr>
            <w:r>
              <w:t>3.4</w:t>
            </w:r>
          </w:p>
        </w:tc>
        <w:tc>
          <w:tcPr>
            <w:tcW w:w="2338" w:type="dxa"/>
            <w:vAlign w:val="center"/>
          </w:tcPr>
          <w:p w14:paraId="01E6AC43" w14:textId="486428B0" w:rsidR="00D57548" w:rsidRDefault="00D57548" w:rsidP="00943B19">
            <w:pPr>
              <w:spacing w:line="360" w:lineRule="auto"/>
            </w:pPr>
            <w:r>
              <w:t>5.0</w:t>
            </w:r>
          </w:p>
        </w:tc>
        <w:tc>
          <w:tcPr>
            <w:tcW w:w="2338" w:type="dxa"/>
            <w:vAlign w:val="center"/>
          </w:tcPr>
          <w:p w14:paraId="096B24B1" w14:textId="4579B198" w:rsidR="00D57548" w:rsidRDefault="00D57548" w:rsidP="00943B19">
            <w:pPr>
              <w:spacing w:line="360" w:lineRule="auto"/>
            </w:pPr>
            <w:r>
              <w:t>3.1</w:t>
            </w:r>
          </w:p>
        </w:tc>
      </w:tr>
      <w:tr w:rsidR="00D57548" w14:paraId="5E68FFCA" w14:textId="77777777" w:rsidTr="00097E44">
        <w:tc>
          <w:tcPr>
            <w:tcW w:w="2337" w:type="dxa"/>
            <w:vAlign w:val="center"/>
          </w:tcPr>
          <w:p w14:paraId="2312B0CD" w14:textId="689EDCE6" w:rsidR="00D57548" w:rsidRDefault="00D57548" w:rsidP="00943B19">
            <w:pPr>
              <w:spacing w:line="360" w:lineRule="auto"/>
            </w:pPr>
            <w:r>
              <w:t>ARR (%)</w:t>
            </w:r>
          </w:p>
        </w:tc>
        <w:tc>
          <w:tcPr>
            <w:tcW w:w="2337" w:type="dxa"/>
            <w:vAlign w:val="center"/>
          </w:tcPr>
          <w:p w14:paraId="1F1567F0" w14:textId="318D44BD" w:rsidR="00D57548" w:rsidRDefault="00D57548" w:rsidP="00943B19">
            <w:pPr>
              <w:spacing w:line="360" w:lineRule="auto"/>
            </w:pPr>
            <w:r>
              <w:t>15.5</w:t>
            </w:r>
          </w:p>
        </w:tc>
        <w:tc>
          <w:tcPr>
            <w:tcW w:w="2338" w:type="dxa"/>
            <w:vAlign w:val="center"/>
          </w:tcPr>
          <w:p w14:paraId="13413643" w14:textId="1392D0B1" w:rsidR="00D57548" w:rsidRDefault="00D57548" w:rsidP="00943B19">
            <w:pPr>
              <w:spacing w:line="360" w:lineRule="auto"/>
            </w:pPr>
            <w:r>
              <w:t>12.0</w:t>
            </w:r>
          </w:p>
        </w:tc>
        <w:tc>
          <w:tcPr>
            <w:tcW w:w="2338" w:type="dxa"/>
            <w:vAlign w:val="center"/>
          </w:tcPr>
          <w:p w14:paraId="47CB542C" w14:textId="025CDB77" w:rsidR="00D57548" w:rsidRDefault="00D57548" w:rsidP="00943B19">
            <w:pPr>
              <w:spacing w:line="360" w:lineRule="auto"/>
            </w:pPr>
            <w:r>
              <w:t>18.2</w:t>
            </w:r>
          </w:p>
        </w:tc>
      </w:tr>
      <w:tr w:rsidR="00D57548" w14:paraId="7B2613AE" w14:textId="77777777" w:rsidTr="00097E44">
        <w:tc>
          <w:tcPr>
            <w:tcW w:w="2337" w:type="dxa"/>
            <w:vAlign w:val="center"/>
          </w:tcPr>
          <w:p w14:paraId="7D29C01F" w14:textId="3F5C0A72" w:rsidR="00D57548" w:rsidRDefault="00D57548" w:rsidP="00943B19">
            <w:pPr>
              <w:spacing w:line="360" w:lineRule="auto"/>
            </w:pPr>
            <w:r>
              <w:t>NPV (£m)</w:t>
            </w:r>
          </w:p>
        </w:tc>
        <w:tc>
          <w:tcPr>
            <w:tcW w:w="2337" w:type="dxa"/>
            <w:vAlign w:val="center"/>
          </w:tcPr>
          <w:p w14:paraId="45BC5A00" w14:textId="49098352" w:rsidR="00D57548" w:rsidRDefault="00D57548" w:rsidP="00943B19">
            <w:pPr>
              <w:spacing w:line="360" w:lineRule="auto"/>
            </w:pPr>
            <w:r>
              <w:t>+4.6</w:t>
            </w:r>
          </w:p>
        </w:tc>
        <w:tc>
          <w:tcPr>
            <w:tcW w:w="2338" w:type="dxa"/>
            <w:vAlign w:val="center"/>
          </w:tcPr>
          <w:p w14:paraId="65D58BD6" w14:textId="0CFFAB59" w:rsidR="00D57548" w:rsidRDefault="00D57548" w:rsidP="00943B19">
            <w:pPr>
              <w:spacing w:line="360" w:lineRule="auto"/>
            </w:pPr>
            <w:r>
              <w:t>+2.7</w:t>
            </w:r>
          </w:p>
        </w:tc>
        <w:tc>
          <w:tcPr>
            <w:tcW w:w="2338" w:type="dxa"/>
            <w:vAlign w:val="center"/>
          </w:tcPr>
          <w:p w14:paraId="4C6288C7" w14:textId="475D1E8B" w:rsidR="00D57548" w:rsidRDefault="00D57548" w:rsidP="00943B19">
            <w:pPr>
              <w:spacing w:line="360" w:lineRule="auto"/>
            </w:pPr>
            <w:r>
              <w:t>+9.8</w:t>
            </w:r>
          </w:p>
        </w:tc>
      </w:tr>
      <w:tr w:rsidR="00D57548" w14:paraId="636268EE" w14:textId="77777777" w:rsidTr="00097E44">
        <w:tc>
          <w:tcPr>
            <w:tcW w:w="2337" w:type="dxa"/>
            <w:vAlign w:val="center"/>
          </w:tcPr>
          <w:p w14:paraId="7ECDEECC" w14:textId="5A699096" w:rsidR="00D57548" w:rsidRDefault="00D57548" w:rsidP="00943B19">
            <w:pPr>
              <w:spacing w:line="360" w:lineRule="auto"/>
            </w:pPr>
            <w:r>
              <w:t>PI</w:t>
            </w:r>
          </w:p>
        </w:tc>
        <w:tc>
          <w:tcPr>
            <w:tcW w:w="2337" w:type="dxa"/>
            <w:vAlign w:val="center"/>
          </w:tcPr>
          <w:p w14:paraId="3D4EFA3A" w14:textId="1EDCBF62" w:rsidR="00D57548" w:rsidRDefault="00D57548" w:rsidP="00943B19">
            <w:pPr>
              <w:spacing w:line="360" w:lineRule="auto"/>
            </w:pPr>
            <w:r>
              <w:t>1.12</w:t>
            </w:r>
          </w:p>
        </w:tc>
        <w:tc>
          <w:tcPr>
            <w:tcW w:w="2338" w:type="dxa"/>
            <w:vAlign w:val="center"/>
          </w:tcPr>
          <w:p w14:paraId="19E24F20" w14:textId="15A6D3DE" w:rsidR="00D57548" w:rsidRDefault="00D57548" w:rsidP="00943B19">
            <w:pPr>
              <w:spacing w:line="360" w:lineRule="auto"/>
            </w:pPr>
            <w:r>
              <w:t>1.09</w:t>
            </w:r>
          </w:p>
        </w:tc>
        <w:tc>
          <w:tcPr>
            <w:tcW w:w="2338" w:type="dxa"/>
            <w:vAlign w:val="center"/>
          </w:tcPr>
          <w:p w14:paraId="1A02401D" w14:textId="3C1AA724" w:rsidR="00D57548" w:rsidRDefault="00D57548" w:rsidP="00943B19">
            <w:pPr>
              <w:spacing w:line="360" w:lineRule="auto"/>
            </w:pPr>
            <w:r>
              <w:t>1.20</w:t>
            </w:r>
          </w:p>
        </w:tc>
      </w:tr>
      <w:tr w:rsidR="00D57548" w14:paraId="266F2969" w14:textId="77777777" w:rsidTr="00097E44">
        <w:tc>
          <w:tcPr>
            <w:tcW w:w="2337" w:type="dxa"/>
            <w:vAlign w:val="center"/>
          </w:tcPr>
          <w:p w14:paraId="51606ED7" w14:textId="658AF275" w:rsidR="00D57548" w:rsidRDefault="00D57548" w:rsidP="00943B19">
            <w:pPr>
              <w:spacing w:line="360" w:lineRule="auto"/>
            </w:pPr>
            <w:r>
              <w:t>IRR (%)</w:t>
            </w:r>
          </w:p>
        </w:tc>
        <w:tc>
          <w:tcPr>
            <w:tcW w:w="2337" w:type="dxa"/>
            <w:vAlign w:val="center"/>
          </w:tcPr>
          <w:p w14:paraId="7B891C06" w14:textId="1E845F4D" w:rsidR="00D57548" w:rsidRDefault="00D57548" w:rsidP="00943B19">
            <w:pPr>
              <w:spacing w:line="360" w:lineRule="auto"/>
            </w:pPr>
            <w:r>
              <w:t>13.8</w:t>
            </w:r>
          </w:p>
        </w:tc>
        <w:tc>
          <w:tcPr>
            <w:tcW w:w="2338" w:type="dxa"/>
            <w:vAlign w:val="center"/>
          </w:tcPr>
          <w:p w14:paraId="5604FDED" w14:textId="5748DCEC" w:rsidR="00D57548" w:rsidRDefault="00D57548" w:rsidP="00943B19">
            <w:pPr>
              <w:spacing w:line="360" w:lineRule="auto"/>
            </w:pPr>
            <w:r>
              <w:t>11.6</w:t>
            </w:r>
          </w:p>
        </w:tc>
        <w:tc>
          <w:tcPr>
            <w:tcW w:w="2338" w:type="dxa"/>
            <w:vAlign w:val="center"/>
          </w:tcPr>
          <w:p w14:paraId="188E4EBB" w14:textId="21501C4F" w:rsidR="00D57548" w:rsidRDefault="00D57548" w:rsidP="00943B19">
            <w:pPr>
              <w:spacing w:line="360" w:lineRule="auto"/>
            </w:pPr>
            <w:r>
              <w:t>16.9</w:t>
            </w:r>
          </w:p>
        </w:tc>
      </w:tr>
    </w:tbl>
    <w:p w14:paraId="75727EBE" w14:textId="77777777" w:rsidR="00D57548" w:rsidRDefault="00D57548" w:rsidP="00943B19">
      <w:pPr>
        <w:spacing w:line="360" w:lineRule="auto"/>
      </w:pPr>
    </w:p>
    <w:p w14:paraId="7CC514EB" w14:textId="31F6EA41" w:rsidR="00D57548" w:rsidRPr="0087643E" w:rsidRDefault="00D57548" w:rsidP="00943B19">
      <w:pPr>
        <w:spacing w:line="360" w:lineRule="auto"/>
        <w:rPr>
          <w:b/>
          <w:bCs/>
        </w:rPr>
      </w:pPr>
      <w:r w:rsidRPr="0087643E">
        <w:rPr>
          <w:b/>
          <w:bCs/>
        </w:rPr>
        <w:t>D8. Capital Rationing Summary</w:t>
      </w:r>
    </w:p>
    <w:tbl>
      <w:tblPr>
        <w:tblStyle w:val="TableGrid"/>
        <w:tblW w:w="0" w:type="auto"/>
        <w:tblLook w:val="04A0" w:firstRow="1" w:lastRow="0" w:firstColumn="1" w:lastColumn="0" w:noHBand="0" w:noVBand="1"/>
      </w:tblPr>
      <w:tblGrid>
        <w:gridCol w:w="2337"/>
        <w:gridCol w:w="2337"/>
        <w:gridCol w:w="2338"/>
        <w:gridCol w:w="2338"/>
      </w:tblGrid>
      <w:tr w:rsidR="00C50401" w14:paraId="42F40E74" w14:textId="77777777" w:rsidTr="00574E02">
        <w:tc>
          <w:tcPr>
            <w:tcW w:w="2337" w:type="dxa"/>
            <w:vAlign w:val="center"/>
          </w:tcPr>
          <w:p w14:paraId="3278A3C5" w14:textId="5D7A55EF" w:rsidR="00C50401" w:rsidRDefault="00C50401" w:rsidP="00943B19">
            <w:pPr>
              <w:spacing w:line="360" w:lineRule="auto"/>
            </w:pPr>
            <w:r>
              <w:rPr>
                <w:b/>
                <w:bCs/>
              </w:rPr>
              <w:t>Option</w:t>
            </w:r>
          </w:p>
        </w:tc>
        <w:tc>
          <w:tcPr>
            <w:tcW w:w="2337" w:type="dxa"/>
            <w:vAlign w:val="center"/>
          </w:tcPr>
          <w:p w14:paraId="592F9189" w14:textId="393F94E1" w:rsidR="00C50401" w:rsidRDefault="00C50401" w:rsidP="00943B19">
            <w:pPr>
              <w:spacing w:line="360" w:lineRule="auto"/>
            </w:pPr>
            <w:r>
              <w:rPr>
                <w:b/>
                <w:bCs/>
              </w:rPr>
              <w:t>Total Investment (£m)</w:t>
            </w:r>
          </w:p>
        </w:tc>
        <w:tc>
          <w:tcPr>
            <w:tcW w:w="2338" w:type="dxa"/>
            <w:vAlign w:val="center"/>
          </w:tcPr>
          <w:p w14:paraId="10EF0DDD" w14:textId="573F5A85" w:rsidR="00C50401" w:rsidRDefault="00C50401" w:rsidP="00943B19">
            <w:pPr>
              <w:spacing w:line="360" w:lineRule="auto"/>
            </w:pPr>
            <w:r>
              <w:rPr>
                <w:b/>
                <w:bCs/>
              </w:rPr>
              <w:t>Feasible?</w:t>
            </w:r>
          </w:p>
        </w:tc>
        <w:tc>
          <w:tcPr>
            <w:tcW w:w="2338" w:type="dxa"/>
            <w:vAlign w:val="center"/>
          </w:tcPr>
          <w:p w14:paraId="3DF389A3" w14:textId="348097E7" w:rsidR="00C50401" w:rsidRDefault="00C50401" w:rsidP="00943B19">
            <w:pPr>
              <w:spacing w:line="360" w:lineRule="auto"/>
            </w:pPr>
            <w:r>
              <w:rPr>
                <w:b/>
                <w:bCs/>
              </w:rPr>
              <w:t>Total NPV (£m)</w:t>
            </w:r>
          </w:p>
        </w:tc>
      </w:tr>
      <w:tr w:rsidR="00C50401" w14:paraId="5E71C2F8" w14:textId="77777777" w:rsidTr="00574E02">
        <w:tc>
          <w:tcPr>
            <w:tcW w:w="2337" w:type="dxa"/>
            <w:vAlign w:val="center"/>
          </w:tcPr>
          <w:p w14:paraId="27DB429F" w14:textId="44504EDC" w:rsidR="00C50401" w:rsidRDefault="00C50401" w:rsidP="00943B19">
            <w:pPr>
              <w:spacing w:line="360" w:lineRule="auto"/>
            </w:pPr>
            <w:r>
              <w:t>Project A only</w:t>
            </w:r>
          </w:p>
        </w:tc>
        <w:tc>
          <w:tcPr>
            <w:tcW w:w="2337" w:type="dxa"/>
            <w:vAlign w:val="center"/>
          </w:tcPr>
          <w:p w14:paraId="2197965F" w14:textId="57EE34DF" w:rsidR="00C50401" w:rsidRDefault="00C50401" w:rsidP="00943B19">
            <w:pPr>
              <w:spacing w:line="360" w:lineRule="auto"/>
            </w:pPr>
            <w:r>
              <w:t>40</w:t>
            </w:r>
          </w:p>
        </w:tc>
        <w:tc>
          <w:tcPr>
            <w:tcW w:w="2338" w:type="dxa"/>
            <w:vAlign w:val="center"/>
          </w:tcPr>
          <w:p w14:paraId="4F706E5D" w14:textId="686F3EE1" w:rsidR="00C50401" w:rsidRDefault="00C50401" w:rsidP="00943B19">
            <w:pPr>
              <w:spacing w:line="360" w:lineRule="auto"/>
            </w:pPr>
            <w:r>
              <w:t>Yes</w:t>
            </w:r>
          </w:p>
        </w:tc>
        <w:tc>
          <w:tcPr>
            <w:tcW w:w="2338" w:type="dxa"/>
            <w:vAlign w:val="center"/>
          </w:tcPr>
          <w:p w14:paraId="2746B3F0" w14:textId="0ECC1ED9" w:rsidR="00C50401" w:rsidRDefault="00C50401" w:rsidP="00943B19">
            <w:pPr>
              <w:spacing w:line="360" w:lineRule="auto"/>
            </w:pPr>
            <w:r>
              <w:t>4.6</w:t>
            </w:r>
          </w:p>
        </w:tc>
      </w:tr>
      <w:tr w:rsidR="00C50401" w14:paraId="0AE8A6C7" w14:textId="77777777" w:rsidTr="00574E02">
        <w:tc>
          <w:tcPr>
            <w:tcW w:w="2337" w:type="dxa"/>
            <w:vAlign w:val="center"/>
          </w:tcPr>
          <w:p w14:paraId="4D519A8E" w14:textId="47C82DE5" w:rsidR="00C50401" w:rsidRDefault="00C50401" w:rsidP="00943B19">
            <w:pPr>
              <w:spacing w:line="360" w:lineRule="auto"/>
            </w:pPr>
            <w:r>
              <w:t>Project B only</w:t>
            </w:r>
          </w:p>
        </w:tc>
        <w:tc>
          <w:tcPr>
            <w:tcW w:w="2337" w:type="dxa"/>
            <w:vAlign w:val="center"/>
          </w:tcPr>
          <w:p w14:paraId="4EA31A18" w14:textId="65957378" w:rsidR="00C50401" w:rsidRDefault="00C50401" w:rsidP="00943B19">
            <w:pPr>
              <w:spacing w:line="360" w:lineRule="auto"/>
            </w:pPr>
            <w:r>
              <w:t>30</w:t>
            </w:r>
          </w:p>
        </w:tc>
        <w:tc>
          <w:tcPr>
            <w:tcW w:w="2338" w:type="dxa"/>
            <w:vAlign w:val="center"/>
          </w:tcPr>
          <w:p w14:paraId="622CE2C2" w14:textId="317BB529" w:rsidR="00C50401" w:rsidRDefault="00C50401" w:rsidP="00943B19">
            <w:pPr>
              <w:spacing w:line="360" w:lineRule="auto"/>
            </w:pPr>
            <w:r>
              <w:t>Yes</w:t>
            </w:r>
          </w:p>
        </w:tc>
        <w:tc>
          <w:tcPr>
            <w:tcW w:w="2338" w:type="dxa"/>
            <w:vAlign w:val="center"/>
          </w:tcPr>
          <w:p w14:paraId="6F0416B9" w14:textId="71E1B551" w:rsidR="00C50401" w:rsidRDefault="00C50401" w:rsidP="00943B19">
            <w:pPr>
              <w:spacing w:line="360" w:lineRule="auto"/>
            </w:pPr>
            <w:r>
              <w:t>2.7</w:t>
            </w:r>
          </w:p>
        </w:tc>
      </w:tr>
      <w:tr w:rsidR="00C50401" w14:paraId="6DD28F38" w14:textId="77777777" w:rsidTr="00574E02">
        <w:tc>
          <w:tcPr>
            <w:tcW w:w="2337" w:type="dxa"/>
            <w:vAlign w:val="center"/>
          </w:tcPr>
          <w:p w14:paraId="1A52E59B" w14:textId="7AF5D2F1" w:rsidR="00C50401" w:rsidRDefault="00C50401" w:rsidP="00943B19">
            <w:pPr>
              <w:spacing w:line="360" w:lineRule="auto"/>
            </w:pPr>
            <w:r>
              <w:t>Project C only</w:t>
            </w:r>
          </w:p>
        </w:tc>
        <w:tc>
          <w:tcPr>
            <w:tcW w:w="2337" w:type="dxa"/>
            <w:vAlign w:val="center"/>
          </w:tcPr>
          <w:p w14:paraId="793F1F75" w14:textId="43AA64C2" w:rsidR="00C50401" w:rsidRDefault="00C50401" w:rsidP="00943B19">
            <w:pPr>
              <w:spacing w:line="360" w:lineRule="auto"/>
            </w:pPr>
            <w:r>
              <w:t>50</w:t>
            </w:r>
          </w:p>
        </w:tc>
        <w:tc>
          <w:tcPr>
            <w:tcW w:w="2338" w:type="dxa"/>
            <w:vAlign w:val="center"/>
          </w:tcPr>
          <w:p w14:paraId="05A6B588" w14:textId="7AE82E08" w:rsidR="00C50401" w:rsidRDefault="00C50401" w:rsidP="00943B19">
            <w:pPr>
              <w:spacing w:line="360" w:lineRule="auto"/>
            </w:pPr>
            <w:r>
              <w:t>Yes</w:t>
            </w:r>
          </w:p>
        </w:tc>
        <w:tc>
          <w:tcPr>
            <w:tcW w:w="2338" w:type="dxa"/>
            <w:vAlign w:val="center"/>
          </w:tcPr>
          <w:p w14:paraId="678ED6C7" w14:textId="383AD4A7" w:rsidR="00C50401" w:rsidRDefault="00C50401" w:rsidP="00943B19">
            <w:pPr>
              <w:spacing w:line="360" w:lineRule="auto"/>
            </w:pPr>
            <w:r>
              <w:t>9.8</w:t>
            </w:r>
          </w:p>
        </w:tc>
      </w:tr>
      <w:tr w:rsidR="00C50401" w14:paraId="553CDD5F" w14:textId="77777777" w:rsidTr="00574E02">
        <w:tc>
          <w:tcPr>
            <w:tcW w:w="2337" w:type="dxa"/>
            <w:vAlign w:val="center"/>
          </w:tcPr>
          <w:p w14:paraId="41CD4C02" w14:textId="43FCEC4D" w:rsidR="00C50401" w:rsidRDefault="00C50401" w:rsidP="00943B19">
            <w:pPr>
              <w:spacing w:line="360" w:lineRule="auto"/>
            </w:pPr>
            <w:r>
              <w:t>Project A + B</w:t>
            </w:r>
          </w:p>
        </w:tc>
        <w:tc>
          <w:tcPr>
            <w:tcW w:w="2337" w:type="dxa"/>
            <w:vAlign w:val="center"/>
          </w:tcPr>
          <w:p w14:paraId="7BE9BB85" w14:textId="59021373" w:rsidR="00C50401" w:rsidRDefault="00C50401" w:rsidP="00943B19">
            <w:pPr>
              <w:spacing w:line="360" w:lineRule="auto"/>
            </w:pPr>
            <w:r>
              <w:t>70</w:t>
            </w:r>
          </w:p>
        </w:tc>
        <w:tc>
          <w:tcPr>
            <w:tcW w:w="2338" w:type="dxa"/>
            <w:vAlign w:val="center"/>
          </w:tcPr>
          <w:p w14:paraId="50CBD281" w14:textId="3FB0F593" w:rsidR="00C50401" w:rsidRDefault="00C50401" w:rsidP="00943B19">
            <w:pPr>
              <w:spacing w:line="360" w:lineRule="auto"/>
            </w:pPr>
            <w:r>
              <w:t>No</w:t>
            </w:r>
          </w:p>
        </w:tc>
        <w:tc>
          <w:tcPr>
            <w:tcW w:w="2338" w:type="dxa"/>
            <w:vAlign w:val="center"/>
          </w:tcPr>
          <w:p w14:paraId="36577C00" w14:textId="02C9D73B" w:rsidR="00C50401" w:rsidRDefault="00C50401" w:rsidP="00943B19">
            <w:pPr>
              <w:spacing w:line="360" w:lineRule="auto"/>
            </w:pPr>
            <w:r>
              <w:t>–</w:t>
            </w:r>
          </w:p>
        </w:tc>
      </w:tr>
      <w:tr w:rsidR="00C50401" w14:paraId="5985189E" w14:textId="77777777" w:rsidTr="00574E02">
        <w:tc>
          <w:tcPr>
            <w:tcW w:w="2337" w:type="dxa"/>
            <w:vAlign w:val="center"/>
          </w:tcPr>
          <w:p w14:paraId="1B056965" w14:textId="1452A936" w:rsidR="00C50401" w:rsidRDefault="00C50401" w:rsidP="00943B19">
            <w:pPr>
              <w:spacing w:line="360" w:lineRule="auto"/>
            </w:pPr>
            <w:r>
              <w:t>Project A + C</w:t>
            </w:r>
          </w:p>
        </w:tc>
        <w:tc>
          <w:tcPr>
            <w:tcW w:w="2337" w:type="dxa"/>
            <w:vAlign w:val="center"/>
          </w:tcPr>
          <w:p w14:paraId="39A9000A" w14:textId="423227A1" w:rsidR="00C50401" w:rsidRDefault="00C50401" w:rsidP="00943B19">
            <w:pPr>
              <w:spacing w:line="360" w:lineRule="auto"/>
            </w:pPr>
            <w:r>
              <w:t>90</w:t>
            </w:r>
          </w:p>
        </w:tc>
        <w:tc>
          <w:tcPr>
            <w:tcW w:w="2338" w:type="dxa"/>
            <w:vAlign w:val="center"/>
          </w:tcPr>
          <w:p w14:paraId="237349E4" w14:textId="19272003" w:rsidR="00C50401" w:rsidRDefault="00C50401" w:rsidP="00943B19">
            <w:pPr>
              <w:spacing w:line="360" w:lineRule="auto"/>
            </w:pPr>
            <w:r>
              <w:t>No</w:t>
            </w:r>
          </w:p>
        </w:tc>
        <w:tc>
          <w:tcPr>
            <w:tcW w:w="2338" w:type="dxa"/>
            <w:vAlign w:val="center"/>
          </w:tcPr>
          <w:p w14:paraId="18E66388" w14:textId="0D03C25F" w:rsidR="00C50401" w:rsidRDefault="00C50401" w:rsidP="00943B19">
            <w:pPr>
              <w:spacing w:line="360" w:lineRule="auto"/>
            </w:pPr>
            <w:r>
              <w:t>–</w:t>
            </w:r>
          </w:p>
        </w:tc>
      </w:tr>
    </w:tbl>
    <w:p w14:paraId="46F7741F" w14:textId="77777777" w:rsidR="00D57548" w:rsidRPr="003B44FD" w:rsidRDefault="00D57548" w:rsidP="00943B19">
      <w:pPr>
        <w:spacing w:line="360" w:lineRule="auto"/>
      </w:pPr>
    </w:p>
    <w:sectPr w:rsidR="00D57548" w:rsidRPr="003B44FD">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E0900" w14:textId="77777777" w:rsidR="00D75500" w:rsidRDefault="00D75500" w:rsidP="00160A75">
      <w:pPr>
        <w:spacing w:after="0" w:line="240" w:lineRule="auto"/>
      </w:pPr>
      <w:r>
        <w:separator/>
      </w:r>
    </w:p>
  </w:endnote>
  <w:endnote w:type="continuationSeparator" w:id="0">
    <w:p w14:paraId="7DB7EFC6" w14:textId="77777777" w:rsidR="00D75500" w:rsidRDefault="00D75500" w:rsidP="00160A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4184142"/>
      <w:docPartObj>
        <w:docPartGallery w:val="Page Numbers (Bottom of Page)"/>
        <w:docPartUnique/>
      </w:docPartObj>
    </w:sdtPr>
    <w:sdtEndPr>
      <w:rPr>
        <w:color w:val="7F7F7F" w:themeColor="background1" w:themeShade="7F"/>
        <w:spacing w:val="60"/>
      </w:rPr>
    </w:sdtEndPr>
    <w:sdtContent>
      <w:p w14:paraId="25F04BF2" w14:textId="69BB67EA" w:rsidR="00160A75" w:rsidRDefault="00160A75">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463A7B83" w14:textId="77777777" w:rsidR="00160A75" w:rsidRDefault="00160A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02B1D" w14:textId="77777777" w:rsidR="00D75500" w:rsidRDefault="00D75500" w:rsidP="00160A75">
      <w:pPr>
        <w:spacing w:after="0" w:line="240" w:lineRule="auto"/>
      </w:pPr>
      <w:r>
        <w:separator/>
      </w:r>
    </w:p>
  </w:footnote>
  <w:footnote w:type="continuationSeparator" w:id="0">
    <w:p w14:paraId="3B1FD1B7" w14:textId="77777777" w:rsidR="00D75500" w:rsidRDefault="00D75500" w:rsidP="00160A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627DE"/>
    <w:multiLevelType w:val="multilevel"/>
    <w:tmpl w:val="67A0C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7B79AC"/>
    <w:multiLevelType w:val="multilevel"/>
    <w:tmpl w:val="07B05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9B1212"/>
    <w:multiLevelType w:val="hybridMultilevel"/>
    <w:tmpl w:val="0488420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5933993"/>
    <w:multiLevelType w:val="hybridMultilevel"/>
    <w:tmpl w:val="F96C3C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54940244">
    <w:abstractNumId w:val="3"/>
  </w:num>
  <w:num w:numId="2" w16cid:durableId="913704993">
    <w:abstractNumId w:val="2"/>
  </w:num>
  <w:num w:numId="3" w16cid:durableId="2143035253">
    <w:abstractNumId w:val="1"/>
  </w:num>
  <w:num w:numId="4" w16cid:durableId="11953885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498"/>
    <w:rsid w:val="000048FD"/>
    <w:rsid w:val="000200FC"/>
    <w:rsid w:val="00054D47"/>
    <w:rsid w:val="000C3C28"/>
    <w:rsid w:val="000C554B"/>
    <w:rsid w:val="000C5BB5"/>
    <w:rsid w:val="000E3B56"/>
    <w:rsid w:val="000E4EDC"/>
    <w:rsid w:val="000E6465"/>
    <w:rsid w:val="000F5495"/>
    <w:rsid w:val="00111FDA"/>
    <w:rsid w:val="00160A75"/>
    <w:rsid w:val="00184C62"/>
    <w:rsid w:val="0019384A"/>
    <w:rsid w:val="001A4BEB"/>
    <w:rsid w:val="001E7D7B"/>
    <w:rsid w:val="00202D18"/>
    <w:rsid w:val="00232C46"/>
    <w:rsid w:val="00242285"/>
    <w:rsid w:val="00250490"/>
    <w:rsid w:val="00273984"/>
    <w:rsid w:val="002817C1"/>
    <w:rsid w:val="002A6895"/>
    <w:rsid w:val="002E70CA"/>
    <w:rsid w:val="00305A36"/>
    <w:rsid w:val="00347821"/>
    <w:rsid w:val="00350376"/>
    <w:rsid w:val="00355715"/>
    <w:rsid w:val="00361D1E"/>
    <w:rsid w:val="00372E17"/>
    <w:rsid w:val="003961A4"/>
    <w:rsid w:val="003B185A"/>
    <w:rsid w:val="003B44FD"/>
    <w:rsid w:val="003C08A4"/>
    <w:rsid w:val="003D679F"/>
    <w:rsid w:val="003E52CC"/>
    <w:rsid w:val="003F3A6E"/>
    <w:rsid w:val="00406523"/>
    <w:rsid w:val="0043517A"/>
    <w:rsid w:val="004607C9"/>
    <w:rsid w:val="004B4F67"/>
    <w:rsid w:val="004D0EFA"/>
    <w:rsid w:val="004E7E7B"/>
    <w:rsid w:val="004F347A"/>
    <w:rsid w:val="004F5863"/>
    <w:rsid w:val="004F642B"/>
    <w:rsid w:val="00515E5D"/>
    <w:rsid w:val="00523ADA"/>
    <w:rsid w:val="0059163B"/>
    <w:rsid w:val="005979F7"/>
    <w:rsid w:val="005A0206"/>
    <w:rsid w:val="005A69B7"/>
    <w:rsid w:val="005B7E18"/>
    <w:rsid w:val="005C5169"/>
    <w:rsid w:val="005C67B8"/>
    <w:rsid w:val="005F35C8"/>
    <w:rsid w:val="005F5C62"/>
    <w:rsid w:val="006048B1"/>
    <w:rsid w:val="00614199"/>
    <w:rsid w:val="006235C6"/>
    <w:rsid w:val="00630FDC"/>
    <w:rsid w:val="006337A0"/>
    <w:rsid w:val="006546C7"/>
    <w:rsid w:val="006771BA"/>
    <w:rsid w:val="00691C93"/>
    <w:rsid w:val="006A73AC"/>
    <w:rsid w:val="006C7599"/>
    <w:rsid w:val="006E0BF6"/>
    <w:rsid w:val="007003A6"/>
    <w:rsid w:val="007213F3"/>
    <w:rsid w:val="00745C06"/>
    <w:rsid w:val="00756E42"/>
    <w:rsid w:val="0077452A"/>
    <w:rsid w:val="00776F96"/>
    <w:rsid w:val="007B14EF"/>
    <w:rsid w:val="007C626B"/>
    <w:rsid w:val="007D119B"/>
    <w:rsid w:val="007E4987"/>
    <w:rsid w:val="00822B68"/>
    <w:rsid w:val="0084576A"/>
    <w:rsid w:val="008618FB"/>
    <w:rsid w:val="0087643E"/>
    <w:rsid w:val="00881CB5"/>
    <w:rsid w:val="00884E8E"/>
    <w:rsid w:val="00891306"/>
    <w:rsid w:val="008B431F"/>
    <w:rsid w:val="008D3A26"/>
    <w:rsid w:val="008F4008"/>
    <w:rsid w:val="00937422"/>
    <w:rsid w:val="00941094"/>
    <w:rsid w:val="00943B19"/>
    <w:rsid w:val="00991433"/>
    <w:rsid w:val="009A16AE"/>
    <w:rsid w:val="009F2CB2"/>
    <w:rsid w:val="00A45B66"/>
    <w:rsid w:val="00A64D30"/>
    <w:rsid w:val="00A926E0"/>
    <w:rsid w:val="00A95C2B"/>
    <w:rsid w:val="00AB71BC"/>
    <w:rsid w:val="00AF1D4F"/>
    <w:rsid w:val="00B42A95"/>
    <w:rsid w:val="00B7046C"/>
    <w:rsid w:val="00B83498"/>
    <w:rsid w:val="00B85F21"/>
    <w:rsid w:val="00B9110F"/>
    <w:rsid w:val="00B9605C"/>
    <w:rsid w:val="00BB322E"/>
    <w:rsid w:val="00BB580D"/>
    <w:rsid w:val="00BD260A"/>
    <w:rsid w:val="00BD3CDC"/>
    <w:rsid w:val="00C25D81"/>
    <w:rsid w:val="00C50401"/>
    <w:rsid w:val="00CA02EC"/>
    <w:rsid w:val="00CD1D2A"/>
    <w:rsid w:val="00CE26EF"/>
    <w:rsid w:val="00CF1DD8"/>
    <w:rsid w:val="00D434D3"/>
    <w:rsid w:val="00D44B2B"/>
    <w:rsid w:val="00D5161E"/>
    <w:rsid w:val="00D57548"/>
    <w:rsid w:val="00D75500"/>
    <w:rsid w:val="00D77A34"/>
    <w:rsid w:val="00D933BA"/>
    <w:rsid w:val="00E10D05"/>
    <w:rsid w:val="00E110D6"/>
    <w:rsid w:val="00E30332"/>
    <w:rsid w:val="00E30488"/>
    <w:rsid w:val="00E5273A"/>
    <w:rsid w:val="00E647B6"/>
    <w:rsid w:val="00E74CCE"/>
    <w:rsid w:val="00E96F35"/>
    <w:rsid w:val="00EB6999"/>
    <w:rsid w:val="00EC29E8"/>
    <w:rsid w:val="00ED07B7"/>
    <w:rsid w:val="00EF56AC"/>
    <w:rsid w:val="00F83133"/>
    <w:rsid w:val="00F877B1"/>
    <w:rsid w:val="00F927EF"/>
    <w:rsid w:val="00FB2874"/>
    <w:rsid w:val="00FC10EA"/>
    <w:rsid w:val="00FD05B3"/>
    <w:rsid w:val="00FE71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08723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498"/>
    <w:pPr>
      <w:jc w:val="both"/>
    </w:pPr>
    <w:rPr>
      <w:rFonts w:ascii="Times New Roman" w:hAnsi="Times New Roman"/>
      <w:sz w:val="24"/>
      <w:lang w:val="en-GB"/>
    </w:rPr>
  </w:style>
  <w:style w:type="paragraph" w:styleId="Heading1">
    <w:name w:val="heading 1"/>
    <w:basedOn w:val="Normal"/>
    <w:next w:val="Normal"/>
    <w:link w:val="Heading1Char"/>
    <w:uiPriority w:val="9"/>
    <w:qFormat/>
    <w:rsid w:val="006E0BF6"/>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7E4987"/>
    <w:pPr>
      <w:keepNext/>
      <w:keepLines/>
      <w:spacing w:before="160" w:after="80"/>
      <w:jc w:val="left"/>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B8349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8349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8349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834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34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34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34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0BF6"/>
    <w:rPr>
      <w:rFonts w:ascii="Times New Roman" w:eastAsiaTheme="majorEastAsia" w:hAnsi="Times New Roman" w:cstheme="majorBidi"/>
      <w:b/>
      <w:color w:val="000000" w:themeColor="text1"/>
      <w:sz w:val="32"/>
      <w:szCs w:val="40"/>
      <w:lang w:val="en-GB"/>
    </w:rPr>
  </w:style>
  <w:style w:type="character" w:customStyle="1" w:styleId="Heading2Char">
    <w:name w:val="Heading 2 Char"/>
    <w:basedOn w:val="DefaultParagraphFont"/>
    <w:link w:val="Heading2"/>
    <w:uiPriority w:val="9"/>
    <w:rsid w:val="007E4987"/>
    <w:rPr>
      <w:rFonts w:ascii="Times New Roman" w:eastAsiaTheme="majorEastAsia" w:hAnsi="Times New Roman" w:cstheme="majorBidi"/>
      <w:b/>
      <w:color w:val="000000" w:themeColor="text1"/>
      <w:sz w:val="28"/>
      <w:szCs w:val="32"/>
      <w:lang w:val="en-GB"/>
    </w:rPr>
  </w:style>
  <w:style w:type="character" w:customStyle="1" w:styleId="Heading3Char">
    <w:name w:val="Heading 3 Char"/>
    <w:basedOn w:val="DefaultParagraphFont"/>
    <w:link w:val="Heading3"/>
    <w:uiPriority w:val="9"/>
    <w:semiHidden/>
    <w:rsid w:val="00B83498"/>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B83498"/>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B83498"/>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B83498"/>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B83498"/>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B83498"/>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B83498"/>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B834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3498"/>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B834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349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83498"/>
    <w:pPr>
      <w:spacing w:before="160"/>
      <w:jc w:val="center"/>
    </w:pPr>
    <w:rPr>
      <w:i/>
      <w:iCs/>
      <w:color w:val="404040" w:themeColor="text1" w:themeTint="BF"/>
    </w:rPr>
  </w:style>
  <w:style w:type="character" w:customStyle="1" w:styleId="QuoteChar">
    <w:name w:val="Quote Char"/>
    <w:basedOn w:val="DefaultParagraphFont"/>
    <w:link w:val="Quote"/>
    <w:uiPriority w:val="29"/>
    <w:rsid w:val="00B83498"/>
    <w:rPr>
      <w:i/>
      <w:iCs/>
      <w:color w:val="404040" w:themeColor="text1" w:themeTint="BF"/>
      <w:lang w:val="en-GB"/>
    </w:rPr>
  </w:style>
  <w:style w:type="paragraph" w:styleId="ListParagraph">
    <w:name w:val="List Paragraph"/>
    <w:basedOn w:val="Normal"/>
    <w:uiPriority w:val="34"/>
    <w:qFormat/>
    <w:rsid w:val="00B83498"/>
    <w:pPr>
      <w:ind w:left="720"/>
      <w:contextualSpacing/>
    </w:pPr>
  </w:style>
  <w:style w:type="character" w:styleId="IntenseEmphasis">
    <w:name w:val="Intense Emphasis"/>
    <w:basedOn w:val="DefaultParagraphFont"/>
    <w:uiPriority w:val="21"/>
    <w:qFormat/>
    <w:rsid w:val="00B83498"/>
    <w:rPr>
      <w:i/>
      <w:iCs/>
      <w:color w:val="2F5496" w:themeColor="accent1" w:themeShade="BF"/>
    </w:rPr>
  </w:style>
  <w:style w:type="paragraph" w:styleId="IntenseQuote">
    <w:name w:val="Intense Quote"/>
    <w:basedOn w:val="Normal"/>
    <w:next w:val="Normal"/>
    <w:link w:val="IntenseQuoteChar"/>
    <w:uiPriority w:val="30"/>
    <w:qFormat/>
    <w:rsid w:val="00B8349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83498"/>
    <w:rPr>
      <w:i/>
      <w:iCs/>
      <w:color w:val="2F5496" w:themeColor="accent1" w:themeShade="BF"/>
      <w:lang w:val="en-GB"/>
    </w:rPr>
  </w:style>
  <w:style w:type="character" w:styleId="IntenseReference">
    <w:name w:val="Intense Reference"/>
    <w:basedOn w:val="DefaultParagraphFont"/>
    <w:uiPriority w:val="32"/>
    <w:qFormat/>
    <w:rsid w:val="00B83498"/>
    <w:rPr>
      <w:b/>
      <w:bCs/>
      <w:smallCaps/>
      <w:color w:val="2F5496" w:themeColor="accent1" w:themeShade="BF"/>
      <w:spacing w:val="5"/>
    </w:rPr>
  </w:style>
  <w:style w:type="table" w:styleId="TableGrid">
    <w:name w:val="Table Grid"/>
    <w:basedOn w:val="TableNormal"/>
    <w:uiPriority w:val="39"/>
    <w:rsid w:val="005979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B44FD"/>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160A75"/>
    <w:pPr>
      <w:spacing w:before="240" w:after="0"/>
      <w:jc w:val="left"/>
      <w:outlineLvl w:val="9"/>
    </w:pPr>
    <w:rPr>
      <w:rFonts w:asciiTheme="majorHAnsi" w:hAnsiTheme="majorHAnsi"/>
      <w:b w:val="0"/>
      <w:color w:val="2F5496" w:themeColor="accent1" w:themeShade="BF"/>
      <w:kern w:val="0"/>
      <w:szCs w:val="32"/>
      <w:lang w:eastAsia="en-GB"/>
      <w14:ligatures w14:val="none"/>
    </w:rPr>
  </w:style>
  <w:style w:type="paragraph" w:styleId="TOC1">
    <w:name w:val="toc 1"/>
    <w:basedOn w:val="Normal"/>
    <w:next w:val="Normal"/>
    <w:autoRedefine/>
    <w:uiPriority w:val="39"/>
    <w:unhideWhenUsed/>
    <w:rsid w:val="00160A75"/>
    <w:pPr>
      <w:spacing w:after="100"/>
    </w:pPr>
  </w:style>
  <w:style w:type="paragraph" w:styleId="TOC2">
    <w:name w:val="toc 2"/>
    <w:basedOn w:val="Normal"/>
    <w:next w:val="Normal"/>
    <w:autoRedefine/>
    <w:uiPriority w:val="39"/>
    <w:unhideWhenUsed/>
    <w:rsid w:val="00160A75"/>
    <w:pPr>
      <w:spacing w:after="100"/>
      <w:ind w:left="240"/>
    </w:pPr>
  </w:style>
  <w:style w:type="character" w:styleId="Hyperlink">
    <w:name w:val="Hyperlink"/>
    <w:basedOn w:val="DefaultParagraphFont"/>
    <w:uiPriority w:val="99"/>
    <w:unhideWhenUsed/>
    <w:rsid w:val="00160A75"/>
    <w:rPr>
      <w:color w:val="0563C1" w:themeColor="hyperlink"/>
      <w:u w:val="single"/>
    </w:rPr>
  </w:style>
  <w:style w:type="paragraph" w:styleId="Header">
    <w:name w:val="header"/>
    <w:basedOn w:val="Normal"/>
    <w:link w:val="HeaderChar"/>
    <w:uiPriority w:val="99"/>
    <w:unhideWhenUsed/>
    <w:rsid w:val="00160A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0A75"/>
    <w:rPr>
      <w:rFonts w:ascii="Times New Roman" w:hAnsi="Times New Roman"/>
      <w:sz w:val="24"/>
      <w:lang w:val="en-GB"/>
    </w:rPr>
  </w:style>
  <w:style w:type="paragraph" w:styleId="Footer">
    <w:name w:val="footer"/>
    <w:basedOn w:val="Normal"/>
    <w:link w:val="FooterChar"/>
    <w:uiPriority w:val="99"/>
    <w:unhideWhenUsed/>
    <w:rsid w:val="00160A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0A75"/>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t>Profitability Ratios Trend (2020–2024)</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stacked"/>
        <c:varyColors val="0"/>
        <c:ser>
          <c:idx val="0"/>
          <c:order val="0"/>
          <c:tx>
            <c:strRef>
              <c:f>Sheet1!$B$1</c:f>
              <c:strCache>
                <c:ptCount val="1"/>
                <c:pt idx="0">
                  <c:v>Gross Profit Margin (%)</c:v>
                </c:pt>
              </c:strCache>
            </c:strRef>
          </c:tx>
          <c:spPr>
            <a:solidFill>
              <a:schemeClr val="accent1"/>
            </a:solidFill>
            <a:ln>
              <a:noFill/>
            </a:ln>
            <a:effectLst/>
          </c:spPr>
          <c:invertIfNegative val="0"/>
          <c:cat>
            <c:numRef>
              <c:f>Sheet1!$A$2:$A$6</c:f>
              <c:numCache>
                <c:formatCode>General</c:formatCode>
                <c:ptCount val="5"/>
                <c:pt idx="0">
                  <c:v>2020</c:v>
                </c:pt>
                <c:pt idx="1">
                  <c:v>2021</c:v>
                </c:pt>
                <c:pt idx="2">
                  <c:v>2022</c:v>
                </c:pt>
                <c:pt idx="3">
                  <c:v>2023</c:v>
                </c:pt>
                <c:pt idx="4">
                  <c:v>2024</c:v>
                </c:pt>
              </c:numCache>
            </c:numRef>
          </c:cat>
          <c:val>
            <c:numRef>
              <c:f>Sheet1!$B$2:$B$6</c:f>
              <c:numCache>
                <c:formatCode>General</c:formatCode>
                <c:ptCount val="5"/>
                <c:pt idx="0">
                  <c:v>28.7</c:v>
                </c:pt>
                <c:pt idx="1">
                  <c:v>28.8</c:v>
                </c:pt>
                <c:pt idx="2">
                  <c:v>28.1</c:v>
                </c:pt>
                <c:pt idx="3">
                  <c:v>23.2</c:v>
                </c:pt>
                <c:pt idx="4">
                  <c:v>28.9</c:v>
                </c:pt>
              </c:numCache>
            </c:numRef>
          </c:val>
          <c:extLst>
            <c:ext xmlns:c16="http://schemas.microsoft.com/office/drawing/2014/chart" uri="{C3380CC4-5D6E-409C-BE32-E72D297353CC}">
              <c16:uniqueId val="{00000000-13ED-46E7-97AA-707221E7D216}"/>
            </c:ext>
          </c:extLst>
        </c:ser>
        <c:ser>
          <c:idx val="1"/>
          <c:order val="1"/>
          <c:tx>
            <c:strRef>
              <c:f>Sheet1!$C$1</c:f>
              <c:strCache>
                <c:ptCount val="1"/>
                <c:pt idx="0">
                  <c:v>Operating Margin (%)</c:v>
                </c:pt>
              </c:strCache>
            </c:strRef>
          </c:tx>
          <c:spPr>
            <a:solidFill>
              <a:schemeClr val="accent2"/>
            </a:solidFill>
            <a:ln>
              <a:noFill/>
            </a:ln>
            <a:effectLst/>
          </c:spPr>
          <c:invertIfNegative val="0"/>
          <c:cat>
            <c:numRef>
              <c:f>Sheet1!$A$2:$A$6</c:f>
              <c:numCache>
                <c:formatCode>General</c:formatCode>
                <c:ptCount val="5"/>
                <c:pt idx="0">
                  <c:v>2020</c:v>
                </c:pt>
                <c:pt idx="1">
                  <c:v>2021</c:v>
                </c:pt>
                <c:pt idx="2">
                  <c:v>2022</c:v>
                </c:pt>
                <c:pt idx="3">
                  <c:v>2023</c:v>
                </c:pt>
                <c:pt idx="4">
                  <c:v>2024</c:v>
                </c:pt>
              </c:numCache>
            </c:numRef>
          </c:cat>
          <c:val>
            <c:numRef>
              <c:f>Sheet1!$C$2:$C$6</c:f>
              <c:numCache>
                <c:formatCode>General</c:formatCode>
                <c:ptCount val="5"/>
                <c:pt idx="0">
                  <c:v>6.1</c:v>
                </c:pt>
                <c:pt idx="1">
                  <c:v>3.9</c:v>
                </c:pt>
                <c:pt idx="2">
                  <c:v>2.7</c:v>
                </c:pt>
                <c:pt idx="3">
                  <c:v>-20.3</c:v>
                </c:pt>
                <c:pt idx="4">
                  <c:v>-3.9</c:v>
                </c:pt>
              </c:numCache>
            </c:numRef>
          </c:val>
          <c:extLst>
            <c:ext xmlns:c16="http://schemas.microsoft.com/office/drawing/2014/chart" uri="{C3380CC4-5D6E-409C-BE32-E72D297353CC}">
              <c16:uniqueId val="{00000001-13ED-46E7-97AA-707221E7D216}"/>
            </c:ext>
          </c:extLst>
        </c:ser>
        <c:ser>
          <c:idx val="2"/>
          <c:order val="2"/>
          <c:tx>
            <c:strRef>
              <c:f>Sheet1!$D$1</c:f>
              <c:strCache>
                <c:ptCount val="1"/>
                <c:pt idx="0">
                  <c:v>Net Profit Margin (%)</c:v>
                </c:pt>
              </c:strCache>
            </c:strRef>
          </c:tx>
          <c:spPr>
            <a:solidFill>
              <a:schemeClr val="accent3"/>
            </a:solidFill>
            <a:ln>
              <a:noFill/>
            </a:ln>
            <a:effectLst/>
          </c:spPr>
          <c:invertIfNegative val="0"/>
          <c:cat>
            <c:numRef>
              <c:f>Sheet1!$A$2:$A$6</c:f>
              <c:numCache>
                <c:formatCode>General</c:formatCode>
                <c:ptCount val="5"/>
                <c:pt idx="0">
                  <c:v>2020</c:v>
                </c:pt>
                <c:pt idx="1">
                  <c:v>2021</c:v>
                </c:pt>
                <c:pt idx="2">
                  <c:v>2022</c:v>
                </c:pt>
                <c:pt idx="3">
                  <c:v>2023</c:v>
                </c:pt>
                <c:pt idx="4">
                  <c:v>2024</c:v>
                </c:pt>
              </c:numCache>
            </c:numRef>
          </c:cat>
          <c:val>
            <c:numRef>
              <c:f>Sheet1!$D$2:$D$6</c:f>
              <c:numCache>
                <c:formatCode>General</c:formatCode>
                <c:ptCount val="5"/>
                <c:pt idx="0">
                  <c:v>6.3</c:v>
                </c:pt>
                <c:pt idx="1">
                  <c:v>0.9</c:v>
                </c:pt>
                <c:pt idx="2">
                  <c:v>0.1</c:v>
                </c:pt>
                <c:pt idx="3">
                  <c:v>-23.4</c:v>
                </c:pt>
                <c:pt idx="4">
                  <c:v>-6.1</c:v>
                </c:pt>
              </c:numCache>
            </c:numRef>
          </c:val>
          <c:extLst>
            <c:ext xmlns:c16="http://schemas.microsoft.com/office/drawing/2014/chart" uri="{C3380CC4-5D6E-409C-BE32-E72D297353CC}">
              <c16:uniqueId val="{00000002-13ED-46E7-97AA-707221E7D216}"/>
            </c:ext>
          </c:extLst>
        </c:ser>
        <c:dLbls>
          <c:showLegendKey val="0"/>
          <c:showVal val="0"/>
          <c:showCatName val="0"/>
          <c:showSerName val="0"/>
          <c:showPercent val="0"/>
          <c:showBubbleSize val="0"/>
        </c:dLbls>
        <c:gapWidth val="150"/>
        <c:overlap val="100"/>
        <c:axId val="495993184"/>
        <c:axId val="495994144"/>
      </c:barChart>
      <c:catAx>
        <c:axId val="4959931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5994144"/>
        <c:crosses val="autoZero"/>
        <c:auto val="1"/>
        <c:lblAlgn val="ctr"/>
        <c:lblOffset val="100"/>
        <c:noMultiLvlLbl val="0"/>
      </c:catAx>
      <c:valAx>
        <c:axId val="4959941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59931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Liquidity Ratios Trend (2020–2024)</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Sheet1!$F$23</c:f>
              <c:strCache>
                <c:ptCount val="1"/>
                <c:pt idx="0">
                  <c:v>Current Ratio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Sheet1!$E$24:$E$28</c:f>
              <c:numCache>
                <c:formatCode>General</c:formatCode>
                <c:ptCount val="5"/>
                <c:pt idx="0">
                  <c:v>2020</c:v>
                </c:pt>
                <c:pt idx="1">
                  <c:v>2021</c:v>
                </c:pt>
                <c:pt idx="2">
                  <c:v>2022</c:v>
                </c:pt>
                <c:pt idx="3">
                  <c:v>2023</c:v>
                </c:pt>
                <c:pt idx="4">
                  <c:v>2024</c:v>
                </c:pt>
              </c:numCache>
            </c:numRef>
          </c:cat>
          <c:val>
            <c:numRef>
              <c:f>Sheet1!$F$24:$F$28</c:f>
              <c:numCache>
                <c:formatCode>General</c:formatCode>
                <c:ptCount val="5"/>
                <c:pt idx="0">
                  <c:v>1.82</c:v>
                </c:pt>
                <c:pt idx="1">
                  <c:v>1.55</c:v>
                </c:pt>
                <c:pt idx="2">
                  <c:v>1.56</c:v>
                </c:pt>
                <c:pt idx="3">
                  <c:v>1.61</c:v>
                </c:pt>
                <c:pt idx="4">
                  <c:v>1.53</c:v>
                </c:pt>
              </c:numCache>
            </c:numRef>
          </c:val>
          <c:extLst>
            <c:ext xmlns:c16="http://schemas.microsoft.com/office/drawing/2014/chart" uri="{C3380CC4-5D6E-409C-BE32-E72D297353CC}">
              <c16:uniqueId val="{00000000-9072-4356-AE3C-688E90DE3734}"/>
            </c:ext>
          </c:extLst>
        </c:ser>
        <c:ser>
          <c:idx val="1"/>
          <c:order val="1"/>
          <c:tx>
            <c:strRef>
              <c:f>Sheet1!$G$23</c:f>
              <c:strCache>
                <c:ptCount val="1"/>
                <c:pt idx="0">
                  <c:v>Quick Ratio</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Sheet1!$E$24:$E$28</c:f>
              <c:numCache>
                <c:formatCode>General</c:formatCode>
                <c:ptCount val="5"/>
                <c:pt idx="0">
                  <c:v>2020</c:v>
                </c:pt>
                <c:pt idx="1">
                  <c:v>2021</c:v>
                </c:pt>
                <c:pt idx="2">
                  <c:v>2022</c:v>
                </c:pt>
                <c:pt idx="3">
                  <c:v>2023</c:v>
                </c:pt>
                <c:pt idx="4">
                  <c:v>2024</c:v>
                </c:pt>
              </c:numCache>
            </c:numRef>
          </c:cat>
          <c:val>
            <c:numRef>
              <c:f>Sheet1!$G$24:$G$28</c:f>
              <c:numCache>
                <c:formatCode>General</c:formatCode>
                <c:ptCount val="5"/>
                <c:pt idx="0">
                  <c:v>1.1499999999999999</c:v>
                </c:pt>
                <c:pt idx="1">
                  <c:v>0.93</c:v>
                </c:pt>
                <c:pt idx="2">
                  <c:v>0.91</c:v>
                </c:pt>
                <c:pt idx="3">
                  <c:v>1.07</c:v>
                </c:pt>
                <c:pt idx="4">
                  <c:v>1.03</c:v>
                </c:pt>
              </c:numCache>
            </c:numRef>
          </c:val>
          <c:extLst>
            <c:ext xmlns:c16="http://schemas.microsoft.com/office/drawing/2014/chart" uri="{C3380CC4-5D6E-409C-BE32-E72D297353CC}">
              <c16:uniqueId val="{00000001-9072-4356-AE3C-688E90DE3734}"/>
            </c:ext>
          </c:extLst>
        </c:ser>
        <c:dLbls>
          <c:dLblPos val="outEnd"/>
          <c:showLegendKey val="0"/>
          <c:showVal val="1"/>
          <c:showCatName val="0"/>
          <c:showSerName val="0"/>
          <c:showPercent val="0"/>
          <c:showBubbleSize val="0"/>
        </c:dLbls>
        <c:gapWidth val="100"/>
        <c:overlap val="-24"/>
        <c:axId val="490543968"/>
        <c:axId val="490542528"/>
      </c:barChart>
      <c:catAx>
        <c:axId val="49054396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0542528"/>
        <c:crosses val="autoZero"/>
        <c:auto val="1"/>
        <c:lblAlgn val="ctr"/>
        <c:lblOffset val="100"/>
        <c:noMultiLvlLbl val="0"/>
      </c:catAx>
      <c:valAx>
        <c:axId val="4905425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05439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t>Efficiency Ratios – Inventory &amp; Receivables (Days)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Sheet1!$E$42</c:f>
              <c:strCache>
                <c:ptCount val="1"/>
                <c:pt idx="0">
                  <c:v>Inventory Days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Sheet1!$D$43:$D$47</c:f>
              <c:numCache>
                <c:formatCode>General</c:formatCode>
                <c:ptCount val="5"/>
                <c:pt idx="0">
                  <c:v>2020</c:v>
                </c:pt>
                <c:pt idx="1">
                  <c:v>2021</c:v>
                </c:pt>
                <c:pt idx="2">
                  <c:v>2022</c:v>
                </c:pt>
                <c:pt idx="3">
                  <c:v>2023</c:v>
                </c:pt>
                <c:pt idx="4">
                  <c:v>2024</c:v>
                </c:pt>
              </c:numCache>
            </c:numRef>
          </c:cat>
          <c:val>
            <c:numRef>
              <c:f>Sheet1!$E$43:$E$47</c:f>
              <c:numCache>
                <c:formatCode>General</c:formatCode>
                <c:ptCount val="5"/>
                <c:pt idx="0">
                  <c:v>100</c:v>
                </c:pt>
                <c:pt idx="1">
                  <c:v>114</c:v>
                </c:pt>
                <c:pt idx="2">
                  <c:v>131</c:v>
                </c:pt>
                <c:pt idx="3">
                  <c:v>100</c:v>
                </c:pt>
                <c:pt idx="4">
                  <c:v>103</c:v>
                </c:pt>
              </c:numCache>
            </c:numRef>
          </c:val>
          <c:extLst>
            <c:ext xmlns:c16="http://schemas.microsoft.com/office/drawing/2014/chart" uri="{C3380CC4-5D6E-409C-BE32-E72D297353CC}">
              <c16:uniqueId val="{00000000-95A4-4EFC-98E7-BA83B3B10CC4}"/>
            </c:ext>
          </c:extLst>
        </c:ser>
        <c:ser>
          <c:idx val="1"/>
          <c:order val="1"/>
          <c:tx>
            <c:strRef>
              <c:f>Sheet1!$F$42</c:f>
              <c:strCache>
                <c:ptCount val="1"/>
                <c:pt idx="0">
                  <c:v>Receivables Days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Sheet1!$D$43:$D$47</c:f>
              <c:numCache>
                <c:formatCode>General</c:formatCode>
                <c:ptCount val="5"/>
                <c:pt idx="0">
                  <c:v>2020</c:v>
                </c:pt>
                <c:pt idx="1">
                  <c:v>2021</c:v>
                </c:pt>
                <c:pt idx="2">
                  <c:v>2022</c:v>
                </c:pt>
                <c:pt idx="3">
                  <c:v>2023</c:v>
                </c:pt>
                <c:pt idx="4">
                  <c:v>2024</c:v>
                </c:pt>
              </c:numCache>
            </c:numRef>
          </c:cat>
          <c:val>
            <c:numRef>
              <c:f>Sheet1!$F$43:$F$47</c:f>
              <c:numCache>
                <c:formatCode>General</c:formatCode>
                <c:ptCount val="5"/>
                <c:pt idx="0">
                  <c:v>77</c:v>
                </c:pt>
                <c:pt idx="1">
                  <c:v>78</c:v>
                </c:pt>
                <c:pt idx="2">
                  <c:v>76</c:v>
                </c:pt>
                <c:pt idx="3">
                  <c:v>98</c:v>
                </c:pt>
                <c:pt idx="4">
                  <c:v>106</c:v>
                </c:pt>
              </c:numCache>
            </c:numRef>
          </c:val>
          <c:extLst>
            <c:ext xmlns:c16="http://schemas.microsoft.com/office/drawing/2014/chart" uri="{C3380CC4-5D6E-409C-BE32-E72D297353CC}">
              <c16:uniqueId val="{00000001-95A4-4EFC-98E7-BA83B3B10CC4}"/>
            </c:ext>
          </c:extLst>
        </c:ser>
        <c:dLbls>
          <c:dLblPos val="outEnd"/>
          <c:showLegendKey val="0"/>
          <c:showVal val="1"/>
          <c:showCatName val="0"/>
          <c:showSerName val="0"/>
          <c:showPercent val="0"/>
          <c:showBubbleSize val="0"/>
        </c:dLbls>
        <c:gapWidth val="219"/>
        <c:overlap val="-27"/>
        <c:axId val="636753872"/>
        <c:axId val="636751952"/>
      </c:barChart>
      <c:catAx>
        <c:axId val="636753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6751952"/>
        <c:crosses val="autoZero"/>
        <c:auto val="1"/>
        <c:lblAlgn val="ctr"/>
        <c:lblOffset val="100"/>
        <c:noMultiLvlLbl val="0"/>
      </c:catAx>
      <c:valAx>
        <c:axId val="636751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67538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Payables Payment Period (Days)</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Sheet1!$D$57</c:f>
              <c:strCache>
                <c:ptCount val="1"/>
                <c:pt idx="0">
                  <c:v>Payables Days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113-473D-8ADA-C4769045283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113-473D-8ADA-C4769045283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113-473D-8ADA-C4769045283A}"/>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113-473D-8ADA-C4769045283A}"/>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4113-473D-8ADA-C4769045283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numRef>
              <c:f>Sheet1!$C$58:$C$62</c:f>
              <c:numCache>
                <c:formatCode>General</c:formatCode>
                <c:ptCount val="5"/>
                <c:pt idx="0">
                  <c:v>2020</c:v>
                </c:pt>
                <c:pt idx="1">
                  <c:v>2021</c:v>
                </c:pt>
                <c:pt idx="2">
                  <c:v>2022</c:v>
                </c:pt>
                <c:pt idx="3">
                  <c:v>2023</c:v>
                </c:pt>
                <c:pt idx="4">
                  <c:v>2024</c:v>
                </c:pt>
              </c:numCache>
            </c:numRef>
          </c:cat>
          <c:val>
            <c:numRef>
              <c:f>Sheet1!$D$58:$D$62</c:f>
              <c:numCache>
                <c:formatCode>General</c:formatCode>
                <c:ptCount val="5"/>
                <c:pt idx="0">
                  <c:v>69</c:v>
                </c:pt>
                <c:pt idx="1">
                  <c:v>79</c:v>
                </c:pt>
                <c:pt idx="2">
                  <c:v>67</c:v>
                </c:pt>
                <c:pt idx="3">
                  <c:v>65</c:v>
                </c:pt>
                <c:pt idx="4">
                  <c:v>94</c:v>
                </c:pt>
              </c:numCache>
            </c:numRef>
          </c:val>
          <c:extLst>
            <c:ext xmlns:c16="http://schemas.microsoft.com/office/drawing/2014/chart" uri="{C3380CC4-5D6E-409C-BE32-E72D297353CC}">
              <c16:uniqueId val="{0000000A-4113-473D-8ADA-C4769045283A}"/>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Sheet1!$G$79</c:f>
              <c:strCache>
                <c:ptCount val="1"/>
                <c:pt idx="0">
                  <c:v>Debt-to-Equity Ratio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Sheet1!$F$80:$F$84</c:f>
              <c:numCache>
                <c:formatCode>General</c:formatCode>
                <c:ptCount val="5"/>
                <c:pt idx="0">
                  <c:v>2020</c:v>
                </c:pt>
                <c:pt idx="1">
                  <c:v>2021</c:v>
                </c:pt>
                <c:pt idx="2">
                  <c:v>2022</c:v>
                </c:pt>
                <c:pt idx="3">
                  <c:v>2023</c:v>
                </c:pt>
                <c:pt idx="4">
                  <c:v>2024</c:v>
                </c:pt>
              </c:numCache>
            </c:numRef>
          </c:cat>
          <c:val>
            <c:numRef>
              <c:f>Sheet1!$G$80:$G$84</c:f>
              <c:numCache>
                <c:formatCode>General</c:formatCode>
                <c:ptCount val="5"/>
                <c:pt idx="0">
                  <c:v>0.63</c:v>
                </c:pt>
                <c:pt idx="1">
                  <c:v>0.85</c:v>
                </c:pt>
                <c:pt idx="2">
                  <c:v>0.88</c:v>
                </c:pt>
                <c:pt idx="3">
                  <c:v>0.99</c:v>
                </c:pt>
                <c:pt idx="4">
                  <c:v>1.1100000000000001</c:v>
                </c:pt>
              </c:numCache>
            </c:numRef>
          </c:val>
          <c:extLst>
            <c:ext xmlns:c16="http://schemas.microsoft.com/office/drawing/2014/chart" uri="{C3380CC4-5D6E-409C-BE32-E72D297353CC}">
              <c16:uniqueId val="{00000000-39C7-43DA-8FFF-66188C8F8E9B}"/>
            </c:ext>
          </c:extLst>
        </c:ser>
        <c:dLbls>
          <c:dLblPos val="outEnd"/>
          <c:showLegendKey val="0"/>
          <c:showVal val="1"/>
          <c:showCatName val="0"/>
          <c:showSerName val="0"/>
          <c:showPercent val="0"/>
          <c:showBubbleSize val="0"/>
        </c:dLbls>
        <c:gapWidth val="100"/>
        <c:overlap val="-24"/>
        <c:axId val="501513968"/>
        <c:axId val="27388528"/>
      </c:barChart>
      <c:catAx>
        <c:axId val="50151396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388528"/>
        <c:crosses val="autoZero"/>
        <c:auto val="1"/>
        <c:lblAlgn val="ctr"/>
        <c:lblOffset val="100"/>
        <c:noMultiLvlLbl val="0"/>
      </c:catAx>
      <c:valAx>
        <c:axId val="273885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15139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Sheet1!$I$94</c:f>
              <c:strCache>
                <c:ptCount val="1"/>
                <c:pt idx="0">
                  <c:v>Earnings Per Share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Sheet1!$H$95:$H$99</c:f>
              <c:numCache>
                <c:formatCode>General</c:formatCode>
                <c:ptCount val="5"/>
                <c:pt idx="0">
                  <c:v>2020</c:v>
                </c:pt>
                <c:pt idx="1">
                  <c:v>2021</c:v>
                </c:pt>
                <c:pt idx="2">
                  <c:v>2022</c:v>
                </c:pt>
                <c:pt idx="3">
                  <c:v>2023</c:v>
                </c:pt>
                <c:pt idx="4">
                  <c:v>2024</c:v>
                </c:pt>
              </c:numCache>
            </c:numRef>
          </c:cat>
          <c:val>
            <c:numRef>
              <c:f>Sheet1!$I$95:$I$99</c:f>
              <c:numCache>
                <c:formatCode>General</c:formatCode>
                <c:ptCount val="5"/>
                <c:pt idx="0">
                  <c:v>2.78</c:v>
                </c:pt>
                <c:pt idx="1">
                  <c:v>0.39</c:v>
                </c:pt>
                <c:pt idx="2">
                  <c:v>0.03</c:v>
                </c:pt>
                <c:pt idx="3">
                  <c:v>-7.64</c:v>
                </c:pt>
                <c:pt idx="4">
                  <c:v>-1.85</c:v>
                </c:pt>
              </c:numCache>
            </c:numRef>
          </c:val>
          <c:extLst>
            <c:ext xmlns:c16="http://schemas.microsoft.com/office/drawing/2014/chart" uri="{C3380CC4-5D6E-409C-BE32-E72D297353CC}">
              <c16:uniqueId val="{00000000-FDF9-4581-9811-E9401AB7BD7B}"/>
            </c:ext>
          </c:extLst>
        </c:ser>
        <c:dLbls>
          <c:dLblPos val="outEnd"/>
          <c:showLegendKey val="0"/>
          <c:showVal val="1"/>
          <c:showCatName val="0"/>
          <c:showSerName val="0"/>
          <c:showPercent val="0"/>
          <c:showBubbleSize val="0"/>
        </c:dLbls>
        <c:gapWidth val="100"/>
        <c:overlap val="-24"/>
        <c:axId val="573600912"/>
        <c:axId val="573601392"/>
      </c:barChart>
      <c:catAx>
        <c:axId val="57360091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3601392"/>
        <c:crosses val="autoZero"/>
        <c:auto val="1"/>
        <c:lblAlgn val="ctr"/>
        <c:lblOffset val="100"/>
        <c:noMultiLvlLbl val="0"/>
      </c:catAx>
      <c:valAx>
        <c:axId val="5736013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36009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EAC42DD5-2D6A-4C50-B103-4D97DE64A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7197</Words>
  <Characters>41024</Characters>
  <Application>Microsoft Office Word</Application>
  <DocSecurity>0</DocSecurity>
  <Lines>341</Lines>
  <Paragraphs>96</Paragraphs>
  <ScaleCrop>false</ScaleCrop>
  <Company/>
  <LinksUpToDate>false</LinksUpToDate>
  <CharactersWithSpaces>48125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2025-12-16T19:40:00Z</dcterms:created>
  <dcterms:modified xsi:type="dcterms:W3CDTF">2025-12-17T10:10:00Z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3667d730-8c28-4eaa-9e40-df35c3cf0966</vt:lpwstr>
  </property>
</Properties>
</file>