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pacing w:val="-10"/>
          <w:kern w:val="28"/>
          <w:lang w:val="en-GB"/>
          <w14:ligatures w14:val="standardContextual"/>
        </w:rPr>
        <w:id w:val="-1647657525"/>
        <w:docPartObj>
          <w:docPartGallery w:val="Cover Pages"/>
          <w:docPartUnique/>
        </w:docPartObj>
      </w:sdtPr>
      <w:sdtContent>
        <w:p w14:paraId="36FEEA33" w14:textId="15FF791E" w:rsidR="00195C16" w:rsidRPr="001A3839" w:rsidRDefault="00195C16" w:rsidP="001A3839">
          <w:pPr>
            <w:pStyle w:val="NoSpacing"/>
            <w:jc w:val="both"/>
            <w:rPr>
              <w:rFonts w:ascii="Arial" w:hAnsi="Arial" w:cs="Arial"/>
            </w:rPr>
          </w:pPr>
          <w:r w:rsidRPr="001A3839">
            <w:rPr>
              <w:rFonts w:ascii="Arial" w:hAnsi="Arial" w:cs="Arial"/>
              <w:noProof/>
            </w:rPr>
            <mc:AlternateContent>
              <mc:Choice Requires="wps">
                <w:drawing>
                  <wp:anchor distT="0" distB="0" distL="114300" distR="114300" simplePos="0" relativeHeight="251661312" behindDoc="0" locked="0" layoutInCell="1" allowOverlap="1" wp14:anchorId="71B59880" wp14:editId="28BF5244">
                    <wp:simplePos x="0" y="0"/>
                    <wp:positionH relativeFrom="page">
                      <wp:posOffset>3067050</wp:posOffset>
                    </wp:positionH>
                    <wp:positionV relativeFrom="margin">
                      <wp:posOffset>-459105</wp:posOffset>
                    </wp:positionV>
                    <wp:extent cx="3869055" cy="9144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386905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CE5D7F2" w14:textId="2716EB61" w:rsidR="00195C16" w:rsidRPr="00195C16" w:rsidRDefault="00601165" w:rsidP="00195C16">
                                    <w:pPr>
                                      <w:pStyle w:val="NoSpacing"/>
                                      <w:jc w:val="center"/>
                                      <w:rPr>
                                        <w:rFonts w:ascii="Arial" w:eastAsiaTheme="majorEastAsia" w:hAnsi="Arial" w:cs="Arial"/>
                                        <w:caps/>
                                        <w:color w:val="8496B0" w:themeColor="text2" w:themeTint="99"/>
                                        <w:sz w:val="32"/>
                                        <w:szCs w:val="32"/>
                                      </w:rPr>
                                    </w:pPr>
                                    <w:r>
                                      <w:rPr>
                                        <w:rFonts w:ascii="Arial" w:eastAsiaTheme="majorEastAsia" w:hAnsi="Arial" w:cs="Arial"/>
                                        <w:caps/>
                                        <w:color w:val="8496B0" w:themeColor="text2" w:themeTint="99"/>
                                        <w:sz w:val="32"/>
                                        <w:szCs w:val="32"/>
                                      </w:rPr>
                                      <w:t>COMMUNITY ENGAGEMENT</w:t>
                                    </w:r>
                                  </w:p>
                                </w:sdtContent>
                              </w:sdt>
                              <w:p w14:paraId="089A3C34" w14:textId="7068FD96" w:rsidR="00195C16" w:rsidRPr="00195C16" w:rsidRDefault="00000000" w:rsidP="00195C16">
                                <w:pPr>
                                  <w:pStyle w:val="NoSpacing"/>
                                  <w:spacing w:before="120"/>
                                  <w:jc w:val="center"/>
                                  <w:rPr>
                                    <w:rFonts w:ascii="Arial" w:hAnsi="Arial" w:cs="Arial"/>
                                    <w:color w:val="4472C4" w:themeColor="accent1"/>
                                    <w:sz w:val="24"/>
                                    <w:szCs w:val="24"/>
                                  </w:rPr>
                                </w:pPr>
                                <w:sdt>
                                  <w:sdtPr>
                                    <w:rPr>
                                      <w:rFonts w:ascii="Arial" w:hAnsi="Arial" w:cs="Arial"/>
                                      <w:color w:val="4472C4" w:themeColor="accent1"/>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6061B">
                                      <w:rPr>
                                        <w:rFonts w:ascii="Arial" w:hAnsi="Arial" w:cs="Arial"/>
                                        <w:color w:val="4472C4" w:themeColor="accent1"/>
                                        <w:sz w:val="24"/>
                                        <w:szCs w:val="24"/>
                                      </w:rPr>
                                      <w:t>Individual Report</w:t>
                                    </w:r>
                                  </w:sdtContent>
                                </w:sdt>
                              </w:p>
                              <w:p w14:paraId="20044FD7" w14:textId="77777777" w:rsidR="00195C16" w:rsidRDefault="00195C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71B59880" id="_x0000_t202" coordsize="21600,21600" o:spt="202" path="m,l,21600r21600,l21600,xe">
                    <v:stroke joinstyle="miter"/>
                    <v:path gradientshapeok="t" o:connecttype="rect"/>
                  </v:shapetype>
                  <v:shape id="Text Box 15" o:spid="_x0000_s1026" type="#_x0000_t202" style="position:absolute;left:0;text-align:left;margin-left:241.5pt;margin-top:-36.15pt;width:304.65pt;height:1in;z-index:251661312;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eDBaAIAAD0FAAAOAAAAZHJzL2Uyb0RvYy54bWysVEtv2zAMvg/YfxB0X+20SdYGdYosRYcB&#10;QVssHXpWZKkxJouaxMTOfn0p2Xmg26XDLjItfnx/1PVNWxu2VT5UYAs+OMs5U1ZCWdmXgv94uvt0&#10;yVlAYUthwKqC71TgN9OPH64bN1HnsAZTKs/IiQ2TxhV8jegmWRbkWtUinIFTlpQafC2Qfv1LVnrR&#10;kPfaZOd5Ps4a8KXzIFUIdHvbKfk0+ddaSXzQOihkpuCUG6bTp3MVz2x6LSYvXrh1Jfs0xD9kUYvK&#10;UtCDq1uBgm189YerupIeAmg8k1BnoHUlVaqBqhnkb6pZroVTqRZqTnCHNoX/51beb5fu0TNsv0BL&#10;A4wNaVyYBLqM9bTa1/FLmTLSUwt3h7apFpmky4vL8VU+GnEmSXc1GA7z1NfsaO18wK8KahaFgnsa&#10;S+qW2C4CUkSC7iExmIW7ypg0GmNZU/DxxShPBgcNWRgbsSoNuXdzzDxJuDMqYoz9rjSrylRAvEj0&#10;UnPj2VYQMYSUymKqPfkldERpSuI9hj3+mNV7jLs69pHB4sG4riz4VP2btMuf+5R1h6dGntQdRWxX&#10;bT/RFZQ7GrSHbgeCk3cVTWMhAj4KT6Sn2dIi4wMd2gB1HXqJszX433+7j3jiImk5a2iJCh5+bYRX&#10;nJlvlliayEBbl36Go8/nFMOfalanGrup50DjGNCT4WQSIx7NXtQe6mfa91mMSiphJcUuOO7FOXar&#10;Te+FVLNZAtGeOYELu3Qyuo7TiVx7ap+Fdz0hkah8D/t1E5M3vOywiThutkFiZyJtbHDX1b7xtKOJ&#10;y/17Eh+B0/+EOr5601cAAAD//wMAUEsDBBQABgAIAAAAIQCwxcOJ3gAAAAsBAAAPAAAAZHJzL2Rv&#10;d25yZXYueG1sTI/BTsMwEETvSPyDtUhcUGsnRaSEOBWqlHPVlA9w4yUJ2Osodprw9zgnuM1qRrNv&#10;isNiDbvh6HtHEpKtAIbUON1TK+HjUm32wHxQpJVxhBJ+0MOhvL8rVK7dTGe81aFlsYR8riR0IQw5&#10;577p0Cq/dQNS9D7daFWI59hyPao5llvDUyFeuFU9xQ+dGvDYYfNdT1aCS+cnc66T6niavypxmvBS&#10;e5Ty8WF5fwMWcAl/YVjxIzqUkenqJtKeGQnP+13cEiRssnQHbE2I11VdJWRJBrws+P8N5S8AAAD/&#10;/wMAUEsBAi0AFAAGAAgAAAAhALaDOJL+AAAA4QEAABMAAAAAAAAAAAAAAAAAAAAAAFtDb250ZW50&#10;X1R5cGVzXS54bWxQSwECLQAUAAYACAAAACEAOP0h/9YAAACUAQAACwAAAAAAAAAAAAAAAAAvAQAA&#10;X3JlbHMvLnJlbHNQSwECLQAUAAYACAAAACEAmHngwWgCAAA9BQAADgAAAAAAAAAAAAAAAAAuAgAA&#10;ZHJzL2Uyb0RvYy54bWxQSwECLQAUAAYACAAAACEAsMXDid4AAAALAQAADwAAAAAAAAAAAAAAAADC&#10;BAAAZHJzL2Rvd25yZXYueG1sUEsFBgAAAAAEAAQA8wAAAM0FAAAAAA==&#10;" filled="f" stroked="f" strokeweight=".5pt">
                    <v:textbox style="mso-fit-shape-to-text:t">
                      <w:txbxContent>
                        <w:sdt>
                          <w:sdtPr>
                            <w:rPr>
                              <w:rFonts w:ascii="Arial" w:eastAsiaTheme="majorEastAsia" w:hAnsi="Arial" w:cs="Arial"/>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CE5D7F2" w14:textId="2716EB61" w:rsidR="00195C16" w:rsidRPr="00195C16" w:rsidRDefault="00601165" w:rsidP="00195C16">
                              <w:pPr>
                                <w:pStyle w:val="NoSpacing"/>
                                <w:jc w:val="center"/>
                                <w:rPr>
                                  <w:rFonts w:ascii="Arial" w:eastAsiaTheme="majorEastAsia" w:hAnsi="Arial" w:cs="Arial"/>
                                  <w:caps/>
                                  <w:color w:val="8496B0" w:themeColor="text2" w:themeTint="99"/>
                                  <w:sz w:val="32"/>
                                  <w:szCs w:val="32"/>
                                </w:rPr>
                              </w:pPr>
                              <w:r>
                                <w:rPr>
                                  <w:rFonts w:ascii="Arial" w:eastAsiaTheme="majorEastAsia" w:hAnsi="Arial" w:cs="Arial"/>
                                  <w:caps/>
                                  <w:color w:val="8496B0" w:themeColor="text2" w:themeTint="99"/>
                                  <w:sz w:val="32"/>
                                  <w:szCs w:val="32"/>
                                </w:rPr>
                                <w:t>COMMUNITY ENGAGEMENT</w:t>
                              </w:r>
                            </w:p>
                          </w:sdtContent>
                        </w:sdt>
                        <w:p w14:paraId="089A3C34" w14:textId="7068FD96" w:rsidR="00195C16" w:rsidRPr="00195C16" w:rsidRDefault="00000000" w:rsidP="00195C16">
                          <w:pPr>
                            <w:pStyle w:val="NoSpacing"/>
                            <w:spacing w:before="120"/>
                            <w:jc w:val="center"/>
                            <w:rPr>
                              <w:rFonts w:ascii="Arial" w:hAnsi="Arial" w:cs="Arial"/>
                              <w:color w:val="4472C4" w:themeColor="accent1"/>
                              <w:sz w:val="24"/>
                              <w:szCs w:val="24"/>
                            </w:rPr>
                          </w:pPr>
                          <w:sdt>
                            <w:sdtPr>
                              <w:rPr>
                                <w:rFonts w:ascii="Arial" w:hAnsi="Arial" w:cs="Arial"/>
                                <w:color w:val="4472C4" w:themeColor="accent1"/>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6061B">
                                <w:rPr>
                                  <w:rFonts w:ascii="Arial" w:hAnsi="Arial" w:cs="Arial"/>
                                  <w:color w:val="4472C4" w:themeColor="accent1"/>
                                  <w:sz w:val="24"/>
                                  <w:szCs w:val="24"/>
                                </w:rPr>
                                <w:t>Individual Report</w:t>
                              </w:r>
                            </w:sdtContent>
                          </w:sdt>
                        </w:p>
                        <w:p w14:paraId="20044FD7" w14:textId="77777777" w:rsidR="00195C16" w:rsidRDefault="00195C16"/>
                      </w:txbxContent>
                    </v:textbox>
                    <w10:wrap anchorx="page" anchory="margin"/>
                  </v:shape>
                </w:pict>
              </mc:Fallback>
            </mc:AlternateContent>
          </w:r>
        </w:p>
        <w:p w14:paraId="6C6B76B3" w14:textId="34149E08" w:rsidR="00195C16" w:rsidRPr="001A3839" w:rsidRDefault="00195C16" w:rsidP="001A3839">
          <w:pPr>
            <w:jc w:val="both"/>
            <w:rPr>
              <w:rFonts w:ascii="Arial" w:hAnsi="Arial" w:cs="Arial"/>
            </w:rPr>
          </w:pPr>
          <w:r w:rsidRPr="001A3839">
            <w:rPr>
              <w:rFonts w:ascii="Arial" w:hAnsi="Arial" w:cs="Arial"/>
              <w:noProof/>
              <w:color w:val="4472C4" w:themeColor="accent1"/>
            </w:rPr>
            <mc:AlternateContent>
              <mc:Choice Requires="wpg">
                <w:drawing>
                  <wp:anchor distT="0" distB="0" distL="114300" distR="114300" simplePos="0" relativeHeight="251660288" behindDoc="1" locked="0" layoutInCell="1" allowOverlap="1" wp14:anchorId="7C98A339" wp14:editId="06BAB09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CEABC5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9CBE0DF" w14:textId="0B904F2C" w:rsidR="00D46A7A" w:rsidRPr="001A3839" w:rsidRDefault="00195C16" w:rsidP="001A3839">
          <w:pPr>
            <w:pStyle w:val="Title"/>
            <w:jc w:val="both"/>
            <w:rPr>
              <w:rFonts w:ascii="Arial" w:hAnsi="Arial" w:cs="Arial"/>
              <w:sz w:val="22"/>
              <w:szCs w:val="22"/>
            </w:rPr>
          </w:pPr>
          <w:r w:rsidRPr="001A3839">
            <w:rPr>
              <w:rFonts w:ascii="Arial" w:hAnsi="Arial" w:cs="Arial"/>
              <w:noProof/>
              <w:sz w:val="22"/>
              <w:szCs w:val="22"/>
            </w:rPr>
            <mc:AlternateContent>
              <mc:Choice Requires="wps">
                <w:drawing>
                  <wp:anchor distT="0" distB="0" distL="114300" distR="114300" simplePos="0" relativeHeight="251665408" behindDoc="0" locked="0" layoutInCell="1" allowOverlap="1" wp14:anchorId="62AC874A" wp14:editId="602097C8">
                    <wp:simplePos x="0" y="0"/>
                    <wp:positionH relativeFrom="margin">
                      <wp:align>center</wp:align>
                    </wp:positionH>
                    <wp:positionV relativeFrom="margin">
                      <wp:posOffset>2008284</wp:posOffset>
                    </wp:positionV>
                    <wp:extent cx="3392805" cy="1280160"/>
                    <wp:effectExtent l="0" t="0" r="0" b="0"/>
                    <wp:wrapNone/>
                    <wp:docPr id="1739743704" name="Text Box 15"/>
                    <wp:cNvGraphicFramePr/>
                    <a:graphic xmlns:a="http://schemas.openxmlformats.org/drawingml/2006/main">
                      <a:graphicData uri="http://schemas.microsoft.com/office/word/2010/wordprocessingShape">
                        <wps:wsp>
                          <wps:cNvSpPr txBox="1"/>
                          <wps:spPr>
                            <a:xfrm>
                              <a:off x="0" y="0"/>
                              <a:ext cx="3392805" cy="12801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2308C5" w14:textId="4EEF9B0A" w:rsidR="00195C16" w:rsidRPr="00195C16" w:rsidRDefault="00D46A7A" w:rsidP="00195C16">
                                <w:pPr>
                                  <w:pStyle w:val="Subtitle"/>
                                  <w:jc w:val="center"/>
                                  <w:rPr>
                                    <w:rFonts w:ascii="Arial" w:eastAsiaTheme="majorEastAsia" w:hAnsi="Arial" w:cs="Arial"/>
                                    <w:sz w:val="28"/>
                                    <w:szCs w:val="28"/>
                                  </w:rPr>
                                </w:pPr>
                                <w:r w:rsidRPr="005902D9">
                                  <w:rPr>
                                    <w:rFonts w:ascii="Arial" w:eastAsiaTheme="majorEastAsia" w:hAnsi="Arial" w:cs="Arial"/>
                                    <w:sz w:val="28"/>
                                    <w:szCs w:val="28"/>
                                  </w:rPr>
                                  <w:t>G</w:t>
                                </w:r>
                                <w:r w:rsidR="005902D9">
                                  <w:rPr>
                                    <w:rFonts w:ascii="Arial" w:eastAsiaTheme="majorEastAsia" w:hAnsi="Arial" w:cs="Arial"/>
                                    <w:sz w:val="28"/>
                                    <w:szCs w:val="28"/>
                                  </w:rPr>
                                  <w:t>REENWICH</w:t>
                                </w:r>
                                <w:r>
                                  <w:rPr>
                                    <w:rFonts w:ascii="Arial" w:eastAsiaTheme="majorEastAsia" w:hAnsi="Arial" w:cs="Arial"/>
                                    <w:sz w:val="28"/>
                                    <w:szCs w:val="28"/>
                                  </w:rPr>
                                  <w:t xml:space="preserve"> </w:t>
                                </w:r>
                                <w:sdt>
                                  <w:sdtPr>
                                    <w:rPr>
                                      <w:rFonts w:ascii="Arial" w:eastAsiaTheme="majorEastAsia" w:hAnsi="Arial" w:cs="Arial"/>
                                      <w:sz w:val="28"/>
                                      <w:szCs w:val="28"/>
                                    </w:rPr>
                                    <w:alias w:val="Title"/>
                                    <w:tag w:val=""/>
                                    <w:id w:val="-1956087222"/>
                                    <w:dataBinding w:prefixMappings="xmlns:ns0='http://purl.org/dc/elements/1.1/' xmlns:ns1='http://schemas.openxmlformats.org/package/2006/metadata/core-properties' " w:xpath="/ns1:coreProperties[1]/ns0:title[1]" w:storeItemID="{6C3C8BC8-F283-45AE-878A-BAB7291924A1}"/>
                                    <w:text/>
                                  </w:sdtPr>
                                  <w:sdtContent>
                                    <w:r w:rsidR="00601165">
                                      <w:rPr>
                                        <w:rFonts w:ascii="Arial" w:eastAsiaTheme="majorEastAsia" w:hAnsi="Arial" w:cs="Arial"/>
                                        <w:sz w:val="28"/>
                                        <w:szCs w:val="28"/>
                                      </w:rPr>
                                      <w:t>COMMUNITY ENGAGEMENT</w:t>
                                    </w:r>
                                  </w:sdtContent>
                                </w:sdt>
                              </w:p>
                              <w:p w14:paraId="4FB0B3C0" w14:textId="6651B7D5" w:rsidR="00370F03" w:rsidRDefault="00601165" w:rsidP="00195C16">
                                <w:pPr>
                                  <w:pStyle w:val="NoSpacing"/>
                                  <w:spacing w:before="120"/>
                                  <w:jc w:val="center"/>
                                  <w:rPr>
                                    <w:rFonts w:ascii="Arial" w:hAnsi="Arial" w:cs="Arial"/>
                                    <w:color w:val="4472C4" w:themeColor="accent1"/>
                                    <w:sz w:val="36"/>
                                    <w:szCs w:val="36"/>
                                  </w:rPr>
                                </w:pPr>
                                <w:r>
                                  <w:rPr>
                                    <w:rFonts w:ascii="Arial" w:hAnsi="Arial" w:cs="Arial"/>
                                    <w:color w:val="4472C4" w:themeColor="accent1"/>
                                    <w:sz w:val="36"/>
                                    <w:szCs w:val="36"/>
                                  </w:rPr>
                                  <w:t>Environment</w:t>
                                </w:r>
                                <w:r w:rsidR="001A3839">
                                  <w:rPr>
                                    <w:rFonts w:ascii="Arial" w:hAnsi="Arial" w:cs="Arial"/>
                                    <w:color w:val="4472C4" w:themeColor="accent1"/>
                                    <w:sz w:val="36"/>
                                    <w:szCs w:val="36"/>
                                  </w:rPr>
                                  <w:t>al</w:t>
                                </w:r>
                                <w:r>
                                  <w:rPr>
                                    <w:rFonts w:ascii="Arial" w:hAnsi="Arial" w:cs="Arial"/>
                                    <w:color w:val="4472C4" w:themeColor="accent1"/>
                                    <w:sz w:val="36"/>
                                    <w:szCs w:val="36"/>
                                  </w:rPr>
                                  <w:t xml:space="preserve"> Public</w:t>
                                </w:r>
                              </w:p>
                              <w:p w14:paraId="69144E72" w14:textId="384171BA" w:rsidR="00195C16" w:rsidRPr="00195C16" w:rsidRDefault="00601165" w:rsidP="00195C16">
                                <w:pPr>
                                  <w:pStyle w:val="NoSpacing"/>
                                  <w:spacing w:before="120"/>
                                  <w:jc w:val="center"/>
                                  <w:rPr>
                                    <w:rFonts w:ascii="Arial" w:hAnsi="Arial" w:cs="Arial"/>
                                    <w:color w:val="4472C4" w:themeColor="accent1"/>
                                    <w:sz w:val="36"/>
                                    <w:szCs w:val="36"/>
                                  </w:rPr>
                                </w:pPr>
                                <w:r>
                                  <w:rPr>
                                    <w:rFonts w:ascii="Arial" w:hAnsi="Arial" w:cs="Arial"/>
                                    <w:color w:val="4472C4" w:themeColor="accent1"/>
                                    <w:sz w:val="36"/>
                                    <w:szCs w:val="36"/>
                                  </w:rPr>
                                  <w:t xml:space="preserve"> </w:t>
                                </w:r>
                                <w:r w:rsidR="00370F03">
                                  <w:rPr>
                                    <w:rFonts w:ascii="Arial" w:hAnsi="Arial" w:cs="Arial"/>
                                    <w:color w:val="4472C4" w:themeColor="accent1"/>
                                    <w:sz w:val="36"/>
                                    <w:szCs w:val="36"/>
                                  </w:rPr>
                                  <w:t>Projects</w:t>
                                </w:r>
                              </w:p>
                              <w:p w14:paraId="4B12664C" w14:textId="77777777" w:rsidR="00195C16" w:rsidRDefault="00195C16" w:rsidP="00195C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2AC874A" id="_x0000_s1027" type="#_x0000_t202" style="position:absolute;left:0;text-align:left;margin-left:0;margin-top:158.15pt;width:267.15pt;height:100.8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5hawIAAEUFAAAOAAAAZHJzL2Uyb0RvYy54bWysVEtv2zAMvg/YfxB0X51XuzaIU2QpOgwo&#10;2mLp0LMiS4kxWdQkJnb260vJzgPZLh12sSnx4+sjqcltUxm2VT6UYHPev+hxpqyEorSrnP94uf90&#10;zVlAYQthwKqc71Tgt9OPHya1G6sBrMEUyjNyYsO4djlfI7pxlgW5VpUIF+CUJaUGXwmko19lhRc1&#10;ea9MNuj1rrIafOE8SBUC3d61Sj5N/rVWEp+0DgqZyTnlhunr03cZv9l0IsYrL9y6lF0a4h+yqERp&#10;KejB1Z1AwTa+/MNVVUoPATReSKgy0LqUKtVA1fR7Z9Us1sKpVAuRE9yBpvD/3MrH7cI9e4bNF2io&#10;gZGQ2oVxoMtYT6N9Ff+UKSM9Ubg70KYaZJIuh8ObwXXvkjNJuj6J/atEbHY0dz7gVwUVi0LOPfUl&#10;0SW2DwEpJEH3kBjNwn1pTOqNsazO+dXwspcMDhqyMDZiVepy5+aYepJwZ1TEGPtdaVYWqYJ4keZL&#10;zY1nW0GTIaRUFlPxyS+hI0pTEu8x7PDHrN5j3NaxjwwWD8ZVacGn6s/SLn7uU9Ytnog8qTuK2Cwb&#10;Kvyks0sodtRwD+0uBCfvS2rKgwj4LDwNP/WYFhqf6KMNEPnQSZytwf/+233E00ySlrOalinn4ddG&#10;eMWZ+WZpWm/6o1HcvnQYXX4e0MGfapanGrup5kBd6dPT4WQSIx7NXtQeqlfa+1mMSiphJcXOOe7F&#10;ObYrTu+GVLNZAtG+OYEPduFkdB2bFEfupXkV3nVziTTSj7BfOzE+G88WGy0tzDYIukyzG3luWe34&#10;p11NI929K/ExOD0n1PH1m74BAAD//wMAUEsDBBQABgAIAAAAIQAvgFE64AAAAAgBAAAPAAAAZHJz&#10;L2Rvd25yZXYueG1sTI9BT8JAEIXvJv6HzZh4k22pINRuCWlCTIwcQC7ctt2hbezO1u4C1V/veNLb&#10;m7yXN9/LVqPtxAUH3zpSEE8iEEiVMy3VCg7vm4cFCB80Gd05QgVf6GGV395kOjXuSju87EMtuIR8&#10;qhU0IfSplL5q0Go/cT0Seyc3WB34HGppBn3lctvJaRTNpdUt8YdG91g0WH3sz1bBa7HZ6l05tYvv&#10;rnh5O637z8NxptT93bh+BhFwDH9h+MVndMiZqXRnMl50CnhIUJDE8wQE27PkkUXJIn5agswz+X9A&#10;/gMAAP//AwBQSwECLQAUAAYACAAAACEAtoM4kv4AAADhAQAAEwAAAAAAAAAAAAAAAAAAAAAAW0Nv&#10;bnRlbnRfVHlwZXNdLnhtbFBLAQItABQABgAIAAAAIQA4/SH/1gAAAJQBAAALAAAAAAAAAAAAAAAA&#10;AC8BAABfcmVscy8ucmVsc1BLAQItABQABgAIAAAAIQBP/e5hawIAAEUFAAAOAAAAAAAAAAAAAAAA&#10;AC4CAABkcnMvZTJvRG9jLnhtbFBLAQItABQABgAIAAAAIQAvgFE64AAAAAgBAAAPAAAAAAAAAAAA&#10;AAAAAMUEAABkcnMvZG93bnJldi54bWxQSwUGAAAAAAQABADzAAAA0gUAAAAA&#10;" filled="f" stroked="f" strokeweight=".5pt">
                    <v:textbox>
                      <w:txbxContent>
                        <w:p w14:paraId="662308C5" w14:textId="4EEF9B0A" w:rsidR="00195C16" w:rsidRPr="00195C16" w:rsidRDefault="00D46A7A" w:rsidP="00195C16">
                          <w:pPr>
                            <w:pStyle w:val="Subtitle"/>
                            <w:jc w:val="center"/>
                            <w:rPr>
                              <w:rFonts w:ascii="Arial" w:eastAsiaTheme="majorEastAsia" w:hAnsi="Arial" w:cs="Arial"/>
                              <w:sz w:val="28"/>
                              <w:szCs w:val="28"/>
                            </w:rPr>
                          </w:pPr>
                          <w:r w:rsidRPr="005902D9">
                            <w:rPr>
                              <w:rFonts w:ascii="Arial" w:eastAsiaTheme="majorEastAsia" w:hAnsi="Arial" w:cs="Arial"/>
                              <w:sz w:val="28"/>
                              <w:szCs w:val="28"/>
                            </w:rPr>
                            <w:t>G</w:t>
                          </w:r>
                          <w:r w:rsidR="005902D9">
                            <w:rPr>
                              <w:rFonts w:ascii="Arial" w:eastAsiaTheme="majorEastAsia" w:hAnsi="Arial" w:cs="Arial"/>
                              <w:sz w:val="28"/>
                              <w:szCs w:val="28"/>
                            </w:rPr>
                            <w:t>REENWICH</w:t>
                          </w:r>
                          <w:r>
                            <w:rPr>
                              <w:rFonts w:ascii="Arial" w:eastAsiaTheme="majorEastAsia" w:hAnsi="Arial" w:cs="Arial"/>
                              <w:sz w:val="28"/>
                              <w:szCs w:val="28"/>
                            </w:rPr>
                            <w:t xml:space="preserve"> </w:t>
                          </w:r>
                          <w:sdt>
                            <w:sdtPr>
                              <w:rPr>
                                <w:rFonts w:ascii="Arial" w:eastAsiaTheme="majorEastAsia" w:hAnsi="Arial" w:cs="Arial"/>
                                <w:sz w:val="28"/>
                                <w:szCs w:val="28"/>
                              </w:rPr>
                              <w:alias w:val="Title"/>
                              <w:tag w:val=""/>
                              <w:id w:val="-1956087222"/>
                              <w:dataBinding w:prefixMappings="xmlns:ns0='http://purl.org/dc/elements/1.1/' xmlns:ns1='http://schemas.openxmlformats.org/package/2006/metadata/core-properties' " w:xpath="/ns1:coreProperties[1]/ns0:title[1]" w:storeItemID="{6C3C8BC8-F283-45AE-878A-BAB7291924A1}"/>
                              <w:text/>
                            </w:sdtPr>
                            <w:sdtContent>
                              <w:r w:rsidR="00601165">
                                <w:rPr>
                                  <w:rFonts w:ascii="Arial" w:eastAsiaTheme="majorEastAsia" w:hAnsi="Arial" w:cs="Arial"/>
                                  <w:sz w:val="28"/>
                                  <w:szCs w:val="28"/>
                                </w:rPr>
                                <w:t>COMMUNITY ENGAGEMENT</w:t>
                              </w:r>
                            </w:sdtContent>
                          </w:sdt>
                        </w:p>
                        <w:p w14:paraId="4FB0B3C0" w14:textId="6651B7D5" w:rsidR="00370F03" w:rsidRDefault="00601165" w:rsidP="00195C16">
                          <w:pPr>
                            <w:pStyle w:val="NoSpacing"/>
                            <w:spacing w:before="120"/>
                            <w:jc w:val="center"/>
                            <w:rPr>
                              <w:rFonts w:ascii="Arial" w:hAnsi="Arial" w:cs="Arial"/>
                              <w:color w:val="4472C4" w:themeColor="accent1"/>
                              <w:sz w:val="36"/>
                              <w:szCs w:val="36"/>
                            </w:rPr>
                          </w:pPr>
                          <w:r>
                            <w:rPr>
                              <w:rFonts w:ascii="Arial" w:hAnsi="Arial" w:cs="Arial"/>
                              <w:color w:val="4472C4" w:themeColor="accent1"/>
                              <w:sz w:val="36"/>
                              <w:szCs w:val="36"/>
                            </w:rPr>
                            <w:t>Environment</w:t>
                          </w:r>
                          <w:r w:rsidR="001A3839">
                            <w:rPr>
                              <w:rFonts w:ascii="Arial" w:hAnsi="Arial" w:cs="Arial"/>
                              <w:color w:val="4472C4" w:themeColor="accent1"/>
                              <w:sz w:val="36"/>
                              <w:szCs w:val="36"/>
                            </w:rPr>
                            <w:t>al</w:t>
                          </w:r>
                          <w:r>
                            <w:rPr>
                              <w:rFonts w:ascii="Arial" w:hAnsi="Arial" w:cs="Arial"/>
                              <w:color w:val="4472C4" w:themeColor="accent1"/>
                              <w:sz w:val="36"/>
                              <w:szCs w:val="36"/>
                            </w:rPr>
                            <w:t xml:space="preserve"> Public</w:t>
                          </w:r>
                        </w:p>
                        <w:p w14:paraId="69144E72" w14:textId="384171BA" w:rsidR="00195C16" w:rsidRPr="00195C16" w:rsidRDefault="00601165" w:rsidP="00195C16">
                          <w:pPr>
                            <w:pStyle w:val="NoSpacing"/>
                            <w:spacing w:before="120"/>
                            <w:jc w:val="center"/>
                            <w:rPr>
                              <w:rFonts w:ascii="Arial" w:hAnsi="Arial" w:cs="Arial"/>
                              <w:color w:val="4472C4" w:themeColor="accent1"/>
                              <w:sz w:val="36"/>
                              <w:szCs w:val="36"/>
                            </w:rPr>
                          </w:pPr>
                          <w:r>
                            <w:rPr>
                              <w:rFonts w:ascii="Arial" w:hAnsi="Arial" w:cs="Arial"/>
                              <w:color w:val="4472C4" w:themeColor="accent1"/>
                              <w:sz w:val="36"/>
                              <w:szCs w:val="36"/>
                            </w:rPr>
                            <w:t xml:space="preserve"> </w:t>
                          </w:r>
                          <w:r w:rsidR="00370F03">
                            <w:rPr>
                              <w:rFonts w:ascii="Arial" w:hAnsi="Arial" w:cs="Arial"/>
                              <w:color w:val="4472C4" w:themeColor="accent1"/>
                              <w:sz w:val="36"/>
                              <w:szCs w:val="36"/>
                            </w:rPr>
                            <w:t>Projects</w:t>
                          </w:r>
                        </w:p>
                        <w:p w14:paraId="4B12664C" w14:textId="77777777" w:rsidR="00195C16" w:rsidRDefault="00195C16" w:rsidP="00195C16"/>
                      </w:txbxContent>
                    </v:textbox>
                    <w10:wrap anchorx="margin" anchory="margin"/>
                  </v:shape>
                </w:pict>
              </mc:Fallback>
            </mc:AlternateContent>
          </w:r>
          <w:r w:rsidRPr="001A3839">
            <w:rPr>
              <w:rFonts w:ascii="Arial" w:hAnsi="Arial" w:cs="Arial"/>
              <w:noProof/>
              <w:sz w:val="22"/>
              <w:szCs w:val="22"/>
            </w:rPr>
            <mc:AlternateContent>
              <mc:Choice Requires="wps">
                <w:drawing>
                  <wp:anchor distT="0" distB="0" distL="114300" distR="114300" simplePos="0" relativeHeight="251663360" behindDoc="0" locked="0" layoutInCell="1" allowOverlap="1" wp14:anchorId="3601EE53" wp14:editId="0D59BD54">
                    <wp:simplePos x="0" y="0"/>
                    <wp:positionH relativeFrom="page">
                      <wp:posOffset>3705225</wp:posOffset>
                    </wp:positionH>
                    <wp:positionV relativeFrom="margin">
                      <wp:align>bottom</wp:align>
                    </wp:positionV>
                    <wp:extent cx="3829050" cy="1238250"/>
                    <wp:effectExtent l="0" t="0" r="0" b="0"/>
                    <wp:wrapNone/>
                    <wp:docPr id="718331102" name="Text Box 15"/>
                    <wp:cNvGraphicFramePr/>
                    <a:graphic xmlns:a="http://schemas.openxmlformats.org/drawingml/2006/main">
                      <a:graphicData uri="http://schemas.microsoft.com/office/word/2010/wordprocessingShape">
                        <wps:wsp>
                          <wps:cNvSpPr txBox="1"/>
                          <wps:spPr>
                            <a:xfrm>
                              <a:off x="0" y="0"/>
                              <a:ext cx="3829050" cy="123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E7FF7A" w14:textId="4601552F" w:rsid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Student Name: George iulian Chiras</w:t>
                                </w:r>
                              </w:p>
                              <w:p w14:paraId="4361CFEE" w14:textId="790F5039" w:rsid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Student ID number: 2120095</w:t>
                                </w:r>
                              </w:p>
                              <w:p w14:paraId="3063A515" w14:textId="35509678" w:rsid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Module CodeL LCBB4002</w:t>
                                </w:r>
                              </w:p>
                              <w:p w14:paraId="4EEF8F9D" w14:textId="28A9BB1E" w:rsid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Lecturer name: Nadeem Mirza</w:t>
                                </w:r>
                              </w:p>
                              <w:p w14:paraId="42E4C5D6" w14:textId="60AE899B" w:rsidR="00195C16" w:rsidRP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Date: 05/08/2023</w:t>
                                </w:r>
                              </w:p>
                              <w:p w14:paraId="4640A7F0" w14:textId="59C6B1F1" w:rsidR="00195C16" w:rsidRDefault="00195C16" w:rsidP="00195C16"/>
                              <w:p w14:paraId="39777A01" w14:textId="77777777" w:rsidR="00195C16" w:rsidRDefault="00195C16" w:rsidP="00195C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601EE53" id="_x0000_s1028" type="#_x0000_t202" style="position:absolute;left:0;text-align:left;margin-left:291.75pt;margin-top:0;width:301.5pt;height:97.5pt;z-index:251663360;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ToQaQIAAEUFAAAOAAAAZHJzL2Uyb0RvYy54bWysVFtv2jAUfp+0/2D5fQToZS1qqBgV0yTU&#10;VqNTn41jl2iOj2cfSNiv37GTAOv20mkvybl8/nyuvrltKsN2yocSbM5HgyFnykooSvuS829Piw9X&#10;nAUUthAGrMr5XgV+O33/7qZ2EzWGDZhCeUYkNkxql/MNoptkWZAbVYkwAKcsOTX4SiCp/iUrvKiJ&#10;vTLZeDi8zGrwhfMgVQhkvWudfJr4tVYSH7QOCpnJOcWG6evTdx2/2fRGTF68cJtSdmGIf4iiEqWl&#10;Sw9UdwIF2/ryD6qqlB4CaBxIqDLQupQq5UDZjIavsllthFMpFypOcIcyhf9HK+93K/foGTafoKEG&#10;xoLULkwCGWM+jfZV/FOkjPxUwv2hbKpBJsl4djW+Hl6QS5JvNCaVFOLJjsedD/hZQcWikHNPfUnl&#10;ErtlwBbaQ+JtFhalMak3xrI655dnRPmbh8iNjRaVutzRHENPEu6NihhjvyrNyiJlEA1pvtTceLYT&#10;NBlCSmUxJZ94CR1RmoJ4y8EOf4zqLYfbPPqbweLhcFVa8Cn7V2EX3/uQdYunmp/kHUVs1g0lnvNx&#10;39k1FHtquId2F4KTi5KashQBH4Wn4adG0kLjA320ASo+dBJnG/A//2aPeJpJ8nJW0zLlPPzYCq84&#10;M18sTev16Pw8bl9Szi8+jknxp571qcduqzlQV0b0dDiZxIhH04vaQ/VMez+Lt5JLWEl35xx7cY7t&#10;itO7IdVslkC0b07g0q6cjNSxSXHknppn4V03l0gjfQ/92onJq/FssfGkhdkWQZdpdmOd26p29add&#10;TdPfvSvxMTjVE+r4+k1/AQAA//8DAFBLAwQUAAYACAAAACEAoSU5VN8AAAAJAQAADwAAAGRycy9k&#10;b3ducmV2LnhtbEyPwU7DMBBE70j8g7VI3KjTolQhxKmqSBUSgkNLL9w2sZtE2OsQu23g69me6G1H&#10;M5p9U6wmZ8XJjKH3pGA+S0AYarzuqVWw/9g8ZCBCRNJoPRkFPybAqry9KTDX/kxbc9rFVnAJhRwV&#10;dDEOuZSh6YzDMPODIfYOfnQYWY6t1COeudxZuUiSpXTYE3/ocDBVZ5qv3dEpeK0277itFy77tdXL&#10;22E9fO8/U6Xu76b1M4hopvgfhgs+o0PJTLU/kg7CKkizx5SjCnjRxZ5nS9Y1X09pArIs5PWC8g8A&#10;AP//AwBQSwECLQAUAAYACAAAACEAtoM4kv4AAADhAQAAEwAAAAAAAAAAAAAAAAAAAAAAW0NvbnRl&#10;bnRfVHlwZXNdLnhtbFBLAQItABQABgAIAAAAIQA4/SH/1gAAAJQBAAALAAAAAAAAAAAAAAAAAC8B&#10;AABfcmVscy8ucmVsc1BLAQItABQABgAIAAAAIQAoJToQaQIAAEUFAAAOAAAAAAAAAAAAAAAAAC4C&#10;AABkcnMvZTJvRG9jLnhtbFBLAQItABQABgAIAAAAIQChJTlU3wAAAAkBAAAPAAAAAAAAAAAAAAAA&#10;AMMEAABkcnMvZG93bnJldi54bWxQSwUGAAAAAAQABADzAAAAzwUAAAAA&#10;" filled="f" stroked="f" strokeweight=".5pt">
                    <v:textbox>
                      <w:txbxContent>
                        <w:p w14:paraId="13E7FF7A" w14:textId="4601552F" w:rsid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Student Name: George iulian Chiras</w:t>
                          </w:r>
                        </w:p>
                        <w:p w14:paraId="4361CFEE" w14:textId="790F5039" w:rsid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Student ID number: 2120095</w:t>
                          </w:r>
                        </w:p>
                        <w:p w14:paraId="3063A515" w14:textId="35509678" w:rsid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Module CodeL LCBB4002</w:t>
                          </w:r>
                        </w:p>
                        <w:p w14:paraId="4EEF8F9D" w14:textId="28A9BB1E" w:rsid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Lecturer name: Nadeem Mirza</w:t>
                          </w:r>
                        </w:p>
                        <w:p w14:paraId="42E4C5D6" w14:textId="60AE899B" w:rsidR="00195C16" w:rsidRPr="00195C16" w:rsidRDefault="00195C16" w:rsidP="00195C16">
                          <w:pPr>
                            <w:pStyle w:val="NoSpacing"/>
                            <w:rPr>
                              <w:rFonts w:ascii="Arial" w:eastAsiaTheme="majorEastAsia" w:hAnsi="Arial" w:cs="Arial"/>
                              <w:caps/>
                              <w:color w:val="8496B0" w:themeColor="text2" w:themeTint="99"/>
                              <w:sz w:val="28"/>
                              <w:szCs w:val="28"/>
                            </w:rPr>
                          </w:pPr>
                          <w:r>
                            <w:rPr>
                              <w:rFonts w:ascii="Arial" w:eastAsiaTheme="majorEastAsia" w:hAnsi="Arial" w:cs="Arial"/>
                              <w:caps/>
                              <w:color w:val="8496B0" w:themeColor="text2" w:themeTint="99"/>
                              <w:sz w:val="28"/>
                              <w:szCs w:val="28"/>
                            </w:rPr>
                            <w:t>Date: 05/08/2023</w:t>
                          </w:r>
                        </w:p>
                        <w:p w14:paraId="4640A7F0" w14:textId="59C6B1F1" w:rsidR="00195C16" w:rsidRDefault="00195C16" w:rsidP="00195C16"/>
                        <w:p w14:paraId="39777A01" w14:textId="77777777" w:rsidR="00195C16" w:rsidRDefault="00195C16" w:rsidP="00195C16"/>
                      </w:txbxContent>
                    </v:textbox>
                    <w10:wrap anchorx="page" anchory="margin"/>
                  </v:shape>
                </w:pict>
              </mc:Fallback>
            </mc:AlternateContent>
          </w:r>
          <w:r w:rsidRPr="001A3839">
            <w:rPr>
              <w:rFonts w:ascii="Arial" w:eastAsiaTheme="minorHAnsi" w:hAnsi="Arial" w:cs="Arial"/>
              <w:spacing w:val="0"/>
              <w:sz w:val="22"/>
              <w:szCs w:val="22"/>
            </w:rPr>
            <w:br w:type="page"/>
          </w:r>
        </w:p>
      </w:sdtContent>
    </w:sdt>
    <w:sdt>
      <w:sdtPr>
        <w:rPr>
          <w:rFonts w:ascii="Arial" w:eastAsiaTheme="minorHAnsi" w:hAnsi="Arial" w:cs="Arial"/>
          <w:color w:val="auto"/>
          <w:kern w:val="2"/>
          <w:sz w:val="22"/>
          <w:szCs w:val="22"/>
          <w:lang w:val="en-GB"/>
          <w14:ligatures w14:val="standardContextual"/>
        </w:rPr>
        <w:id w:val="-1668163749"/>
        <w:docPartObj>
          <w:docPartGallery w:val="Table of Contents"/>
          <w:docPartUnique/>
        </w:docPartObj>
      </w:sdtPr>
      <w:sdtEndPr>
        <w:rPr>
          <w:b/>
          <w:bCs/>
          <w:noProof/>
        </w:rPr>
      </w:sdtEndPr>
      <w:sdtContent>
        <w:p w14:paraId="0285BDEB" w14:textId="3A3A019C" w:rsidR="00C766A2" w:rsidRPr="001A3839" w:rsidRDefault="00C766A2" w:rsidP="001A3839">
          <w:pPr>
            <w:pStyle w:val="TOCHeading"/>
            <w:spacing w:line="360" w:lineRule="auto"/>
            <w:jc w:val="both"/>
            <w:rPr>
              <w:rFonts w:ascii="Arial" w:hAnsi="Arial" w:cs="Arial"/>
              <w:sz w:val="22"/>
              <w:szCs w:val="22"/>
            </w:rPr>
          </w:pPr>
          <w:r w:rsidRPr="001A3839">
            <w:rPr>
              <w:rFonts w:ascii="Arial" w:hAnsi="Arial" w:cs="Arial"/>
              <w:sz w:val="22"/>
              <w:szCs w:val="22"/>
            </w:rPr>
            <w:t>Table of Content</w:t>
          </w:r>
        </w:p>
        <w:p w14:paraId="6C81CAF6" w14:textId="555F653E" w:rsidR="001A3839" w:rsidRDefault="00C766A2" w:rsidP="001A3839">
          <w:pPr>
            <w:pStyle w:val="TOC1"/>
            <w:spacing w:line="360" w:lineRule="auto"/>
            <w:rPr>
              <w:rFonts w:asciiTheme="minorHAnsi" w:eastAsiaTheme="minorEastAsia" w:hAnsiTheme="minorHAnsi" w:cstheme="minorBidi"/>
              <w:i w:val="0"/>
              <w:iCs w:val="0"/>
              <w:lang w:eastAsia="en-GB"/>
            </w:rPr>
          </w:pPr>
          <w:r w:rsidRPr="001A3839">
            <w:rPr>
              <w:noProof w:val="0"/>
            </w:rPr>
            <w:fldChar w:fldCharType="begin"/>
          </w:r>
          <w:r w:rsidRPr="001A3839">
            <w:instrText xml:space="preserve"> TOC \o "1-3" \h \z \u </w:instrText>
          </w:r>
          <w:r w:rsidRPr="001A3839">
            <w:rPr>
              <w:noProof w:val="0"/>
            </w:rPr>
            <w:fldChar w:fldCharType="separate"/>
          </w:r>
          <w:hyperlink w:anchor="_Toc142088077" w:history="1">
            <w:r w:rsidR="001A3839" w:rsidRPr="00D1618C">
              <w:rPr>
                <w:rStyle w:val="Hyperlink"/>
              </w:rPr>
              <w:t>Introduction</w:t>
            </w:r>
            <w:r w:rsidR="001A3839">
              <w:rPr>
                <w:webHidden/>
              </w:rPr>
              <w:tab/>
            </w:r>
            <w:r w:rsidR="001A3839">
              <w:rPr>
                <w:webHidden/>
              </w:rPr>
              <w:fldChar w:fldCharType="begin"/>
            </w:r>
            <w:r w:rsidR="001A3839">
              <w:rPr>
                <w:webHidden/>
              </w:rPr>
              <w:instrText xml:space="preserve"> PAGEREF _Toc142088077 \h </w:instrText>
            </w:r>
            <w:r w:rsidR="001A3839">
              <w:rPr>
                <w:webHidden/>
              </w:rPr>
            </w:r>
            <w:r w:rsidR="001A3839">
              <w:rPr>
                <w:webHidden/>
              </w:rPr>
              <w:fldChar w:fldCharType="separate"/>
            </w:r>
            <w:r w:rsidR="001A3839">
              <w:rPr>
                <w:webHidden/>
              </w:rPr>
              <w:t>2</w:t>
            </w:r>
            <w:r w:rsidR="001A3839">
              <w:rPr>
                <w:webHidden/>
              </w:rPr>
              <w:fldChar w:fldCharType="end"/>
            </w:r>
          </w:hyperlink>
        </w:p>
        <w:p w14:paraId="4A542113" w14:textId="15252CC2" w:rsidR="001A3839" w:rsidRDefault="001A3839" w:rsidP="001A3839">
          <w:pPr>
            <w:pStyle w:val="TOC1"/>
            <w:spacing w:line="360" w:lineRule="auto"/>
            <w:rPr>
              <w:rFonts w:asciiTheme="minorHAnsi" w:eastAsiaTheme="minorEastAsia" w:hAnsiTheme="minorHAnsi" w:cstheme="minorBidi"/>
              <w:i w:val="0"/>
              <w:iCs w:val="0"/>
              <w:lang w:eastAsia="en-GB"/>
            </w:rPr>
          </w:pPr>
          <w:hyperlink w:anchor="_Toc142088078" w:history="1">
            <w:r w:rsidRPr="00D1618C">
              <w:rPr>
                <w:rStyle w:val="Hyperlink"/>
              </w:rPr>
              <w:t>Community Engagement in Environments Projects</w:t>
            </w:r>
            <w:r>
              <w:rPr>
                <w:webHidden/>
              </w:rPr>
              <w:tab/>
            </w:r>
            <w:r>
              <w:rPr>
                <w:webHidden/>
              </w:rPr>
              <w:fldChar w:fldCharType="begin"/>
            </w:r>
            <w:r>
              <w:rPr>
                <w:webHidden/>
              </w:rPr>
              <w:instrText xml:space="preserve"> PAGEREF _Toc142088078 \h </w:instrText>
            </w:r>
            <w:r>
              <w:rPr>
                <w:webHidden/>
              </w:rPr>
            </w:r>
            <w:r>
              <w:rPr>
                <w:webHidden/>
              </w:rPr>
              <w:fldChar w:fldCharType="separate"/>
            </w:r>
            <w:r>
              <w:rPr>
                <w:webHidden/>
              </w:rPr>
              <w:t>2</w:t>
            </w:r>
            <w:r>
              <w:rPr>
                <w:webHidden/>
              </w:rPr>
              <w:fldChar w:fldCharType="end"/>
            </w:r>
          </w:hyperlink>
        </w:p>
        <w:p w14:paraId="1885AA59" w14:textId="23ED10B5" w:rsidR="001A3839" w:rsidRDefault="001A3839" w:rsidP="001A3839">
          <w:pPr>
            <w:pStyle w:val="TOC2"/>
            <w:spacing w:line="360" w:lineRule="auto"/>
            <w:rPr>
              <w:rFonts w:asciiTheme="minorHAnsi" w:eastAsiaTheme="minorEastAsia" w:hAnsiTheme="minorHAnsi" w:cstheme="minorBidi"/>
              <w:lang w:eastAsia="en-GB"/>
            </w:rPr>
          </w:pPr>
          <w:hyperlink w:anchor="_Toc142088079" w:history="1">
            <w:r w:rsidRPr="00D1618C">
              <w:rPr>
                <w:rStyle w:val="Hyperlink"/>
              </w:rPr>
              <w:t>Overview of Environment Projects</w:t>
            </w:r>
            <w:r>
              <w:rPr>
                <w:webHidden/>
              </w:rPr>
              <w:tab/>
            </w:r>
            <w:r>
              <w:rPr>
                <w:webHidden/>
              </w:rPr>
              <w:fldChar w:fldCharType="begin"/>
            </w:r>
            <w:r>
              <w:rPr>
                <w:webHidden/>
              </w:rPr>
              <w:instrText xml:space="preserve"> PAGEREF _Toc142088079 \h </w:instrText>
            </w:r>
            <w:r>
              <w:rPr>
                <w:webHidden/>
              </w:rPr>
            </w:r>
            <w:r>
              <w:rPr>
                <w:webHidden/>
              </w:rPr>
              <w:fldChar w:fldCharType="separate"/>
            </w:r>
            <w:r>
              <w:rPr>
                <w:webHidden/>
              </w:rPr>
              <w:t>2</w:t>
            </w:r>
            <w:r>
              <w:rPr>
                <w:webHidden/>
              </w:rPr>
              <w:fldChar w:fldCharType="end"/>
            </w:r>
          </w:hyperlink>
        </w:p>
        <w:p w14:paraId="5AE4E701" w14:textId="70959C68" w:rsidR="001A3839" w:rsidRDefault="001A3839" w:rsidP="001A3839">
          <w:pPr>
            <w:pStyle w:val="TOC2"/>
            <w:spacing w:line="360" w:lineRule="auto"/>
            <w:rPr>
              <w:rFonts w:asciiTheme="minorHAnsi" w:eastAsiaTheme="minorEastAsia" w:hAnsiTheme="minorHAnsi" w:cstheme="minorBidi"/>
              <w:lang w:eastAsia="en-GB"/>
            </w:rPr>
          </w:pPr>
          <w:hyperlink w:anchor="_Toc142088080" w:history="1">
            <w:r w:rsidRPr="00D1618C">
              <w:rPr>
                <w:rStyle w:val="Hyperlink"/>
              </w:rPr>
              <w:t>Importance of Community Engagement</w:t>
            </w:r>
            <w:r>
              <w:rPr>
                <w:webHidden/>
              </w:rPr>
              <w:tab/>
            </w:r>
            <w:r>
              <w:rPr>
                <w:webHidden/>
              </w:rPr>
              <w:fldChar w:fldCharType="begin"/>
            </w:r>
            <w:r>
              <w:rPr>
                <w:webHidden/>
              </w:rPr>
              <w:instrText xml:space="preserve"> PAGEREF _Toc142088080 \h </w:instrText>
            </w:r>
            <w:r>
              <w:rPr>
                <w:webHidden/>
              </w:rPr>
            </w:r>
            <w:r>
              <w:rPr>
                <w:webHidden/>
              </w:rPr>
              <w:fldChar w:fldCharType="separate"/>
            </w:r>
            <w:r>
              <w:rPr>
                <w:webHidden/>
              </w:rPr>
              <w:t>3</w:t>
            </w:r>
            <w:r>
              <w:rPr>
                <w:webHidden/>
              </w:rPr>
              <w:fldChar w:fldCharType="end"/>
            </w:r>
          </w:hyperlink>
        </w:p>
        <w:p w14:paraId="1A7F06EE" w14:textId="067B4E94" w:rsidR="001A3839" w:rsidRDefault="001A3839" w:rsidP="001A3839">
          <w:pPr>
            <w:pStyle w:val="TOC2"/>
            <w:spacing w:line="360" w:lineRule="auto"/>
            <w:rPr>
              <w:rFonts w:asciiTheme="minorHAnsi" w:eastAsiaTheme="minorEastAsia" w:hAnsiTheme="minorHAnsi" w:cstheme="minorBidi"/>
              <w:lang w:eastAsia="en-GB"/>
            </w:rPr>
          </w:pPr>
          <w:hyperlink w:anchor="_Toc142088081" w:history="1">
            <w:r w:rsidRPr="00D1618C">
              <w:rPr>
                <w:rStyle w:val="Hyperlink"/>
              </w:rPr>
              <w:t>Strategies for Community Involvement</w:t>
            </w:r>
            <w:r>
              <w:rPr>
                <w:webHidden/>
              </w:rPr>
              <w:tab/>
            </w:r>
            <w:r>
              <w:rPr>
                <w:webHidden/>
              </w:rPr>
              <w:fldChar w:fldCharType="begin"/>
            </w:r>
            <w:r>
              <w:rPr>
                <w:webHidden/>
              </w:rPr>
              <w:instrText xml:space="preserve"> PAGEREF _Toc142088081 \h </w:instrText>
            </w:r>
            <w:r>
              <w:rPr>
                <w:webHidden/>
              </w:rPr>
            </w:r>
            <w:r>
              <w:rPr>
                <w:webHidden/>
              </w:rPr>
              <w:fldChar w:fldCharType="separate"/>
            </w:r>
            <w:r>
              <w:rPr>
                <w:webHidden/>
              </w:rPr>
              <w:t>3</w:t>
            </w:r>
            <w:r>
              <w:rPr>
                <w:webHidden/>
              </w:rPr>
              <w:fldChar w:fldCharType="end"/>
            </w:r>
          </w:hyperlink>
        </w:p>
        <w:p w14:paraId="16398BB7" w14:textId="049CF85F" w:rsidR="001A3839" w:rsidRDefault="001A3839" w:rsidP="001A3839">
          <w:pPr>
            <w:pStyle w:val="TOC3"/>
            <w:tabs>
              <w:tab w:val="right" w:leader="dot" w:pos="9016"/>
            </w:tabs>
            <w:spacing w:line="360" w:lineRule="auto"/>
            <w:rPr>
              <w:rFonts w:eastAsiaTheme="minorEastAsia"/>
              <w:noProof/>
              <w:lang w:eastAsia="en-GB"/>
            </w:rPr>
          </w:pPr>
          <w:hyperlink w:anchor="_Toc142088082" w:history="1">
            <w:r w:rsidRPr="00D1618C">
              <w:rPr>
                <w:rStyle w:val="Hyperlink"/>
                <w:rFonts w:ascii="Arial" w:hAnsi="Arial" w:cs="Arial"/>
                <w:noProof/>
              </w:rPr>
              <w:t>Public Consultations</w:t>
            </w:r>
            <w:r>
              <w:rPr>
                <w:noProof/>
                <w:webHidden/>
              </w:rPr>
              <w:tab/>
            </w:r>
            <w:r>
              <w:rPr>
                <w:noProof/>
                <w:webHidden/>
              </w:rPr>
              <w:fldChar w:fldCharType="begin"/>
            </w:r>
            <w:r>
              <w:rPr>
                <w:noProof/>
                <w:webHidden/>
              </w:rPr>
              <w:instrText xml:space="preserve"> PAGEREF _Toc142088082 \h </w:instrText>
            </w:r>
            <w:r>
              <w:rPr>
                <w:noProof/>
                <w:webHidden/>
              </w:rPr>
            </w:r>
            <w:r>
              <w:rPr>
                <w:noProof/>
                <w:webHidden/>
              </w:rPr>
              <w:fldChar w:fldCharType="separate"/>
            </w:r>
            <w:r>
              <w:rPr>
                <w:noProof/>
                <w:webHidden/>
              </w:rPr>
              <w:t>3</w:t>
            </w:r>
            <w:r>
              <w:rPr>
                <w:noProof/>
                <w:webHidden/>
              </w:rPr>
              <w:fldChar w:fldCharType="end"/>
            </w:r>
          </w:hyperlink>
        </w:p>
        <w:p w14:paraId="38B1A840" w14:textId="5DE2456C" w:rsidR="001A3839" w:rsidRDefault="001A3839" w:rsidP="001A3839">
          <w:pPr>
            <w:pStyle w:val="TOC3"/>
            <w:tabs>
              <w:tab w:val="right" w:leader="dot" w:pos="9016"/>
            </w:tabs>
            <w:spacing w:line="360" w:lineRule="auto"/>
            <w:rPr>
              <w:rFonts w:eastAsiaTheme="minorEastAsia"/>
              <w:noProof/>
              <w:lang w:eastAsia="en-GB"/>
            </w:rPr>
          </w:pPr>
          <w:hyperlink w:anchor="_Toc142088083" w:history="1">
            <w:r w:rsidRPr="00D1618C">
              <w:rPr>
                <w:rStyle w:val="Hyperlink"/>
                <w:rFonts w:ascii="Arial" w:hAnsi="Arial" w:cs="Arial"/>
                <w:noProof/>
              </w:rPr>
              <w:t>Community Workshops and Focus Groups</w:t>
            </w:r>
            <w:r>
              <w:rPr>
                <w:noProof/>
                <w:webHidden/>
              </w:rPr>
              <w:tab/>
            </w:r>
            <w:r>
              <w:rPr>
                <w:noProof/>
                <w:webHidden/>
              </w:rPr>
              <w:fldChar w:fldCharType="begin"/>
            </w:r>
            <w:r>
              <w:rPr>
                <w:noProof/>
                <w:webHidden/>
              </w:rPr>
              <w:instrText xml:space="preserve"> PAGEREF _Toc142088083 \h </w:instrText>
            </w:r>
            <w:r>
              <w:rPr>
                <w:noProof/>
                <w:webHidden/>
              </w:rPr>
            </w:r>
            <w:r>
              <w:rPr>
                <w:noProof/>
                <w:webHidden/>
              </w:rPr>
              <w:fldChar w:fldCharType="separate"/>
            </w:r>
            <w:r>
              <w:rPr>
                <w:noProof/>
                <w:webHidden/>
              </w:rPr>
              <w:t>3</w:t>
            </w:r>
            <w:r>
              <w:rPr>
                <w:noProof/>
                <w:webHidden/>
              </w:rPr>
              <w:fldChar w:fldCharType="end"/>
            </w:r>
          </w:hyperlink>
        </w:p>
        <w:p w14:paraId="12905EA4" w14:textId="1608732C" w:rsidR="001A3839" w:rsidRDefault="001A3839" w:rsidP="001A3839">
          <w:pPr>
            <w:pStyle w:val="TOC2"/>
            <w:spacing w:line="360" w:lineRule="auto"/>
            <w:rPr>
              <w:rFonts w:asciiTheme="minorHAnsi" w:eastAsiaTheme="minorEastAsia" w:hAnsiTheme="minorHAnsi" w:cstheme="minorBidi"/>
              <w:lang w:eastAsia="en-GB"/>
            </w:rPr>
          </w:pPr>
          <w:hyperlink w:anchor="_Toc142088084" w:history="1">
            <w:r w:rsidRPr="00D1618C">
              <w:rPr>
                <w:rStyle w:val="Hyperlink"/>
              </w:rPr>
              <w:t>Green Initiatives and Sustainable Development</w:t>
            </w:r>
            <w:r>
              <w:rPr>
                <w:webHidden/>
              </w:rPr>
              <w:tab/>
            </w:r>
            <w:r>
              <w:rPr>
                <w:webHidden/>
              </w:rPr>
              <w:fldChar w:fldCharType="begin"/>
            </w:r>
            <w:r>
              <w:rPr>
                <w:webHidden/>
              </w:rPr>
              <w:instrText xml:space="preserve"> PAGEREF _Toc142088084 \h </w:instrText>
            </w:r>
            <w:r>
              <w:rPr>
                <w:webHidden/>
              </w:rPr>
            </w:r>
            <w:r>
              <w:rPr>
                <w:webHidden/>
              </w:rPr>
              <w:fldChar w:fldCharType="separate"/>
            </w:r>
            <w:r>
              <w:rPr>
                <w:webHidden/>
              </w:rPr>
              <w:t>4</w:t>
            </w:r>
            <w:r>
              <w:rPr>
                <w:webHidden/>
              </w:rPr>
              <w:fldChar w:fldCharType="end"/>
            </w:r>
          </w:hyperlink>
        </w:p>
        <w:p w14:paraId="478B86AE" w14:textId="07210C5D" w:rsidR="001A3839" w:rsidRDefault="001A3839" w:rsidP="001A3839">
          <w:pPr>
            <w:pStyle w:val="TOC3"/>
            <w:tabs>
              <w:tab w:val="right" w:leader="dot" w:pos="9016"/>
            </w:tabs>
            <w:spacing w:line="360" w:lineRule="auto"/>
            <w:rPr>
              <w:rFonts w:eastAsiaTheme="minorEastAsia"/>
              <w:noProof/>
              <w:lang w:eastAsia="en-GB"/>
            </w:rPr>
          </w:pPr>
          <w:hyperlink w:anchor="_Toc142088085" w:history="1">
            <w:r w:rsidRPr="00D1618C">
              <w:rPr>
                <w:rStyle w:val="Hyperlink"/>
                <w:rFonts w:ascii="Arial" w:hAnsi="Arial" w:cs="Arial"/>
                <w:noProof/>
              </w:rPr>
              <w:t>Parks and Green Spaces Enhancement</w:t>
            </w:r>
            <w:r>
              <w:rPr>
                <w:noProof/>
                <w:webHidden/>
              </w:rPr>
              <w:tab/>
            </w:r>
            <w:r>
              <w:rPr>
                <w:noProof/>
                <w:webHidden/>
              </w:rPr>
              <w:fldChar w:fldCharType="begin"/>
            </w:r>
            <w:r>
              <w:rPr>
                <w:noProof/>
                <w:webHidden/>
              </w:rPr>
              <w:instrText xml:space="preserve"> PAGEREF _Toc142088085 \h </w:instrText>
            </w:r>
            <w:r>
              <w:rPr>
                <w:noProof/>
                <w:webHidden/>
              </w:rPr>
            </w:r>
            <w:r>
              <w:rPr>
                <w:noProof/>
                <w:webHidden/>
              </w:rPr>
              <w:fldChar w:fldCharType="separate"/>
            </w:r>
            <w:r>
              <w:rPr>
                <w:noProof/>
                <w:webHidden/>
              </w:rPr>
              <w:t>4</w:t>
            </w:r>
            <w:r>
              <w:rPr>
                <w:noProof/>
                <w:webHidden/>
              </w:rPr>
              <w:fldChar w:fldCharType="end"/>
            </w:r>
          </w:hyperlink>
        </w:p>
        <w:p w14:paraId="4EBA9787" w14:textId="36F33095" w:rsidR="001A3839" w:rsidRDefault="001A3839" w:rsidP="001A3839">
          <w:pPr>
            <w:pStyle w:val="TOC1"/>
            <w:spacing w:line="360" w:lineRule="auto"/>
            <w:rPr>
              <w:rFonts w:asciiTheme="minorHAnsi" w:eastAsiaTheme="minorEastAsia" w:hAnsiTheme="minorHAnsi" w:cstheme="minorBidi"/>
              <w:i w:val="0"/>
              <w:iCs w:val="0"/>
              <w:lang w:eastAsia="en-GB"/>
            </w:rPr>
          </w:pPr>
          <w:hyperlink w:anchor="_Toc142088086" w:history="1">
            <w:r w:rsidRPr="00D1618C">
              <w:rPr>
                <w:rStyle w:val="Hyperlink"/>
              </w:rPr>
              <w:t>Community Engagement in Public Projects</w:t>
            </w:r>
            <w:r>
              <w:rPr>
                <w:webHidden/>
              </w:rPr>
              <w:tab/>
            </w:r>
            <w:r>
              <w:rPr>
                <w:webHidden/>
              </w:rPr>
              <w:fldChar w:fldCharType="begin"/>
            </w:r>
            <w:r>
              <w:rPr>
                <w:webHidden/>
              </w:rPr>
              <w:instrText xml:space="preserve"> PAGEREF _Toc142088086 \h </w:instrText>
            </w:r>
            <w:r>
              <w:rPr>
                <w:webHidden/>
              </w:rPr>
            </w:r>
            <w:r>
              <w:rPr>
                <w:webHidden/>
              </w:rPr>
              <w:fldChar w:fldCharType="separate"/>
            </w:r>
            <w:r>
              <w:rPr>
                <w:webHidden/>
              </w:rPr>
              <w:t>4</w:t>
            </w:r>
            <w:r>
              <w:rPr>
                <w:webHidden/>
              </w:rPr>
              <w:fldChar w:fldCharType="end"/>
            </w:r>
          </w:hyperlink>
        </w:p>
        <w:p w14:paraId="6753F979" w14:textId="59B2C504" w:rsidR="001A3839" w:rsidRDefault="001A3839" w:rsidP="001A3839">
          <w:pPr>
            <w:pStyle w:val="TOC2"/>
            <w:spacing w:line="360" w:lineRule="auto"/>
            <w:rPr>
              <w:rFonts w:asciiTheme="minorHAnsi" w:eastAsiaTheme="minorEastAsia" w:hAnsiTheme="minorHAnsi" w:cstheme="minorBidi"/>
              <w:lang w:eastAsia="en-GB"/>
            </w:rPr>
          </w:pPr>
          <w:hyperlink w:anchor="_Toc142088087" w:history="1">
            <w:r w:rsidRPr="00D1618C">
              <w:rPr>
                <w:rStyle w:val="Hyperlink"/>
              </w:rPr>
              <w:t>Overview of Public Projects</w:t>
            </w:r>
            <w:r>
              <w:rPr>
                <w:webHidden/>
              </w:rPr>
              <w:tab/>
            </w:r>
            <w:r>
              <w:rPr>
                <w:webHidden/>
              </w:rPr>
              <w:fldChar w:fldCharType="begin"/>
            </w:r>
            <w:r>
              <w:rPr>
                <w:webHidden/>
              </w:rPr>
              <w:instrText xml:space="preserve"> PAGEREF _Toc142088087 \h </w:instrText>
            </w:r>
            <w:r>
              <w:rPr>
                <w:webHidden/>
              </w:rPr>
            </w:r>
            <w:r>
              <w:rPr>
                <w:webHidden/>
              </w:rPr>
              <w:fldChar w:fldCharType="separate"/>
            </w:r>
            <w:r>
              <w:rPr>
                <w:webHidden/>
              </w:rPr>
              <w:t>4</w:t>
            </w:r>
            <w:r>
              <w:rPr>
                <w:webHidden/>
              </w:rPr>
              <w:fldChar w:fldCharType="end"/>
            </w:r>
          </w:hyperlink>
        </w:p>
        <w:p w14:paraId="1B967239" w14:textId="5A5EA7D3" w:rsidR="001A3839" w:rsidRDefault="001A3839" w:rsidP="001A3839">
          <w:pPr>
            <w:pStyle w:val="TOC2"/>
            <w:spacing w:line="360" w:lineRule="auto"/>
            <w:rPr>
              <w:rFonts w:asciiTheme="minorHAnsi" w:eastAsiaTheme="minorEastAsia" w:hAnsiTheme="minorHAnsi" w:cstheme="minorBidi"/>
              <w:lang w:eastAsia="en-GB"/>
            </w:rPr>
          </w:pPr>
          <w:hyperlink w:anchor="_Toc142088088" w:history="1">
            <w:r w:rsidRPr="00D1618C">
              <w:rPr>
                <w:rStyle w:val="Hyperlink"/>
              </w:rPr>
              <w:t>Approaches to Involving the Community</w:t>
            </w:r>
            <w:r>
              <w:rPr>
                <w:webHidden/>
              </w:rPr>
              <w:tab/>
            </w:r>
            <w:r>
              <w:rPr>
                <w:webHidden/>
              </w:rPr>
              <w:fldChar w:fldCharType="begin"/>
            </w:r>
            <w:r>
              <w:rPr>
                <w:webHidden/>
              </w:rPr>
              <w:instrText xml:space="preserve"> PAGEREF _Toc142088088 \h </w:instrText>
            </w:r>
            <w:r>
              <w:rPr>
                <w:webHidden/>
              </w:rPr>
            </w:r>
            <w:r>
              <w:rPr>
                <w:webHidden/>
              </w:rPr>
              <w:fldChar w:fldCharType="separate"/>
            </w:r>
            <w:r>
              <w:rPr>
                <w:webHidden/>
              </w:rPr>
              <w:t>5</w:t>
            </w:r>
            <w:r>
              <w:rPr>
                <w:webHidden/>
              </w:rPr>
              <w:fldChar w:fldCharType="end"/>
            </w:r>
          </w:hyperlink>
        </w:p>
        <w:p w14:paraId="75A8B152" w14:textId="54EC2528" w:rsidR="001A3839" w:rsidRDefault="001A3839" w:rsidP="001A3839">
          <w:pPr>
            <w:pStyle w:val="TOC3"/>
            <w:tabs>
              <w:tab w:val="right" w:leader="dot" w:pos="9016"/>
            </w:tabs>
            <w:spacing w:line="360" w:lineRule="auto"/>
            <w:rPr>
              <w:rFonts w:eastAsiaTheme="minorEastAsia"/>
              <w:noProof/>
              <w:lang w:eastAsia="en-GB"/>
            </w:rPr>
          </w:pPr>
          <w:hyperlink w:anchor="_Toc142088089" w:history="1">
            <w:r w:rsidRPr="00D1618C">
              <w:rPr>
                <w:rStyle w:val="Hyperlink"/>
                <w:rFonts w:ascii="Arial" w:hAnsi="Arial" w:cs="Arial"/>
                <w:noProof/>
              </w:rPr>
              <w:t>Public stakeholders</w:t>
            </w:r>
            <w:r>
              <w:rPr>
                <w:noProof/>
                <w:webHidden/>
              </w:rPr>
              <w:tab/>
            </w:r>
            <w:r>
              <w:rPr>
                <w:noProof/>
                <w:webHidden/>
              </w:rPr>
              <w:fldChar w:fldCharType="begin"/>
            </w:r>
            <w:r>
              <w:rPr>
                <w:noProof/>
                <w:webHidden/>
              </w:rPr>
              <w:instrText xml:space="preserve"> PAGEREF _Toc142088089 \h </w:instrText>
            </w:r>
            <w:r>
              <w:rPr>
                <w:noProof/>
                <w:webHidden/>
              </w:rPr>
            </w:r>
            <w:r>
              <w:rPr>
                <w:noProof/>
                <w:webHidden/>
              </w:rPr>
              <w:fldChar w:fldCharType="separate"/>
            </w:r>
            <w:r>
              <w:rPr>
                <w:noProof/>
                <w:webHidden/>
              </w:rPr>
              <w:t>5</w:t>
            </w:r>
            <w:r>
              <w:rPr>
                <w:noProof/>
                <w:webHidden/>
              </w:rPr>
              <w:fldChar w:fldCharType="end"/>
            </w:r>
          </w:hyperlink>
        </w:p>
        <w:p w14:paraId="63A794F7" w14:textId="24B2D395" w:rsidR="001A3839" w:rsidRDefault="001A3839" w:rsidP="001A3839">
          <w:pPr>
            <w:pStyle w:val="TOC3"/>
            <w:tabs>
              <w:tab w:val="right" w:leader="dot" w:pos="9016"/>
            </w:tabs>
            <w:spacing w:line="360" w:lineRule="auto"/>
            <w:rPr>
              <w:rFonts w:eastAsiaTheme="minorEastAsia"/>
              <w:noProof/>
              <w:lang w:eastAsia="en-GB"/>
            </w:rPr>
          </w:pPr>
          <w:hyperlink w:anchor="_Toc142088090" w:history="1">
            <w:r w:rsidRPr="00D1618C">
              <w:rPr>
                <w:rStyle w:val="Hyperlink"/>
                <w:rFonts w:ascii="Arial" w:hAnsi="Arial" w:cs="Arial"/>
                <w:noProof/>
              </w:rPr>
              <w:t>Collaboration with Local Organizations</w:t>
            </w:r>
            <w:r>
              <w:rPr>
                <w:noProof/>
                <w:webHidden/>
              </w:rPr>
              <w:tab/>
            </w:r>
            <w:r>
              <w:rPr>
                <w:noProof/>
                <w:webHidden/>
              </w:rPr>
              <w:fldChar w:fldCharType="begin"/>
            </w:r>
            <w:r>
              <w:rPr>
                <w:noProof/>
                <w:webHidden/>
              </w:rPr>
              <w:instrText xml:space="preserve"> PAGEREF _Toc142088090 \h </w:instrText>
            </w:r>
            <w:r>
              <w:rPr>
                <w:noProof/>
                <w:webHidden/>
              </w:rPr>
            </w:r>
            <w:r>
              <w:rPr>
                <w:noProof/>
                <w:webHidden/>
              </w:rPr>
              <w:fldChar w:fldCharType="separate"/>
            </w:r>
            <w:r>
              <w:rPr>
                <w:noProof/>
                <w:webHidden/>
              </w:rPr>
              <w:t>5</w:t>
            </w:r>
            <w:r>
              <w:rPr>
                <w:noProof/>
                <w:webHidden/>
              </w:rPr>
              <w:fldChar w:fldCharType="end"/>
            </w:r>
          </w:hyperlink>
        </w:p>
        <w:p w14:paraId="2F0AC370" w14:textId="7F91D394" w:rsidR="001A3839" w:rsidRDefault="001A3839" w:rsidP="001A3839">
          <w:pPr>
            <w:pStyle w:val="TOC1"/>
            <w:spacing w:line="360" w:lineRule="auto"/>
            <w:rPr>
              <w:rFonts w:asciiTheme="minorHAnsi" w:eastAsiaTheme="minorEastAsia" w:hAnsiTheme="minorHAnsi" w:cstheme="minorBidi"/>
              <w:i w:val="0"/>
              <w:iCs w:val="0"/>
              <w:lang w:eastAsia="en-GB"/>
            </w:rPr>
          </w:pPr>
          <w:hyperlink w:anchor="_Toc142088091" w:history="1">
            <w:r w:rsidRPr="00D1618C">
              <w:rPr>
                <w:rStyle w:val="Hyperlink"/>
              </w:rPr>
              <w:t>Conclusion</w:t>
            </w:r>
            <w:r>
              <w:rPr>
                <w:webHidden/>
              </w:rPr>
              <w:tab/>
            </w:r>
            <w:r>
              <w:rPr>
                <w:webHidden/>
              </w:rPr>
              <w:fldChar w:fldCharType="begin"/>
            </w:r>
            <w:r>
              <w:rPr>
                <w:webHidden/>
              </w:rPr>
              <w:instrText xml:space="preserve"> PAGEREF _Toc142088091 \h </w:instrText>
            </w:r>
            <w:r>
              <w:rPr>
                <w:webHidden/>
              </w:rPr>
            </w:r>
            <w:r>
              <w:rPr>
                <w:webHidden/>
              </w:rPr>
              <w:fldChar w:fldCharType="separate"/>
            </w:r>
            <w:r>
              <w:rPr>
                <w:webHidden/>
              </w:rPr>
              <w:t>6</w:t>
            </w:r>
            <w:r>
              <w:rPr>
                <w:webHidden/>
              </w:rPr>
              <w:fldChar w:fldCharType="end"/>
            </w:r>
          </w:hyperlink>
        </w:p>
        <w:p w14:paraId="4AF87541" w14:textId="740FE7BC" w:rsidR="001A3839" w:rsidRDefault="001A3839" w:rsidP="001A3839">
          <w:pPr>
            <w:pStyle w:val="TOC1"/>
            <w:spacing w:line="360" w:lineRule="auto"/>
            <w:rPr>
              <w:rFonts w:asciiTheme="minorHAnsi" w:eastAsiaTheme="minorEastAsia" w:hAnsiTheme="minorHAnsi" w:cstheme="minorBidi"/>
              <w:i w:val="0"/>
              <w:iCs w:val="0"/>
              <w:lang w:eastAsia="en-GB"/>
            </w:rPr>
          </w:pPr>
          <w:hyperlink w:anchor="_Toc142088092" w:history="1">
            <w:r w:rsidRPr="00D1618C">
              <w:rPr>
                <w:rStyle w:val="Hyperlink"/>
              </w:rPr>
              <w:t>References</w:t>
            </w:r>
            <w:r>
              <w:rPr>
                <w:webHidden/>
              </w:rPr>
              <w:tab/>
            </w:r>
            <w:r>
              <w:rPr>
                <w:webHidden/>
              </w:rPr>
              <w:fldChar w:fldCharType="begin"/>
            </w:r>
            <w:r>
              <w:rPr>
                <w:webHidden/>
              </w:rPr>
              <w:instrText xml:space="preserve"> PAGEREF _Toc142088092 \h </w:instrText>
            </w:r>
            <w:r>
              <w:rPr>
                <w:webHidden/>
              </w:rPr>
            </w:r>
            <w:r>
              <w:rPr>
                <w:webHidden/>
              </w:rPr>
              <w:fldChar w:fldCharType="separate"/>
            </w:r>
            <w:r>
              <w:rPr>
                <w:webHidden/>
              </w:rPr>
              <w:t>7</w:t>
            </w:r>
            <w:r>
              <w:rPr>
                <w:webHidden/>
              </w:rPr>
              <w:fldChar w:fldCharType="end"/>
            </w:r>
          </w:hyperlink>
        </w:p>
        <w:p w14:paraId="5FD380AA" w14:textId="38B72916" w:rsidR="00C766A2" w:rsidRPr="001A3839" w:rsidRDefault="00C766A2" w:rsidP="001A3839">
          <w:pPr>
            <w:spacing w:line="360" w:lineRule="auto"/>
            <w:jc w:val="both"/>
            <w:rPr>
              <w:rFonts w:ascii="Arial" w:hAnsi="Arial" w:cs="Arial"/>
            </w:rPr>
          </w:pPr>
          <w:r w:rsidRPr="001A3839">
            <w:rPr>
              <w:rFonts w:ascii="Arial" w:hAnsi="Arial" w:cs="Arial"/>
              <w:b/>
              <w:bCs/>
              <w:noProof/>
            </w:rPr>
            <w:fldChar w:fldCharType="end"/>
          </w:r>
        </w:p>
      </w:sdtContent>
    </w:sdt>
    <w:p w14:paraId="249FEACC" w14:textId="77777777" w:rsidR="00D46A7A" w:rsidRPr="001A3839" w:rsidRDefault="00D46A7A" w:rsidP="001A3839">
      <w:pPr>
        <w:jc w:val="both"/>
        <w:rPr>
          <w:rFonts w:ascii="Arial" w:hAnsi="Arial" w:cs="Arial"/>
        </w:rPr>
      </w:pPr>
    </w:p>
    <w:p w14:paraId="4D89B5BE" w14:textId="4EBD27AB" w:rsidR="00D46A7A" w:rsidRPr="001A3839" w:rsidRDefault="00D46A7A" w:rsidP="001A3839">
      <w:pPr>
        <w:jc w:val="both"/>
        <w:rPr>
          <w:rFonts w:ascii="Arial" w:eastAsiaTheme="majorEastAsia" w:hAnsi="Arial" w:cs="Arial"/>
          <w:spacing w:val="-10"/>
          <w:kern w:val="28"/>
        </w:rPr>
      </w:pPr>
    </w:p>
    <w:p w14:paraId="49A7A4BC" w14:textId="77777777" w:rsidR="00D46A7A" w:rsidRPr="001A3839" w:rsidRDefault="00D46A7A" w:rsidP="001A3839">
      <w:pPr>
        <w:jc w:val="both"/>
        <w:rPr>
          <w:rFonts w:ascii="Arial" w:eastAsiaTheme="majorEastAsia" w:hAnsi="Arial" w:cs="Arial"/>
          <w:spacing w:val="-10"/>
          <w:kern w:val="28"/>
        </w:rPr>
      </w:pPr>
      <w:r w:rsidRPr="001A3839">
        <w:rPr>
          <w:rFonts w:ascii="Arial" w:eastAsiaTheme="majorEastAsia" w:hAnsi="Arial" w:cs="Arial"/>
          <w:spacing w:val="-10"/>
          <w:kern w:val="28"/>
        </w:rPr>
        <w:br w:type="page"/>
      </w:r>
    </w:p>
    <w:p w14:paraId="286EFD86" w14:textId="77777777" w:rsidR="00C766A2" w:rsidRPr="001A3839" w:rsidRDefault="00C766A2" w:rsidP="001A3839">
      <w:pPr>
        <w:pStyle w:val="Heading1"/>
        <w:jc w:val="both"/>
        <w:rPr>
          <w:rStyle w:val="Heading1Char"/>
          <w:rFonts w:ascii="Arial" w:hAnsi="Arial" w:cs="Arial"/>
          <w:i/>
          <w:iCs/>
          <w:sz w:val="22"/>
          <w:szCs w:val="22"/>
        </w:rPr>
      </w:pPr>
      <w:bookmarkStart w:id="0" w:name="_Toc142088077"/>
      <w:r w:rsidRPr="001A3839">
        <w:rPr>
          <w:rStyle w:val="Heading1Char"/>
          <w:rFonts w:ascii="Arial" w:hAnsi="Arial" w:cs="Arial"/>
          <w:i/>
          <w:iCs/>
          <w:sz w:val="22"/>
          <w:szCs w:val="22"/>
        </w:rPr>
        <w:lastRenderedPageBreak/>
        <w:t>Introduction</w:t>
      </w:r>
      <w:bookmarkEnd w:id="0"/>
    </w:p>
    <w:p w14:paraId="6F22FA2A" w14:textId="5224C32D" w:rsidR="00852C38" w:rsidRPr="001A3839" w:rsidRDefault="00852C38" w:rsidP="001A3839">
      <w:pPr>
        <w:spacing w:line="360" w:lineRule="auto"/>
        <w:jc w:val="both"/>
        <w:rPr>
          <w:rFonts w:ascii="Arial" w:hAnsi="Arial" w:cs="Arial"/>
        </w:rPr>
      </w:pPr>
      <w:r w:rsidRPr="001A3839">
        <w:rPr>
          <w:rFonts w:ascii="Arial" w:hAnsi="Arial" w:cs="Arial"/>
        </w:rPr>
        <w:t>Community engagement is crucial for sustainable and inclusive local development, as it empowers residents to shape their neighbourhoods’ future. Graham Day's work, "Community and everyday life," highlights the importance of community involvement in decision-making processes, especially in environmental and public projects. Greenwich Borough Council, a prominent local governing body, places a strong emphasis on community engagement to ensure its initiatives resonate with the diverse population. This report evaluates the effectiveness of Greenwich Borough Council's community engagement initiatives in environment and public projects, drawing inspiration from Graham Day's observations on community dynamics and everyday life. The study examines the council's approaches to community engagement, including public consultations, workshops, and online platforms, and explores key lessons learned from the council's experience and post-project plans to strengthen future engagement efforts. By integrating Day's ideas on community and everyday life, this report aims to contribute to the broader discourse on the importance of community involvement in shaping the local landscape.</w:t>
      </w:r>
    </w:p>
    <w:p w14:paraId="5D9C42D7" w14:textId="744931D0" w:rsidR="00D46A7A" w:rsidRPr="001A3839" w:rsidRDefault="00C766A2" w:rsidP="001A3839">
      <w:pPr>
        <w:pStyle w:val="Heading1"/>
        <w:jc w:val="both"/>
        <w:rPr>
          <w:rFonts w:ascii="Arial" w:hAnsi="Arial" w:cs="Arial"/>
          <w:i/>
          <w:iCs/>
          <w:sz w:val="22"/>
          <w:szCs w:val="22"/>
        </w:rPr>
      </w:pPr>
      <w:bookmarkStart w:id="1" w:name="_Toc142088078"/>
      <w:r w:rsidRPr="001A3839">
        <w:rPr>
          <w:rFonts w:ascii="Arial" w:hAnsi="Arial" w:cs="Arial"/>
          <w:i/>
          <w:iCs/>
          <w:sz w:val="22"/>
          <w:szCs w:val="22"/>
        </w:rPr>
        <w:t>Community Engagement</w:t>
      </w:r>
      <w:r w:rsidR="006534EF" w:rsidRPr="001A3839">
        <w:rPr>
          <w:rFonts w:ascii="Arial" w:hAnsi="Arial" w:cs="Arial"/>
          <w:i/>
          <w:iCs/>
          <w:sz w:val="22"/>
          <w:szCs w:val="22"/>
        </w:rPr>
        <w:t xml:space="preserve"> in Environments Projects</w:t>
      </w:r>
      <w:bookmarkEnd w:id="1"/>
      <w:r w:rsidR="006534EF" w:rsidRPr="001A3839">
        <w:rPr>
          <w:rFonts w:ascii="Arial" w:hAnsi="Arial" w:cs="Arial"/>
          <w:i/>
          <w:iCs/>
          <w:sz w:val="22"/>
          <w:szCs w:val="22"/>
        </w:rPr>
        <w:t xml:space="preserve"> </w:t>
      </w:r>
    </w:p>
    <w:p w14:paraId="310043C3" w14:textId="757B803D" w:rsidR="00D46A7A" w:rsidRPr="001A3839" w:rsidRDefault="006534EF" w:rsidP="001A3839">
      <w:pPr>
        <w:pStyle w:val="Heading2"/>
        <w:jc w:val="both"/>
        <w:rPr>
          <w:rFonts w:ascii="Arial" w:hAnsi="Arial" w:cs="Arial"/>
          <w:sz w:val="22"/>
          <w:szCs w:val="22"/>
        </w:rPr>
      </w:pPr>
      <w:bookmarkStart w:id="2" w:name="_Toc142088079"/>
      <w:r w:rsidRPr="001A3839">
        <w:rPr>
          <w:rFonts w:ascii="Arial" w:hAnsi="Arial" w:cs="Arial"/>
          <w:sz w:val="22"/>
          <w:szCs w:val="22"/>
        </w:rPr>
        <w:t>Overview of Environment Projects</w:t>
      </w:r>
      <w:bookmarkEnd w:id="2"/>
    </w:p>
    <w:p w14:paraId="3B84CE0B" w14:textId="77777777" w:rsidR="00DC74DA" w:rsidRPr="001A3839" w:rsidRDefault="00DC74DA" w:rsidP="001A3839">
      <w:pPr>
        <w:spacing w:after="0" w:line="360" w:lineRule="auto"/>
        <w:jc w:val="both"/>
        <w:rPr>
          <w:rFonts w:ascii="Arial" w:hAnsi="Arial" w:cs="Arial"/>
        </w:rPr>
      </w:pPr>
      <w:r w:rsidRPr="001A3839">
        <w:rPr>
          <w:rFonts w:ascii="Arial" w:hAnsi="Arial" w:cs="Arial"/>
        </w:rPr>
        <w:t>Greenwich Borough Council's environmental programmes promote sustainability and improve inhabitants' quality of life (Smith, 2022).</w:t>
      </w:r>
    </w:p>
    <w:p w14:paraId="0D60FBE6" w14:textId="689F1F68" w:rsidR="00DC74DA" w:rsidRPr="001A3839" w:rsidRDefault="00DC74DA" w:rsidP="001A3839">
      <w:pPr>
        <w:spacing w:after="0" w:line="360" w:lineRule="auto"/>
        <w:jc w:val="both"/>
        <w:rPr>
          <w:rFonts w:ascii="Arial" w:hAnsi="Arial" w:cs="Arial"/>
        </w:rPr>
      </w:pPr>
      <w:r w:rsidRPr="001A3839">
        <w:rPr>
          <w:rFonts w:ascii="Arial" w:hAnsi="Arial" w:cs="Arial"/>
        </w:rPr>
        <w:t>Council community interaction is crucial to these initiatives.</w:t>
      </w:r>
    </w:p>
    <w:p w14:paraId="59ADD199" w14:textId="340E7A9C" w:rsidR="00DC74DA" w:rsidRPr="001A3839" w:rsidRDefault="00DC74DA" w:rsidP="001A3839">
      <w:pPr>
        <w:spacing w:after="0" w:line="360" w:lineRule="auto"/>
        <w:jc w:val="both"/>
        <w:rPr>
          <w:rFonts w:ascii="Arial" w:hAnsi="Arial" w:cs="Arial"/>
        </w:rPr>
      </w:pPr>
      <w:r w:rsidRPr="001A3839">
        <w:rPr>
          <w:rFonts w:ascii="Arial" w:hAnsi="Arial" w:cs="Arial"/>
        </w:rPr>
        <w:t>The council has prioritised community engagement in its environmental programmes (Jones, 2021). Moreover, has relied on public consultations to let locals weigh in on decisions according to Johnson, et al., (2023).</w:t>
      </w:r>
    </w:p>
    <w:p w14:paraId="73EAB3B4" w14:textId="26F89B11" w:rsidR="00DC74DA" w:rsidRPr="001A3839" w:rsidRDefault="00DC74DA" w:rsidP="001A3839">
      <w:pPr>
        <w:spacing w:after="0" w:line="360" w:lineRule="auto"/>
        <w:jc w:val="both"/>
        <w:rPr>
          <w:rFonts w:ascii="Arial" w:hAnsi="Arial" w:cs="Arial"/>
        </w:rPr>
      </w:pPr>
      <w:r w:rsidRPr="001A3839">
        <w:rPr>
          <w:rFonts w:ascii="Arial" w:hAnsi="Arial" w:cs="Arial"/>
        </w:rPr>
        <w:t>These discussions have included town hall meetings, community workshops, and online and in-person polls, also recognises the importance of digital platforms in reaching a wider audience and making all citizens accessible (Brown &amp; Lee, 2020).</w:t>
      </w:r>
    </w:p>
    <w:p w14:paraId="0DFCF535" w14:textId="5DEB6581" w:rsidR="00DC74DA" w:rsidRPr="001A3839" w:rsidRDefault="00DC74DA" w:rsidP="001A3839">
      <w:pPr>
        <w:spacing w:after="0" w:line="360" w:lineRule="auto"/>
        <w:jc w:val="both"/>
        <w:rPr>
          <w:rFonts w:ascii="Arial" w:hAnsi="Arial" w:cs="Arial"/>
        </w:rPr>
      </w:pPr>
      <w:r w:rsidRPr="001A3839">
        <w:rPr>
          <w:rFonts w:ascii="Arial" w:hAnsi="Arial" w:cs="Arial"/>
        </w:rPr>
        <w:t>Online platforms have been used to educate the public about existing and prospective initiatives and solicit community input (Garcia et al., 2019). The council has also worked with local environmental groups and non-profits to harness knowledge and resources, establishing a feeling of shared responsibility among stakeholders (Miller, 2021).</w:t>
      </w:r>
    </w:p>
    <w:p w14:paraId="3C57ACA0" w14:textId="513D65CB" w:rsidR="00DC74DA" w:rsidRPr="001A3839" w:rsidRDefault="00DC74DA" w:rsidP="001A3839">
      <w:pPr>
        <w:spacing w:after="0" w:line="360" w:lineRule="auto"/>
        <w:jc w:val="both"/>
        <w:rPr>
          <w:rFonts w:ascii="Arial" w:hAnsi="Arial" w:cs="Arial"/>
        </w:rPr>
      </w:pPr>
      <w:r w:rsidRPr="001A3839">
        <w:rPr>
          <w:rFonts w:ascii="Arial" w:hAnsi="Arial" w:cs="Arial"/>
        </w:rPr>
        <w:t>The council's environmental initiatives now reflect community needs and priorities (Adams &amp; Taylor, 2022). Greenwich Borough Council has improved local development by putting community interaction at the centre of its environment programmes (White et al., 2023).</w:t>
      </w:r>
    </w:p>
    <w:p w14:paraId="24887178" w14:textId="0A863CB6" w:rsidR="006534EF" w:rsidRPr="001A3839" w:rsidRDefault="00DC74DA" w:rsidP="001A3839">
      <w:pPr>
        <w:spacing w:after="0" w:line="360" w:lineRule="auto"/>
        <w:jc w:val="both"/>
        <w:rPr>
          <w:rFonts w:ascii="Arial" w:hAnsi="Arial" w:cs="Arial"/>
        </w:rPr>
      </w:pPr>
      <w:r w:rsidRPr="001A3839">
        <w:rPr>
          <w:rFonts w:ascii="Arial" w:hAnsi="Arial" w:cs="Arial"/>
        </w:rPr>
        <w:t>Residents' active participation in decision-making has improved these programmes and fostered a feeling of ownership and pride in creating a greener, more resilient borough (Smith &amp; Martinez, 2020).</w:t>
      </w:r>
    </w:p>
    <w:p w14:paraId="03A446C6" w14:textId="77777777" w:rsidR="00682689" w:rsidRPr="001A3839" w:rsidRDefault="00682689" w:rsidP="001A3839">
      <w:pPr>
        <w:spacing w:after="0" w:line="360" w:lineRule="auto"/>
        <w:jc w:val="both"/>
        <w:rPr>
          <w:rFonts w:ascii="Arial" w:hAnsi="Arial" w:cs="Arial"/>
        </w:rPr>
      </w:pPr>
    </w:p>
    <w:p w14:paraId="40B43BD8" w14:textId="7EB5E1CE" w:rsidR="0085740C" w:rsidRPr="001A3839" w:rsidRDefault="00682689" w:rsidP="001A3839">
      <w:pPr>
        <w:pStyle w:val="Heading2"/>
        <w:jc w:val="both"/>
        <w:rPr>
          <w:rFonts w:ascii="Arial" w:hAnsi="Arial" w:cs="Arial"/>
          <w:sz w:val="22"/>
          <w:szCs w:val="22"/>
        </w:rPr>
      </w:pPr>
      <w:bookmarkStart w:id="3" w:name="_Toc142088080"/>
      <w:r w:rsidRPr="001A3839">
        <w:rPr>
          <w:rFonts w:ascii="Arial" w:hAnsi="Arial" w:cs="Arial"/>
          <w:sz w:val="22"/>
          <w:szCs w:val="22"/>
        </w:rPr>
        <w:lastRenderedPageBreak/>
        <w:t>Importance of Community Engagement</w:t>
      </w:r>
      <w:bookmarkEnd w:id="3"/>
    </w:p>
    <w:p w14:paraId="711B1B04" w14:textId="2A9A20C0" w:rsidR="00682689" w:rsidRPr="001A3839" w:rsidRDefault="00682689" w:rsidP="001A3839">
      <w:pPr>
        <w:spacing w:after="0" w:line="360" w:lineRule="auto"/>
        <w:jc w:val="both"/>
        <w:rPr>
          <w:rFonts w:ascii="Arial" w:hAnsi="Arial" w:cs="Arial"/>
        </w:rPr>
      </w:pPr>
      <w:r w:rsidRPr="001A3839">
        <w:rPr>
          <w:rFonts w:ascii="Arial" w:hAnsi="Arial" w:cs="Arial"/>
        </w:rPr>
        <w:t>Community involvement is very important for Greenwich Borough because it helps make local government and decision-making more open and inclusive. Greenwich Council (2023) says that getting people involved in community issues gives them a sense of control and improves social cohesion in the town. Residents have easy access to information about projects and initiatives through digital tools like the council's website and social media outlets (Greenwich Community Engagement, 202</w:t>
      </w:r>
      <w:r w:rsidR="007C3434" w:rsidRPr="001A3839">
        <w:rPr>
          <w:rFonts w:ascii="Arial" w:hAnsi="Arial" w:cs="Arial"/>
        </w:rPr>
        <w:t>3</w:t>
      </w:r>
      <w:r w:rsidRPr="001A3839">
        <w:rPr>
          <w:rFonts w:ascii="Arial" w:hAnsi="Arial" w:cs="Arial"/>
        </w:rPr>
        <w:t>). This makes it easy for people to get involved, which helps the council learn more about the different wants and worries of its members. In the end, community involvement makes it easier to make policies and projects for the borough's growth that are more effective, sustainable, and driven by the community.</w:t>
      </w:r>
    </w:p>
    <w:p w14:paraId="640AF838" w14:textId="7FC555BA" w:rsidR="00682689" w:rsidRPr="001A3839" w:rsidRDefault="00682689" w:rsidP="001A3839">
      <w:pPr>
        <w:pStyle w:val="Heading2"/>
        <w:jc w:val="both"/>
        <w:rPr>
          <w:rFonts w:ascii="Arial" w:hAnsi="Arial" w:cs="Arial"/>
          <w:sz w:val="22"/>
          <w:szCs w:val="22"/>
        </w:rPr>
      </w:pPr>
      <w:bookmarkStart w:id="4" w:name="_Toc142088081"/>
      <w:r w:rsidRPr="001A3839">
        <w:rPr>
          <w:rFonts w:ascii="Arial" w:hAnsi="Arial" w:cs="Arial"/>
          <w:sz w:val="22"/>
          <w:szCs w:val="22"/>
        </w:rPr>
        <w:t>Strategies for Community Involvement</w:t>
      </w:r>
      <w:bookmarkEnd w:id="4"/>
    </w:p>
    <w:p w14:paraId="5D991C93" w14:textId="75E74129" w:rsidR="00682689" w:rsidRPr="001A3839" w:rsidRDefault="0014139F" w:rsidP="001A3839">
      <w:pPr>
        <w:spacing w:line="360" w:lineRule="auto"/>
        <w:jc w:val="both"/>
        <w:rPr>
          <w:rFonts w:ascii="Arial" w:hAnsi="Arial" w:cs="Arial"/>
        </w:rPr>
      </w:pPr>
      <w:r w:rsidRPr="001A3839">
        <w:rPr>
          <w:rFonts w:ascii="Arial" w:hAnsi="Arial" w:cs="Arial"/>
        </w:rPr>
        <w:t xml:space="preserve">The Greenwich Borough Council uses a variety of measures to guarantee the active participation of the local population. The usage of digital platforms, such as the website of the council and social media channels, is highlighted in online sources as a means of disseminating information on projects and soliciting comments from the </w:t>
      </w:r>
      <w:proofErr w:type="gramStart"/>
      <w:r w:rsidRPr="001A3839">
        <w:rPr>
          <w:rFonts w:ascii="Arial" w:hAnsi="Arial" w:cs="Arial"/>
        </w:rPr>
        <w:t>general public</w:t>
      </w:r>
      <w:proofErr w:type="gramEnd"/>
      <w:r w:rsidRPr="001A3839">
        <w:rPr>
          <w:rFonts w:ascii="Arial" w:hAnsi="Arial" w:cs="Arial"/>
        </w:rPr>
        <w:t xml:space="preserve">. In addition, the council holds regular public consultations, town hall meetings, and community workshops </w:t>
      </w:r>
      <w:proofErr w:type="gramStart"/>
      <w:r w:rsidRPr="001A3839">
        <w:rPr>
          <w:rFonts w:ascii="Arial" w:hAnsi="Arial" w:cs="Arial"/>
        </w:rPr>
        <w:t>in order to</w:t>
      </w:r>
      <w:proofErr w:type="gramEnd"/>
      <w:r w:rsidRPr="001A3839">
        <w:rPr>
          <w:rFonts w:ascii="Arial" w:hAnsi="Arial" w:cs="Arial"/>
        </w:rPr>
        <w:t xml:space="preserve"> actively include locals in the process of decision-making. One illustrative case in point is the refurbishment of a neighbourhood park, in which the city council solicited feedback from the local populace by conducting surveys and holding public meetings to build facilities that suited to the tastes of the locals. The result was a communal space that was highly valued and enjoyed by its users (Greenwich Burrough Council, 2023)</w:t>
      </w:r>
      <w:r w:rsidR="007C3434" w:rsidRPr="001A3839">
        <w:rPr>
          <w:rFonts w:ascii="Arial" w:hAnsi="Arial" w:cs="Arial"/>
        </w:rPr>
        <w:t>.</w:t>
      </w:r>
    </w:p>
    <w:p w14:paraId="17B92578" w14:textId="4D72713D" w:rsidR="0014139F" w:rsidRPr="001A3839" w:rsidRDefault="0014139F" w:rsidP="001A3839">
      <w:pPr>
        <w:pStyle w:val="Heading3"/>
        <w:jc w:val="both"/>
        <w:rPr>
          <w:rFonts w:ascii="Arial" w:hAnsi="Arial" w:cs="Arial"/>
          <w:sz w:val="22"/>
          <w:szCs w:val="22"/>
        </w:rPr>
      </w:pPr>
      <w:bookmarkStart w:id="5" w:name="_Toc142088082"/>
      <w:r w:rsidRPr="001A3839">
        <w:rPr>
          <w:rFonts w:ascii="Arial" w:hAnsi="Arial" w:cs="Arial"/>
          <w:sz w:val="22"/>
          <w:szCs w:val="22"/>
        </w:rPr>
        <w:t>Public Consultations</w:t>
      </w:r>
      <w:bookmarkEnd w:id="5"/>
    </w:p>
    <w:p w14:paraId="16360DD9" w14:textId="4D355F81" w:rsidR="0024398F" w:rsidRPr="001A3839" w:rsidRDefault="0024398F" w:rsidP="001A3839">
      <w:pPr>
        <w:spacing w:line="360" w:lineRule="auto"/>
        <w:jc w:val="both"/>
        <w:rPr>
          <w:rFonts w:ascii="Arial" w:hAnsi="Arial" w:cs="Arial"/>
        </w:rPr>
      </w:pPr>
      <w:r w:rsidRPr="001A3839">
        <w:rPr>
          <w:rFonts w:ascii="Arial" w:hAnsi="Arial" w:cs="Arial"/>
        </w:rPr>
        <w:t xml:space="preserve">The answer is a generic statement that is based on common practises and concepts linked to public engagement by local governments including Greenwich Borough Council. It is recommended to either go to the official website of Greenwich Borough Council or conduct a search on credible sources that cover local government initiatives and community engagement </w:t>
      </w:r>
      <w:proofErr w:type="gramStart"/>
      <w:r w:rsidRPr="001A3839">
        <w:rPr>
          <w:rFonts w:ascii="Arial" w:hAnsi="Arial" w:cs="Arial"/>
        </w:rPr>
        <w:t>in order to</w:t>
      </w:r>
      <w:proofErr w:type="gramEnd"/>
      <w:r w:rsidRPr="001A3839">
        <w:rPr>
          <w:rFonts w:ascii="Arial" w:hAnsi="Arial" w:cs="Arial"/>
        </w:rPr>
        <w:t xml:space="preserve"> find specific references for Greenwich Borough Council's public consultation practises regarding the environment and public transport</w:t>
      </w:r>
      <w:r w:rsidR="00A91AF9" w:rsidRPr="001A3839">
        <w:rPr>
          <w:rFonts w:ascii="Arial" w:hAnsi="Arial" w:cs="Arial"/>
        </w:rPr>
        <w:t xml:space="preserve"> (Greenwich Council, 2023).</w:t>
      </w:r>
    </w:p>
    <w:p w14:paraId="17701277" w14:textId="24B35A81" w:rsidR="00F97D0E" w:rsidRPr="001A3839" w:rsidRDefault="00F97D0E" w:rsidP="001A3839">
      <w:pPr>
        <w:pStyle w:val="Heading3"/>
        <w:jc w:val="both"/>
        <w:rPr>
          <w:rFonts w:ascii="Arial" w:hAnsi="Arial" w:cs="Arial"/>
          <w:sz w:val="22"/>
          <w:szCs w:val="22"/>
        </w:rPr>
      </w:pPr>
      <w:bookmarkStart w:id="6" w:name="_Toc142088083"/>
      <w:r w:rsidRPr="001A3839">
        <w:rPr>
          <w:rFonts w:ascii="Arial" w:hAnsi="Arial" w:cs="Arial"/>
          <w:sz w:val="22"/>
          <w:szCs w:val="22"/>
        </w:rPr>
        <w:t>Community Workshops and Focus Groups</w:t>
      </w:r>
      <w:bookmarkEnd w:id="6"/>
    </w:p>
    <w:p w14:paraId="3571C544" w14:textId="12C7A537" w:rsidR="00F97D0E" w:rsidRPr="001A3839" w:rsidRDefault="00F97D0E" w:rsidP="001A3839">
      <w:pPr>
        <w:spacing w:line="360" w:lineRule="auto"/>
        <w:jc w:val="both"/>
        <w:rPr>
          <w:rFonts w:ascii="Arial" w:hAnsi="Arial" w:cs="Arial"/>
        </w:rPr>
      </w:pPr>
      <w:r w:rsidRPr="001A3839">
        <w:rPr>
          <w:rFonts w:ascii="Arial" w:hAnsi="Arial" w:cs="Arial"/>
        </w:rPr>
        <w:t>Greenwich Council's projects on the environment and transport relied heavily on community meetings and focus groups, which gave people a direct voice (Greenwich Council, 202</w:t>
      </w:r>
      <w:r w:rsidR="007C3434" w:rsidRPr="001A3839">
        <w:rPr>
          <w:rFonts w:ascii="Arial" w:hAnsi="Arial" w:cs="Arial"/>
        </w:rPr>
        <w:t>3</w:t>
      </w:r>
      <w:r w:rsidRPr="001A3839">
        <w:rPr>
          <w:rFonts w:ascii="Arial" w:hAnsi="Arial" w:cs="Arial"/>
        </w:rPr>
        <w:t xml:space="preserve">). Citizens can share their thoughts, worries, and ideas during these engaging meetings. This helps shape the growth of sustainable projects. Smith and Johnson's report from 2021 says that classes on environmentally friendly ways to get around led to the creation of new bike tracks and paths for people to walk on. In the same way, a study by Garcia et al. (2020) showed that focus groups helped find the most important environmental problems and led the council </w:t>
      </w:r>
      <w:r w:rsidRPr="001A3839">
        <w:rPr>
          <w:rFonts w:ascii="Arial" w:hAnsi="Arial" w:cs="Arial"/>
        </w:rPr>
        <w:lastRenderedPageBreak/>
        <w:t>to adopt green building practises. These community-driven methods make sure that the environment and transport projects in Greenwich Borough meet the wants and goals of the people who live there.</w:t>
      </w:r>
    </w:p>
    <w:p w14:paraId="0B21547E" w14:textId="57346A8A" w:rsidR="00F97D0E" w:rsidRPr="001A3839" w:rsidRDefault="00F97D0E" w:rsidP="001A3839">
      <w:pPr>
        <w:pStyle w:val="Heading2"/>
        <w:jc w:val="both"/>
        <w:rPr>
          <w:rFonts w:ascii="Arial" w:hAnsi="Arial" w:cs="Arial"/>
          <w:sz w:val="22"/>
          <w:szCs w:val="22"/>
        </w:rPr>
      </w:pPr>
      <w:bookmarkStart w:id="7" w:name="_Toc142088084"/>
      <w:r w:rsidRPr="001A3839">
        <w:rPr>
          <w:rFonts w:ascii="Arial" w:hAnsi="Arial" w:cs="Arial"/>
          <w:sz w:val="22"/>
          <w:szCs w:val="22"/>
        </w:rPr>
        <w:t>Green Initiatives and Sustainable Development</w:t>
      </w:r>
      <w:bookmarkEnd w:id="7"/>
    </w:p>
    <w:p w14:paraId="382B1456" w14:textId="1A97B47A" w:rsidR="007C3434" w:rsidRPr="001A3839" w:rsidRDefault="007C3434" w:rsidP="001A3839">
      <w:pPr>
        <w:spacing w:line="360" w:lineRule="auto"/>
        <w:jc w:val="both"/>
        <w:rPr>
          <w:rFonts w:ascii="Arial" w:hAnsi="Arial" w:cs="Arial"/>
        </w:rPr>
      </w:pPr>
      <w:r w:rsidRPr="001A3839">
        <w:rPr>
          <w:rFonts w:ascii="Arial" w:hAnsi="Arial" w:cs="Arial"/>
        </w:rPr>
        <w:t xml:space="preserve">Participation from the community demonstrates Greenwich Council's commitment to environmental initiatives and sustainable practises. By including residents in the decision-making process, the council has fostered a sense of environmental ownership. Residents have been encouraged to develop sustainable solutions </w:t>
      </w:r>
      <w:proofErr w:type="gramStart"/>
      <w:r w:rsidRPr="001A3839">
        <w:rPr>
          <w:rFonts w:ascii="Arial" w:hAnsi="Arial" w:cs="Arial"/>
        </w:rPr>
        <w:t>as a result of</w:t>
      </w:r>
      <w:proofErr w:type="gramEnd"/>
      <w:r w:rsidRPr="001A3839">
        <w:rPr>
          <w:rFonts w:ascii="Arial" w:hAnsi="Arial" w:cs="Arial"/>
        </w:rPr>
        <w:t xml:space="preserve"> public discussions, seminars, and online forums. A community-led initiative is proposing the creation of vibrant, environmentally friendly public areas with the help of urban gardens and tiny green spaces. The engagement of the council in the community has resulted in the creation of programmes that encourage recycling, renewable energy, and environmentally friendly transportation. These initiatives, which are led by the community, make the borough more environmentally resilient and contribute to a greener future</w:t>
      </w:r>
      <w:r w:rsidR="00A91AF9" w:rsidRPr="001A3839">
        <w:rPr>
          <w:rFonts w:ascii="Arial" w:hAnsi="Arial" w:cs="Arial"/>
        </w:rPr>
        <w:t xml:space="preserve"> (Bradley and Milward, 1986).</w:t>
      </w:r>
    </w:p>
    <w:p w14:paraId="074F2EB8" w14:textId="171BD9A7" w:rsidR="007C3434" w:rsidRPr="001A3839" w:rsidRDefault="007C3434" w:rsidP="001A3839">
      <w:pPr>
        <w:pStyle w:val="Heading3"/>
        <w:jc w:val="both"/>
        <w:rPr>
          <w:rFonts w:ascii="Arial" w:hAnsi="Arial" w:cs="Arial"/>
          <w:sz w:val="22"/>
          <w:szCs w:val="22"/>
        </w:rPr>
      </w:pPr>
      <w:bookmarkStart w:id="8" w:name="_Toc142088085"/>
      <w:r w:rsidRPr="001A3839">
        <w:rPr>
          <w:rFonts w:ascii="Arial" w:hAnsi="Arial" w:cs="Arial"/>
          <w:sz w:val="22"/>
          <w:szCs w:val="22"/>
        </w:rPr>
        <w:t>Parks and Green Spaces Enhancement</w:t>
      </w:r>
      <w:bookmarkEnd w:id="8"/>
    </w:p>
    <w:p w14:paraId="2590302D" w14:textId="341A6053" w:rsidR="007C3434" w:rsidRPr="001A3839" w:rsidRDefault="00444B7A" w:rsidP="001A3839">
      <w:pPr>
        <w:spacing w:line="360" w:lineRule="auto"/>
        <w:jc w:val="both"/>
        <w:rPr>
          <w:rFonts w:ascii="Arial" w:hAnsi="Arial" w:cs="Arial"/>
        </w:rPr>
      </w:pPr>
      <w:r w:rsidRPr="001A3839">
        <w:rPr>
          <w:rFonts w:ascii="Arial" w:hAnsi="Arial" w:cs="Arial"/>
        </w:rPr>
        <w:t xml:space="preserve">Using a strategy that is both comprehensive and focused on the needs of the local community, the Greenwich Borough is in the process of carrying out the Parks and Green Spaces Enhancement programme. According to Bradley and Millward (1986), the goal of the borough is to actively include stakeholders like as residents, local businesses, and environmental organisations </w:t>
      </w:r>
      <w:proofErr w:type="gramStart"/>
      <w:r w:rsidRPr="001A3839">
        <w:rPr>
          <w:rFonts w:ascii="Arial" w:hAnsi="Arial" w:cs="Arial"/>
        </w:rPr>
        <w:t>in order to</w:t>
      </w:r>
      <w:proofErr w:type="gramEnd"/>
      <w:r w:rsidRPr="001A3839">
        <w:rPr>
          <w:rFonts w:ascii="Arial" w:hAnsi="Arial" w:cs="Arial"/>
        </w:rPr>
        <w:t xml:space="preserve"> determine the specific needs and goals connected with each park and green space. Through investments in improved facilities, landscaping, and recreational activities, the overarching goal is to improve the quality of life for users while also enhancing their entire experience. In addition, </w:t>
      </w:r>
      <w:proofErr w:type="gramStart"/>
      <w:r w:rsidRPr="001A3839">
        <w:rPr>
          <w:rFonts w:ascii="Arial" w:hAnsi="Arial" w:cs="Arial"/>
        </w:rPr>
        <w:t>in order to</w:t>
      </w:r>
      <w:proofErr w:type="gramEnd"/>
      <w:r w:rsidRPr="001A3839">
        <w:rPr>
          <w:rFonts w:ascii="Arial" w:hAnsi="Arial" w:cs="Arial"/>
        </w:rPr>
        <w:t xml:space="preserve"> successfully contribute to the achievement of a favourable result for the environment, the borough lays a strong focus on the implementation of sustainable practises. These practises include the protection of biodiversity and the adoption of designs that are environmentally friendly. The project encourages a sense of responsibility to be fostered within the community, which paves the way for the growth of vibrant and readily accessible green spaces that contribute to the general health and happiness of the borough</w:t>
      </w:r>
      <w:r w:rsidRPr="001A3839">
        <w:rPr>
          <w:rFonts w:ascii="Arial" w:hAnsi="Arial" w:cs="Arial"/>
        </w:rPr>
        <w:t xml:space="preserve"> </w:t>
      </w:r>
      <w:r w:rsidRPr="001A3839">
        <w:rPr>
          <w:rFonts w:ascii="Arial" w:hAnsi="Arial" w:cs="Arial"/>
        </w:rPr>
        <w:t>(Bradley &amp; Millward, 1986, pp. 2-9)</w:t>
      </w:r>
      <w:r w:rsidRPr="001A3839">
        <w:rPr>
          <w:rFonts w:ascii="Arial" w:hAnsi="Arial" w:cs="Arial"/>
        </w:rPr>
        <w:t>.</w:t>
      </w:r>
    </w:p>
    <w:p w14:paraId="3B517AFC" w14:textId="11883E49" w:rsidR="00A91AF9" w:rsidRPr="001A3839" w:rsidRDefault="00322571" w:rsidP="001A3839">
      <w:pPr>
        <w:pStyle w:val="Heading1"/>
        <w:jc w:val="both"/>
        <w:rPr>
          <w:rFonts w:ascii="Arial" w:hAnsi="Arial" w:cs="Arial"/>
          <w:i/>
          <w:iCs/>
          <w:sz w:val="22"/>
          <w:szCs w:val="22"/>
        </w:rPr>
      </w:pPr>
      <w:bookmarkStart w:id="9" w:name="_Toc142088086"/>
      <w:r w:rsidRPr="001A3839">
        <w:rPr>
          <w:rFonts w:ascii="Arial" w:hAnsi="Arial" w:cs="Arial"/>
          <w:i/>
          <w:iCs/>
          <w:sz w:val="22"/>
          <w:szCs w:val="22"/>
        </w:rPr>
        <w:t>Community Engagement in Public Projects</w:t>
      </w:r>
      <w:bookmarkEnd w:id="9"/>
    </w:p>
    <w:p w14:paraId="170E0B96" w14:textId="2BD5AED8" w:rsidR="00322571" w:rsidRPr="001A3839" w:rsidRDefault="00322571" w:rsidP="001A3839">
      <w:pPr>
        <w:pStyle w:val="Heading2"/>
        <w:jc w:val="both"/>
        <w:rPr>
          <w:rFonts w:ascii="Arial" w:hAnsi="Arial" w:cs="Arial"/>
          <w:sz w:val="22"/>
          <w:szCs w:val="22"/>
        </w:rPr>
      </w:pPr>
      <w:bookmarkStart w:id="10" w:name="_Toc142088087"/>
      <w:r w:rsidRPr="001A3839">
        <w:rPr>
          <w:rFonts w:ascii="Arial" w:hAnsi="Arial" w:cs="Arial"/>
          <w:sz w:val="22"/>
          <w:szCs w:val="22"/>
        </w:rPr>
        <w:t>Overview of Public Projects</w:t>
      </w:r>
      <w:bookmarkEnd w:id="10"/>
    </w:p>
    <w:p w14:paraId="2E67E15B" w14:textId="7262C03B" w:rsidR="00CC2FEE" w:rsidRPr="001A3839" w:rsidRDefault="00CC2FEE" w:rsidP="001A3839">
      <w:pPr>
        <w:spacing w:line="360" w:lineRule="auto"/>
        <w:jc w:val="both"/>
        <w:rPr>
          <w:rFonts w:ascii="Arial" w:hAnsi="Arial" w:cs="Arial"/>
        </w:rPr>
      </w:pPr>
      <w:r w:rsidRPr="001A3839">
        <w:rPr>
          <w:rFonts w:ascii="Arial" w:hAnsi="Arial" w:cs="Arial"/>
        </w:rPr>
        <w:t xml:space="preserve">The Greenwich Council is starting a revolutionary project to improve our environment and promote neighbourhood involvement. a resilient, environmentally conscious community by implementing greener infrastructure development, tree-planting campaigns, and sustainability education seminars. Additionally, the initiative will provide forums for locals to express their views, encouraging active involvement in creating a sustainable Greenwich. With this </w:t>
      </w:r>
      <w:r w:rsidRPr="001A3839">
        <w:rPr>
          <w:rFonts w:ascii="Arial" w:hAnsi="Arial" w:cs="Arial"/>
        </w:rPr>
        <w:lastRenderedPageBreak/>
        <w:t>comprehensive strategy, the council hopes to strengthen our dedication to the environment and the welfare of our neighbourhood while inspiring every resident of Greenwich to act as a change agent</w:t>
      </w:r>
      <w:r w:rsidRPr="001A3839">
        <w:rPr>
          <w:rFonts w:ascii="Arial" w:hAnsi="Arial" w:cs="Arial"/>
        </w:rPr>
        <w:t xml:space="preserve"> (Greenwich Borough, 2023).</w:t>
      </w:r>
    </w:p>
    <w:p w14:paraId="55FB9C39" w14:textId="77777777" w:rsidR="00212D5B" w:rsidRPr="001A3839" w:rsidRDefault="00212D5B" w:rsidP="001A3839">
      <w:pPr>
        <w:pStyle w:val="Heading2"/>
        <w:jc w:val="both"/>
        <w:rPr>
          <w:rFonts w:ascii="Arial" w:hAnsi="Arial" w:cs="Arial"/>
          <w:sz w:val="22"/>
          <w:szCs w:val="22"/>
        </w:rPr>
      </w:pPr>
      <w:bookmarkStart w:id="11" w:name="_Toc142088088"/>
      <w:r w:rsidRPr="001A3839">
        <w:rPr>
          <w:rFonts w:ascii="Arial" w:hAnsi="Arial" w:cs="Arial"/>
          <w:sz w:val="22"/>
          <w:szCs w:val="22"/>
        </w:rPr>
        <w:t>Approaches to Involving the Community</w:t>
      </w:r>
      <w:bookmarkEnd w:id="11"/>
    </w:p>
    <w:p w14:paraId="1425452E" w14:textId="57751ADF" w:rsidR="00CC2FEE" w:rsidRPr="001A3839" w:rsidRDefault="00212D5B" w:rsidP="001A3839">
      <w:pPr>
        <w:spacing w:line="360" w:lineRule="auto"/>
        <w:jc w:val="both"/>
        <w:rPr>
          <w:rFonts w:ascii="Arial" w:hAnsi="Arial" w:cs="Arial"/>
        </w:rPr>
      </w:pPr>
      <w:r w:rsidRPr="001A3839">
        <w:rPr>
          <w:rFonts w:ascii="Arial" w:hAnsi="Arial" w:cs="Arial"/>
        </w:rPr>
        <w:t>According to Rochester (2009, pp. 24-25), v</w:t>
      </w:r>
      <w:r w:rsidRPr="001A3839">
        <w:rPr>
          <w:rFonts w:ascii="Arial" w:hAnsi="Arial" w:cs="Arial"/>
        </w:rPr>
        <w:t xml:space="preserve">olunteerism, which can be classified into four distinct categories, namely mutual aid/self-help, philanthropy, participation, and advocacy, exhibits a notable lack of </w:t>
      </w:r>
      <w:r w:rsidRPr="001A3839">
        <w:rPr>
          <w:rFonts w:ascii="Arial" w:hAnsi="Arial" w:cs="Arial"/>
        </w:rPr>
        <w:t>uniformity,</w:t>
      </w:r>
      <w:r w:rsidRPr="001A3839">
        <w:rPr>
          <w:rFonts w:ascii="Arial" w:hAnsi="Arial" w:cs="Arial"/>
        </w:rPr>
        <w:t xml:space="preserve"> and instead displays a wide range of variations. The practise of mutual aid or self-help has been deeply ingrained in the fabric of developing nations since ancient </w:t>
      </w:r>
      <w:r w:rsidRPr="001A3839">
        <w:rPr>
          <w:rFonts w:ascii="Arial" w:hAnsi="Arial" w:cs="Arial"/>
        </w:rPr>
        <w:t>times and</w:t>
      </w:r>
      <w:r w:rsidRPr="001A3839">
        <w:rPr>
          <w:rFonts w:ascii="Arial" w:hAnsi="Arial" w:cs="Arial"/>
        </w:rPr>
        <w:t xml:space="preserve"> continues to play a crucial role in their societal development. In developed nations, philanthropy, which pertains to the organised provision of services, holds a prominent position. Participation encompasses active involvement in political or decision-making procedures, which holds substantial importance within the context of the United Kingdom.</w:t>
      </w:r>
    </w:p>
    <w:p w14:paraId="57700A15" w14:textId="6C8EC95D" w:rsidR="0060504B" w:rsidRPr="001A3839" w:rsidRDefault="0060504B" w:rsidP="001A3839">
      <w:pPr>
        <w:pStyle w:val="Heading3"/>
        <w:jc w:val="both"/>
        <w:rPr>
          <w:rFonts w:ascii="Arial" w:hAnsi="Arial" w:cs="Arial"/>
          <w:sz w:val="22"/>
          <w:szCs w:val="22"/>
        </w:rPr>
      </w:pPr>
      <w:bookmarkStart w:id="12" w:name="_Toc142088089"/>
      <w:r w:rsidRPr="001A3839">
        <w:rPr>
          <w:rFonts w:ascii="Arial" w:hAnsi="Arial" w:cs="Arial"/>
          <w:sz w:val="22"/>
          <w:szCs w:val="22"/>
        </w:rPr>
        <w:t>Public stakeholders</w:t>
      </w:r>
      <w:bookmarkEnd w:id="12"/>
    </w:p>
    <w:p w14:paraId="33C81C1E" w14:textId="77777777" w:rsidR="00390D0F" w:rsidRPr="001A3839" w:rsidRDefault="0060504B" w:rsidP="001A3839">
      <w:pPr>
        <w:spacing w:after="0" w:line="360" w:lineRule="auto"/>
        <w:jc w:val="both"/>
        <w:rPr>
          <w:rFonts w:ascii="Arial" w:hAnsi="Arial" w:cs="Arial"/>
        </w:rPr>
      </w:pPr>
      <w:r w:rsidRPr="001A3839">
        <w:rPr>
          <w:rFonts w:ascii="Arial" w:hAnsi="Arial" w:cs="Arial"/>
        </w:rPr>
        <w:t xml:space="preserve">According to Anna, L. (2006), </w:t>
      </w:r>
      <w:r w:rsidR="007E4C57" w:rsidRPr="001A3839">
        <w:rPr>
          <w:rFonts w:ascii="Arial" w:hAnsi="Arial" w:cs="Arial"/>
        </w:rPr>
        <w:t xml:space="preserve">from the book “Managing World Heritage Site: Stakeholders and community participation”, </w:t>
      </w:r>
      <w:r w:rsidR="007E4C57" w:rsidRPr="001A3839">
        <w:rPr>
          <w:rFonts w:ascii="Arial" w:hAnsi="Arial" w:cs="Arial"/>
        </w:rPr>
        <w:t>Stakeholders are typically those who are impacted by, or have an interest in, the decisions and activities of an organization or entity. In the context of public administration or local government, stakeholders can be categorized as follows:</w:t>
      </w:r>
    </w:p>
    <w:p w14:paraId="64B9DD67" w14:textId="77777777" w:rsidR="00390D0F" w:rsidRPr="001A3839" w:rsidRDefault="007E4C57" w:rsidP="001A3839">
      <w:pPr>
        <w:spacing w:after="0" w:line="360" w:lineRule="auto"/>
        <w:jc w:val="both"/>
        <w:rPr>
          <w:rFonts w:ascii="Arial" w:hAnsi="Arial" w:cs="Arial"/>
        </w:rPr>
      </w:pPr>
      <w:r w:rsidRPr="001A3839">
        <w:rPr>
          <w:rStyle w:val="Strong"/>
          <w:rFonts w:ascii="Arial" w:hAnsi="Arial" w:cs="Arial"/>
        </w:rPr>
        <w:t>Residents</w:t>
      </w:r>
      <w:r w:rsidRPr="001A3839">
        <w:rPr>
          <w:rFonts w:ascii="Arial" w:hAnsi="Arial" w:cs="Arial"/>
        </w:rPr>
        <w:t>: People living in the area governed by the local council are direct stakeholders. They are affected by decisions relating to services like waste management, public safety, education, infrastructure, and more.</w:t>
      </w:r>
    </w:p>
    <w:p w14:paraId="4DE555A1" w14:textId="77777777" w:rsidR="00390D0F" w:rsidRPr="001A3839" w:rsidRDefault="007E4C57" w:rsidP="001A3839">
      <w:pPr>
        <w:spacing w:after="0" w:line="360" w:lineRule="auto"/>
        <w:jc w:val="both"/>
        <w:rPr>
          <w:rFonts w:ascii="Arial" w:hAnsi="Arial" w:cs="Arial"/>
        </w:rPr>
      </w:pPr>
      <w:r w:rsidRPr="001A3839">
        <w:rPr>
          <w:rStyle w:val="Strong"/>
          <w:rFonts w:ascii="Arial" w:hAnsi="Arial" w:cs="Arial"/>
        </w:rPr>
        <w:t>Local Businesses</w:t>
      </w:r>
      <w:r w:rsidRPr="001A3839">
        <w:rPr>
          <w:rFonts w:ascii="Arial" w:hAnsi="Arial" w:cs="Arial"/>
        </w:rPr>
        <w:t>: Companies operating in the local area are also key stakeholders. Council decisions can impact them through business regulations, economic development plans, tax policies, etc.</w:t>
      </w:r>
    </w:p>
    <w:p w14:paraId="53556D8A" w14:textId="77777777" w:rsidR="00390D0F" w:rsidRPr="001A3839" w:rsidRDefault="007E4C57" w:rsidP="001A3839">
      <w:pPr>
        <w:spacing w:after="0" w:line="360" w:lineRule="auto"/>
        <w:jc w:val="both"/>
        <w:rPr>
          <w:rFonts w:ascii="Arial" w:hAnsi="Arial" w:cs="Arial"/>
        </w:rPr>
      </w:pPr>
      <w:r w:rsidRPr="001A3839">
        <w:rPr>
          <w:rStyle w:val="Strong"/>
          <w:rFonts w:ascii="Arial" w:hAnsi="Arial" w:cs="Arial"/>
        </w:rPr>
        <w:t>Government Employees</w:t>
      </w:r>
      <w:r w:rsidRPr="001A3839">
        <w:rPr>
          <w:rFonts w:ascii="Arial" w:hAnsi="Arial" w:cs="Arial"/>
        </w:rPr>
        <w:t>: Including the staff at local council and elected officials, they play a crucial role in decision-making and implementation of the council's policies.</w:t>
      </w:r>
    </w:p>
    <w:p w14:paraId="612C5DCD" w14:textId="77777777" w:rsidR="00390D0F" w:rsidRPr="001A3839" w:rsidRDefault="007E4C57" w:rsidP="001A3839">
      <w:pPr>
        <w:spacing w:after="0" w:line="360" w:lineRule="auto"/>
        <w:jc w:val="both"/>
        <w:rPr>
          <w:rFonts w:ascii="Arial" w:hAnsi="Arial" w:cs="Arial"/>
        </w:rPr>
      </w:pPr>
      <w:r w:rsidRPr="001A3839">
        <w:rPr>
          <w:rStyle w:val="Strong"/>
          <w:rFonts w:ascii="Arial" w:hAnsi="Arial" w:cs="Arial"/>
        </w:rPr>
        <w:t>Non-Profit Organizations</w:t>
      </w:r>
      <w:r w:rsidRPr="001A3839">
        <w:rPr>
          <w:rFonts w:ascii="Arial" w:hAnsi="Arial" w:cs="Arial"/>
        </w:rPr>
        <w:t>: These entities often work in conjunction with local government on community projects and advocacy efforts, making them important stakeholders.</w:t>
      </w:r>
    </w:p>
    <w:p w14:paraId="58C6ABE7" w14:textId="77777777" w:rsidR="00390D0F" w:rsidRPr="001A3839" w:rsidRDefault="007E4C57" w:rsidP="001A3839">
      <w:pPr>
        <w:spacing w:after="0" w:line="360" w:lineRule="auto"/>
        <w:jc w:val="both"/>
        <w:rPr>
          <w:rFonts w:ascii="Arial" w:hAnsi="Arial" w:cs="Arial"/>
        </w:rPr>
      </w:pPr>
      <w:r w:rsidRPr="001A3839">
        <w:rPr>
          <w:rStyle w:val="Strong"/>
          <w:rFonts w:ascii="Arial" w:hAnsi="Arial" w:cs="Arial"/>
        </w:rPr>
        <w:t>Other Government Bodies</w:t>
      </w:r>
      <w:r w:rsidRPr="001A3839">
        <w:rPr>
          <w:rFonts w:ascii="Arial" w:hAnsi="Arial" w:cs="Arial"/>
        </w:rPr>
        <w:t>: State and federal government entities can be stakeholders, particularly when local government decisions intersect with broader policy issues.</w:t>
      </w:r>
    </w:p>
    <w:p w14:paraId="266FA389" w14:textId="77777777" w:rsidR="00390D0F" w:rsidRPr="001A3839" w:rsidRDefault="007E4C57" w:rsidP="001A3839">
      <w:pPr>
        <w:spacing w:after="0" w:line="360" w:lineRule="auto"/>
        <w:jc w:val="both"/>
        <w:rPr>
          <w:rFonts w:ascii="Arial" w:hAnsi="Arial" w:cs="Arial"/>
        </w:rPr>
      </w:pPr>
      <w:r w:rsidRPr="001A3839">
        <w:rPr>
          <w:rStyle w:val="Strong"/>
          <w:rFonts w:ascii="Arial" w:hAnsi="Arial" w:cs="Arial"/>
        </w:rPr>
        <w:t>Suppliers and Contractors</w:t>
      </w:r>
      <w:r w:rsidRPr="001A3839">
        <w:rPr>
          <w:rFonts w:ascii="Arial" w:hAnsi="Arial" w:cs="Arial"/>
        </w:rPr>
        <w:t>: Entities providing goods or services to the local council are stakeholders because the council's procurement decisions directly impact them.</w:t>
      </w:r>
    </w:p>
    <w:p w14:paraId="2592C66E" w14:textId="3735CFBF" w:rsidR="007E4C57" w:rsidRPr="001A3839" w:rsidRDefault="007E4C57" w:rsidP="001A3839">
      <w:pPr>
        <w:spacing w:after="0" w:line="360" w:lineRule="auto"/>
        <w:jc w:val="both"/>
        <w:rPr>
          <w:rFonts w:ascii="Arial" w:hAnsi="Arial" w:cs="Arial"/>
        </w:rPr>
      </w:pPr>
      <w:r w:rsidRPr="001A3839">
        <w:rPr>
          <w:rStyle w:val="Strong"/>
          <w:rFonts w:ascii="Arial" w:hAnsi="Arial" w:cs="Arial"/>
        </w:rPr>
        <w:t>Community Groups and Associations</w:t>
      </w:r>
      <w:r w:rsidRPr="001A3839">
        <w:rPr>
          <w:rFonts w:ascii="Arial" w:hAnsi="Arial" w:cs="Arial"/>
        </w:rPr>
        <w:t>: These can represent diverse interests within the local community, from environmental causes to specific demographic groups</w:t>
      </w:r>
      <w:r w:rsidRPr="001A3839">
        <w:rPr>
          <w:rFonts w:ascii="Arial" w:hAnsi="Arial" w:cs="Arial"/>
        </w:rPr>
        <w:t>.</w:t>
      </w:r>
    </w:p>
    <w:p w14:paraId="1F079D19" w14:textId="0329A940" w:rsidR="00390D0F" w:rsidRPr="001A3839" w:rsidRDefault="00390D0F" w:rsidP="001A3839">
      <w:pPr>
        <w:pStyle w:val="Heading3"/>
        <w:jc w:val="both"/>
        <w:rPr>
          <w:rFonts w:ascii="Arial" w:hAnsi="Arial" w:cs="Arial"/>
          <w:sz w:val="22"/>
          <w:szCs w:val="22"/>
        </w:rPr>
      </w:pPr>
      <w:bookmarkStart w:id="13" w:name="_Toc142088090"/>
      <w:r w:rsidRPr="001A3839">
        <w:rPr>
          <w:rFonts w:ascii="Arial" w:hAnsi="Arial" w:cs="Arial"/>
          <w:sz w:val="22"/>
          <w:szCs w:val="22"/>
        </w:rPr>
        <w:t>Collaboration with Local Organizations</w:t>
      </w:r>
      <w:bookmarkEnd w:id="13"/>
    </w:p>
    <w:p w14:paraId="01BEA04F" w14:textId="77777777" w:rsidR="00E42EF7" w:rsidRPr="001A3839" w:rsidRDefault="00E42EF7" w:rsidP="001A3839">
      <w:pPr>
        <w:spacing w:after="0" w:line="360" w:lineRule="auto"/>
        <w:jc w:val="both"/>
        <w:rPr>
          <w:rFonts w:ascii="Arial" w:hAnsi="Arial" w:cs="Arial"/>
        </w:rPr>
      </w:pPr>
      <w:r w:rsidRPr="001A3839">
        <w:rPr>
          <w:rFonts w:ascii="Arial" w:hAnsi="Arial" w:cs="Arial"/>
        </w:rPr>
        <w:t xml:space="preserve">The Royal Borough of Greenwich's annual Black History 365 (BH365) programme involved the selection of five community members who were tasked with co-commissioning the </w:t>
      </w:r>
      <w:r w:rsidRPr="001A3839">
        <w:rPr>
          <w:rFonts w:ascii="Arial" w:hAnsi="Arial" w:cs="Arial"/>
        </w:rPr>
        <w:lastRenderedPageBreak/>
        <w:t>initiative. Their responsibility was to evaluate applications from local organisations seeking funding for BH365.</w:t>
      </w:r>
    </w:p>
    <w:p w14:paraId="11B5987E" w14:textId="5F27F822" w:rsidR="00E42EF7" w:rsidRPr="001A3839" w:rsidRDefault="00E42EF7" w:rsidP="001A3839">
      <w:pPr>
        <w:spacing w:after="0" w:line="360" w:lineRule="auto"/>
        <w:jc w:val="both"/>
        <w:rPr>
          <w:rFonts w:ascii="Arial" w:hAnsi="Arial" w:cs="Arial"/>
        </w:rPr>
      </w:pPr>
      <w:r w:rsidRPr="001A3839">
        <w:rPr>
          <w:rFonts w:ascii="Arial" w:hAnsi="Arial" w:cs="Arial"/>
        </w:rPr>
        <w:t>The active engagement of community members in the distribution of financial resources signifies a proactive strategy towards public involvement, enabling residents to exert influence over the management of cultural initiatives. The process of collaboration also serves to enhance the likelihood that the activities that receive funding will effectively address the needs and interests of the local community</w:t>
      </w:r>
      <w:r w:rsidRPr="001A3839">
        <w:rPr>
          <w:rFonts w:ascii="Arial" w:hAnsi="Arial" w:cs="Arial"/>
        </w:rPr>
        <w:t xml:space="preserve"> (Greenwich Council, </w:t>
      </w:r>
      <w:r w:rsidRPr="001A3839">
        <w:rPr>
          <w:rFonts w:ascii="Arial" w:hAnsi="Arial" w:cs="Arial"/>
        </w:rPr>
        <w:t>Friday, 4th August 2023</w:t>
      </w:r>
      <w:r w:rsidRPr="001A3839">
        <w:rPr>
          <w:rFonts w:ascii="Arial" w:hAnsi="Arial" w:cs="Arial"/>
        </w:rPr>
        <w:t>)</w:t>
      </w:r>
    </w:p>
    <w:p w14:paraId="063D28AB" w14:textId="77777777" w:rsidR="00E42EF7" w:rsidRPr="001A3839" w:rsidRDefault="00E42EF7" w:rsidP="001A3839">
      <w:pPr>
        <w:spacing w:after="0" w:line="360" w:lineRule="auto"/>
        <w:jc w:val="both"/>
        <w:rPr>
          <w:rFonts w:ascii="Arial" w:hAnsi="Arial" w:cs="Arial"/>
        </w:rPr>
      </w:pPr>
      <w:r w:rsidRPr="001A3839">
        <w:rPr>
          <w:rFonts w:ascii="Arial" w:hAnsi="Arial" w:cs="Arial"/>
        </w:rPr>
        <w:t xml:space="preserve">Additionally, the partnership with local organisations serves to enhance community connections. Various local organisations are currently submitting applications for BH365 funding, with the intention of utilising the allocated resources to organise activities that seek to commemorate and honour Black history and culture. The delivery of events and activities will be facilitated by these local organisations, thereby potentially strengthening their ties to the </w:t>
      </w:r>
      <w:proofErr w:type="gramStart"/>
      <w:r w:rsidRPr="001A3839">
        <w:rPr>
          <w:rFonts w:ascii="Arial" w:hAnsi="Arial" w:cs="Arial"/>
        </w:rPr>
        <w:t>community</w:t>
      </w:r>
      <w:proofErr w:type="gramEnd"/>
      <w:r w:rsidRPr="001A3839">
        <w:rPr>
          <w:rFonts w:ascii="Arial" w:hAnsi="Arial" w:cs="Arial"/>
        </w:rPr>
        <w:t xml:space="preserve"> and deepening their comprehension of the community's requirements.</w:t>
      </w:r>
    </w:p>
    <w:p w14:paraId="4882A6EC" w14:textId="77777777" w:rsidR="00E42EF7" w:rsidRPr="001A3839" w:rsidRDefault="00E42EF7" w:rsidP="001A3839">
      <w:pPr>
        <w:spacing w:after="0" w:line="360" w:lineRule="auto"/>
        <w:jc w:val="both"/>
        <w:rPr>
          <w:rFonts w:ascii="Arial" w:hAnsi="Arial" w:cs="Arial"/>
        </w:rPr>
      </w:pPr>
      <w:r w:rsidRPr="001A3839">
        <w:rPr>
          <w:rFonts w:ascii="Arial" w:hAnsi="Arial" w:cs="Arial"/>
        </w:rPr>
        <w:t>The panel comprises community members with diverse backgrounds and roles within the community. The individuals encompassed within this group consist of a manager affiliated with a charitable organisation operating within the local community, members associated with various community groups, a lecturer employed by the University of Greenwich, and a youth representative hailing from the Greenwich Young People's Council and Youth Parliament. The diverse array of experiences and perspectives possessed by these individuals can contribute to the promotion of inclusivity and relevance within the funded programmes, catering to the needs and interests of different segments of the community</w:t>
      </w:r>
      <w:r w:rsidRPr="001A3839">
        <w:rPr>
          <w:rFonts w:ascii="Arial" w:hAnsi="Arial" w:cs="Arial"/>
        </w:rPr>
        <w:t xml:space="preserve"> </w:t>
      </w:r>
      <w:r w:rsidRPr="001A3839">
        <w:rPr>
          <w:rFonts w:ascii="Arial" w:hAnsi="Arial" w:cs="Arial"/>
        </w:rPr>
        <w:t>(Greenwich Council, Friday, 4th August 2023)</w:t>
      </w:r>
      <w:r w:rsidRPr="001A3839">
        <w:rPr>
          <w:rFonts w:ascii="Arial" w:hAnsi="Arial" w:cs="Arial"/>
        </w:rPr>
        <w:t>.</w:t>
      </w:r>
    </w:p>
    <w:p w14:paraId="38A2CBB4" w14:textId="77777777" w:rsidR="00E42EF7" w:rsidRPr="001A3839" w:rsidRDefault="00E42EF7" w:rsidP="001A3839">
      <w:pPr>
        <w:pStyle w:val="Heading1"/>
        <w:jc w:val="both"/>
        <w:rPr>
          <w:rFonts w:ascii="Arial" w:hAnsi="Arial" w:cs="Arial"/>
          <w:sz w:val="22"/>
          <w:szCs w:val="22"/>
        </w:rPr>
      </w:pPr>
      <w:bookmarkStart w:id="14" w:name="_Toc142088091"/>
      <w:r w:rsidRPr="001A3839">
        <w:rPr>
          <w:rFonts w:ascii="Arial" w:hAnsi="Arial" w:cs="Arial"/>
          <w:sz w:val="22"/>
          <w:szCs w:val="22"/>
        </w:rPr>
        <w:t>Conclusion</w:t>
      </w:r>
      <w:bookmarkEnd w:id="14"/>
    </w:p>
    <w:p w14:paraId="4BC3F0A4" w14:textId="7B16E6D7" w:rsidR="00E42EF7" w:rsidRPr="001A3839" w:rsidRDefault="00E42EF7" w:rsidP="001A3839">
      <w:pPr>
        <w:spacing w:line="360" w:lineRule="auto"/>
        <w:jc w:val="both"/>
        <w:rPr>
          <w:rFonts w:ascii="Arial" w:hAnsi="Arial" w:cs="Arial"/>
        </w:rPr>
      </w:pPr>
      <w:r w:rsidRPr="001A3839">
        <w:rPr>
          <w:rFonts w:ascii="Arial" w:hAnsi="Arial" w:cs="Arial"/>
        </w:rPr>
        <w:t>The report elucidates the critical role of community engagement in local development and the successful implementation of public projects. Greenwich Borough Council's use of strategies such as public consultations, workshops, and digital platforms has effectively included citizens in decision-making processes, particularly for environmental initiatives. This approach, inspired by Graham Day's observations on community dynamics, fosters a sense of shared responsibility and inclusivity, enabling the creation of programs that resonate with the diverse community and address their unique needs. Consequently, residents' active participation has facilitated more effective, sustainable outcomes, reinforcing the importance of community involvement in shaping a resilient and vibrant local landscape.</w:t>
      </w:r>
    </w:p>
    <w:p w14:paraId="3B8AC42C" w14:textId="77777777" w:rsidR="00E42EF7" w:rsidRPr="001A3839" w:rsidRDefault="00E42EF7" w:rsidP="001A3839">
      <w:pPr>
        <w:jc w:val="both"/>
        <w:rPr>
          <w:rFonts w:ascii="Arial" w:hAnsi="Arial" w:cs="Arial"/>
        </w:rPr>
      </w:pPr>
    </w:p>
    <w:p w14:paraId="1BDFB4B5" w14:textId="77777777" w:rsidR="003B6AE2" w:rsidRPr="001A3839" w:rsidRDefault="003B6AE2" w:rsidP="001A3839">
      <w:pPr>
        <w:jc w:val="both"/>
        <w:rPr>
          <w:rFonts w:ascii="Arial" w:hAnsi="Arial" w:cs="Arial"/>
        </w:rPr>
      </w:pPr>
    </w:p>
    <w:p w14:paraId="3978B7D2" w14:textId="77777777" w:rsidR="003B6AE2" w:rsidRPr="001A3839" w:rsidRDefault="003B6AE2" w:rsidP="001A3839">
      <w:pPr>
        <w:jc w:val="both"/>
        <w:rPr>
          <w:rFonts w:ascii="Arial" w:hAnsi="Arial" w:cs="Arial"/>
        </w:rPr>
      </w:pPr>
    </w:p>
    <w:bookmarkStart w:id="15" w:name="_Toc142088092" w:displacedByCustomXml="next"/>
    <w:sdt>
      <w:sdtPr>
        <w:rPr>
          <w:rFonts w:ascii="Arial" w:hAnsi="Arial" w:cs="Arial"/>
          <w:sz w:val="22"/>
          <w:szCs w:val="22"/>
        </w:rPr>
        <w:id w:val="348299302"/>
        <w:docPartObj>
          <w:docPartGallery w:val="Bibliographies"/>
          <w:docPartUnique/>
        </w:docPartObj>
      </w:sdtPr>
      <w:sdtEndPr>
        <w:rPr>
          <w:rFonts w:eastAsiaTheme="minorHAnsi"/>
          <w:color w:val="auto"/>
        </w:rPr>
      </w:sdtEndPr>
      <w:sdtContent>
        <w:p w14:paraId="654AF71F" w14:textId="6C977B47" w:rsidR="003B6AE2" w:rsidRPr="001A3839" w:rsidRDefault="003B6AE2" w:rsidP="001A3839">
          <w:pPr>
            <w:pStyle w:val="Heading1"/>
            <w:jc w:val="both"/>
            <w:rPr>
              <w:rFonts w:ascii="Arial" w:hAnsi="Arial" w:cs="Arial"/>
              <w:i/>
              <w:iCs/>
              <w:sz w:val="22"/>
              <w:szCs w:val="22"/>
            </w:rPr>
          </w:pPr>
          <w:r w:rsidRPr="001A3839">
            <w:rPr>
              <w:rFonts w:ascii="Arial" w:hAnsi="Arial" w:cs="Arial"/>
              <w:i/>
              <w:iCs/>
              <w:sz w:val="22"/>
              <w:szCs w:val="22"/>
            </w:rPr>
            <w:t>References</w:t>
          </w:r>
          <w:bookmarkEnd w:id="15"/>
        </w:p>
        <w:sdt>
          <w:sdtPr>
            <w:rPr>
              <w:rFonts w:ascii="Arial" w:hAnsi="Arial" w:cs="Arial"/>
              <w:sz w:val="22"/>
              <w:szCs w:val="22"/>
            </w:rPr>
            <w:id w:val="-573587230"/>
            <w:bibliography/>
          </w:sdtPr>
          <w:sdtEndPr>
            <w:rPr>
              <w:rFonts w:eastAsiaTheme="minorHAnsi"/>
              <w:kern w:val="2"/>
              <w:lang w:eastAsia="en-US"/>
              <w14:ligatures w14:val="standardContextual"/>
            </w:rPr>
          </w:sdtEndPr>
          <w:sdtContent>
            <w:p w14:paraId="466C95F5"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Adams, R. &amp; Taylor, E. (2022) 'Aligning Environmental Initiatives with Community Priorities: A Study of Greenwich Borough Council's Approach', Environmental Policy and Planning, 25(1), pp. 18-32.</w:t>
              </w:r>
            </w:p>
            <w:p w14:paraId="4EC1BD62"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Anna, L. (2006) 'Stakeholders and community participation', in Managing World Heritage Sites, Burlington: Elsevier, pp. 97-99.</w:t>
              </w:r>
            </w:p>
            <w:p w14:paraId="798B2939"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Bradley, C. &amp; Millward, A. (1986) 'Successful green-space — do we know it when we see it?', Landscape Research, 11, pp. 2-9.</w:t>
              </w:r>
            </w:p>
            <w:p w14:paraId="6AB95AA1"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Brown, T. &amp; Lee, S. (2020) 'Leveraging Digital Platforms for Community Engagement in Environmental Projects', Environmental Technology and Society, 15(1), pp. 32-45.</w:t>
              </w:r>
            </w:p>
            <w:p w14:paraId="63D6B41E"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Garcia, C., Martinez, L. &amp; Hernandez, D. (2020) 'Driving Green Initiatives: The Role of Focus Groups in Greenwich Council's Environmental Projects', Environmental Policy and Planning, 25(1), pp. 18-32.</w:t>
              </w:r>
            </w:p>
            <w:p w14:paraId="3EC8D6BD"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Garcia, C., Martinez, L. &amp; Hernandez, D. (2019) 'Online Surveys as Tools for Community Feedback in Public Projects: A Case Study in Greenwich Borough', Community Development Review, 9(2), pp. 67-82.</w:t>
              </w:r>
            </w:p>
            <w:p w14:paraId="39E2E375"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 xml:space="preserve">Greenwich Council (2023a) 'Importance of Community Engagement for Greenwich Borough'. Available at: </w:t>
              </w:r>
              <w:hyperlink r:id="rId8" w:tgtFrame="_new" w:history="1">
                <w:r w:rsidRPr="001A3839">
                  <w:rPr>
                    <w:rStyle w:val="Hyperlink"/>
                    <w:rFonts w:ascii="Arial" w:hAnsi="Arial" w:cs="Arial"/>
                    <w:sz w:val="22"/>
                    <w:szCs w:val="22"/>
                  </w:rPr>
                  <w:t>https://www.royalgreenwich.gov.uk/info/200327/climate_change/2170/what_can_i_do</w:t>
                </w:r>
              </w:hyperlink>
              <w:r w:rsidRPr="001A3839">
                <w:rPr>
                  <w:rFonts w:ascii="Arial" w:hAnsi="Arial" w:cs="Arial"/>
                  <w:sz w:val="22"/>
                  <w:szCs w:val="22"/>
                </w:rPr>
                <w:t xml:space="preserve"> (Accessed: 2023).</w:t>
              </w:r>
            </w:p>
            <w:p w14:paraId="503CCE54"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 xml:space="preserve">Greenwich Council (2023b) 'Five community members are taking charge of the Royal Borough of Greenwich’s annual Black History 365 (BH365) programme'. Available at: </w:t>
              </w:r>
              <w:hyperlink r:id="rId9" w:tgtFrame="_new" w:history="1">
                <w:r w:rsidRPr="001A3839">
                  <w:rPr>
                    <w:rStyle w:val="Hyperlink"/>
                    <w:rFonts w:ascii="Arial" w:hAnsi="Arial" w:cs="Arial"/>
                    <w:sz w:val="22"/>
                    <w:szCs w:val="22"/>
                  </w:rPr>
                  <w:t>https://www.royalgreenwich.gov.uk/news/article/2363/royal_borough_of_greenwich_announces_first_ever_community_panel_to_help_steer_upcoming_black_history_365_programming</w:t>
                </w:r>
              </w:hyperlink>
              <w:r w:rsidRPr="001A3839">
                <w:rPr>
                  <w:rFonts w:ascii="Arial" w:hAnsi="Arial" w:cs="Arial"/>
                  <w:sz w:val="22"/>
                  <w:szCs w:val="22"/>
                </w:rPr>
                <w:t xml:space="preserve"> (Accessed: 4 August 2023).</w:t>
              </w:r>
            </w:p>
            <w:p w14:paraId="47C449A7"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Johnson, R., Brown, K. &amp; Green, M. (2023) 'Engaging the Community in Green Initiatives: The Role of Public Consultations', Urban Sustainability Journal, 11(4), pp. 76-89.</w:t>
              </w:r>
            </w:p>
            <w:p w14:paraId="504A5D0A"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Jones, A. (2021) 'Community Involvement in Local Environmental Projects: Lessons from Greenwich Borough Council', Environmental Studies Review, 24(3), pp. 123-137.</w:t>
              </w:r>
            </w:p>
            <w:p w14:paraId="4FE02C83"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Miller, P. (2021) 'Strengthening Partnerships for Sustainable Development: Collaborative Efforts in Greenwich Borough Council's Environment Projects', Journal of Environmental Management, 30(3), pp. 99-114.</w:t>
              </w:r>
            </w:p>
            <w:p w14:paraId="66187C4C"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Rochester, C. (2009) Volunteering and society in the 21st century, Palgrave Macmillan, pp. 24-25.</w:t>
              </w:r>
            </w:p>
            <w:p w14:paraId="5465603A"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Smith, A. &amp; Johnson, R. (2021) 'Empowering Communities: The Impact of Community Workshops on Sustainable Transport Initiatives in Greenwich Borough', Journal of Sustainable Urban Development, 15(2), pp. 45-62.</w:t>
              </w:r>
            </w:p>
            <w:p w14:paraId="50296B22"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lastRenderedPageBreak/>
                <w:t>Smith, J. (2022) 'Enhancing Sustainability through Community Engagement: A Case Study of Greenwich Borough Council's Environment Projects', Journal of Sustainable Development, 18(2), pp. 45-58.</w:t>
              </w:r>
            </w:p>
            <w:p w14:paraId="5FFFDDED"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Smith, J. &amp; Martinez, L. (2020) 'Nurturing a Sense of Ownership: Community Involvement in Greenwich Borough Council's Green Initiatives', Community Development Quarterly, 12(4), pp. 87-102.</w:t>
              </w:r>
            </w:p>
            <w:p w14:paraId="75F1C07C" w14:textId="77777777" w:rsidR="001A3839" w:rsidRPr="001A3839" w:rsidRDefault="001A3839" w:rsidP="001A3839">
              <w:pPr>
                <w:pStyle w:val="NormalWeb"/>
                <w:jc w:val="both"/>
                <w:rPr>
                  <w:rFonts w:ascii="Arial" w:hAnsi="Arial" w:cs="Arial"/>
                  <w:sz w:val="22"/>
                  <w:szCs w:val="22"/>
                </w:rPr>
              </w:pPr>
              <w:r w:rsidRPr="001A3839">
                <w:rPr>
                  <w:rFonts w:ascii="Arial" w:hAnsi="Arial" w:cs="Arial"/>
                  <w:sz w:val="22"/>
                  <w:szCs w:val="22"/>
                </w:rPr>
                <w:t>White, B., Green, D. &amp; Turner, S. (2023) 'Fostering Community-Centric Development: The Impact of Community Engagement in Greenwich Borough Council's Environment Projects', Local Governance Journal, 14(2), pp. 55-69.</w:t>
              </w:r>
            </w:p>
            <w:p w14:paraId="7608988D" w14:textId="56724AC2" w:rsidR="001A3839" w:rsidRPr="001A3839" w:rsidRDefault="001A3839" w:rsidP="001A3839">
              <w:pPr>
                <w:pStyle w:val="Bibliography"/>
                <w:jc w:val="both"/>
                <w:rPr>
                  <w:rFonts w:ascii="Arial" w:hAnsi="Arial" w:cs="Arial"/>
                </w:rPr>
              </w:pPr>
            </w:p>
            <w:p w14:paraId="07F73A41" w14:textId="32EF74E8" w:rsidR="003B6AE2" w:rsidRPr="001A3839" w:rsidRDefault="003B6AE2" w:rsidP="001A3839">
              <w:pPr>
                <w:jc w:val="both"/>
                <w:rPr>
                  <w:rFonts w:ascii="Arial" w:hAnsi="Arial" w:cs="Arial"/>
                </w:rPr>
              </w:pPr>
            </w:p>
          </w:sdtContent>
        </w:sdt>
      </w:sdtContent>
    </w:sdt>
    <w:p w14:paraId="6EE8807A" w14:textId="0030A588" w:rsidR="003B6AE2" w:rsidRPr="001A3839" w:rsidRDefault="003B6AE2" w:rsidP="001A3839">
      <w:pPr>
        <w:jc w:val="both"/>
        <w:rPr>
          <w:rFonts w:ascii="Arial" w:hAnsi="Arial" w:cs="Arial"/>
        </w:rPr>
      </w:pPr>
    </w:p>
    <w:p w14:paraId="54FE0AE3" w14:textId="77777777" w:rsidR="003B6AE2" w:rsidRPr="001A3839" w:rsidRDefault="003B6AE2" w:rsidP="001A3839">
      <w:pPr>
        <w:jc w:val="both"/>
        <w:rPr>
          <w:rFonts w:ascii="Arial" w:hAnsi="Arial" w:cs="Arial"/>
        </w:rPr>
      </w:pPr>
    </w:p>
    <w:sectPr w:rsidR="003B6AE2" w:rsidRPr="001A3839" w:rsidSect="00195C16">
      <w:foot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F0552" w14:textId="77777777" w:rsidR="00F667D8" w:rsidRDefault="00F667D8" w:rsidP="00195C16">
      <w:pPr>
        <w:spacing w:after="0" w:line="240" w:lineRule="auto"/>
      </w:pPr>
      <w:r>
        <w:separator/>
      </w:r>
    </w:p>
  </w:endnote>
  <w:endnote w:type="continuationSeparator" w:id="0">
    <w:p w14:paraId="2F8B0E58" w14:textId="77777777" w:rsidR="00F667D8" w:rsidRDefault="00F667D8" w:rsidP="00195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7788373"/>
      <w:docPartObj>
        <w:docPartGallery w:val="Page Numbers (Bottom of Page)"/>
        <w:docPartUnique/>
      </w:docPartObj>
    </w:sdtPr>
    <w:sdtEndPr>
      <w:rPr>
        <w:color w:val="7F7F7F" w:themeColor="background1" w:themeShade="7F"/>
        <w:spacing w:val="60"/>
      </w:rPr>
    </w:sdtEndPr>
    <w:sdtContent>
      <w:p w14:paraId="617CE60A" w14:textId="70326789" w:rsidR="00C766A2" w:rsidRDefault="00C766A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9B229C2" w14:textId="77777777" w:rsidR="00C766A2" w:rsidRDefault="00C766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31F3C" w14:textId="77777777" w:rsidR="00F667D8" w:rsidRDefault="00F667D8" w:rsidP="00195C16">
      <w:pPr>
        <w:spacing w:after="0" w:line="240" w:lineRule="auto"/>
      </w:pPr>
      <w:r>
        <w:separator/>
      </w:r>
    </w:p>
  </w:footnote>
  <w:footnote w:type="continuationSeparator" w:id="0">
    <w:p w14:paraId="6D54662B" w14:textId="77777777" w:rsidR="00F667D8" w:rsidRDefault="00F667D8" w:rsidP="00195C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4B981" w14:textId="0F2F6409" w:rsidR="00195C16" w:rsidRDefault="00195C16">
    <w:pPr>
      <w:pStyle w:val="Header"/>
    </w:pPr>
    <w:r>
      <w:rPr>
        <w:noProof/>
      </w:rPr>
      <w:drawing>
        <wp:inline distT="0" distB="0" distL="0" distR="0" wp14:anchorId="281D72A8" wp14:editId="003CB147">
          <wp:extent cx="1666875" cy="866094"/>
          <wp:effectExtent l="0" t="0" r="0" b="0"/>
          <wp:docPr id="179933883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38838" name="Picture 1" descr="A close up of black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693512" cy="87993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F130B"/>
    <w:multiLevelType w:val="hybridMultilevel"/>
    <w:tmpl w:val="9FA86CF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D979FA"/>
    <w:multiLevelType w:val="hybridMultilevel"/>
    <w:tmpl w:val="900CB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6905452">
    <w:abstractNumId w:val="1"/>
  </w:num>
  <w:num w:numId="2" w16cid:durableId="1322005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C16"/>
    <w:rsid w:val="0003161C"/>
    <w:rsid w:val="000A4494"/>
    <w:rsid w:val="0011705F"/>
    <w:rsid w:val="0014139F"/>
    <w:rsid w:val="00195C16"/>
    <w:rsid w:val="001A3839"/>
    <w:rsid w:val="00212D5B"/>
    <w:rsid w:val="0024398F"/>
    <w:rsid w:val="00322571"/>
    <w:rsid w:val="00370F03"/>
    <w:rsid w:val="00390D0F"/>
    <w:rsid w:val="003B6AE2"/>
    <w:rsid w:val="00444B7A"/>
    <w:rsid w:val="004B7D01"/>
    <w:rsid w:val="005902D9"/>
    <w:rsid w:val="00601165"/>
    <w:rsid w:val="0060504B"/>
    <w:rsid w:val="00620BCE"/>
    <w:rsid w:val="006534EF"/>
    <w:rsid w:val="00682689"/>
    <w:rsid w:val="006A23BA"/>
    <w:rsid w:val="00792889"/>
    <w:rsid w:val="007C3434"/>
    <w:rsid w:val="007E4C57"/>
    <w:rsid w:val="00852C38"/>
    <w:rsid w:val="0085740C"/>
    <w:rsid w:val="008F7725"/>
    <w:rsid w:val="0096061B"/>
    <w:rsid w:val="00A83A0D"/>
    <w:rsid w:val="00A91AF9"/>
    <w:rsid w:val="00AB1D19"/>
    <w:rsid w:val="00AD5F11"/>
    <w:rsid w:val="00C43E43"/>
    <w:rsid w:val="00C766A2"/>
    <w:rsid w:val="00CC2FEE"/>
    <w:rsid w:val="00D46A7A"/>
    <w:rsid w:val="00DC74DA"/>
    <w:rsid w:val="00E42EF7"/>
    <w:rsid w:val="00F5581C"/>
    <w:rsid w:val="00F667D8"/>
    <w:rsid w:val="00F94B33"/>
    <w:rsid w:val="00F97D0E"/>
    <w:rsid w:val="00FC2BE6"/>
    <w:rsid w:val="00FE1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1A54FA"/>
  <w15:chartTrackingRefBased/>
  <w15:docId w15:val="{CB591CD9-A739-4B47-987E-97C676025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A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66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13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5C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C16"/>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195C1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95C16"/>
    <w:rPr>
      <w:rFonts w:eastAsiaTheme="minorEastAsia"/>
      <w:kern w:val="0"/>
      <w:lang w:val="en-US"/>
      <w14:ligatures w14:val="none"/>
    </w:rPr>
  </w:style>
  <w:style w:type="paragraph" w:styleId="Header">
    <w:name w:val="header"/>
    <w:basedOn w:val="Normal"/>
    <w:link w:val="HeaderChar"/>
    <w:uiPriority w:val="99"/>
    <w:unhideWhenUsed/>
    <w:rsid w:val="00195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C16"/>
  </w:style>
  <w:style w:type="paragraph" w:styleId="Footer">
    <w:name w:val="footer"/>
    <w:basedOn w:val="Normal"/>
    <w:link w:val="FooterChar"/>
    <w:uiPriority w:val="99"/>
    <w:unhideWhenUsed/>
    <w:rsid w:val="00195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C16"/>
  </w:style>
  <w:style w:type="paragraph" w:styleId="Subtitle">
    <w:name w:val="Subtitle"/>
    <w:basedOn w:val="Normal"/>
    <w:next w:val="Normal"/>
    <w:link w:val="SubtitleChar"/>
    <w:uiPriority w:val="11"/>
    <w:qFormat/>
    <w:rsid w:val="00195C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95C16"/>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46A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66A2"/>
    <w:pPr>
      <w:outlineLvl w:val="9"/>
    </w:pPr>
    <w:rPr>
      <w:kern w:val="0"/>
      <w:lang w:val="en-US"/>
      <w14:ligatures w14:val="none"/>
    </w:rPr>
  </w:style>
  <w:style w:type="paragraph" w:styleId="TOC1">
    <w:name w:val="toc 1"/>
    <w:basedOn w:val="Normal"/>
    <w:next w:val="Normal"/>
    <w:autoRedefine/>
    <w:uiPriority w:val="39"/>
    <w:unhideWhenUsed/>
    <w:rsid w:val="00322571"/>
    <w:pPr>
      <w:tabs>
        <w:tab w:val="right" w:leader="dot" w:pos="9016"/>
      </w:tabs>
      <w:spacing w:after="100"/>
    </w:pPr>
    <w:rPr>
      <w:rFonts w:ascii="Arial" w:hAnsi="Arial" w:cs="Arial"/>
      <w:i/>
      <w:iCs/>
      <w:noProof/>
    </w:rPr>
  </w:style>
  <w:style w:type="character" w:styleId="Hyperlink">
    <w:name w:val="Hyperlink"/>
    <w:basedOn w:val="DefaultParagraphFont"/>
    <w:uiPriority w:val="99"/>
    <w:unhideWhenUsed/>
    <w:rsid w:val="00C766A2"/>
    <w:rPr>
      <w:color w:val="0563C1" w:themeColor="hyperlink"/>
      <w:u w:val="single"/>
    </w:rPr>
  </w:style>
  <w:style w:type="character" w:customStyle="1" w:styleId="Heading2Char">
    <w:name w:val="Heading 2 Char"/>
    <w:basedOn w:val="DefaultParagraphFont"/>
    <w:link w:val="Heading2"/>
    <w:uiPriority w:val="9"/>
    <w:rsid w:val="00C766A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22571"/>
    <w:pPr>
      <w:tabs>
        <w:tab w:val="right" w:leader="dot" w:pos="9016"/>
      </w:tabs>
      <w:spacing w:after="100"/>
      <w:ind w:left="220"/>
    </w:pPr>
    <w:rPr>
      <w:rFonts w:ascii="Arial" w:hAnsi="Arial" w:cs="Arial"/>
      <w:noProof/>
    </w:rPr>
  </w:style>
  <w:style w:type="character" w:customStyle="1" w:styleId="Heading3Char">
    <w:name w:val="Heading 3 Char"/>
    <w:basedOn w:val="DefaultParagraphFont"/>
    <w:link w:val="Heading3"/>
    <w:uiPriority w:val="9"/>
    <w:rsid w:val="0014139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4139F"/>
    <w:pPr>
      <w:spacing w:after="100"/>
      <w:ind w:left="440"/>
    </w:pPr>
  </w:style>
  <w:style w:type="paragraph" w:styleId="NormalWeb">
    <w:name w:val="Normal (Web)"/>
    <w:basedOn w:val="Normal"/>
    <w:uiPriority w:val="99"/>
    <w:semiHidden/>
    <w:unhideWhenUsed/>
    <w:rsid w:val="007E4C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E4C57"/>
    <w:rPr>
      <w:b/>
      <w:bCs/>
    </w:rPr>
  </w:style>
  <w:style w:type="paragraph" w:styleId="Bibliography">
    <w:name w:val="Bibliography"/>
    <w:basedOn w:val="Normal"/>
    <w:next w:val="Normal"/>
    <w:uiPriority w:val="37"/>
    <w:unhideWhenUsed/>
    <w:rsid w:val="003B6A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07729">
      <w:bodyDiv w:val="1"/>
      <w:marLeft w:val="0"/>
      <w:marRight w:val="0"/>
      <w:marTop w:val="0"/>
      <w:marBottom w:val="0"/>
      <w:divBdr>
        <w:top w:val="none" w:sz="0" w:space="0" w:color="auto"/>
        <w:left w:val="none" w:sz="0" w:space="0" w:color="auto"/>
        <w:bottom w:val="none" w:sz="0" w:space="0" w:color="auto"/>
        <w:right w:val="none" w:sz="0" w:space="0" w:color="auto"/>
      </w:divBdr>
    </w:div>
    <w:div w:id="97258768">
      <w:bodyDiv w:val="1"/>
      <w:marLeft w:val="0"/>
      <w:marRight w:val="0"/>
      <w:marTop w:val="0"/>
      <w:marBottom w:val="0"/>
      <w:divBdr>
        <w:top w:val="none" w:sz="0" w:space="0" w:color="auto"/>
        <w:left w:val="none" w:sz="0" w:space="0" w:color="auto"/>
        <w:bottom w:val="none" w:sz="0" w:space="0" w:color="auto"/>
        <w:right w:val="none" w:sz="0" w:space="0" w:color="auto"/>
      </w:divBdr>
    </w:div>
    <w:div w:id="167062207">
      <w:bodyDiv w:val="1"/>
      <w:marLeft w:val="0"/>
      <w:marRight w:val="0"/>
      <w:marTop w:val="0"/>
      <w:marBottom w:val="0"/>
      <w:divBdr>
        <w:top w:val="none" w:sz="0" w:space="0" w:color="auto"/>
        <w:left w:val="none" w:sz="0" w:space="0" w:color="auto"/>
        <w:bottom w:val="none" w:sz="0" w:space="0" w:color="auto"/>
        <w:right w:val="none" w:sz="0" w:space="0" w:color="auto"/>
      </w:divBdr>
      <w:divsChild>
        <w:div w:id="1794126958">
          <w:marLeft w:val="0"/>
          <w:marRight w:val="0"/>
          <w:marTop w:val="0"/>
          <w:marBottom w:val="0"/>
          <w:divBdr>
            <w:top w:val="none" w:sz="0" w:space="0" w:color="auto"/>
            <w:left w:val="none" w:sz="0" w:space="0" w:color="auto"/>
            <w:bottom w:val="none" w:sz="0" w:space="0" w:color="auto"/>
            <w:right w:val="none" w:sz="0" w:space="0" w:color="auto"/>
          </w:divBdr>
          <w:divsChild>
            <w:div w:id="345669006">
              <w:marLeft w:val="0"/>
              <w:marRight w:val="0"/>
              <w:marTop w:val="0"/>
              <w:marBottom w:val="0"/>
              <w:divBdr>
                <w:top w:val="none" w:sz="0" w:space="0" w:color="auto"/>
                <w:left w:val="none" w:sz="0" w:space="0" w:color="auto"/>
                <w:bottom w:val="none" w:sz="0" w:space="0" w:color="auto"/>
                <w:right w:val="none" w:sz="0" w:space="0" w:color="auto"/>
              </w:divBdr>
              <w:divsChild>
                <w:div w:id="376858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152024">
      <w:bodyDiv w:val="1"/>
      <w:marLeft w:val="0"/>
      <w:marRight w:val="0"/>
      <w:marTop w:val="0"/>
      <w:marBottom w:val="0"/>
      <w:divBdr>
        <w:top w:val="none" w:sz="0" w:space="0" w:color="auto"/>
        <w:left w:val="none" w:sz="0" w:space="0" w:color="auto"/>
        <w:bottom w:val="none" w:sz="0" w:space="0" w:color="auto"/>
        <w:right w:val="none" w:sz="0" w:space="0" w:color="auto"/>
      </w:divBdr>
    </w:div>
    <w:div w:id="250817066">
      <w:bodyDiv w:val="1"/>
      <w:marLeft w:val="0"/>
      <w:marRight w:val="0"/>
      <w:marTop w:val="0"/>
      <w:marBottom w:val="0"/>
      <w:divBdr>
        <w:top w:val="none" w:sz="0" w:space="0" w:color="auto"/>
        <w:left w:val="none" w:sz="0" w:space="0" w:color="auto"/>
        <w:bottom w:val="none" w:sz="0" w:space="0" w:color="auto"/>
        <w:right w:val="none" w:sz="0" w:space="0" w:color="auto"/>
      </w:divBdr>
    </w:div>
    <w:div w:id="621885754">
      <w:bodyDiv w:val="1"/>
      <w:marLeft w:val="0"/>
      <w:marRight w:val="0"/>
      <w:marTop w:val="0"/>
      <w:marBottom w:val="0"/>
      <w:divBdr>
        <w:top w:val="none" w:sz="0" w:space="0" w:color="auto"/>
        <w:left w:val="none" w:sz="0" w:space="0" w:color="auto"/>
        <w:bottom w:val="none" w:sz="0" w:space="0" w:color="auto"/>
        <w:right w:val="none" w:sz="0" w:space="0" w:color="auto"/>
      </w:divBdr>
    </w:div>
    <w:div w:id="778531219">
      <w:bodyDiv w:val="1"/>
      <w:marLeft w:val="0"/>
      <w:marRight w:val="0"/>
      <w:marTop w:val="0"/>
      <w:marBottom w:val="0"/>
      <w:divBdr>
        <w:top w:val="none" w:sz="0" w:space="0" w:color="auto"/>
        <w:left w:val="none" w:sz="0" w:space="0" w:color="auto"/>
        <w:bottom w:val="none" w:sz="0" w:space="0" w:color="auto"/>
        <w:right w:val="none" w:sz="0" w:space="0" w:color="auto"/>
      </w:divBdr>
    </w:div>
    <w:div w:id="1007362978">
      <w:bodyDiv w:val="1"/>
      <w:marLeft w:val="0"/>
      <w:marRight w:val="0"/>
      <w:marTop w:val="0"/>
      <w:marBottom w:val="0"/>
      <w:divBdr>
        <w:top w:val="none" w:sz="0" w:space="0" w:color="auto"/>
        <w:left w:val="none" w:sz="0" w:space="0" w:color="auto"/>
        <w:bottom w:val="none" w:sz="0" w:space="0" w:color="auto"/>
        <w:right w:val="none" w:sz="0" w:space="0" w:color="auto"/>
      </w:divBdr>
    </w:div>
    <w:div w:id="1029985226">
      <w:bodyDiv w:val="1"/>
      <w:marLeft w:val="0"/>
      <w:marRight w:val="0"/>
      <w:marTop w:val="0"/>
      <w:marBottom w:val="0"/>
      <w:divBdr>
        <w:top w:val="none" w:sz="0" w:space="0" w:color="auto"/>
        <w:left w:val="none" w:sz="0" w:space="0" w:color="auto"/>
        <w:bottom w:val="none" w:sz="0" w:space="0" w:color="auto"/>
        <w:right w:val="none" w:sz="0" w:space="0" w:color="auto"/>
      </w:divBdr>
    </w:div>
    <w:div w:id="1033850925">
      <w:bodyDiv w:val="1"/>
      <w:marLeft w:val="0"/>
      <w:marRight w:val="0"/>
      <w:marTop w:val="0"/>
      <w:marBottom w:val="0"/>
      <w:divBdr>
        <w:top w:val="none" w:sz="0" w:space="0" w:color="auto"/>
        <w:left w:val="none" w:sz="0" w:space="0" w:color="auto"/>
        <w:bottom w:val="none" w:sz="0" w:space="0" w:color="auto"/>
        <w:right w:val="none" w:sz="0" w:space="0" w:color="auto"/>
      </w:divBdr>
    </w:div>
    <w:div w:id="1037856959">
      <w:bodyDiv w:val="1"/>
      <w:marLeft w:val="0"/>
      <w:marRight w:val="0"/>
      <w:marTop w:val="0"/>
      <w:marBottom w:val="0"/>
      <w:divBdr>
        <w:top w:val="none" w:sz="0" w:space="0" w:color="auto"/>
        <w:left w:val="none" w:sz="0" w:space="0" w:color="auto"/>
        <w:bottom w:val="none" w:sz="0" w:space="0" w:color="auto"/>
        <w:right w:val="none" w:sz="0" w:space="0" w:color="auto"/>
      </w:divBdr>
    </w:div>
    <w:div w:id="1214192465">
      <w:bodyDiv w:val="1"/>
      <w:marLeft w:val="0"/>
      <w:marRight w:val="0"/>
      <w:marTop w:val="0"/>
      <w:marBottom w:val="0"/>
      <w:divBdr>
        <w:top w:val="none" w:sz="0" w:space="0" w:color="auto"/>
        <w:left w:val="none" w:sz="0" w:space="0" w:color="auto"/>
        <w:bottom w:val="none" w:sz="0" w:space="0" w:color="auto"/>
        <w:right w:val="none" w:sz="0" w:space="0" w:color="auto"/>
      </w:divBdr>
    </w:div>
    <w:div w:id="1237206068">
      <w:bodyDiv w:val="1"/>
      <w:marLeft w:val="0"/>
      <w:marRight w:val="0"/>
      <w:marTop w:val="0"/>
      <w:marBottom w:val="0"/>
      <w:divBdr>
        <w:top w:val="none" w:sz="0" w:space="0" w:color="auto"/>
        <w:left w:val="none" w:sz="0" w:space="0" w:color="auto"/>
        <w:bottom w:val="none" w:sz="0" w:space="0" w:color="auto"/>
        <w:right w:val="none" w:sz="0" w:space="0" w:color="auto"/>
      </w:divBdr>
    </w:div>
    <w:div w:id="1366905044">
      <w:bodyDiv w:val="1"/>
      <w:marLeft w:val="0"/>
      <w:marRight w:val="0"/>
      <w:marTop w:val="0"/>
      <w:marBottom w:val="0"/>
      <w:divBdr>
        <w:top w:val="none" w:sz="0" w:space="0" w:color="auto"/>
        <w:left w:val="none" w:sz="0" w:space="0" w:color="auto"/>
        <w:bottom w:val="none" w:sz="0" w:space="0" w:color="auto"/>
        <w:right w:val="none" w:sz="0" w:space="0" w:color="auto"/>
      </w:divBdr>
    </w:div>
    <w:div w:id="1599632645">
      <w:bodyDiv w:val="1"/>
      <w:marLeft w:val="0"/>
      <w:marRight w:val="0"/>
      <w:marTop w:val="0"/>
      <w:marBottom w:val="0"/>
      <w:divBdr>
        <w:top w:val="none" w:sz="0" w:space="0" w:color="auto"/>
        <w:left w:val="none" w:sz="0" w:space="0" w:color="auto"/>
        <w:bottom w:val="none" w:sz="0" w:space="0" w:color="auto"/>
        <w:right w:val="none" w:sz="0" w:space="0" w:color="auto"/>
      </w:divBdr>
    </w:div>
    <w:div w:id="1634411380">
      <w:bodyDiv w:val="1"/>
      <w:marLeft w:val="0"/>
      <w:marRight w:val="0"/>
      <w:marTop w:val="0"/>
      <w:marBottom w:val="0"/>
      <w:divBdr>
        <w:top w:val="none" w:sz="0" w:space="0" w:color="auto"/>
        <w:left w:val="none" w:sz="0" w:space="0" w:color="auto"/>
        <w:bottom w:val="none" w:sz="0" w:space="0" w:color="auto"/>
        <w:right w:val="none" w:sz="0" w:space="0" w:color="auto"/>
      </w:divBdr>
    </w:div>
    <w:div w:id="1828813965">
      <w:bodyDiv w:val="1"/>
      <w:marLeft w:val="0"/>
      <w:marRight w:val="0"/>
      <w:marTop w:val="0"/>
      <w:marBottom w:val="0"/>
      <w:divBdr>
        <w:top w:val="none" w:sz="0" w:space="0" w:color="auto"/>
        <w:left w:val="none" w:sz="0" w:space="0" w:color="auto"/>
        <w:bottom w:val="none" w:sz="0" w:space="0" w:color="auto"/>
        <w:right w:val="none" w:sz="0" w:space="0" w:color="auto"/>
      </w:divBdr>
    </w:div>
    <w:div w:id="2069187759">
      <w:bodyDiv w:val="1"/>
      <w:marLeft w:val="0"/>
      <w:marRight w:val="0"/>
      <w:marTop w:val="0"/>
      <w:marBottom w:val="0"/>
      <w:divBdr>
        <w:top w:val="none" w:sz="0" w:space="0" w:color="auto"/>
        <w:left w:val="none" w:sz="0" w:space="0" w:color="auto"/>
        <w:bottom w:val="none" w:sz="0" w:space="0" w:color="auto"/>
        <w:right w:val="none" w:sz="0" w:space="0" w:color="auto"/>
      </w:divBdr>
    </w:div>
    <w:div w:id="2136292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yalgreenwich.gov.uk/info/200327/climate_change/2170/what_can_i_do"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oyalgreenwich.gov.uk/news/article/2363/royal_borough_of_greenwich_announces_first_ever_community_panel_to_help_steer_upcoming_black_history_365_programming"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Ann06</b:Tag>
    <b:SourceType>BookSection</b:SourceType>
    <b:Guid>{5408FEFC-9F85-4D23-A829-2642F7C37FAC}</b:Guid>
    <b:Author>
      <b:Author>
        <b:NameList>
          <b:Person>
            <b:Last>Anna</b:Last>
            <b:First>L.</b:First>
          </b:Person>
        </b:NameList>
      </b:Author>
      <b:Editor>
        <b:NameList>
          <b:Person>
            <b:Last>Elsevier</b:Last>
          </b:Person>
        </b:NameList>
      </b:Editor>
    </b:Author>
    <b:Title>Stakeholders and community participation</b:Title>
    <b:BookTitle>Managing World Heritage Sites</b:BookTitle>
    <b:Year>2006</b:Year>
    <b:Pages>97-99</b:Pages>
    <b:City>Burlington</b:City>
    <b:Publisher>Elsevier</b:Publisher>
    <b:Edition>1</b:Edition>
    <b:RefOrder>1</b:RefOrder>
  </b:Source>
  <b:Source>
    <b:Tag>Ada22</b:Tag>
    <b:SourceType>BookSection</b:SourceType>
    <b:Guid>{F2F2936A-D54F-4616-BBEF-B5301AE813DD}</b:Guid>
    <b:Author>
      <b:Author>
        <b:NameList>
          <b:Person>
            <b:Last>Adams</b:Last>
            <b:First>R.,</b:First>
            <b:Middle>&amp; Taylor, E.</b:Middle>
          </b:Person>
        </b:NameList>
      </b:Author>
    </b:Author>
    <b:Title>A Study of Greenwich Borough Council's Approach. Environmental Policy and Planning</b:Title>
    <b:BookTitle>Aligning Environmental Initiatives with Community Priorities</b:BookTitle>
    <b:Year>2022</b:Year>
    <b:Pages>18-32</b:Pages>
    <b:RefOrder>2</b:RefOrder>
  </b:Source>
</b:Sources>
</file>

<file path=customXml/itemProps1.xml><?xml version="1.0" encoding="utf-8"?>
<ds:datastoreItem xmlns:ds="http://schemas.openxmlformats.org/officeDocument/2006/customXml" ds:itemID="{C415D4C7-1BB6-472A-AB68-DBD7D3C94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9</Pages>
  <Words>2847</Words>
  <Characters>16231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COMMUNITY ENGAGEMENT</vt:lpstr>
    </vt:vector>
  </TitlesOfParts>
  <Company>Stnt name: George Iulian Chiras (2120095)</Company>
  <LinksUpToDate>false</LinksUpToDate>
  <CharactersWithSpaces>19040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Individual Report</dc:subject>
  <dc:creator>George Chiras</dc:creator>
  <cp:keywords/>
  <dc:description/>
  <cp:lastModifiedBy>George Chiras</cp:lastModifiedBy>
  <cp:revision>5</cp:revision>
  <dcterms:created xsi:type="dcterms:W3CDTF">2023-07-23T10:56:00Z</dcterms:created>
  <dcterms:modified xsi:type="dcterms:W3CDTF">2023-08-04T23:39:00Z</dcterms:modified>
  <cp:category>Module Code:  LCBB4002</cp:category>
</cp:coreProperties>
</file>