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60ADF" w14:textId="223EF6ED" w:rsidR="005E4111" w:rsidRDefault="005E4111" w:rsidP="007040AB">
      <w:pPr>
        <w:spacing w:line="480" w:lineRule="auto"/>
        <w:jc w:val="center"/>
      </w:pPr>
      <w:r>
        <w:rPr>
          <w:rFonts w:ascii="Roboto" w:hAnsi="Roboto"/>
          <w:color w:val="1F1F1F"/>
          <w:sz w:val="33"/>
          <w:szCs w:val="33"/>
          <w:shd w:val="clear" w:color="auto" w:fill="FFFFFF"/>
        </w:rPr>
        <w:t>International Financial Management -A1</w:t>
      </w:r>
    </w:p>
    <w:p w14:paraId="1BEBF889" w14:textId="77777777" w:rsidR="005E4111" w:rsidRDefault="005E4111" w:rsidP="007040AB">
      <w:pPr>
        <w:spacing w:line="480" w:lineRule="auto"/>
        <w:jc w:val="center"/>
      </w:pPr>
    </w:p>
    <w:p w14:paraId="46AA6C59" w14:textId="77777777" w:rsidR="005E4111" w:rsidRDefault="005E4111" w:rsidP="007040AB">
      <w:pPr>
        <w:spacing w:line="480" w:lineRule="auto"/>
        <w:jc w:val="center"/>
      </w:pPr>
    </w:p>
    <w:p w14:paraId="5382B2CA" w14:textId="53625F18" w:rsidR="005E4111" w:rsidRPr="005E4111" w:rsidRDefault="000C3E4A" w:rsidP="007040AB">
      <w:pPr>
        <w:spacing w:line="480" w:lineRule="auto"/>
        <w:jc w:val="center"/>
        <w:rPr>
          <w:b/>
          <w:bCs/>
        </w:rPr>
      </w:pPr>
      <w:r w:rsidRPr="005E4111">
        <w:rPr>
          <w:b/>
          <w:bCs/>
        </w:rPr>
        <w:t xml:space="preserve">A Strategic Advisory Report for </w:t>
      </w:r>
      <w:r w:rsidR="001A5777" w:rsidRPr="005E4111">
        <w:rPr>
          <w:b/>
          <w:bCs/>
        </w:rPr>
        <w:t>Corporate Governance and Control Strategies for AIM Listing</w:t>
      </w:r>
    </w:p>
    <w:p w14:paraId="3E1F18D8" w14:textId="77777777" w:rsidR="005E4111" w:rsidRDefault="005E4111" w:rsidP="007040AB">
      <w:pPr>
        <w:spacing w:line="480" w:lineRule="auto"/>
        <w:jc w:val="center"/>
      </w:pPr>
    </w:p>
    <w:p w14:paraId="130B5E3D" w14:textId="08AA1BF4" w:rsidR="00AA0FAF" w:rsidRPr="007040AB" w:rsidRDefault="00AA0FAF" w:rsidP="007040AB">
      <w:pPr>
        <w:spacing w:line="480" w:lineRule="auto"/>
        <w:jc w:val="center"/>
      </w:pPr>
      <w:r w:rsidRPr="007040AB">
        <w:t>Nam</w:t>
      </w:r>
      <w:r w:rsidR="005E4111">
        <w:t>e:</w:t>
      </w:r>
      <w:r w:rsidR="004C6D4F">
        <w:t xml:space="preserve"> BOLDEANU MARIUS</w:t>
      </w:r>
    </w:p>
    <w:p w14:paraId="362AFDB6" w14:textId="311D4B23" w:rsidR="00AA0FAF" w:rsidRDefault="00AA0FAF" w:rsidP="007040AB">
      <w:pPr>
        <w:spacing w:line="480" w:lineRule="auto"/>
        <w:jc w:val="center"/>
      </w:pPr>
      <w:r w:rsidRPr="007040AB">
        <w:t>Student ID</w:t>
      </w:r>
      <w:r w:rsidR="005E4111">
        <w:t>:</w:t>
      </w:r>
      <w:r w:rsidR="004C6D4F">
        <w:t xml:space="preserve"> 2224837</w:t>
      </w:r>
    </w:p>
    <w:p w14:paraId="445C0300" w14:textId="2EE9845E" w:rsidR="004C6D4F" w:rsidRDefault="004C6D4F" w:rsidP="007040AB">
      <w:pPr>
        <w:spacing w:line="480" w:lineRule="auto"/>
        <w:jc w:val="center"/>
      </w:pPr>
      <w:r>
        <w:t>Module Code: LCBB6002</w:t>
      </w:r>
    </w:p>
    <w:p w14:paraId="5CD3A47B" w14:textId="3303D445" w:rsidR="004C6D4F" w:rsidRPr="007040AB" w:rsidRDefault="004C6D4F" w:rsidP="007040AB">
      <w:pPr>
        <w:spacing w:line="480" w:lineRule="auto"/>
        <w:jc w:val="center"/>
      </w:pPr>
      <w:r>
        <w:t>Lecturer name: DR. MUDASSAR HASAN</w:t>
      </w:r>
    </w:p>
    <w:p w14:paraId="2A5407C2" w14:textId="77777777" w:rsidR="000C3E4A" w:rsidRDefault="000C3E4A">
      <w:r>
        <w:br w:type="page"/>
      </w:r>
    </w:p>
    <w:p w14:paraId="74BA72BE" w14:textId="77777777" w:rsidR="00AA0FAF" w:rsidRPr="007040AB" w:rsidRDefault="00AA0FAF" w:rsidP="007040AB">
      <w:pPr>
        <w:spacing w:line="480" w:lineRule="auto"/>
        <w:jc w:val="center"/>
      </w:pPr>
    </w:p>
    <w:p w14:paraId="2FD0D7FD" w14:textId="77777777" w:rsidR="00BC5020" w:rsidRPr="007040AB" w:rsidRDefault="00BC5020" w:rsidP="007040AB">
      <w:pPr>
        <w:pStyle w:val="Heading1"/>
        <w:rPr>
          <w:rFonts w:cs="Times New Roman"/>
          <w:szCs w:val="24"/>
        </w:rPr>
      </w:pPr>
      <w:bookmarkStart w:id="0" w:name="_Toc189933031"/>
      <w:r w:rsidRPr="007040AB">
        <w:rPr>
          <w:rFonts w:cs="Times New Roman"/>
          <w:szCs w:val="24"/>
        </w:rPr>
        <w:t>Executive Summary</w:t>
      </w:r>
      <w:bookmarkEnd w:id="0"/>
    </w:p>
    <w:p w14:paraId="79FACD36" w14:textId="77777777" w:rsidR="001D26C8" w:rsidRPr="007040AB" w:rsidRDefault="00591627" w:rsidP="007040AB">
      <w:pPr>
        <w:spacing w:line="480" w:lineRule="auto"/>
        <w:jc w:val="both"/>
      </w:pPr>
      <w:r w:rsidRPr="007040AB">
        <w:t xml:space="preserve">This report suggests strategic recommendations to the AIM market of UK for a family owned service company to be listed there. Transparency, accountability and trust of the shareholders are ensured through agency theory and corporate governance. Therefore, the company needs to build control mechanisms, such as dual class shares, board independence and shareholder agreement, to have strategic control if it only owns 30%. Director compensation must be based on performance, best governance standards and shareholder expectations. The company is also weighing up legal forms on Shanghai and the Netherlands, as it’s more transparency in regulations, protection of investors and the flexibility in funds for Euronext Amsterdam in Amsterdam than Shanghai’s state intrusion and owner constraints. These recommendations create a structured structure for governance, stability of finance and the strategic control, allowing a successful public listing and stable </w:t>
      </w:r>
      <w:r w:rsidR="00D57EA7" w:rsidRPr="007040AB">
        <w:t>long-term</w:t>
      </w:r>
      <w:r w:rsidRPr="007040AB">
        <w:t xml:space="preserve"> growth.</w:t>
      </w:r>
    </w:p>
    <w:p w14:paraId="259F9BB0" w14:textId="77777777" w:rsidR="001D26C8" w:rsidRPr="007040AB" w:rsidRDefault="001D26C8" w:rsidP="007040AB">
      <w:pPr>
        <w:spacing w:line="480" w:lineRule="auto"/>
      </w:pPr>
      <w:r w:rsidRPr="007040AB">
        <w:br w:type="page"/>
      </w:r>
    </w:p>
    <w:p w14:paraId="77246735" w14:textId="77777777" w:rsidR="00591627" w:rsidRPr="007040AB" w:rsidRDefault="00591627" w:rsidP="007040AB">
      <w:pPr>
        <w:spacing w:line="480" w:lineRule="auto"/>
        <w:jc w:val="both"/>
      </w:pPr>
    </w:p>
    <w:sdt>
      <w:sdtPr>
        <w:rPr>
          <w:rFonts w:ascii="Times New Roman" w:eastAsiaTheme="minorHAnsi" w:hAnsi="Times New Roman" w:cs="Times New Roman"/>
          <w:color w:val="auto"/>
          <w:kern w:val="2"/>
          <w:sz w:val="24"/>
          <w:szCs w:val="24"/>
          <w14:ligatures w14:val="standardContextual"/>
        </w:rPr>
        <w:id w:val="747393604"/>
        <w:docPartObj>
          <w:docPartGallery w:val="Table of Contents"/>
          <w:docPartUnique/>
        </w:docPartObj>
      </w:sdtPr>
      <w:sdtEndPr>
        <w:rPr>
          <w:b/>
          <w:bCs/>
          <w:noProof/>
        </w:rPr>
      </w:sdtEndPr>
      <w:sdtContent>
        <w:p w14:paraId="4A9845E7" w14:textId="77777777" w:rsidR="001D26C8" w:rsidRPr="007040AB" w:rsidRDefault="001D26C8" w:rsidP="007040AB">
          <w:pPr>
            <w:pStyle w:val="TOCHeading"/>
            <w:spacing w:line="480" w:lineRule="auto"/>
            <w:rPr>
              <w:rFonts w:ascii="Times New Roman" w:hAnsi="Times New Roman" w:cs="Times New Roman"/>
              <w:sz w:val="24"/>
              <w:szCs w:val="24"/>
            </w:rPr>
          </w:pPr>
          <w:r w:rsidRPr="007040AB">
            <w:rPr>
              <w:rFonts w:ascii="Times New Roman" w:hAnsi="Times New Roman" w:cs="Times New Roman"/>
              <w:sz w:val="24"/>
              <w:szCs w:val="24"/>
            </w:rPr>
            <w:t>Table of Contents</w:t>
          </w:r>
        </w:p>
        <w:p w14:paraId="4EBE8D41" w14:textId="77777777" w:rsidR="00CD3104" w:rsidRDefault="001D26C8">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r w:rsidRPr="007040AB">
            <w:fldChar w:fldCharType="begin"/>
          </w:r>
          <w:r w:rsidRPr="007040AB">
            <w:instrText xml:space="preserve"> TOC \o "1-3" \h \z \u </w:instrText>
          </w:r>
          <w:r w:rsidRPr="007040AB">
            <w:fldChar w:fldCharType="separate"/>
          </w:r>
          <w:hyperlink w:anchor="_Toc189933031" w:history="1">
            <w:r w:rsidR="00CD3104" w:rsidRPr="00A02C0C">
              <w:rPr>
                <w:rStyle w:val="Hyperlink"/>
                <w:noProof/>
              </w:rPr>
              <w:t>Executive Summary</w:t>
            </w:r>
            <w:r w:rsidR="00CD3104">
              <w:rPr>
                <w:noProof/>
                <w:webHidden/>
              </w:rPr>
              <w:tab/>
            </w:r>
            <w:r w:rsidR="00CD3104">
              <w:rPr>
                <w:noProof/>
                <w:webHidden/>
              </w:rPr>
              <w:fldChar w:fldCharType="begin"/>
            </w:r>
            <w:r w:rsidR="00CD3104">
              <w:rPr>
                <w:noProof/>
                <w:webHidden/>
              </w:rPr>
              <w:instrText xml:space="preserve"> PAGEREF _Toc189933031 \h </w:instrText>
            </w:r>
            <w:r w:rsidR="00CD3104">
              <w:rPr>
                <w:noProof/>
                <w:webHidden/>
              </w:rPr>
            </w:r>
            <w:r w:rsidR="00CD3104">
              <w:rPr>
                <w:noProof/>
                <w:webHidden/>
              </w:rPr>
              <w:fldChar w:fldCharType="separate"/>
            </w:r>
            <w:r w:rsidR="00CD3104">
              <w:rPr>
                <w:noProof/>
                <w:webHidden/>
              </w:rPr>
              <w:t>2</w:t>
            </w:r>
            <w:r w:rsidR="00CD3104">
              <w:rPr>
                <w:noProof/>
                <w:webHidden/>
              </w:rPr>
              <w:fldChar w:fldCharType="end"/>
            </w:r>
          </w:hyperlink>
        </w:p>
        <w:p w14:paraId="7F3DC463"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2" w:history="1">
            <w:r w:rsidRPr="00A02C0C">
              <w:rPr>
                <w:rStyle w:val="Hyperlink"/>
                <w:noProof/>
              </w:rPr>
              <w:t>1.0 Introduction</w:t>
            </w:r>
            <w:r>
              <w:rPr>
                <w:noProof/>
                <w:webHidden/>
              </w:rPr>
              <w:tab/>
            </w:r>
            <w:r>
              <w:rPr>
                <w:noProof/>
                <w:webHidden/>
              </w:rPr>
              <w:fldChar w:fldCharType="begin"/>
            </w:r>
            <w:r>
              <w:rPr>
                <w:noProof/>
                <w:webHidden/>
              </w:rPr>
              <w:instrText xml:space="preserve"> PAGEREF _Toc189933032 \h </w:instrText>
            </w:r>
            <w:r>
              <w:rPr>
                <w:noProof/>
                <w:webHidden/>
              </w:rPr>
            </w:r>
            <w:r>
              <w:rPr>
                <w:noProof/>
                <w:webHidden/>
              </w:rPr>
              <w:fldChar w:fldCharType="separate"/>
            </w:r>
            <w:r>
              <w:rPr>
                <w:noProof/>
                <w:webHidden/>
              </w:rPr>
              <w:t>4</w:t>
            </w:r>
            <w:r>
              <w:rPr>
                <w:noProof/>
                <w:webHidden/>
              </w:rPr>
              <w:fldChar w:fldCharType="end"/>
            </w:r>
          </w:hyperlink>
        </w:p>
        <w:p w14:paraId="7FA3F8A1"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3" w:history="1">
            <w:r w:rsidRPr="00A02C0C">
              <w:rPr>
                <w:rStyle w:val="Hyperlink"/>
                <w:noProof/>
              </w:rPr>
              <w:t>2. Corporate Governance And Agency Theory And Their Significance To Public Limited Liability Companies</w:t>
            </w:r>
            <w:r>
              <w:rPr>
                <w:noProof/>
                <w:webHidden/>
              </w:rPr>
              <w:tab/>
            </w:r>
            <w:r>
              <w:rPr>
                <w:noProof/>
                <w:webHidden/>
              </w:rPr>
              <w:fldChar w:fldCharType="begin"/>
            </w:r>
            <w:r>
              <w:rPr>
                <w:noProof/>
                <w:webHidden/>
              </w:rPr>
              <w:instrText xml:space="preserve"> PAGEREF _Toc189933033 \h </w:instrText>
            </w:r>
            <w:r>
              <w:rPr>
                <w:noProof/>
                <w:webHidden/>
              </w:rPr>
            </w:r>
            <w:r>
              <w:rPr>
                <w:noProof/>
                <w:webHidden/>
              </w:rPr>
              <w:fldChar w:fldCharType="separate"/>
            </w:r>
            <w:r>
              <w:rPr>
                <w:noProof/>
                <w:webHidden/>
              </w:rPr>
              <w:t>4</w:t>
            </w:r>
            <w:r>
              <w:rPr>
                <w:noProof/>
                <w:webHidden/>
              </w:rPr>
              <w:fldChar w:fldCharType="end"/>
            </w:r>
          </w:hyperlink>
        </w:p>
        <w:p w14:paraId="508643A1"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4" w:history="1">
            <w:r w:rsidRPr="00A02C0C">
              <w:rPr>
                <w:rStyle w:val="Hyperlink"/>
                <w:noProof/>
              </w:rPr>
              <w:t>3.0 How  the current board retain control of the company whilst holding 30% of the company’s shareholding.</w:t>
            </w:r>
            <w:r>
              <w:rPr>
                <w:noProof/>
                <w:webHidden/>
              </w:rPr>
              <w:tab/>
            </w:r>
            <w:r>
              <w:rPr>
                <w:noProof/>
                <w:webHidden/>
              </w:rPr>
              <w:fldChar w:fldCharType="begin"/>
            </w:r>
            <w:r>
              <w:rPr>
                <w:noProof/>
                <w:webHidden/>
              </w:rPr>
              <w:instrText xml:space="preserve"> PAGEREF _Toc189933034 \h </w:instrText>
            </w:r>
            <w:r>
              <w:rPr>
                <w:noProof/>
                <w:webHidden/>
              </w:rPr>
            </w:r>
            <w:r>
              <w:rPr>
                <w:noProof/>
                <w:webHidden/>
              </w:rPr>
              <w:fldChar w:fldCharType="separate"/>
            </w:r>
            <w:r>
              <w:rPr>
                <w:noProof/>
                <w:webHidden/>
              </w:rPr>
              <w:t>5</w:t>
            </w:r>
            <w:r>
              <w:rPr>
                <w:noProof/>
                <w:webHidden/>
              </w:rPr>
              <w:fldChar w:fldCharType="end"/>
            </w:r>
          </w:hyperlink>
        </w:p>
        <w:p w14:paraId="49DD5D2A"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5" w:history="1">
            <w:r w:rsidRPr="00A02C0C">
              <w:rPr>
                <w:rStyle w:val="Hyperlink"/>
                <w:noProof/>
              </w:rPr>
              <w:t>3.0 the remuneration of directors be decided and  the relevant structures</w:t>
            </w:r>
            <w:r>
              <w:rPr>
                <w:noProof/>
                <w:webHidden/>
              </w:rPr>
              <w:tab/>
            </w:r>
            <w:r>
              <w:rPr>
                <w:noProof/>
                <w:webHidden/>
              </w:rPr>
              <w:fldChar w:fldCharType="begin"/>
            </w:r>
            <w:r>
              <w:rPr>
                <w:noProof/>
                <w:webHidden/>
              </w:rPr>
              <w:instrText xml:space="preserve"> PAGEREF _Toc189933035 \h </w:instrText>
            </w:r>
            <w:r>
              <w:rPr>
                <w:noProof/>
                <w:webHidden/>
              </w:rPr>
            </w:r>
            <w:r>
              <w:rPr>
                <w:noProof/>
                <w:webHidden/>
              </w:rPr>
              <w:fldChar w:fldCharType="separate"/>
            </w:r>
            <w:r>
              <w:rPr>
                <w:noProof/>
                <w:webHidden/>
              </w:rPr>
              <w:t>6</w:t>
            </w:r>
            <w:r>
              <w:rPr>
                <w:noProof/>
                <w:webHidden/>
              </w:rPr>
              <w:fldChar w:fldCharType="end"/>
            </w:r>
          </w:hyperlink>
        </w:p>
        <w:p w14:paraId="4C4C00C1" w14:textId="77777777" w:rsidR="00CD3104" w:rsidRDefault="00CD3104">
          <w:pPr>
            <w:pStyle w:val="TOC2"/>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6" w:history="1">
            <w:r w:rsidRPr="00A02C0C">
              <w:rPr>
                <w:rStyle w:val="Hyperlink"/>
                <w:noProof/>
              </w:rPr>
              <w:t>3.1 Key Considerations: Director Remuneration</w:t>
            </w:r>
            <w:r>
              <w:rPr>
                <w:noProof/>
                <w:webHidden/>
              </w:rPr>
              <w:tab/>
            </w:r>
            <w:r>
              <w:rPr>
                <w:noProof/>
                <w:webHidden/>
              </w:rPr>
              <w:fldChar w:fldCharType="begin"/>
            </w:r>
            <w:r>
              <w:rPr>
                <w:noProof/>
                <w:webHidden/>
              </w:rPr>
              <w:instrText xml:space="preserve"> PAGEREF _Toc189933036 \h </w:instrText>
            </w:r>
            <w:r>
              <w:rPr>
                <w:noProof/>
                <w:webHidden/>
              </w:rPr>
            </w:r>
            <w:r>
              <w:rPr>
                <w:noProof/>
                <w:webHidden/>
              </w:rPr>
              <w:fldChar w:fldCharType="separate"/>
            </w:r>
            <w:r>
              <w:rPr>
                <w:noProof/>
                <w:webHidden/>
              </w:rPr>
              <w:t>6</w:t>
            </w:r>
            <w:r>
              <w:rPr>
                <w:noProof/>
                <w:webHidden/>
              </w:rPr>
              <w:fldChar w:fldCharType="end"/>
            </w:r>
          </w:hyperlink>
        </w:p>
        <w:p w14:paraId="1AC5C68E" w14:textId="77777777" w:rsidR="00CD3104" w:rsidRDefault="00CD3104">
          <w:pPr>
            <w:pStyle w:val="TOC2"/>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7" w:history="1">
            <w:r w:rsidRPr="00A02C0C">
              <w:rPr>
                <w:rStyle w:val="Hyperlink"/>
                <w:noProof/>
              </w:rPr>
              <w:t>3.2 Governance Structures for Fair Compensation</w:t>
            </w:r>
            <w:r>
              <w:rPr>
                <w:noProof/>
                <w:webHidden/>
              </w:rPr>
              <w:tab/>
            </w:r>
            <w:r>
              <w:rPr>
                <w:noProof/>
                <w:webHidden/>
              </w:rPr>
              <w:fldChar w:fldCharType="begin"/>
            </w:r>
            <w:r>
              <w:rPr>
                <w:noProof/>
                <w:webHidden/>
              </w:rPr>
              <w:instrText xml:space="preserve"> PAGEREF _Toc189933037 \h </w:instrText>
            </w:r>
            <w:r>
              <w:rPr>
                <w:noProof/>
                <w:webHidden/>
              </w:rPr>
            </w:r>
            <w:r>
              <w:rPr>
                <w:noProof/>
                <w:webHidden/>
              </w:rPr>
              <w:fldChar w:fldCharType="separate"/>
            </w:r>
            <w:r>
              <w:rPr>
                <w:noProof/>
                <w:webHidden/>
              </w:rPr>
              <w:t>7</w:t>
            </w:r>
            <w:r>
              <w:rPr>
                <w:noProof/>
                <w:webHidden/>
              </w:rPr>
              <w:fldChar w:fldCharType="end"/>
            </w:r>
          </w:hyperlink>
        </w:p>
        <w:p w14:paraId="305EF247"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8" w:history="1">
            <w:r w:rsidRPr="00A02C0C">
              <w:rPr>
                <w:rStyle w:val="Hyperlink"/>
                <w:noProof/>
              </w:rPr>
              <w:t>4.0 The Current Board of Directors Any Institutional Differences That The Board Of Directors Should Be Aware Of</w:t>
            </w:r>
            <w:r>
              <w:rPr>
                <w:noProof/>
                <w:webHidden/>
              </w:rPr>
              <w:tab/>
            </w:r>
            <w:r>
              <w:rPr>
                <w:noProof/>
                <w:webHidden/>
              </w:rPr>
              <w:fldChar w:fldCharType="begin"/>
            </w:r>
            <w:r>
              <w:rPr>
                <w:noProof/>
                <w:webHidden/>
              </w:rPr>
              <w:instrText xml:space="preserve"> PAGEREF _Toc189933038 \h </w:instrText>
            </w:r>
            <w:r>
              <w:rPr>
                <w:noProof/>
                <w:webHidden/>
              </w:rPr>
            </w:r>
            <w:r>
              <w:rPr>
                <w:noProof/>
                <w:webHidden/>
              </w:rPr>
              <w:fldChar w:fldCharType="separate"/>
            </w:r>
            <w:r>
              <w:rPr>
                <w:noProof/>
                <w:webHidden/>
              </w:rPr>
              <w:t>7</w:t>
            </w:r>
            <w:r>
              <w:rPr>
                <w:noProof/>
                <w:webHidden/>
              </w:rPr>
              <w:fldChar w:fldCharType="end"/>
            </w:r>
          </w:hyperlink>
        </w:p>
        <w:p w14:paraId="45816C94" w14:textId="77777777" w:rsidR="00CD3104" w:rsidRDefault="00CD3104">
          <w:pPr>
            <w:pStyle w:val="TOC2"/>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39" w:history="1">
            <w:r w:rsidRPr="00A02C0C">
              <w:rPr>
                <w:rStyle w:val="Hyperlink"/>
                <w:noProof/>
              </w:rPr>
              <w:t>4.1. Corporate Governance and Regulatory Environment</w:t>
            </w:r>
            <w:r>
              <w:rPr>
                <w:noProof/>
                <w:webHidden/>
              </w:rPr>
              <w:tab/>
            </w:r>
            <w:r>
              <w:rPr>
                <w:noProof/>
                <w:webHidden/>
              </w:rPr>
              <w:fldChar w:fldCharType="begin"/>
            </w:r>
            <w:r>
              <w:rPr>
                <w:noProof/>
                <w:webHidden/>
              </w:rPr>
              <w:instrText xml:space="preserve"> PAGEREF _Toc189933039 \h </w:instrText>
            </w:r>
            <w:r>
              <w:rPr>
                <w:noProof/>
                <w:webHidden/>
              </w:rPr>
            </w:r>
            <w:r>
              <w:rPr>
                <w:noProof/>
                <w:webHidden/>
              </w:rPr>
              <w:fldChar w:fldCharType="separate"/>
            </w:r>
            <w:r>
              <w:rPr>
                <w:noProof/>
                <w:webHidden/>
              </w:rPr>
              <w:t>7</w:t>
            </w:r>
            <w:r>
              <w:rPr>
                <w:noProof/>
                <w:webHidden/>
              </w:rPr>
              <w:fldChar w:fldCharType="end"/>
            </w:r>
          </w:hyperlink>
        </w:p>
        <w:p w14:paraId="112F3AFE" w14:textId="77777777" w:rsidR="00CD3104" w:rsidRDefault="00CD3104">
          <w:pPr>
            <w:pStyle w:val="TOC2"/>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40" w:history="1">
            <w:r w:rsidRPr="00A02C0C">
              <w:rPr>
                <w:rStyle w:val="Hyperlink"/>
                <w:noProof/>
              </w:rPr>
              <w:t>4.2. Investor Relations and Market Dynamics</w:t>
            </w:r>
            <w:r>
              <w:rPr>
                <w:noProof/>
                <w:webHidden/>
              </w:rPr>
              <w:tab/>
            </w:r>
            <w:r>
              <w:rPr>
                <w:noProof/>
                <w:webHidden/>
              </w:rPr>
              <w:fldChar w:fldCharType="begin"/>
            </w:r>
            <w:r>
              <w:rPr>
                <w:noProof/>
                <w:webHidden/>
              </w:rPr>
              <w:instrText xml:space="preserve"> PAGEREF _Toc189933040 \h </w:instrText>
            </w:r>
            <w:r>
              <w:rPr>
                <w:noProof/>
                <w:webHidden/>
              </w:rPr>
            </w:r>
            <w:r>
              <w:rPr>
                <w:noProof/>
                <w:webHidden/>
              </w:rPr>
              <w:fldChar w:fldCharType="separate"/>
            </w:r>
            <w:r>
              <w:rPr>
                <w:noProof/>
                <w:webHidden/>
              </w:rPr>
              <w:t>8</w:t>
            </w:r>
            <w:r>
              <w:rPr>
                <w:noProof/>
                <w:webHidden/>
              </w:rPr>
              <w:fldChar w:fldCharType="end"/>
            </w:r>
          </w:hyperlink>
        </w:p>
        <w:p w14:paraId="5BF6D1DA" w14:textId="77777777" w:rsidR="00CD3104" w:rsidRDefault="00CD3104">
          <w:pPr>
            <w:pStyle w:val="TOC2"/>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41" w:history="1">
            <w:r w:rsidRPr="00A02C0C">
              <w:rPr>
                <w:rStyle w:val="Hyperlink"/>
                <w:noProof/>
              </w:rPr>
              <w:t>4.3. Taxation and Legal Considerations</w:t>
            </w:r>
            <w:r>
              <w:rPr>
                <w:noProof/>
                <w:webHidden/>
              </w:rPr>
              <w:tab/>
            </w:r>
            <w:r>
              <w:rPr>
                <w:noProof/>
                <w:webHidden/>
              </w:rPr>
              <w:fldChar w:fldCharType="begin"/>
            </w:r>
            <w:r>
              <w:rPr>
                <w:noProof/>
                <w:webHidden/>
              </w:rPr>
              <w:instrText xml:space="preserve"> PAGEREF _Toc189933041 \h </w:instrText>
            </w:r>
            <w:r>
              <w:rPr>
                <w:noProof/>
                <w:webHidden/>
              </w:rPr>
            </w:r>
            <w:r>
              <w:rPr>
                <w:noProof/>
                <w:webHidden/>
              </w:rPr>
              <w:fldChar w:fldCharType="separate"/>
            </w:r>
            <w:r>
              <w:rPr>
                <w:noProof/>
                <w:webHidden/>
              </w:rPr>
              <w:t>8</w:t>
            </w:r>
            <w:r>
              <w:rPr>
                <w:noProof/>
                <w:webHidden/>
              </w:rPr>
              <w:fldChar w:fldCharType="end"/>
            </w:r>
          </w:hyperlink>
        </w:p>
        <w:p w14:paraId="26DD7F26"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42" w:history="1">
            <w:r w:rsidRPr="00A02C0C">
              <w:rPr>
                <w:rStyle w:val="Hyperlink"/>
                <w:noProof/>
              </w:rPr>
              <w:t>5.0 Conclusion</w:t>
            </w:r>
            <w:r>
              <w:rPr>
                <w:noProof/>
                <w:webHidden/>
              </w:rPr>
              <w:tab/>
            </w:r>
            <w:r>
              <w:rPr>
                <w:noProof/>
                <w:webHidden/>
              </w:rPr>
              <w:fldChar w:fldCharType="begin"/>
            </w:r>
            <w:r>
              <w:rPr>
                <w:noProof/>
                <w:webHidden/>
              </w:rPr>
              <w:instrText xml:space="preserve"> PAGEREF _Toc189933042 \h </w:instrText>
            </w:r>
            <w:r>
              <w:rPr>
                <w:noProof/>
                <w:webHidden/>
              </w:rPr>
            </w:r>
            <w:r>
              <w:rPr>
                <w:noProof/>
                <w:webHidden/>
              </w:rPr>
              <w:fldChar w:fldCharType="separate"/>
            </w:r>
            <w:r>
              <w:rPr>
                <w:noProof/>
                <w:webHidden/>
              </w:rPr>
              <w:t>8</w:t>
            </w:r>
            <w:r>
              <w:rPr>
                <w:noProof/>
                <w:webHidden/>
              </w:rPr>
              <w:fldChar w:fldCharType="end"/>
            </w:r>
          </w:hyperlink>
        </w:p>
        <w:p w14:paraId="1A639E50"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43" w:history="1">
            <w:r w:rsidRPr="00A02C0C">
              <w:rPr>
                <w:rStyle w:val="Hyperlink"/>
                <w:noProof/>
              </w:rPr>
              <w:t>6.0 Recommendations</w:t>
            </w:r>
            <w:r>
              <w:rPr>
                <w:noProof/>
                <w:webHidden/>
              </w:rPr>
              <w:tab/>
            </w:r>
            <w:r>
              <w:rPr>
                <w:noProof/>
                <w:webHidden/>
              </w:rPr>
              <w:fldChar w:fldCharType="begin"/>
            </w:r>
            <w:r>
              <w:rPr>
                <w:noProof/>
                <w:webHidden/>
              </w:rPr>
              <w:instrText xml:space="preserve"> PAGEREF _Toc189933043 \h </w:instrText>
            </w:r>
            <w:r>
              <w:rPr>
                <w:noProof/>
                <w:webHidden/>
              </w:rPr>
            </w:r>
            <w:r>
              <w:rPr>
                <w:noProof/>
                <w:webHidden/>
              </w:rPr>
              <w:fldChar w:fldCharType="separate"/>
            </w:r>
            <w:r>
              <w:rPr>
                <w:noProof/>
                <w:webHidden/>
              </w:rPr>
              <w:t>9</w:t>
            </w:r>
            <w:r>
              <w:rPr>
                <w:noProof/>
                <w:webHidden/>
              </w:rPr>
              <w:fldChar w:fldCharType="end"/>
            </w:r>
          </w:hyperlink>
        </w:p>
        <w:p w14:paraId="7ABD1DCE" w14:textId="77777777" w:rsidR="00CD3104" w:rsidRDefault="00CD3104">
          <w:pPr>
            <w:pStyle w:val="TOC1"/>
            <w:tabs>
              <w:tab w:val="right" w:leader="dot" w:pos="9350"/>
            </w:tabs>
            <w:rPr>
              <w:rFonts w:asciiTheme="minorHAnsi" w:eastAsiaTheme="minorEastAsia" w:hAnsiTheme="minorHAnsi" w:cstheme="minorBidi"/>
              <w:noProof/>
              <w:kern w:val="0"/>
              <w:sz w:val="22"/>
              <w:szCs w:val="22"/>
              <w:lang w:val="en-GB" w:eastAsia="en-GB"/>
              <w14:ligatures w14:val="none"/>
            </w:rPr>
          </w:pPr>
          <w:hyperlink w:anchor="_Toc189933044" w:history="1">
            <w:r w:rsidRPr="00A02C0C">
              <w:rPr>
                <w:rStyle w:val="Hyperlink"/>
                <w:noProof/>
              </w:rPr>
              <w:t>References</w:t>
            </w:r>
            <w:r>
              <w:rPr>
                <w:noProof/>
                <w:webHidden/>
              </w:rPr>
              <w:tab/>
            </w:r>
            <w:r>
              <w:rPr>
                <w:noProof/>
                <w:webHidden/>
              </w:rPr>
              <w:fldChar w:fldCharType="begin"/>
            </w:r>
            <w:r>
              <w:rPr>
                <w:noProof/>
                <w:webHidden/>
              </w:rPr>
              <w:instrText xml:space="preserve"> PAGEREF _Toc189933044 \h </w:instrText>
            </w:r>
            <w:r>
              <w:rPr>
                <w:noProof/>
                <w:webHidden/>
              </w:rPr>
            </w:r>
            <w:r>
              <w:rPr>
                <w:noProof/>
                <w:webHidden/>
              </w:rPr>
              <w:fldChar w:fldCharType="separate"/>
            </w:r>
            <w:r>
              <w:rPr>
                <w:noProof/>
                <w:webHidden/>
              </w:rPr>
              <w:t>10</w:t>
            </w:r>
            <w:r>
              <w:rPr>
                <w:noProof/>
                <w:webHidden/>
              </w:rPr>
              <w:fldChar w:fldCharType="end"/>
            </w:r>
          </w:hyperlink>
        </w:p>
        <w:p w14:paraId="442D5143" w14:textId="77777777" w:rsidR="001D26C8" w:rsidRPr="007040AB" w:rsidRDefault="001D26C8" w:rsidP="007040AB">
          <w:pPr>
            <w:spacing w:line="480" w:lineRule="auto"/>
          </w:pPr>
          <w:r w:rsidRPr="007040AB">
            <w:rPr>
              <w:b/>
              <w:bCs/>
              <w:noProof/>
            </w:rPr>
            <w:fldChar w:fldCharType="end"/>
          </w:r>
        </w:p>
      </w:sdtContent>
    </w:sdt>
    <w:p w14:paraId="199340B3" w14:textId="77777777" w:rsidR="00CC1D4F" w:rsidRPr="000C3E4A" w:rsidRDefault="001D26C8" w:rsidP="000C3E4A">
      <w:pPr>
        <w:spacing w:line="480" w:lineRule="auto"/>
        <w:rPr>
          <w:rFonts w:eastAsiaTheme="majorEastAsia"/>
          <w:b/>
        </w:rPr>
      </w:pPr>
      <w:r w:rsidRPr="007040AB">
        <w:br w:type="page"/>
      </w:r>
    </w:p>
    <w:p w14:paraId="4125BFD6" w14:textId="77777777" w:rsidR="00BC5020" w:rsidRPr="007040AB" w:rsidRDefault="000C3E4A" w:rsidP="007040AB">
      <w:pPr>
        <w:pStyle w:val="Heading1"/>
        <w:rPr>
          <w:rFonts w:cs="Times New Roman"/>
          <w:szCs w:val="24"/>
        </w:rPr>
      </w:pPr>
      <w:bookmarkStart w:id="1" w:name="_Toc189933032"/>
      <w:r>
        <w:rPr>
          <w:rFonts w:cs="Times New Roman"/>
          <w:szCs w:val="24"/>
        </w:rPr>
        <w:lastRenderedPageBreak/>
        <w:t xml:space="preserve">1.0 </w:t>
      </w:r>
      <w:r w:rsidR="00BC5020" w:rsidRPr="007040AB">
        <w:rPr>
          <w:rFonts w:cs="Times New Roman"/>
          <w:szCs w:val="24"/>
        </w:rPr>
        <w:t>Introduction</w:t>
      </w:r>
      <w:bookmarkEnd w:id="1"/>
    </w:p>
    <w:p w14:paraId="603D400B" w14:textId="77777777" w:rsidR="00591627" w:rsidRPr="007040AB" w:rsidRDefault="00591627" w:rsidP="007040AB">
      <w:pPr>
        <w:spacing w:line="480" w:lineRule="auto"/>
        <w:jc w:val="both"/>
      </w:pPr>
      <w:r w:rsidRPr="007040AB">
        <w:t xml:space="preserve">In the cases of public companies, corporate governance and agency theory are very important to ensure transparency, accountability, and efficiency </w:t>
      </w:r>
      <w:r w:rsidR="00C22654" w:rsidRPr="007040AB">
        <w:rPr>
          <w:color w:val="222222"/>
          <w:shd w:val="clear" w:color="auto" w:fill="FFFFFF"/>
        </w:rPr>
        <w:t>(Vargas-Hernández and Teodoro Cruz 2018). W</w:t>
      </w:r>
      <w:r w:rsidRPr="007040AB">
        <w:t>hen a service company that is private to begin with, and is run by a family, goes on the Alternative Investment Market (AIM) in the UK, it really has to have good governance structures to fend off shareholders outside and maintain strategic control. This report supplies the Board of Directors of the company with a structured review of corporate governance required, control mechanism to ensure control with 30% shareholding, fair director compensation structure and the institutional differences between UK, Shanghai and Netherlands</w:t>
      </w:r>
      <w:r w:rsidR="00C22654" w:rsidRPr="007040AB">
        <w:t xml:space="preserve"> (</w:t>
      </w:r>
      <w:r w:rsidR="00C22654" w:rsidRPr="007040AB">
        <w:rPr>
          <w:color w:val="222222"/>
          <w:shd w:val="clear" w:color="auto" w:fill="FFFFFF"/>
        </w:rPr>
        <w:t>Jain , 2022). </w:t>
      </w:r>
      <w:r w:rsidRPr="007040AB">
        <w:t>These concepts will help the board use balanced judgement in making its decisions relating to family influence, investor confidence and regulatory compliance in order to maintain sustainable corporate development after listing.</w:t>
      </w:r>
    </w:p>
    <w:p w14:paraId="28CED4E4" w14:textId="77777777" w:rsidR="00BC5020" w:rsidRPr="007040AB" w:rsidRDefault="000C3E4A" w:rsidP="007040AB">
      <w:pPr>
        <w:pStyle w:val="Heading1"/>
        <w:rPr>
          <w:rFonts w:cs="Times New Roman"/>
          <w:szCs w:val="24"/>
        </w:rPr>
      </w:pPr>
      <w:bookmarkStart w:id="2" w:name="_Toc189933033"/>
      <w:r>
        <w:rPr>
          <w:rFonts w:cs="Times New Roman"/>
          <w:szCs w:val="24"/>
        </w:rPr>
        <w:t>2.</w:t>
      </w:r>
      <w:r w:rsidRPr="000C3E4A">
        <w:t xml:space="preserve"> </w:t>
      </w:r>
      <w:r w:rsidR="00CD3104" w:rsidRPr="000C3E4A">
        <w:rPr>
          <w:rFonts w:cs="Times New Roman"/>
          <w:szCs w:val="24"/>
        </w:rPr>
        <w:t>Corporate Governance And Agency Theory And Their Significance To Public Limited Liability Companies</w:t>
      </w:r>
      <w:bookmarkEnd w:id="2"/>
    </w:p>
    <w:p w14:paraId="21CA0213" w14:textId="77777777" w:rsidR="00591627" w:rsidRPr="007040AB" w:rsidRDefault="00591627" w:rsidP="007040AB">
      <w:pPr>
        <w:spacing w:line="480" w:lineRule="auto"/>
        <w:jc w:val="both"/>
      </w:pPr>
      <w:r w:rsidRPr="007040AB">
        <w:t>Corporate governance is about the rules, the practice and the procedures of how a company is governed and controlled</w:t>
      </w:r>
      <w:r w:rsidR="00C22654" w:rsidRPr="007040AB">
        <w:t xml:space="preserve"> (</w:t>
      </w:r>
      <w:r w:rsidR="00C22654" w:rsidRPr="007040AB">
        <w:rPr>
          <w:color w:val="222222"/>
          <w:shd w:val="clear" w:color="auto" w:fill="FFFFFF"/>
        </w:rPr>
        <w:t>Calder ,2008). </w:t>
      </w:r>
      <w:r w:rsidRPr="007040AB">
        <w:t>It promotes transparency, accountability and fairness as a means of ensuring proper interactions in a company with its stakeholders such as its shareholders, customers, employees and regulators among others. UK Corporate Governance Code is mandatory to UK listed companies on the Alternative Investment Market (AIM) in UK. They include board independence principles, the risk management, ethical leadership, and fair remuneration policy. Principal and agent relationships are outlined and described by agency theory</w:t>
      </w:r>
      <w:r w:rsidR="00C22654" w:rsidRPr="007040AB">
        <w:t xml:space="preserve"> (</w:t>
      </w:r>
      <w:r w:rsidR="00C22654" w:rsidRPr="007040AB">
        <w:rPr>
          <w:color w:val="222222"/>
          <w:shd w:val="clear" w:color="auto" w:fill="FFFFFF"/>
        </w:rPr>
        <w:t>Shah , 2014).</w:t>
      </w:r>
      <w:r w:rsidRPr="007040AB">
        <w:t xml:space="preserve"> Conflict may occur in publicly traded firm because directors use their position as directors to pursue their own interests, which will imply that they are not serving the interests of shareholders. </w:t>
      </w:r>
      <w:r w:rsidRPr="007040AB">
        <w:lastRenderedPageBreak/>
        <w:t>It is called the principal agent problem. Controls, as in board oversight, shareholders rights, executive compensation tied to performance, regulatory compliance are processes that avert this through good corporate governance</w:t>
      </w:r>
      <w:r w:rsidR="00C22654" w:rsidRPr="007040AB">
        <w:t xml:space="preserve"> (</w:t>
      </w:r>
      <w:r w:rsidR="00C22654" w:rsidRPr="007040AB">
        <w:rPr>
          <w:color w:val="222222"/>
          <w:shd w:val="clear" w:color="auto" w:fill="FFFFFF"/>
        </w:rPr>
        <w:t>Laksmana,2008).</w:t>
      </w:r>
      <w:r w:rsidRPr="007040AB">
        <w:t xml:space="preserve"> In the long term, good corporate governance will attract investor’s confidence, reduce financial risk and stability of PLC. It discourages fraudulent behavior; that is, management actions are designed to be aligned with shareholder interests; it improves decision making</w:t>
      </w:r>
      <w:r w:rsidR="007040AB" w:rsidRPr="007040AB">
        <w:t xml:space="preserve"> (</w:t>
      </w:r>
      <w:r w:rsidR="009B107C" w:rsidRPr="007040AB">
        <w:t>World Bank 2024)</w:t>
      </w:r>
      <w:r w:rsidR="007040AB" w:rsidRPr="007040AB">
        <w:t>.</w:t>
      </w:r>
      <w:r w:rsidR="009B107C" w:rsidRPr="007040AB">
        <w:t xml:space="preserve"> </w:t>
      </w:r>
      <w:r w:rsidRPr="007040AB">
        <w:t xml:space="preserve">Given that the company had gone public, we need to pay extra attention to these frameworks. Maintaining strategic control while </w:t>
      </w:r>
      <w:r w:rsidR="001D26C8" w:rsidRPr="007040AB">
        <w:t>following</w:t>
      </w:r>
      <w:r w:rsidRPr="007040AB">
        <w:t xml:space="preserve"> AIM listing standards will only be attained if the family shareholders adhere to strong governance.</w:t>
      </w:r>
    </w:p>
    <w:p w14:paraId="5DBE652C" w14:textId="77777777" w:rsidR="000C3E4A" w:rsidRDefault="000C3E4A" w:rsidP="000C3E4A">
      <w:pPr>
        <w:pStyle w:val="Heading1"/>
      </w:pPr>
      <w:bookmarkStart w:id="3" w:name="_Toc189933034"/>
      <w:r>
        <w:t xml:space="preserve">3.0 </w:t>
      </w:r>
      <w:r w:rsidRPr="000C3E4A">
        <w:t>How  the current board retain control of the company whilst holding 30% of the company’s shareholding</w:t>
      </w:r>
      <w:r>
        <w:t>.</w:t>
      </w:r>
      <w:bookmarkEnd w:id="3"/>
    </w:p>
    <w:p w14:paraId="6C3C33C1" w14:textId="77777777" w:rsidR="00537FA6" w:rsidRPr="007040AB" w:rsidRDefault="00591627" w:rsidP="00CD3104">
      <w:pPr>
        <w:spacing w:line="480" w:lineRule="auto"/>
      </w:pPr>
      <w:r w:rsidRPr="007040AB">
        <w:t>When the company goes public on the Alternative Investment Market, or AIM, in the UK, the shareholding of the founding family will decrease to 30%, with the rest being external investors. However, the board can take several steps to retain control of the company's strategic direction, decision-making, and governance.</w:t>
      </w:r>
      <w:r w:rsidR="00CD3104">
        <w:t xml:space="preserve"> Firstly, </w:t>
      </w:r>
      <w:r w:rsidRPr="007040AB">
        <w:t>It is possible to have dual-class shares with differing voting rights. For example, the family shareholders will hold Class A shares with superior voting rights—for instance, 10 votes per share—while the external investors hold Class B shares with one vote per share</w:t>
      </w:r>
      <w:r w:rsidR="002C436C" w:rsidRPr="007040AB">
        <w:t xml:space="preserve"> (</w:t>
      </w:r>
      <w:r w:rsidR="002C436C" w:rsidRPr="007040AB">
        <w:rPr>
          <w:color w:val="222222"/>
          <w:shd w:val="clear" w:color="auto" w:fill="FFFFFF"/>
        </w:rPr>
        <w:t>Beladi et al ., 2022).</w:t>
      </w:r>
      <w:r w:rsidRPr="007040AB">
        <w:t xml:space="preserve"> This will ensure that the family retains majority control of major </w:t>
      </w:r>
      <w:r w:rsidRPr="00CD3104">
        <w:t>decisions.</w:t>
      </w:r>
      <w:r w:rsidR="00CD3104" w:rsidRPr="00CD3104">
        <w:t xml:space="preserve">Secondly,board composition and independence. </w:t>
      </w:r>
      <w:r w:rsidRPr="00CD3104">
        <w:t>The family</w:t>
      </w:r>
      <w:r w:rsidRPr="007040AB">
        <w:t xml:space="preserve"> should ensure the key board positions, that is, Chairperson, CEO, and CFO, are retained</w:t>
      </w:r>
      <w:r w:rsidR="002C436C" w:rsidRPr="007040AB">
        <w:t xml:space="preserve"> (</w:t>
      </w:r>
      <w:r w:rsidR="002C436C" w:rsidRPr="007040AB">
        <w:rPr>
          <w:color w:val="222222"/>
          <w:shd w:val="clear" w:color="auto" w:fill="FFFFFF"/>
        </w:rPr>
        <w:t xml:space="preserve">Johnson et al ., 2013). </w:t>
      </w:r>
      <w:r w:rsidRPr="007040AB">
        <w:t>The family can reduce outside influence while achieving governance compliance through the appointment of trusted independent directors whose interests are aligned with those of the family.</w:t>
      </w:r>
      <w:r w:rsidR="00CD3104" w:rsidRPr="00CD3104">
        <w:t>Furthermore, there is the</w:t>
      </w:r>
      <w:r w:rsidR="00CD3104">
        <w:rPr>
          <w:b/>
        </w:rPr>
        <w:t xml:space="preserve"> </w:t>
      </w:r>
      <w:r w:rsidRPr="007040AB">
        <w:t xml:space="preserve">  shareholders' agreement might contain preemptive rights, </w:t>
      </w:r>
      <w:r w:rsidRPr="007040AB">
        <w:lastRenderedPageBreak/>
        <w:t>which stop external investors from buying any additional shares without the board's approval</w:t>
      </w:r>
      <w:r w:rsidR="002C436C" w:rsidRPr="007040AB">
        <w:t xml:space="preserve"> (</w:t>
      </w:r>
      <w:r w:rsidR="002C436C" w:rsidRPr="007040AB">
        <w:rPr>
          <w:color w:val="222222"/>
          <w:shd w:val="clear" w:color="auto" w:fill="FFFFFF"/>
        </w:rPr>
        <w:t>Mock et al ., 2018).</w:t>
      </w:r>
      <w:r w:rsidRPr="007040AB">
        <w:t xml:space="preserve">The voting agreements between the family members can also focus their aggregate voting power on the </w:t>
      </w:r>
      <w:r w:rsidRPr="00CD3104">
        <w:t>family.</w:t>
      </w:r>
      <w:r w:rsidR="00CD3104" w:rsidRPr="00CD3104">
        <w:t>Lastly, golden shares or  veto powers come in handy</w:t>
      </w:r>
      <w:r w:rsidR="00CD3104">
        <w:t>.</w:t>
      </w:r>
      <w:r w:rsidR="00537FA6" w:rsidRPr="007040AB">
        <w:t>One of the golden shares owned by the family entitles them to cast a veto on certain key decisions which the company may take such as mergers and acquisitions or change in governance structure</w:t>
      </w:r>
      <w:r w:rsidR="002C436C" w:rsidRPr="007040AB">
        <w:t xml:space="preserve"> (</w:t>
      </w:r>
      <w:r w:rsidR="002C436C" w:rsidRPr="007040AB">
        <w:rPr>
          <w:color w:val="222222"/>
          <w:shd w:val="clear" w:color="auto" w:fill="FFFFFF"/>
        </w:rPr>
        <w:t>Sun , 2020).</w:t>
      </w:r>
      <w:r w:rsidR="00CD3104">
        <w:t xml:space="preserve">Therefore, </w:t>
      </w:r>
      <w:r w:rsidR="00537FA6" w:rsidRPr="007040AB">
        <w:t>Teaming up with institutional investors/long-term stakeholders whose vision for the family business fits with mine helps ensure that the family business will not be captured by external players, hence staving off hostile takeovers and board instability.</w:t>
      </w:r>
    </w:p>
    <w:p w14:paraId="5C9A6D18" w14:textId="77777777" w:rsidR="00537FA6" w:rsidRPr="007040AB" w:rsidRDefault="00CD3104" w:rsidP="007040AB">
      <w:pPr>
        <w:pStyle w:val="Heading1"/>
        <w:rPr>
          <w:rFonts w:cs="Times New Roman"/>
          <w:szCs w:val="24"/>
        </w:rPr>
      </w:pPr>
      <w:bookmarkStart w:id="4" w:name="_Toc189933035"/>
      <w:r>
        <w:rPr>
          <w:rFonts w:cs="Times New Roman"/>
          <w:szCs w:val="24"/>
        </w:rPr>
        <w:t xml:space="preserve">3.0 </w:t>
      </w:r>
      <w:r w:rsidR="000C3E4A" w:rsidRPr="000C3E4A">
        <w:rPr>
          <w:rFonts w:cs="Times New Roman"/>
          <w:szCs w:val="24"/>
        </w:rPr>
        <w:t>the remuneration of directors be decided</w:t>
      </w:r>
      <w:r>
        <w:rPr>
          <w:rFonts w:cs="Times New Roman"/>
          <w:szCs w:val="24"/>
        </w:rPr>
        <w:t xml:space="preserve"> and </w:t>
      </w:r>
      <w:r w:rsidR="000C3E4A" w:rsidRPr="000C3E4A">
        <w:rPr>
          <w:rFonts w:cs="Times New Roman"/>
          <w:szCs w:val="24"/>
        </w:rPr>
        <w:t xml:space="preserve"> the relevant structures</w:t>
      </w:r>
      <w:bookmarkEnd w:id="4"/>
    </w:p>
    <w:p w14:paraId="2B5826D5" w14:textId="77777777" w:rsidR="00537FA6" w:rsidRPr="007040AB" w:rsidRDefault="00537FA6" w:rsidP="007040AB">
      <w:pPr>
        <w:spacing w:line="480" w:lineRule="auto"/>
        <w:jc w:val="both"/>
      </w:pPr>
      <w:r w:rsidRPr="007040AB">
        <w:t>Should an appropriate, transparent remuneration structure for directors be achieved in preparing the listing on the Alternative Market of the UK, it will be of major importance not only in attracting investors, but also to preserve both distance and compliance with the standards of corporate governance on the part of the board. Good remuneration policy is properly designed so long-term shareholder value incentives and manager incentives align, do not threaten excessive riskiness nor conflict of interest.</w:t>
      </w:r>
    </w:p>
    <w:p w14:paraId="6FD68F8B" w14:textId="77777777" w:rsidR="00537FA6" w:rsidRPr="007040AB" w:rsidRDefault="00CD3104" w:rsidP="007040AB">
      <w:pPr>
        <w:pStyle w:val="Heading2"/>
        <w:spacing w:line="480" w:lineRule="auto"/>
        <w:rPr>
          <w:rFonts w:cs="Times New Roman"/>
          <w:szCs w:val="24"/>
        </w:rPr>
      </w:pPr>
      <w:bookmarkStart w:id="5" w:name="_Toc189933036"/>
      <w:r>
        <w:rPr>
          <w:rFonts w:cs="Times New Roman"/>
          <w:szCs w:val="24"/>
        </w:rPr>
        <w:t xml:space="preserve">3.1 </w:t>
      </w:r>
      <w:r w:rsidR="00537FA6" w:rsidRPr="007040AB">
        <w:rPr>
          <w:rFonts w:cs="Times New Roman"/>
          <w:szCs w:val="24"/>
        </w:rPr>
        <w:t>Key Considerations: Director Remuneration</w:t>
      </w:r>
      <w:bookmarkEnd w:id="5"/>
    </w:p>
    <w:p w14:paraId="154DC35B" w14:textId="77777777" w:rsidR="00537FA6" w:rsidRPr="007040AB" w:rsidRDefault="00537FA6" w:rsidP="007040AB">
      <w:pPr>
        <w:spacing w:line="480" w:lineRule="auto"/>
        <w:jc w:val="both"/>
      </w:pPr>
      <w:r w:rsidRPr="007040AB">
        <w:t>Directors’ pay should be based on performance, aligned with shareholders’ interests and the companies. By this the financial key performance indicator will be related to remunerating them in accordance to the creation of value for the company</w:t>
      </w:r>
      <w:r w:rsidR="002C436C" w:rsidRPr="007040AB">
        <w:t xml:space="preserve"> (</w:t>
      </w:r>
      <w:r w:rsidR="002C436C" w:rsidRPr="007040AB">
        <w:rPr>
          <w:color w:val="222222"/>
          <w:shd w:val="clear" w:color="auto" w:fill="FFFFFF"/>
        </w:rPr>
        <w:t>Goh and Gupta,  2016).</w:t>
      </w:r>
      <w:r w:rsidRPr="007040AB">
        <w:t xml:space="preserve">The remuneration will be competitively benchmarked to AIM peers. As part of a balanced approach the fixed salary, performance related bonuses and also equity-based incentives such as stock options and restricted shares will be included to push the company directors towards long term success. Furthermore, </w:t>
      </w:r>
      <w:r w:rsidRPr="007040AB">
        <w:lastRenderedPageBreak/>
        <w:t>shareholding requirements mean that directors should have shares of the company so that they have the same interests as shareholders and their governance and decision making are prudent.</w:t>
      </w:r>
    </w:p>
    <w:p w14:paraId="634C3746" w14:textId="77777777" w:rsidR="00537FA6" w:rsidRPr="007040AB" w:rsidRDefault="00CD3104" w:rsidP="007040AB">
      <w:pPr>
        <w:pStyle w:val="Heading2"/>
        <w:spacing w:line="480" w:lineRule="auto"/>
        <w:rPr>
          <w:rFonts w:cs="Times New Roman"/>
          <w:szCs w:val="24"/>
        </w:rPr>
      </w:pPr>
      <w:bookmarkStart w:id="6" w:name="_Toc189933037"/>
      <w:r>
        <w:rPr>
          <w:rFonts w:cs="Times New Roman"/>
          <w:szCs w:val="24"/>
        </w:rPr>
        <w:t xml:space="preserve">3.2 </w:t>
      </w:r>
      <w:r w:rsidR="00537FA6" w:rsidRPr="007040AB">
        <w:rPr>
          <w:rFonts w:cs="Times New Roman"/>
          <w:szCs w:val="24"/>
        </w:rPr>
        <w:t>Governance Structures for Fair Compensation</w:t>
      </w:r>
      <w:bookmarkEnd w:id="6"/>
    </w:p>
    <w:p w14:paraId="7DF161A0" w14:textId="77777777" w:rsidR="00537FA6" w:rsidRPr="007040AB" w:rsidRDefault="00537FA6" w:rsidP="007040AB">
      <w:pPr>
        <w:spacing w:line="480" w:lineRule="auto"/>
        <w:jc w:val="both"/>
      </w:pPr>
      <w:r w:rsidRPr="007040AB">
        <w:t>This must deal with remuneration of directors by a remuneration committee of the board consisting of non-executive independent directors. The organizational policy on executive compensation should also be outlined in annual report and be for the voting by the shareholders</w:t>
      </w:r>
      <w:r w:rsidR="002C436C" w:rsidRPr="007040AB">
        <w:t xml:space="preserve"> (</w:t>
      </w:r>
      <w:r w:rsidR="002C436C" w:rsidRPr="007040AB">
        <w:rPr>
          <w:color w:val="222222"/>
          <w:shd w:val="clear" w:color="auto" w:fill="FFFFFF"/>
        </w:rPr>
        <w:t xml:space="preserve">He ,2008). </w:t>
      </w:r>
      <w:r w:rsidRPr="007040AB">
        <w:t xml:space="preserve"> More critically claw back provisions will be used to recover bonuses where there has been financial misconduct or poor performance of duties in relation to the principle of accountability.</w:t>
      </w:r>
    </w:p>
    <w:p w14:paraId="303B383A" w14:textId="77777777" w:rsidR="00CD3104" w:rsidRDefault="00CD3104" w:rsidP="007040AB">
      <w:pPr>
        <w:pStyle w:val="Heading1"/>
        <w:rPr>
          <w:rFonts w:cs="Times New Roman"/>
          <w:szCs w:val="24"/>
        </w:rPr>
      </w:pPr>
      <w:bookmarkStart w:id="7" w:name="_Toc189933038"/>
      <w:r>
        <w:rPr>
          <w:rFonts w:cs="Times New Roman"/>
          <w:szCs w:val="24"/>
        </w:rPr>
        <w:t xml:space="preserve">4.0 </w:t>
      </w:r>
      <w:r w:rsidRPr="00CD3104">
        <w:rPr>
          <w:rFonts w:cs="Times New Roman"/>
          <w:szCs w:val="24"/>
        </w:rPr>
        <w:t>The Current Board of Directors Any Institutional Differences That The Board Of Directors Should Be Aware Of</w:t>
      </w:r>
      <w:bookmarkEnd w:id="7"/>
    </w:p>
    <w:p w14:paraId="6AE8E1B5" w14:textId="77777777" w:rsidR="00537FA6" w:rsidRPr="007040AB" w:rsidRDefault="00537FA6" w:rsidP="007040AB">
      <w:pPr>
        <w:spacing w:line="480" w:lineRule="auto"/>
        <w:jc w:val="both"/>
      </w:pPr>
      <w:r w:rsidRPr="007040AB">
        <w:t>If the firm is thinking of opening up a listing in Shanghai or the Netherlands, there are some large institutional differences that have to be taken into consideration as institutions are what will define corporate governance, financial regulation and investor relations in the country.</w:t>
      </w:r>
    </w:p>
    <w:p w14:paraId="0327D864" w14:textId="77777777" w:rsidR="00537FA6" w:rsidRPr="007040AB" w:rsidRDefault="00CD3104" w:rsidP="007040AB">
      <w:pPr>
        <w:pStyle w:val="Heading2"/>
        <w:spacing w:line="480" w:lineRule="auto"/>
        <w:rPr>
          <w:rFonts w:cs="Times New Roman"/>
          <w:szCs w:val="24"/>
        </w:rPr>
      </w:pPr>
      <w:bookmarkStart w:id="8" w:name="_Toc189933039"/>
      <w:r>
        <w:rPr>
          <w:rFonts w:cs="Times New Roman"/>
          <w:szCs w:val="24"/>
        </w:rPr>
        <w:t>4.</w:t>
      </w:r>
      <w:r w:rsidR="00537FA6" w:rsidRPr="007040AB">
        <w:rPr>
          <w:rFonts w:cs="Times New Roman"/>
          <w:szCs w:val="24"/>
        </w:rPr>
        <w:t>1. Corporate Governance and Regulatory Environment</w:t>
      </w:r>
      <w:bookmarkEnd w:id="8"/>
    </w:p>
    <w:p w14:paraId="2AA51CB7" w14:textId="77777777" w:rsidR="00537FA6" w:rsidRPr="007040AB" w:rsidRDefault="00537FA6" w:rsidP="007040AB">
      <w:pPr>
        <w:spacing w:line="480" w:lineRule="auto"/>
        <w:jc w:val="both"/>
      </w:pPr>
      <w:r w:rsidRPr="007040AB">
        <w:t>In line with the UK Corporate Governance Code, UK (AIM Market) has to be transparent, to have independent boards and to give shareholders rights</w:t>
      </w:r>
      <w:r w:rsidR="002C436C" w:rsidRPr="007040AB">
        <w:t xml:space="preserve"> </w:t>
      </w:r>
      <w:r w:rsidR="009B107C" w:rsidRPr="007040AB">
        <w:t>(</w:t>
      </w:r>
      <w:r w:rsidR="009B107C" w:rsidRPr="007040AB">
        <w:rPr>
          <w:rStyle w:val="Strong"/>
          <w:b w:val="0"/>
        </w:rPr>
        <w:t>International Monetary Fund</w:t>
      </w:r>
      <w:r w:rsidR="009B107C" w:rsidRPr="007040AB">
        <w:rPr>
          <w:rStyle w:val="Strong"/>
        </w:rPr>
        <w:t xml:space="preserve"> ,</w:t>
      </w:r>
      <w:r w:rsidR="009B107C" w:rsidRPr="007040AB">
        <w:t xml:space="preserve"> 2025). </w:t>
      </w:r>
      <w:r w:rsidR="002C436C" w:rsidRPr="007040AB">
        <w:rPr>
          <w:color w:val="222222"/>
          <w:shd w:val="clear" w:color="auto" w:fill="FFFFFF"/>
        </w:rPr>
        <w:t xml:space="preserve"> </w:t>
      </w:r>
      <w:r w:rsidRPr="007040AB">
        <w:t xml:space="preserve">On AIM, companies are subject to flexible reporting conditions but must be in accordance with high standards of governance. On the contrary, the Shanghai Stock Exchange (SSE) is heavily state influenced from government control and state-controlled enterprises (SOEs). China’s Company Law and Code of Corporate Governance for Listed Companies require companies to secure complicated regulatory approvals and tighter reporting requirements. On the other side of the spectrum, the Netherlands host Euronext Amsterdam, and they promote a stakeholder approach </w:t>
      </w:r>
      <w:r w:rsidRPr="007040AB">
        <w:lastRenderedPageBreak/>
        <w:t>that strikes a good balance between protecting the shareholder’s right versus corporate responsibility</w:t>
      </w:r>
      <w:r w:rsidR="002C436C" w:rsidRPr="007040AB">
        <w:t xml:space="preserve"> (</w:t>
      </w:r>
      <w:r w:rsidR="002C436C" w:rsidRPr="007040AB">
        <w:rPr>
          <w:color w:val="222222"/>
          <w:shd w:val="clear" w:color="auto" w:fill="FFFFFF"/>
        </w:rPr>
        <w:t xml:space="preserve">Van Bekkum et al ., 2010 ). </w:t>
      </w:r>
      <w:r w:rsidRPr="007040AB">
        <w:t>The Corporate Governance Code of the Dutch does request the two – tier board, consisting of independent supervisory boards overseeing executive directors in the first place as a means of further transparency and accountability in corporate decision making.</w:t>
      </w:r>
    </w:p>
    <w:p w14:paraId="1B4B6EA7" w14:textId="77777777" w:rsidR="00537FA6" w:rsidRPr="007040AB" w:rsidRDefault="00CD3104" w:rsidP="007040AB">
      <w:pPr>
        <w:pStyle w:val="Heading2"/>
        <w:spacing w:line="480" w:lineRule="auto"/>
        <w:rPr>
          <w:rFonts w:cs="Times New Roman"/>
          <w:szCs w:val="24"/>
        </w:rPr>
      </w:pPr>
      <w:bookmarkStart w:id="9" w:name="_Toc189933040"/>
      <w:r>
        <w:rPr>
          <w:rFonts w:cs="Times New Roman"/>
          <w:szCs w:val="24"/>
        </w:rPr>
        <w:t>4.</w:t>
      </w:r>
      <w:r w:rsidR="00537FA6" w:rsidRPr="007040AB">
        <w:rPr>
          <w:rFonts w:cs="Times New Roman"/>
          <w:szCs w:val="24"/>
        </w:rPr>
        <w:t>2. Investor Relations and Market Dynamics</w:t>
      </w:r>
      <w:bookmarkEnd w:id="9"/>
    </w:p>
    <w:p w14:paraId="37E0C2CD" w14:textId="77777777" w:rsidR="00537FA6" w:rsidRPr="007040AB" w:rsidRDefault="00537FA6" w:rsidP="007040AB">
      <w:pPr>
        <w:spacing w:line="480" w:lineRule="auto"/>
        <w:jc w:val="both"/>
      </w:pPr>
      <w:r w:rsidRPr="007040AB">
        <w:t>Shanghai market is very volatile, with a high participation of the retail investors and take place frequent regulatory interventions</w:t>
      </w:r>
      <w:r w:rsidR="00F11AEE" w:rsidRPr="007040AB">
        <w:t xml:space="preserve"> (</w:t>
      </w:r>
      <w:r w:rsidR="00F11AEE" w:rsidRPr="007040AB">
        <w:rPr>
          <w:color w:val="222222"/>
          <w:shd w:val="clear" w:color="auto" w:fill="FFFFFF"/>
        </w:rPr>
        <w:t xml:space="preserve">Zhou, 2016). </w:t>
      </w:r>
      <w:r w:rsidR="00F11AEE" w:rsidRPr="007040AB">
        <w:t xml:space="preserve"> </w:t>
      </w:r>
      <w:r w:rsidRPr="007040AB">
        <w:t xml:space="preserve"> The control over operations is more complicated due to foreign ownership limits, which may restrict foreign ownership. In terms of the two, the differences present as stability in the business environment of Netherlands, high institutional participation and the presence of EU capital markets which would allow for worldwide growth.</w:t>
      </w:r>
    </w:p>
    <w:p w14:paraId="449E0CE9" w14:textId="77777777" w:rsidR="00537FA6" w:rsidRPr="007040AB" w:rsidRDefault="00CD3104" w:rsidP="007040AB">
      <w:pPr>
        <w:pStyle w:val="Heading2"/>
        <w:spacing w:line="480" w:lineRule="auto"/>
        <w:rPr>
          <w:rFonts w:cs="Times New Roman"/>
          <w:szCs w:val="24"/>
        </w:rPr>
      </w:pPr>
      <w:bookmarkStart w:id="10" w:name="_Toc189933041"/>
      <w:r>
        <w:rPr>
          <w:rFonts w:cs="Times New Roman"/>
          <w:szCs w:val="24"/>
        </w:rPr>
        <w:t>4.</w:t>
      </w:r>
      <w:r w:rsidR="00537FA6" w:rsidRPr="007040AB">
        <w:rPr>
          <w:rFonts w:cs="Times New Roman"/>
          <w:szCs w:val="24"/>
        </w:rPr>
        <w:t>3. Taxation and Legal Considerations</w:t>
      </w:r>
      <w:bookmarkEnd w:id="10"/>
    </w:p>
    <w:p w14:paraId="7E6229B2" w14:textId="77777777" w:rsidR="00537FA6" w:rsidRPr="007040AB" w:rsidRDefault="00537FA6" w:rsidP="007040AB">
      <w:pPr>
        <w:spacing w:line="480" w:lineRule="auto"/>
        <w:jc w:val="both"/>
      </w:pPr>
      <w:r w:rsidRPr="007040AB">
        <w:t>Having such foreign exchange controls that bind Shanghai and a fair amount of state intervention, would constrain the foreign financial flexibility of Shanghai to a certain extent</w:t>
      </w:r>
      <w:r w:rsidR="009B107C" w:rsidRPr="007040AB">
        <w:t xml:space="preserve"> (</w:t>
      </w:r>
      <w:r w:rsidR="009B107C" w:rsidRPr="007040AB">
        <w:rPr>
          <w:rStyle w:val="Strong"/>
          <w:b w:val="0"/>
        </w:rPr>
        <w:t>World Bank</w:t>
      </w:r>
      <w:r w:rsidR="009B107C" w:rsidRPr="007040AB">
        <w:rPr>
          <w:rStyle w:val="Strong"/>
        </w:rPr>
        <w:t xml:space="preserve"> ,</w:t>
      </w:r>
      <w:r w:rsidR="009B107C" w:rsidRPr="007040AB">
        <w:t xml:space="preserve">2007). </w:t>
      </w:r>
      <w:r w:rsidRPr="007040AB">
        <w:t>Netherlands however offers a good tax environment, an effective climate for business, and a vast supporter facilitated by an effectively created lawful establishment, making this a decent decision for global extension. Due to these premises, the Dutch governance framework in corporate affairs in Shanghai is more stable and transparent, which lead to more confidence of investors and ease to regulate.</w:t>
      </w:r>
    </w:p>
    <w:p w14:paraId="16E696D1" w14:textId="77777777" w:rsidR="00591627" w:rsidRPr="007040AB" w:rsidRDefault="00CD3104" w:rsidP="007040AB">
      <w:pPr>
        <w:pStyle w:val="Heading1"/>
        <w:rPr>
          <w:rFonts w:cs="Times New Roman"/>
          <w:szCs w:val="24"/>
        </w:rPr>
      </w:pPr>
      <w:bookmarkStart w:id="11" w:name="_Toc189933042"/>
      <w:r>
        <w:rPr>
          <w:rFonts w:cs="Times New Roman"/>
          <w:szCs w:val="24"/>
        </w:rPr>
        <w:t xml:space="preserve">5.0 </w:t>
      </w:r>
      <w:r w:rsidR="00591627" w:rsidRPr="007040AB">
        <w:rPr>
          <w:rFonts w:cs="Times New Roman"/>
          <w:szCs w:val="24"/>
        </w:rPr>
        <w:t>Conclusion</w:t>
      </w:r>
      <w:bookmarkEnd w:id="11"/>
    </w:p>
    <w:p w14:paraId="27347ADD" w14:textId="77777777" w:rsidR="00537FA6" w:rsidRPr="007040AB" w:rsidRDefault="00537FA6" w:rsidP="007040AB">
      <w:pPr>
        <w:spacing w:line="480" w:lineRule="auto"/>
        <w:jc w:val="both"/>
      </w:pPr>
      <w:r w:rsidRPr="007040AB">
        <w:t xml:space="preserve">In the case of preparation for an AIM listing, the company must be ready and with the necessary strong corporate governance frameworks to satisfy both external shareholders and family control. </w:t>
      </w:r>
      <w:r w:rsidRPr="007040AB">
        <w:lastRenderedPageBreak/>
        <w:t>Having just 30% shareholding, strategic influence is insured through dual-class shares, board composition strategies, and shareholder agreements. Credibility of the governance is enhanced by establishment of a fair and transparent director remuneration policy that is tied to performance. In the third place, an institutional comparison of the UK, Shanghai and Netherlands is a basis to choose a suitable listing location: it is strong competition to Shanghai because it provides the expansion opportunities worldwide with less complicity in rule regulations because of the ease of doing business, investor protection, and stability of the governance system.</w:t>
      </w:r>
    </w:p>
    <w:p w14:paraId="235A26D6" w14:textId="77777777" w:rsidR="007911BF" w:rsidRPr="007040AB" w:rsidRDefault="00CD3104" w:rsidP="007040AB">
      <w:pPr>
        <w:pStyle w:val="Heading1"/>
        <w:rPr>
          <w:rFonts w:cs="Times New Roman"/>
          <w:szCs w:val="24"/>
        </w:rPr>
      </w:pPr>
      <w:bookmarkStart w:id="12" w:name="_Toc189933043"/>
      <w:r>
        <w:rPr>
          <w:rFonts w:cs="Times New Roman"/>
          <w:szCs w:val="24"/>
        </w:rPr>
        <w:t xml:space="preserve">6.0 </w:t>
      </w:r>
      <w:r w:rsidR="007911BF" w:rsidRPr="007040AB">
        <w:rPr>
          <w:rFonts w:cs="Times New Roman"/>
          <w:szCs w:val="24"/>
        </w:rPr>
        <w:t>Recommendations</w:t>
      </w:r>
      <w:bookmarkEnd w:id="12"/>
    </w:p>
    <w:p w14:paraId="54909C35" w14:textId="77777777" w:rsidR="00591627" w:rsidRPr="007040AB" w:rsidRDefault="00537FA6" w:rsidP="007040AB">
      <w:pPr>
        <w:spacing w:line="480" w:lineRule="auto"/>
        <w:jc w:val="both"/>
      </w:pPr>
      <w:r w:rsidRPr="007040AB">
        <w:t>The firm will also adopt a dual class share structure and will retain the seats of the key executive positions of chairperson, CEO and chief financial officer in the family. It may also create shareholder agreements and take charge, reinforcing the strategic control, to protect the veto rights on all the crucial decisions. To determine director remuneration, set up a remuneration plan that is performance based on ROE, EPS and revenue growth and create a remuneration committee composed of non-executive directors for fairness sake</w:t>
      </w:r>
      <w:r w:rsidR="003A11A2" w:rsidRPr="007040AB">
        <w:t xml:space="preserve"> (</w:t>
      </w:r>
      <w:r w:rsidR="003A11A2" w:rsidRPr="007040AB">
        <w:rPr>
          <w:color w:val="222222"/>
          <w:shd w:val="clear" w:color="auto" w:fill="FFFFFF"/>
        </w:rPr>
        <w:t xml:space="preserve">Lu and Zhou, 2019). </w:t>
      </w:r>
      <w:r w:rsidRPr="007040AB">
        <w:t xml:space="preserve">Moreover, clawback (bonus recovery) provisions should also be put in place so that to promote accountability in the case of acts of misconduct which can result in such recovery. The Netherlands, Euronext Amsterdam being preferred than the place of listing is due to its transparency in the governance of the place of listing, the stability of investor interest and the favourable tax policy to provide the better </w:t>
      </w:r>
      <w:r w:rsidR="00C22654" w:rsidRPr="007040AB">
        <w:t>long-term</w:t>
      </w:r>
      <w:r w:rsidRPr="007040AB">
        <w:t xml:space="preserve"> stability</w:t>
      </w:r>
      <w:r w:rsidR="003A11A2" w:rsidRPr="007040AB">
        <w:t xml:space="preserve"> </w:t>
      </w:r>
      <w:r w:rsidRPr="007040AB">
        <w:t xml:space="preserve"> </w:t>
      </w:r>
      <w:r w:rsidR="003A11A2" w:rsidRPr="007040AB">
        <w:t>(</w:t>
      </w:r>
      <w:r w:rsidR="003A11A2" w:rsidRPr="007040AB">
        <w:rPr>
          <w:color w:val="222222"/>
          <w:shd w:val="clear" w:color="auto" w:fill="FFFFFF"/>
        </w:rPr>
        <w:t>Ndzi , 2014). </w:t>
      </w:r>
      <w:r w:rsidRPr="007040AB">
        <w:t>But foreign exchange restrictions and the meddling of government may leave less room for manouver in Shanghai. We will require the adoption of those approaches which are very instrumental in building investor confidence, strengthen governance and maintain the sustainability of the company from public listing journey.</w:t>
      </w:r>
    </w:p>
    <w:p w14:paraId="4AC58D7F" w14:textId="77777777" w:rsidR="00C22654" w:rsidRPr="007040AB" w:rsidRDefault="001D26C8" w:rsidP="007040AB">
      <w:pPr>
        <w:pStyle w:val="Heading1"/>
        <w:rPr>
          <w:rFonts w:cs="Times New Roman"/>
          <w:szCs w:val="24"/>
        </w:rPr>
      </w:pPr>
      <w:bookmarkStart w:id="13" w:name="_Toc189933044"/>
      <w:r w:rsidRPr="007040AB">
        <w:rPr>
          <w:rFonts w:cs="Times New Roman"/>
          <w:szCs w:val="24"/>
        </w:rPr>
        <w:lastRenderedPageBreak/>
        <w:t>References</w:t>
      </w:r>
      <w:bookmarkEnd w:id="13"/>
    </w:p>
    <w:p w14:paraId="17D21EBA" w14:textId="77777777" w:rsidR="00DE1755" w:rsidRPr="007040AB" w:rsidRDefault="00DE1755" w:rsidP="007040AB">
      <w:pPr>
        <w:spacing w:line="480" w:lineRule="auto"/>
        <w:ind w:left="720" w:hanging="720"/>
        <w:rPr>
          <w:color w:val="222222"/>
          <w:shd w:val="clear" w:color="auto" w:fill="FFFFFF"/>
        </w:rPr>
      </w:pPr>
    </w:p>
    <w:p w14:paraId="72F17406"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w:t>
      </w:r>
    </w:p>
    <w:p w14:paraId="33FCFBB2" w14:textId="77777777" w:rsidR="007040AB" w:rsidRPr="007040AB" w:rsidRDefault="007040AB" w:rsidP="007040AB">
      <w:pPr>
        <w:spacing w:line="480" w:lineRule="auto"/>
        <w:ind w:left="720" w:hanging="720"/>
        <w:rPr>
          <w:color w:val="222222"/>
          <w:shd w:val="clear" w:color="auto" w:fill="FFFFFF"/>
        </w:rPr>
      </w:pPr>
    </w:p>
    <w:p w14:paraId="0B50BCB3"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Beladi, H., Hu, M., Li, S. and Yang, J., 2022. Dual-class share structure on the dividend payout policy: Evidence from China Concepts Stocks. </w:t>
      </w:r>
      <w:r w:rsidRPr="007040AB">
        <w:rPr>
          <w:i/>
          <w:iCs/>
          <w:color w:val="222222"/>
          <w:shd w:val="clear" w:color="auto" w:fill="FFFFFF"/>
        </w:rPr>
        <w:t>International Review of Financial Analysis</w:t>
      </w:r>
      <w:r w:rsidRPr="007040AB">
        <w:rPr>
          <w:color w:val="222222"/>
          <w:shd w:val="clear" w:color="auto" w:fill="FFFFFF"/>
        </w:rPr>
        <w:t>, </w:t>
      </w:r>
      <w:r w:rsidRPr="007040AB">
        <w:rPr>
          <w:i/>
          <w:iCs/>
          <w:color w:val="222222"/>
          <w:shd w:val="clear" w:color="auto" w:fill="FFFFFF"/>
        </w:rPr>
        <w:t>82</w:t>
      </w:r>
      <w:r w:rsidRPr="007040AB">
        <w:rPr>
          <w:color w:val="222222"/>
          <w:shd w:val="clear" w:color="auto" w:fill="FFFFFF"/>
        </w:rPr>
        <w:t xml:space="preserve">, p.102212. </w:t>
      </w:r>
    </w:p>
    <w:p w14:paraId="3363DB1F"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Calder, A., 2008. </w:t>
      </w:r>
      <w:r w:rsidRPr="007040AB">
        <w:rPr>
          <w:i/>
          <w:iCs/>
          <w:color w:val="222222"/>
          <w:shd w:val="clear" w:color="auto" w:fill="FFFFFF"/>
        </w:rPr>
        <w:t xml:space="preserve">Corporate governance: A practical guide to the legal frameworks and international codes </w:t>
      </w:r>
      <w:r w:rsidRPr="007040AB">
        <w:rPr>
          <w:color w:val="222222"/>
          <w:shd w:val="clear" w:color="auto" w:fill="FFFFFF"/>
        </w:rPr>
        <w:t xml:space="preserve">Vargas-Hernández, J.G. and Teodoro Cruz, M.E., 2018. </w:t>
      </w:r>
      <w:r w:rsidRPr="007040AB">
        <w:rPr>
          <w:i/>
          <w:iCs/>
          <w:color w:val="222222"/>
          <w:shd w:val="clear" w:color="auto" w:fill="FFFFFF"/>
        </w:rPr>
        <w:t>of practice</w:t>
      </w:r>
      <w:r w:rsidRPr="007040AB">
        <w:rPr>
          <w:color w:val="222222"/>
          <w:shd w:val="clear" w:color="auto" w:fill="FFFFFF"/>
        </w:rPr>
        <w:t xml:space="preserve">. Kogan Page Publishers. </w:t>
      </w:r>
    </w:p>
    <w:p w14:paraId="18DA01AA"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Goh, L. and Gupta, A., 2016. Remuneration of non-executive directors: Evidence from the UK. </w:t>
      </w:r>
      <w:r w:rsidRPr="007040AB">
        <w:rPr>
          <w:i/>
          <w:iCs/>
          <w:color w:val="222222"/>
          <w:shd w:val="clear" w:color="auto" w:fill="FFFFFF"/>
        </w:rPr>
        <w:t>The British Accounting Review</w:t>
      </w:r>
      <w:r w:rsidRPr="007040AB">
        <w:rPr>
          <w:color w:val="222222"/>
          <w:shd w:val="clear" w:color="auto" w:fill="FFFFFF"/>
        </w:rPr>
        <w:t>, </w:t>
      </w:r>
      <w:r w:rsidRPr="007040AB">
        <w:rPr>
          <w:i/>
          <w:iCs/>
          <w:color w:val="222222"/>
          <w:shd w:val="clear" w:color="auto" w:fill="FFFFFF"/>
        </w:rPr>
        <w:t>48</w:t>
      </w:r>
      <w:r w:rsidRPr="007040AB">
        <w:rPr>
          <w:color w:val="222222"/>
          <w:shd w:val="clear" w:color="auto" w:fill="FFFFFF"/>
        </w:rPr>
        <w:t>(3), pp.379-399.</w:t>
      </w:r>
    </w:p>
    <w:p w14:paraId="7E7EA295"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He, L., 2008. Do founders matter? A study of executive compensation, governance structure and firm performance. </w:t>
      </w:r>
      <w:r w:rsidRPr="007040AB">
        <w:rPr>
          <w:i/>
          <w:iCs/>
          <w:color w:val="222222"/>
          <w:shd w:val="clear" w:color="auto" w:fill="FFFFFF"/>
        </w:rPr>
        <w:t>Journal of Business Venturing</w:t>
      </w:r>
      <w:r w:rsidRPr="007040AB">
        <w:rPr>
          <w:color w:val="222222"/>
          <w:shd w:val="clear" w:color="auto" w:fill="FFFFFF"/>
        </w:rPr>
        <w:t>, </w:t>
      </w:r>
      <w:r w:rsidRPr="007040AB">
        <w:rPr>
          <w:i/>
          <w:iCs/>
          <w:color w:val="222222"/>
          <w:shd w:val="clear" w:color="auto" w:fill="FFFFFF"/>
        </w:rPr>
        <w:t>23</w:t>
      </w:r>
      <w:r w:rsidRPr="007040AB">
        <w:rPr>
          <w:color w:val="222222"/>
          <w:shd w:val="clear" w:color="auto" w:fill="FFFFFF"/>
        </w:rPr>
        <w:t>(3), pp.257-279.</w:t>
      </w:r>
    </w:p>
    <w:p w14:paraId="5B302770" w14:textId="77777777" w:rsidR="007040AB" w:rsidRPr="007040AB" w:rsidRDefault="007040AB" w:rsidP="007040AB">
      <w:pPr>
        <w:spacing w:line="480" w:lineRule="auto"/>
        <w:ind w:hanging="720"/>
      </w:pPr>
      <w:r w:rsidRPr="007040AB">
        <w:rPr>
          <w:rStyle w:val="Emphasis"/>
        </w:rPr>
        <w:t xml:space="preserve"> </w:t>
      </w:r>
      <w:bookmarkStart w:id="14" w:name="_Hlk189907134"/>
      <w:r w:rsidRPr="007040AB">
        <w:rPr>
          <w:rStyle w:val="Strong"/>
        </w:rPr>
        <w:t>International Monetary Fund (IMF),</w:t>
      </w:r>
      <w:r w:rsidRPr="007040AB">
        <w:t xml:space="preserve"> 2025. </w:t>
      </w:r>
      <w:bookmarkEnd w:id="14"/>
      <w:r w:rsidRPr="007040AB">
        <w:rPr>
          <w:rStyle w:val="Emphasis"/>
        </w:rPr>
        <w:t>United Kingdom: Report on the Observance of Standards and Codes (ROSC).</w:t>
      </w:r>
      <w:r w:rsidRPr="007040AB">
        <w:t xml:space="preserve"> Available at: </w:t>
      </w:r>
      <w:hyperlink r:id="rId8" w:tgtFrame="_new" w:history="1">
        <w:r w:rsidRPr="007040AB">
          <w:rPr>
            <w:rStyle w:val="Hyperlink"/>
          </w:rPr>
          <w:t>https://www.imf.org/external/np/rosc/gbr/</w:t>
        </w:r>
      </w:hyperlink>
      <w:r w:rsidRPr="007040AB">
        <w:t xml:space="preserve"> [Accessed 8 Feb. 2025].</w:t>
      </w:r>
    </w:p>
    <w:p w14:paraId="6165D086"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Jain, J., 2022. </w:t>
      </w:r>
      <w:r w:rsidRPr="007040AB">
        <w:rPr>
          <w:i/>
          <w:iCs/>
          <w:color w:val="222222"/>
          <w:shd w:val="clear" w:color="auto" w:fill="FFFFFF"/>
        </w:rPr>
        <w:t>Directors' compensation, corporate governance and financial statement fraud: a comparative study of China and the US</w:t>
      </w:r>
      <w:r w:rsidRPr="007040AB">
        <w:rPr>
          <w:color w:val="222222"/>
          <w:shd w:val="clear" w:color="auto" w:fill="FFFFFF"/>
        </w:rPr>
        <w:t xml:space="preserve"> (Doctoral dissertation, University of Nottingham). </w:t>
      </w:r>
    </w:p>
    <w:p w14:paraId="19FD808B"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lastRenderedPageBreak/>
        <w:t>Johnson, S.G., Schnatterly, K. and Hill, A.D., 2013. Board composition beyond independence: Social capital, human capital, and demographics. </w:t>
      </w:r>
      <w:r w:rsidRPr="007040AB">
        <w:rPr>
          <w:i/>
          <w:iCs/>
          <w:color w:val="222222"/>
          <w:shd w:val="clear" w:color="auto" w:fill="FFFFFF"/>
        </w:rPr>
        <w:t>Journal of management</w:t>
      </w:r>
      <w:r w:rsidRPr="007040AB">
        <w:rPr>
          <w:color w:val="222222"/>
          <w:shd w:val="clear" w:color="auto" w:fill="FFFFFF"/>
        </w:rPr>
        <w:t>, </w:t>
      </w:r>
      <w:r w:rsidRPr="007040AB">
        <w:rPr>
          <w:i/>
          <w:iCs/>
          <w:color w:val="222222"/>
          <w:shd w:val="clear" w:color="auto" w:fill="FFFFFF"/>
        </w:rPr>
        <w:t>39</w:t>
      </w:r>
      <w:r w:rsidRPr="007040AB">
        <w:rPr>
          <w:color w:val="222222"/>
          <w:shd w:val="clear" w:color="auto" w:fill="FFFFFF"/>
        </w:rPr>
        <w:t>(1), pp.232-262.</w:t>
      </w:r>
    </w:p>
    <w:p w14:paraId="2D39227F"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Laksmana, I., 2008. Corporate board governance and voluntary disclosure of executive compensation practices. </w:t>
      </w:r>
      <w:r w:rsidRPr="007040AB">
        <w:rPr>
          <w:i/>
          <w:iCs/>
          <w:color w:val="222222"/>
          <w:shd w:val="clear" w:color="auto" w:fill="FFFFFF"/>
        </w:rPr>
        <w:t>Contemporary accounting research</w:t>
      </w:r>
      <w:r w:rsidRPr="007040AB">
        <w:rPr>
          <w:color w:val="222222"/>
          <w:shd w:val="clear" w:color="auto" w:fill="FFFFFF"/>
        </w:rPr>
        <w:t>, </w:t>
      </w:r>
      <w:r w:rsidRPr="007040AB">
        <w:rPr>
          <w:i/>
          <w:iCs/>
          <w:color w:val="222222"/>
          <w:shd w:val="clear" w:color="auto" w:fill="FFFFFF"/>
        </w:rPr>
        <w:t>25</w:t>
      </w:r>
      <w:r w:rsidRPr="007040AB">
        <w:rPr>
          <w:color w:val="222222"/>
          <w:shd w:val="clear" w:color="auto" w:fill="FFFFFF"/>
        </w:rPr>
        <w:t xml:space="preserve">(4), pp.1147-1182. </w:t>
      </w:r>
    </w:p>
    <w:p w14:paraId="03ED3F5A"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Lu, D. and Zhou, H., 2019. Tolerance of Flexibility: Foreign Exchange Intervention and Managed Floating Redux. </w:t>
      </w:r>
      <w:r w:rsidRPr="007040AB">
        <w:rPr>
          <w:i/>
          <w:iCs/>
          <w:color w:val="222222"/>
          <w:shd w:val="clear" w:color="auto" w:fill="FFFFFF"/>
        </w:rPr>
        <w:t>Available at SSRN 3380122</w:t>
      </w:r>
      <w:r w:rsidRPr="007040AB">
        <w:rPr>
          <w:color w:val="222222"/>
          <w:shd w:val="clear" w:color="auto" w:fill="FFFFFF"/>
        </w:rPr>
        <w:t xml:space="preserve">. </w:t>
      </w:r>
    </w:p>
    <w:p w14:paraId="3FA411AC"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Mock, S., Csach, K. and Havel, B., 2018. </w:t>
      </w:r>
      <w:r w:rsidRPr="007040AB">
        <w:rPr>
          <w:i/>
          <w:iCs/>
          <w:color w:val="222222"/>
          <w:shd w:val="clear" w:color="auto" w:fill="FFFFFF"/>
        </w:rPr>
        <w:t>International Handbook on Shareholders’ agreements</w:t>
      </w:r>
      <w:r w:rsidRPr="007040AB">
        <w:rPr>
          <w:color w:val="222222"/>
          <w:shd w:val="clear" w:color="auto" w:fill="FFFFFF"/>
        </w:rPr>
        <w:t xml:space="preserve">. De Gruyter Handbook, Berlin/Boston: Walter De Gruyter. </w:t>
      </w:r>
    </w:p>
    <w:p w14:paraId="1446D33F"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Ndzi, E., 2014. </w:t>
      </w:r>
      <w:r w:rsidRPr="007040AB">
        <w:rPr>
          <w:i/>
          <w:iCs/>
          <w:color w:val="222222"/>
          <w:shd w:val="clear" w:color="auto" w:fill="FFFFFF"/>
        </w:rPr>
        <w:t>The Regulation of the Determination of Executive Remuneration</w:t>
      </w:r>
      <w:r w:rsidRPr="007040AB">
        <w:rPr>
          <w:color w:val="222222"/>
          <w:shd w:val="clear" w:color="auto" w:fill="FFFFFF"/>
        </w:rPr>
        <w:t> (Doctoral dissertation, University of Portsmouth). Drooduin, T., 2023. IPO Underpricing and overpricing and long-term firm performance in the Netherlands, United Kingdom, France, Sweden, and Italy: learning from three Dutch IPOs. </w:t>
      </w:r>
      <w:r w:rsidRPr="007040AB">
        <w:rPr>
          <w:i/>
          <w:iCs/>
          <w:color w:val="222222"/>
          <w:shd w:val="clear" w:color="auto" w:fill="FFFFFF"/>
        </w:rPr>
        <w:t>Central European Review of Economics and Management (CEREM)</w:t>
      </w:r>
      <w:r w:rsidRPr="007040AB">
        <w:rPr>
          <w:color w:val="222222"/>
          <w:shd w:val="clear" w:color="auto" w:fill="FFFFFF"/>
        </w:rPr>
        <w:t>, </w:t>
      </w:r>
      <w:r w:rsidRPr="007040AB">
        <w:rPr>
          <w:i/>
          <w:iCs/>
          <w:color w:val="222222"/>
          <w:shd w:val="clear" w:color="auto" w:fill="FFFFFF"/>
        </w:rPr>
        <w:t>7</w:t>
      </w:r>
      <w:r w:rsidRPr="007040AB">
        <w:rPr>
          <w:color w:val="222222"/>
          <w:shd w:val="clear" w:color="auto" w:fill="FFFFFF"/>
        </w:rPr>
        <w:t xml:space="preserve">(4), pp.109-158. </w:t>
      </w:r>
    </w:p>
    <w:p w14:paraId="7C22D09B"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Shah, N., 2014. </w:t>
      </w:r>
      <w:r w:rsidRPr="007040AB">
        <w:rPr>
          <w:i/>
          <w:iCs/>
          <w:color w:val="222222"/>
          <w:shd w:val="clear" w:color="auto" w:fill="FFFFFF"/>
        </w:rPr>
        <w:t>Corporate governance in the alternative investment market of the London Stock Exchange</w:t>
      </w:r>
      <w:r w:rsidRPr="007040AB">
        <w:rPr>
          <w:color w:val="222222"/>
          <w:shd w:val="clear" w:color="auto" w:fill="FFFFFF"/>
        </w:rPr>
        <w:t xml:space="preserve"> (Doctoral dissertation, Royal Holloway, University of London). </w:t>
      </w:r>
    </w:p>
    <w:p w14:paraId="5EA9B767"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Sun, Y., 2020. The Golden Share. </w:t>
      </w:r>
      <w:r w:rsidRPr="007040AB">
        <w:rPr>
          <w:i/>
          <w:iCs/>
          <w:color w:val="222222"/>
          <w:shd w:val="clear" w:color="auto" w:fill="FFFFFF"/>
        </w:rPr>
        <w:t>The University of Chicago Law Review</w:t>
      </w:r>
      <w:r w:rsidRPr="007040AB">
        <w:rPr>
          <w:color w:val="222222"/>
          <w:shd w:val="clear" w:color="auto" w:fill="FFFFFF"/>
        </w:rPr>
        <w:t>, </w:t>
      </w:r>
      <w:r w:rsidRPr="007040AB">
        <w:rPr>
          <w:i/>
          <w:iCs/>
          <w:color w:val="222222"/>
          <w:shd w:val="clear" w:color="auto" w:fill="FFFFFF"/>
        </w:rPr>
        <w:t>87</w:t>
      </w:r>
      <w:r w:rsidRPr="007040AB">
        <w:rPr>
          <w:color w:val="222222"/>
          <w:shd w:val="clear" w:color="auto" w:fill="FFFFFF"/>
        </w:rPr>
        <w:t>(4), pp.1109-1148.</w:t>
      </w:r>
    </w:p>
    <w:p w14:paraId="2FEDD63E"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t xml:space="preserve"> Van Bekkum, J., Hijink, S., Schouten, M.C. and Winter, J.W., 2010, November. Corporate governance in the Netherlands. In </w:t>
      </w:r>
      <w:r w:rsidRPr="007040AB">
        <w:rPr>
          <w:i/>
          <w:iCs/>
          <w:color w:val="222222"/>
          <w:shd w:val="clear" w:color="auto" w:fill="FFFFFF"/>
        </w:rPr>
        <w:t>International congress on comparative law, Washington</w:t>
      </w:r>
      <w:r w:rsidRPr="007040AB">
        <w:rPr>
          <w:color w:val="222222"/>
          <w:shd w:val="clear" w:color="auto" w:fill="FFFFFF"/>
        </w:rPr>
        <w:t xml:space="preserve">. </w:t>
      </w:r>
    </w:p>
    <w:p w14:paraId="5240CA9C" w14:textId="77777777" w:rsidR="007040AB" w:rsidRPr="007040AB" w:rsidRDefault="007040AB" w:rsidP="007040AB">
      <w:pPr>
        <w:spacing w:line="480" w:lineRule="auto"/>
        <w:ind w:left="720" w:hanging="720"/>
        <w:rPr>
          <w:color w:val="222222"/>
          <w:shd w:val="clear" w:color="auto" w:fill="FFFFFF"/>
        </w:rPr>
      </w:pPr>
      <w:r w:rsidRPr="007040AB">
        <w:rPr>
          <w:color w:val="222222"/>
          <w:shd w:val="clear" w:color="auto" w:fill="FFFFFF"/>
        </w:rPr>
        <w:lastRenderedPageBreak/>
        <w:t>Vargas-Hernández, J.G. and Teodoro Cruz, M.E., 2018. Corporate governance and agency theory: Megacable case. </w:t>
      </w:r>
      <w:r w:rsidRPr="007040AB">
        <w:rPr>
          <w:i/>
          <w:iCs/>
          <w:color w:val="222222"/>
          <w:shd w:val="clear" w:color="auto" w:fill="FFFFFF"/>
        </w:rPr>
        <w:t>Corporate Governance and Sustainability Review</w:t>
      </w:r>
      <w:r w:rsidRPr="007040AB">
        <w:rPr>
          <w:color w:val="222222"/>
          <w:shd w:val="clear" w:color="auto" w:fill="FFFFFF"/>
        </w:rPr>
        <w:t>, </w:t>
      </w:r>
      <w:r w:rsidRPr="007040AB">
        <w:rPr>
          <w:i/>
          <w:iCs/>
          <w:color w:val="222222"/>
          <w:shd w:val="clear" w:color="auto" w:fill="FFFFFF"/>
        </w:rPr>
        <w:t>2</w:t>
      </w:r>
      <w:r w:rsidRPr="007040AB">
        <w:rPr>
          <w:color w:val="222222"/>
          <w:shd w:val="clear" w:color="auto" w:fill="FFFFFF"/>
        </w:rPr>
        <w:t>(1), pp.59-69.</w:t>
      </w:r>
    </w:p>
    <w:p w14:paraId="1AA9A475" w14:textId="77777777" w:rsidR="007040AB" w:rsidRPr="007040AB" w:rsidRDefault="007040AB" w:rsidP="007040AB">
      <w:pPr>
        <w:spacing w:line="480" w:lineRule="auto"/>
        <w:ind w:hanging="720"/>
      </w:pPr>
      <w:r w:rsidRPr="007040AB">
        <w:t xml:space="preserve">World Bank (2024) </w:t>
      </w:r>
      <w:r w:rsidRPr="007040AB">
        <w:rPr>
          <w:rStyle w:val="Emphasis"/>
        </w:rPr>
        <w:t>Corporate governance</w:t>
      </w:r>
      <w:r w:rsidRPr="007040AB">
        <w:t xml:space="preserve">. Available at: </w:t>
      </w:r>
      <w:hyperlink r:id="rId9" w:tgtFrame="_new" w:history="1">
        <w:r w:rsidRPr="007040AB">
          <w:rPr>
            <w:rStyle w:val="Hyperlink"/>
          </w:rPr>
          <w:t>https://www.worldbank.org/en/topic/financialsector/brief/corporate-governance</w:t>
        </w:r>
      </w:hyperlink>
      <w:r w:rsidRPr="007040AB">
        <w:t xml:space="preserve"> (Accessed: 8 February 2025).</w:t>
      </w:r>
    </w:p>
    <w:p w14:paraId="7916D18D" w14:textId="77777777" w:rsidR="007040AB" w:rsidRPr="007040AB" w:rsidRDefault="007040AB" w:rsidP="007040AB">
      <w:pPr>
        <w:spacing w:line="480" w:lineRule="auto"/>
        <w:ind w:hanging="720"/>
      </w:pPr>
      <w:r w:rsidRPr="007040AB">
        <w:rPr>
          <w:rStyle w:val="Emphasis"/>
        </w:rPr>
        <w:t xml:space="preserve"> </w:t>
      </w:r>
      <w:bookmarkStart w:id="15" w:name="_Hlk189906909"/>
      <w:r w:rsidRPr="007040AB">
        <w:rPr>
          <w:rStyle w:val="Strong"/>
          <w:b w:val="0"/>
        </w:rPr>
        <w:t>World Bank</w:t>
      </w:r>
      <w:r w:rsidRPr="007040AB">
        <w:rPr>
          <w:rStyle w:val="Strong"/>
        </w:rPr>
        <w:t>.</w:t>
      </w:r>
      <w:r w:rsidRPr="007040AB">
        <w:t xml:space="preserve"> (2007) </w:t>
      </w:r>
      <w:bookmarkEnd w:id="15"/>
      <w:r w:rsidRPr="007040AB">
        <w:rPr>
          <w:rStyle w:val="Emphasis"/>
        </w:rPr>
        <w:t>China’s liberalization of trade and foreign direct investment in services: A review</w:t>
      </w:r>
      <w:r w:rsidRPr="007040AB">
        <w:t xml:space="preserve">. Washington, DC: World Bank. Available at: </w:t>
      </w:r>
      <w:hyperlink r:id="rId10" w:tgtFrame="_new" w:history="1">
        <w:r w:rsidRPr="007040AB">
          <w:rPr>
            <w:rStyle w:val="Hyperlink"/>
          </w:rPr>
          <w:t>https://documents1.worldbank.org/curated/ru/162201468236960426/pdf/418560CHA0Liberalization0WP401PUBLIC1.pdf</w:t>
        </w:r>
      </w:hyperlink>
      <w:r w:rsidRPr="007040AB">
        <w:t xml:space="preserve"> (Accessed: 8 February 2025).</w:t>
      </w:r>
    </w:p>
    <w:p w14:paraId="7B71FF23" w14:textId="77777777" w:rsidR="007040AB" w:rsidRPr="007040AB" w:rsidRDefault="007040AB" w:rsidP="007040AB">
      <w:pPr>
        <w:spacing w:line="480" w:lineRule="auto"/>
        <w:ind w:left="720" w:hanging="720"/>
        <w:rPr>
          <w:b/>
          <w:bCs/>
        </w:rPr>
      </w:pPr>
      <w:r w:rsidRPr="007040AB">
        <w:rPr>
          <w:color w:val="222222"/>
          <w:shd w:val="clear" w:color="auto" w:fill="FFFFFF"/>
        </w:rPr>
        <w:t>Zhou, Z., 2016. Overreaction to policy changes in the housing market: Evidence from Shanghai. </w:t>
      </w:r>
      <w:r w:rsidRPr="007040AB">
        <w:rPr>
          <w:i/>
          <w:iCs/>
          <w:color w:val="222222"/>
          <w:shd w:val="clear" w:color="auto" w:fill="FFFFFF"/>
        </w:rPr>
        <w:t>Regional Science and Urban Economics</w:t>
      </w:r>
      <w:r w:rsidRPr="007040AB">
        <w:rPr>
          <w:color w:val="222222"/>
          <w:shd w:val="clear" w:color="auto" w:fill="FFFFFF"/>
        </w:rPr>
        <w:t>, </w:t>
      </w:r>
      <w:r w:rsidRPr="007040AB">
        <w:rPr>
          <w:i/>
          <w:iCs/>
          <w:color w:val="222222"/>
          <w:shd w:val="clear" w:color="auto" w:fill="FFFFFF"/>
        </w:rPr>
        <w:t>58</w:t>
      </w:r>
      <w:r w:rsidRPr="007040AB">
        <w:rPr>
          <w:color w:val="222222"/>
          <w:shd w:val="clear" w:color="auto" w:fill="FFFFFF"/>
        </w:rPr>
        <w:t>, pp.26-41.</w:t>
      </w:r>
      <w:r w:rsidRPr="007040AB">
        <w:rPr>
          <w:b/>
          <w:bCs/>
        </w:rPr>
        <w:t xml:space="preserve"> </w:t>
      </w:r>
    </w:p>
    <w:p w14:paraId="5F55D7BA" w14:textId="77777777" w:rsidR="006C4112" w:rsidRPr="007040AB" w:rsidRDefault="006C4112" w:rsidP="007040AB">
      <w:pPr>
        <w:spacing w:line="480" w:lineRule="auto"/>
        <w:ind w:left="720" w:hanging="720"/>
        <w:rPr>
          <w:color w:val="222222"/>
          <w:shd w:val="clear" w:color="auto" w:fill="FFFFFF"/>
        </w:rPr>
      </w:pPr>
    </w:p>
    <w:p w14:paraId="7B41D7B4" w14:textId="77777777" w:rsidR="00C22654" w:rsidRPr="007040AB" w:rsidRDefault="00C22654" w:rsidP="007040AB">
      <w:pPr>
        <w:ind w:left="720" w:hanging="720"/>
        <w:rPr>
          <w:color w:val="222222"/>
          <w:shd w:val="clear" w:color="auto" w:fill="FFFFFF"/>
        </w:rPr>
      </w:pPr>
    </w:p>
    <w:sectPr w:rsidR="00C22654" w:rsidRPr="007040A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9FD60" w14:textId="77777777" w:rsidR="00397E4E" w:rsidRDefault="00397E4E" w:rsidP="00AA0FAF">
      <w:pPr>
        <w:spacing w:after="0" w:line="240" w:lineRule="auto"/>
      </w:pPr>
      <w:r>
        <w:separator/>
      </w:r>
    </w:p>
  </w:endnote>
  <w:endnote w:type="continuationSeparator" w:id="0">
    <w:p w14:paraId="3EFCBEAC" w14:textId="77777777" w:rsidR="00397E4E" w:rsidRDefault="00397E4E" w:rsidP="00AA0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317EC" w14:textId="77777777" w:rsidR="00397E4E" w:rsidRDefault="00397E4E" w:rsidP="00AA0FAF">
      <w:pPr>
        <w:spacing w:after="0" w:line="240" w:lineRule="auto"/>
      </w:pPr>
      <w:r>
        <w:separator/>
      </w:r>
    </w:p>
  </w:footnote>
  <w:footnote w:type="continuationSeparator" w:id="0">
    <w:p w14:paraId="145483AB" w14:textId="77777777" w:rsidR="00397E4E" w:rsidRDefault="00397E4E" w:rsidP="00AA0F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109245"/>
      <w:docPartObj>
        <w:docPartGallery w:val="Page Numbers (Top of Page)"/>
        <w:docPartUnique/>
      </w:docPartObj>
    </w:sdtPr>
    <w:sdtEndPr>
      <w:rPr>
        <w:noProof/>
      </w:rPr>
    </w:sdtEndPr>
    <w:sdtContent>
      <w:p w14:paraId="60E2F4D7" w14:textId="77777777" w:rsidR="00AA0FAF" w:rsidRDefault="00AA0FA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D7D137" w14:textId="77777777" w:rsidR="00AA0FAF" w:rsidRDefault="00AA0F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71247"/>
    <w:multiLevelType w:val="multilevel"/>
    <w:tmpl w:val="D54AEE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3C7E6179"/>
    <w:multiLevelType w:val="multilevel"/>
    <w:tmpl w:val="5A32C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1E5097"/>
    <w:multiLevelType w:val="multilevel"/>
    <w:tmpl w:val="0BDC3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845898"/>
    <w:multiLevelType w:val="multilevel"/>
    <w:tmpl w:val="1938B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E31ED5"/>
    <w:multiLevelType w:val="multilevel"/>
    <w:tmpl w:val="0902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6216E1"/>
    <w:multiLevelType w:val="multilevel"/>
    <w:tmpl w:val="E33A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4633226">
    <w:abstractNumId w:val="0"/>
  </w:num>
  <w:num w:numId="2" w16cid:durableId="851991837">
    <w:abstractNumId w:val="2"/>
  </w:num>
  <w:num w:numId="3" w16cid:durableId="2121102018">
    <w:abstractNumId w:val="5"/>
  </w:num>
  <w:num w:numId="4" w16cid:durableId="2070300308">
    <w:abstractNumId w:val="4"/>
  </w:num>
  <w:num w:numId="5" w16cid:durableId="1853378618">
    <w:abstractNumId w:val="1"/>
  </w:num>
  <w:num w:numId="6" w16cid:durableId="7316586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777"/>
    <w:rsid w:val="000C3E4A"/>
    <w:rsid w:val="00175A10"/>
    <w:rsid w:val="001A5777"/>
    <w:rsid w:val="001D26C8"/>
    <w:rsid w:val="002170EC"/>
    <w:rsid w:val="00235FEC"/>
    <w:rsid w:val="002C436C"/>
    <w:rsid w:val="00336D28"/>
    <w:rsid w:val="003460A3"/>
    <w:rsid w:val="00397E4E"/>
    <w:rsid w:val="003A11A2"/>
    <w:rsid w:val="0041726A"/>
    <w:rsid w:val="004C6D4F"/>
    <w:rsid w:val="004D2194"/>
    <w:rsid w:val="00537FA6"/>
    <w:rsid w:val="00591627"/>
    <w:rsid w:val="005B45A0"/>
    <w:rsid w:val="005D7709"/>
    <w:rsid w:val="005E4111"/>
    <w:rsid w:val="00600BC2"/>
    <w:rsid w:val="006C4112"/>
    <w:rsid w:val="006E00C8"/>
    <w:rsid w:val="007040AB"/>
    <w:rsid w:val="00706666"/>
    <w:rsid w:val="007911BF"/>
    <w:rsid w:val="00807967"/>
    <w:rsid w:val="008954A5"/>
    <w:rsid w:val="0099188F"/>
    <w:rsid w:val="00996848"/>
    <w:rsid w:val="009B107C"/>
    <w:rsid w:val="00A82DA5"/>
    <w:rsid w:val="00A9632E"/>
    <w:rsid w:val="00AA0FAF"/>
    <w:rsid w:val="00B6722D"/>
    <w:rsid w:val="00B9322B"/>
    <w:rsid w:val="00BC5020"/>
    <w:rsid w:val="00C22654"/>
    <w:rsid w:val="00CC1D4F"/>
    <w:rsid w:val="00CD3104"/>
    <w:rsid w:val="00D37F5F"/>
    <w:rsid w:val="00D57EA7"/>
    <w:rsid w:val="00D718A3"/>
    <w:rsid w:val="00DD6490"/>
    <w:rsid w:val="00DE1755"/>
    <w:rsid w:val="00E22397"/>
    <w:rsid w:val="00ED69C0"/>
    <w:rsid w:val="00F11AEE"/>
    <w:rsid w:val="00F747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553D7"/>
  <w15:chartTrackingRefBased/>
  <w15:docId w15:val="{D831575E-5A66-4714-A2E7-26EA3AA11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D26C8"/>
    <w:pPr>
      <w:keepNext/>
      <w:keepLines/>
      <w:spacing w:before="240" w:after="0" w:line="48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A82DA5"/>
    <w:pPr>
      <w:keepNext/>
      <w:keepLines/>
      <w:spacing w:before="40" w:after="0"/>
      <w:outlineLvl w:val="1"/>
    </w:pPr>
    <w:rPr>
      <w:rFonts w:eastAsiaTheme="majorEastAsia" w:cstheme="majorBidi"/>
      <w:b/>
      <w:szCs w:val="26"/>
    </w:rPr>
  </w:style>
  <w:style w:type="paragraph" w:styleId="Heading3">
    <w:name w:val="heading 3"/>
    <w:basedOn w:val="Normal"/>
    <w:link w:val="Heading3Char"/>
    <w:uiPriority w:val="9"/>
    <w:qFormat/>
    <w:rsid w:val="006E00C8"/>
    <w:pPr>
      <w:spacing w:before="100" w:beforeAutospacing="1" w:after="100" w:afterAutospacing="1" w:line="240" w:lineRule="auto"/>
      <w:outlineLvl w:val="2"/>
    </w:pPr>
    <w:rPr>
      <w:rFonts w:eastAsia="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2DA5"/>
    <w:rPr>
      <w:rFonts w:eastAsiaTheme="majorEastAsia" w:cstheme="majorBidi"/>
      <w:b/>
      <w:szCs w:val="26"/>
    </w:rPr>
  </w:style>
  <w:style w:type="character" w:customStyle="1" w:styleId="Heading3Char">
    <w:name w:val="Heading 3 Char"/>
    <w:basedOn w:val="DefaultParagraphFont"/>
    <w:link w:val="Heading3"/>
    <w:uiPriority w:val="9"/>
    <w:rsid w:val="006E00C8"/>
    <w:rPr>
      <w:rFonts w:eastAsia="Times New Roman"/>
      <w:b/>
      <w:bCs/>
      <w:kern w:val="0"/>
      <w:sz w:val="27"/>
      <w:szCs w:val="27"/>
      <w14:ligatures w14:val="none"/>
    </w:rPr>
  </w:style>
  <w:style w:type="character" w:styleId="Strong">
    <w:name w:val="Strong"/>
    <w:basedOn w:val="DefaultParagraphFont"/>
    <w:uiPriority w:val="22"/>
    <w:qFormat/>
    <w:rsid w:val="006E00C8"/>
    <w:rPr>
      <w:b/>
      <w:bCs/>
    </w:rPr>
  </w:style>
  <w:style w:type="paragraph" w:styleId="NormalWeb">
    <w:name w:val="Normal (Web)"/>
    <w:basedOn w:val="Normal"/>
    <w:uiPriority w:val="99"/>
    <w:semiHidden/>
    <w:unhideWhenUsed/>
    <w:rsid w:val="006E00C8"/>
    <w:pPr>
      <w:spacing w:before="100" w:beforeAutospacing="1" w:after="100" w:afterAutospacing="1" w:line="240" w:lineRule="auto"/>
    </w:pPr>
    <w:rPr>
      <w:rFonts w:eastAsia="Times New Roman"/>
      <w:kern w:val="0"/>
      <w14:ligatures w14:val="none"/>
    </w:rPr>
  </w:style>
  <w:style w:type="paragraph" w:styleId="Header">
    <w:name w:val="header"/>
    <w:basedOn w:val="Normal"/>
    <w:link w:val="HeaderChar"/>
    <w:uiPriority w:val="99"/>
    <w:unhideWhenUsed/>
    <w:rsid w:val="00AA0F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FAF"/>
  </w:style>
  <w:style w:type="paragraph" w:styleId="Footer">
    <w:name w:val="footer"/>
    <w:basedOn w:val="Normal"/>
    <w:link w:val="FooterChar"/>
    <w:uiPriority w:val="99"/>
    <w:unhideWhenUsed/>
    <w:rsid w:val="00AA0F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FAF"/>
  </w:style>
  <w:style w:type="character" w:customStyle="1" w:styleId="Heading1Char">
    <w:name w:val="Heading 1 Char"/>
    <w:basedOn w:val="DefaultParagraphFont"/>
    <w:link w:val="Heading1"/>
    <w:uiPriority w:val="9"/>
    <w:rsid w:val="001D26C8"/>
    <w:rPr>
      <w:rFonts w:eastAsiaTheme="majorEastAsia" w:cstheme="majorBidi"/>
      <w:b/>
      <w:szCs w:val="32"/>
    </w:rPr>
  </w:style>
  <w:style w:type="paragraph" w:styleId="TOCHeading">
    <w:name w:val="TOC Heading"/>
    <w:basedOn w:val="Heading1"/>
    <w:next w:val="Normal"/>
    <w:uiPriority w:val="39"/>
    <w:unhideWhenUsed/>
    <w:qFormat/>
    <w:rsid w:val="001D26C8"/>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1D26C8"/>
    <w:pPr>
      <w:spacing w:after="100"/>
    </w:pPr>
  </w:style>
  <w:style w:type="paragraph" w:styleId="TOC2">
    <w:name w:val="toc 2"/>
    <w:basedOn w:val="Normal"/>
    <w:next w:val="Normal"/>
    <w:autoRedefine/>
    <w:uiPriority w:val="39"/>
    <w:unhideWhenUsed/>
    <w:rsid w:val="001D26C8"/>
    <w:pPr>
      <w:spacing w:after="100"/>
      <w:ind w:left="240"/>
    </w:pPr>
  </w:style>
  <w:style w:type="character" w:styleId="Hyperlink">
    <w:name w:val="Hyperlink"/>
    <w:basedOn w:val="DefaultParagraphFont"/>
    <w:uiPriority w:val="99"/>
    <w:unhideWhenUsed/>
    <w:rsid w:val="001D26C8"/>
    <w:rPr>
      <w:color w:val="0563C1" w:themeColor="hyperlink"/>
      <w:u w:val="single"/>
    </w:rPr>
  </w:style>
  <w:style w:type="character" w:styleId="Emphasis">
    <w:name w:val="Emphasis"/>
    <w:basedOn w:val="DefaultParagraphFont"/>
    <w:uiPriority w:val="20"/>
    <w:qFormat/>
    <w:rsid w:val="009B10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158997">
      <w:bodyDiv w:val="1"/>
      <w:marLeft w:val="0"/>
      <w:marRight w:val="0"/>
      <w:marTop w:val="0"/>
      <w:marBottom w:val="0"/>
      <w:divBdr>
        <w:top w:val="none" w:sz="0" w:space="0" w:color="auto"/>
        <w:left w:val="none" w:sz="0" w:space="0" w:color="auto"/>
        <w:bottom w:val="none" w:sz="0" w:space="0" w:color="auto"/>
        <w:right w:val="none" w:sz="0" w:space="0" w:color="auto"/>
      </w:divBdr>
    </w:div>
    <w:div w:id="180630517">
      <w:bodyDiv w:val="1"/>
      <w:marLeft w:val="0"/>
      <w:marRight w:val="0"/>
      <w:marTop w:val="0"/>
      <w:marBottom w:val="0"/>
      <w:divBdr>
        <w:top w:val="none" w:sz="0" w:space="0" w:color="auto"/>
        <w:left w:val="none" w:sz="0" w:space="0" w:color="auto"/>
        <w:bottom w:val="none" w:sz="0" w:space="0" w:color="auto"/>
        <w:right w:val="none" w:sz="0" w:space="0" w:color="auto"/>
      </w:divBdr>
    </w:div>
    <w:div w:id="214702563">
      <w:bodyDiv w:val="1"/>
      <w:marLeft w:val="0"/>
      <w:marRight w:val="0"/>
      <w:marTop w:val="0"/>
      <w:marBottom w:val="0"/>
      <w:divBdr>
        <w:top w:val="none" w:sz="0" w:space="0" w:color="auto"/>
        <w:left w:val="none" w:sz="0" w:space="0" w:color="auto"/>
        <w:bottom w:val="none" w:sz="0" w:space="0" w:color="auto"/>
        <w:right w:val="none" w:sz="0" w:space="0" w:color="auto"/>
      </w:divBdr>
    </w:div>
    <w:div w:id="485823100">
      <w:bodyDiv w:val="1"/>
      <w:marLeft w:val="0"/>
      <w:marRight w:val="0"/>
      <w:marTop w:val="0"/>
      <w:marBottom w:val="0"/>
      <w:divBdr>
        <w:top w:val="none" w:sz="0" w:space="0" w:color="auto"/>
        <w:left w:val="none" w:sz="0" w:space="0" w:color="auto"/>
        <w:bottom w:val="none" w:sz="0" w:space="0" w:color="auto"/>
        <w:right w:val="none" w:sz="0" w:space="0" w:color="auto"/>
      </w:divBdr>
    </w:div>
    <w:div w:id="650870472">
      <w:bodyDiv w:val="1"/>
      <w:marLeft w:val="0"/>
      <w:marRight w:val="0"/>
      <w:marTop w:val="0"/>
      <w:marBottom w:val="0"/>
      <w:divBdr>
        <w:top w:val="none" w:sz="0" w:space="0" w:color="auto"/>
        <w:left w:val="none" w:sz="0" w:space="0" w:color="auto"/>
        <w:bottom w:val="none" w:sz="0" w:space="0" w:color="auto"/>
        <w:right w:val="none" w:sz="0" w:space="0" w:color="auto"/>
      </w:divBdr>
    </w:div>
    <w:div w:id="990981584">
      <w:bodyDiv w:val="1"/>
      <w:marLeft w:val="0"/>
      <w:marRight w:val="0"/>
      <w:marTop w:val="0"/>
      <w:marBottom w:val="0"/>
      <w:divBdr>
        <w:top w:val="none" w:sz="0" w:space="0" w:color="auto"/>
        <w:left w:val="none" w:sz="0" w:space="0" w:color="auto"/>
        <w:bottom w:val="none" w:sz="0" w:space="0" w:color="auto"/>
        <w:right w:val="none" w:sz="0" w:space="0" w:color="auto"/>
      </w:divBdr>
    </w:div>
    <w:div w:id="1352146641">
      <w:bodyDiv w:val="1"/>
      <w:marLeft w:val="0"/>
      <w:marRight w:val="0"/>
      <w:marTop w:val="0"/>
      <w:marBottom w:val="0"/>
      <w:divBdr>
        <w:top w:val="none" w:sz="0" w:space="0" w:color="auto"/>
        <w:left w:val="none" w:sz="0" w:space="0" w:color="auto"/>
        <w:bottom w:val="none" w:sz="0" w:space="0" w:color="auto"/>
        <w:right w:val="none" w:sz="0" w:space="0" w:color="auto"/>
      </w:divBdr>
    </w:div>
    <w:div w:id="1844006141">
      <w:bodyDiv w:val="1"/>
      <w:marLeft w:val="0"/>
      <w:marRight w:val="0"/>
      <w:marTop w:val="0"/>
      <w:marBottom w:val="0"/>
      <w:divBdr>
        <w:top w:val="none" w:sz="0" w:space="0" w:color="auto"/>
        <w:left w:val="none" w:sz="0" w:space="0" w:color="auto"/>
        <w:bottom w:val="none" w:sz="0" w:space="0" w:color="auto"/>
        <w:right w:val="none" w:sz="0" w:space="0" w:color="auto"/>
      </w:divBdr>
    </w:div>
    <w:div w:id="200284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xternal/np/rosc/gb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cuments1.worldbank.org/curated/ru/162201468236960426/pdf/418560CHA0Liberalization0WP401PUBLIC1.pdf" TargetMode="External"/><Relationship Id="rId4" Type="http://schemas.openxmlformats.org/officeDocument/2006/relationships/settings" Target="settings.xml"/><Relationship Id="rId9" Type="http://schemas.openxmlformats.org/officeDocument/2006/relationships/hyperlink" Target="https://www.worldbank.org/en/topic/financialsector/brief/corporate-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2FC34-22F6-4EEC-900A-DB4EE88B5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RADUICA Florin Adrian</dc:creator>
  <cp:keywords/>
  <dc:description/>
  <cp:lastModifiedBy>CNCIR MSO14</cp:lastModifiedBy>
  <cp:revision>2</cp:revision>
  <dcterms:created xsi:type="dcterms:W3CDTF">2025-02-22T18:14:00Z</dcterms:created>
  <dcterms:modified xsi:type="dcterms:W3CDTF">2025-02-22T18:14:00Z</dcterms:modified>
</cp:coreProperties>
</file>