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679" w:rsidRPr="002451A2" w:rsidRDefault="00DC7679" w:rsidP="00C30BDF">
      <w:pPr>
        <w:pStyle w:val="ListParagraph"/>
        <w:spacing w:line="480" w:lineRule="auto"/>
        <w:ind w:left="0"/>
        <w:rPr>
          <w:sz w:val="22"/>
          <w:szCs w:val="22"/>
        </w:rPr>
      </w:pPr>
      <w:r w:rsidRPr="002451A2">
        <w:rPr>
          <w:sz w:val="22"/>
          <w:szCs w:val="22"/>
        </w:rPr>
        <w:t xml:space="preserve">Examine the Homeric </w:t>
      </w:r>
      <w:r w:rsidRPr="002451A2">
        <w:rPr>
          <w:i/>
          <w:sz w:val="22"/>
          <w:szCs w:val="22"/>
        </w:rPr>
        <w:t>Hymn to Demeter</w:t>
      </w:r>
      <w:r w:rsidRPr="002451A2">
        <w:rPr>
          <w:sz w:val="22"/>
          <w:szCs w:val="22"/>
        </w:rPr>
        <w:t xml:space="preserve"> from the perspective of its ability to explain, and its influence on, ritual practices in Greece. </w:t>
      </w:r>
      <w:r w:rsidR="00562C82" w:rsidRPr="002451A2">
        <w:rPr>
          <w:sz w:val="22"/>
          <w:szCs w:val="22"/>
        </w:rPr>
        <w:t>(1,500 words)</w:t>
      </w:r>
    </w:p>
    <w:p w:rsidR="00C30BDF" w:rsidRPr="002451A2" w:rsidRDefault="004723B8" w:rsidP="00A3091C">
      <w:pPr>
        <w:spacing w:after="0" w:line="480" w:lineRule="auto"/>
      </w:pPr>
      <w:r w:rsidRPr="002451A2">
        <w:tab/>
        <w:t xml:space="preserve"> </w:t>
      </w:r>
      <w:r w:rsidR="00B63434" w:rsidRPr="002451A2">
        <w:t xml:space="preserve">The hymn to Demeter by the ancient author Homer allows us to </w:t>
      </w:r>
      <w:r w:rsidR="00DC518C" w:rsidRPr="002451A2">
        <w:t>look at the ritual practices in Greece and look at the influence of the myt</w:t>
      </w:r>
      <w:r w:rsidR="00CE1691" w:rsidRPr="002451A2">
        <w:t xml:space="preserve">h on ritual practice in Greece. The main the myth relates to rituals in Ancient Greece </w:t>
      </w:r>
      <w:r w:rsidR="004E6BED" w:rsidRPr="002451A2">
        <w:t xml:space="preserve">are the Eleusinian </w:t>
      </w:r>
      <w:r w:rsidR="0084441F" w:rsidRPr="002451A2">
        <w:t>mysteries</w:t>
      </w:r>
      <w:r w:rsidR="003C0B45" w:rsidRPr="002451A2">
        <w:t xml:space="preserve">, </w:t>
      </w:r>
      <w:r w:rsidR="00A449FA">
        <w:t>one of the ancient cults that were</w:t>
      </w:r>
      <w:r w:rsidR="003C0B45" w:rsidRPr="002451A2">
        <w:t xml:space="preserve"> kept a secret</w:t>
      </w:r>
      <w:r w:rsidR="00EC1D7F">
        <w:t xml:space="preserve"> and so very little is known about the cult</w:t>
      </w:r>
      <w:r w:rsidR="003C0B45" w:rsidRPr="002451A2">
        <w:t xml:space="preserve">. </w:t>
      </w:r>
      <w:r w:rsidR="0084441F" w:rsidRPr="002451A2">
        <w:t xml:space="preserve"> </w:t>
      </w:r>
      <w:r w:rsidR="00EC1D7F">
        <w:t>The rituals of the Eleusinian mysteries can be related</w:t>
      </w:r>
      <w:r w:rsidR="00A449FA">
        <w:t xml:space="preserve"> to</w:t>
      </w:r>
      <w:r w:rsidR="00EC1D7F">
        <w:t xml:space="preserve"> where the cult happens, specific places rel</w:t>
      </w:r>
      <w:r w:rsidR="005D4A00">
        <w:t xml:space="preserve">ating </w:t>
      </w:r>
      <w:r w:rsidR="00A449FA">
        <w:t>to</w:t>
      </w:r>
      <w:r w:rsidR="005D4A00">
        <w:t xml:space="preserve"> the myth and the cult. The Eleusinian mysteries are separated into the Greater and Lesser mysteries, so take place at different times of the year, this also relates to the myth in terms with the kidnapping of Persephone and other events that take place in the book. </w:t>
      </w:r>
      <w:r w:rsidR="00F1547B">
        <w:t xml:space="preserve">The Eleusinian mysteries also perform certain rituals that link to the hymn, such as sacrifices and acting out scenes in the myth. There are influences outside of the Eleusinian mysteries the main influence the Hymn to Demeter has is on the Thesmophoria festival. All of these points clearly show the myth ability to explain and to see the influence the myth has on rituals in Ancient Greece.  </w:t>
      </w:r>
    </w:p>
    <w:p w:rsidR="003610F9" w:rsidRPr="002451A2" w:rsidRDefault="00C30BDF" w:rsidP="00A3091C">
      <w:pPr>
        <w:spacing w:after="0" w:line="480" w:lineRule="auto"/>
      </w:pPr>
      <w:r w:rsidRPr="002451A2">
        <w:tab/>
        <w:t xml:space="preserve">One key link between the myth and the Eleusinian cult is the link in the place where the rituals take place. </w:t>
      </w:r>
      <w:r w:rsidR="008737AD" w:rsidRPr="002451A2">
        <w:t xml:space="preserve">In the myth after the kidnapping of Persephone, Demeter descends </w:t>
      </w:r>
      <w:r w:rsidR="007948B6" w:rsidRPr="002451A2">
        <w:t>and walks the</w:t>
      </w:r>
      <w:r w:rsidR="008737AD" w:rsidRPr="002451A2">
        <w:t xml:space="preserve"> earth</w:t>
      </w:r>
      <w:r w:rsidR="007948B6" w:rsidRPr="002451A2">
        <w:t>. In the myths</w:t>
      </w:r>
      <w:r w:rsidR="00A449FA">
        <w:t>,</w:t>
      </w:r>
      <w:r w:rsidR="007948B6" w:rsidRPr="002451A2">
        <w:t xml:space="preserve"> she stops in Eleusis, by the ‘house of wise </w:t>
      </w:r>
      <w:proofErr w:type="spellStart"/>
      <w:r w:rsidR="007948B6" w:rsidRPr="002451A2">
        <w:t>Kelos</w:t>
      </w:r>
      <w:proofErr w:type="spellEnd"/>
      <w:r w:rsidR="00A3091C" w:rsidRPr="002451A2">
        <w:t>, t</w:t>
      </w:r>
      <w:r w:rsidR="00A449FA">
        <w:t>he lord o</w:t>
      </w:r>
      <w:r w:rsidR="00A3091C" w:rsidRPr="002451A2">
        <w:t>f fragrant Eleusis</w:t>
      </w:r>
      <w:r w:rsidR="007948B6" w:rsidRPr="002451A2">
        <w:t>’</w:t>
      </w:r>
      <w:r w:rsidR="00A3091C" w:rsidRPr="002451A2">
        <w:t xml:space="preserve"> </w:t>
      </w:r>
      <w:r w:rsidR="00A3091C" w:rsidRPr="002451A2">
        <w:rPr>
          <w:noProof/>
        </w:rPr>
        <w:t>(Homer, The Homeric Hymns, 95-100)</w:t>
      </w:r>
      <w:r w:rsidR="007948B6" w:rsidRPr="002451A2">
        <w:t>.</w:t>
      </w:r>
      <w:r w:rsidR="00A3091C" w:rsidRPr="002451A2">
        <w:t xml:space="preserve"> The main place of the lesser mystery cult takes place in Eleusis. This shows a direct influence between the myths and the ritual practice in </w:t>
      </w:r>
      <w:r w:rsidR="00562C82" w:rsidRPr="002451A2">
        <w:t>Greece’s</w:t>
      </w:r>
      <w:r w:rsidR="00A3091C" w:rsidRPr="002451A2">
        <w:t xml:space="preserve"> that they </w:t>
      </w:r>
      <w:r w:rsidR="00562C82" w:rsidRPr="002451A2">
        <w:t>perform</w:t>
      </w:r>
      <w:r w:rsidR="00A3091C" w:rsidRPr="002451A2">
        <w:t xml:space="preserve"> the rituals </w:t>
      </w:r>
      <w:r w:rsidR="00562C82" w:rsidRPr="002451A2">
        <w:t>dedicated</w:t>
      </w:r>
      <w:r w:rsidR="00A3091C" w:rsidRPr="002451A2">
        <w:t xml:space="preserve"> Demeter in a place that in myth she was in. </w:t>
      </w:r>
    </w:p>
    <w:p w:rsidR="00562C82" w:rsidRPr="002451A2" w:rsidRDefault="00562C82" w:rsidP="00A3091C">
      <w:pPr>
        <w:spacing w:after="0" w:line="480" w:lineRule="auto"/>
        <w:rPr>
          <w:noProof/>
        </w:rPr>
      </w:pPr>
      <w:r w:rsidRPr="002451A2">
        <w:tab/>
        <w:t>The Eleusi</w:t>
      </w:r>
      <w:r w:rsidR="00425912" w:rsidRPr="002451A2">
        <w:t>ni</w:t>
      </w:r>
      <w:r w:rsidRPr="002451A2">
        <w:t xml:space="preserve">an </w:t>
      </w:r>
      <w:r w:rsidR="00425912" w:rsidRPr="002451A2">
        <w:t xml:space="preserve">mysteries was further influenced by the myth in not just the place overall but specific point mentioned in the myth. For example, </w:t>
      </w:r>
      <w:r w:rsidR="008308DE" w:rsidRPr="002451A2">
        <w:t xml:space="preserve">the site of Demeter’s temple and </w:t>
      </w:r>
      <w:r w:rsidR="00ED19BB" w:rsidRPr="002451A2">
        <w:t>Maiden’s well</w:t>
      </w:r>
      <w:r w:rsidR="00556529" w:rsidRPr="002451A2">
        <w:t xml:space="preserve">, that are mentioned </w:t>
      </w:r>
      <w:r w:rsidR="00B85FA9" w:rsidRPr="002451A2">
        <w:t xml:space="preserve">in </w:t>
      </w:r>
      <w:r w:rsidR="00A449FA">
        <w:t xml:space="preserve">the </w:t>
      </w:r>
      <w:r w:rsidR="00B85FA9" w:rsidRPr="002451A2">
        <w:t xml:space="preserve">hymn </w:t>
      </w:r>
      <w:r w:rsidR="00B85FA9" w:rsidRPr="002451A2">
        <w:rPr>
          <w:noProof/>
        </w:rPr>
        <w:t>(Homer, The Homeric Hymns, 95-100)(Homer, The Homeric Hymns,</w:t>
      </w:r>
      <w:r w:rsidR="00AD3412" w:rsidRPr="002451A2">
        <w:rPr>
          <w:noProof/>
        </w:rPr>
        <w:t xml:space="preserve"> 270-275</w:t>
      </w:r>
      <w:r w:rsidR="00B85FA9" w:rsidRPr="002451A2">
        <w:rPr>
          <w:noProof/>
        </w:rPr>
        <w:t>)</w:t>
      </w:r>
      <w:r w:rsidR="00AD3412" w:rsidRPr="002451A2">
        <w:rPr>
          <w:noProof/>
        </w:rPr>
        <w:t xml:space="preserve">. </w:t>
      </w:r>
      <w:r w:rsidR="009D7C25" w:rsidRPr="002451A2">
        <w:rPr>
          <w:noProof/>
        </w:rPr>
        <w:t xml:space="preserve">The fact these places are specifically designated shows a direct influence between </w:t>
      </w:r>
      <w:r w:rsidR="00A449FA">
        <w:rPr>
          <w:noProof/>
        </w:rPr>
        <w:t>rituals and the H</w:t>
      </w:r>
      <w:r w:rsidR="005D34F3" w:rsidRPr="002451A2">
        <w:rPr>
          <w:noProof/>
        </w:rPr>
        <w:t>omeric hymn.</w:t>
      </w:r>
      <w:r w:rsidR="005D34F3" w:rsidRPr="002451A2">
        <w:rPr>
          <w:rStyle w:val="FootnoteReference"/>
          <w:noProof/>
        </w:rPr>
        <w:footnoteReference w:id="1"/>
      </w:r>
      <w:r w:rsidR="005D34F3" w:rsidRPr="002451A2">
        <w:rPr>
          <w:noProof/>
        </w:rPr>
        <w:t xml:space="preserve"> </w:t>
      </w:r>
    </w:p>
    <w:p w:rsidR="00575D98" w:rsidRPr="002451A2" w:rsidRDefault="00D11718" w:rsidP="00A3091C">
      <w:pPr>
        <w:spacing w:after="0" w:line="480" w:lineRule="auto"/>
      </w:pPr>
      <w:r w:rsidRPr="002451A2">
        <w:tab/>
        <w:t>The Eleusinian cult was separated into two; the Lesser Mysteries and the Greater Mysteries.</w:t>
      </w:r>
      <w:r w:rsidR="00AC6707" w:rsidRPr="002451A2">
        <w:rPr>
          <w:rStyle w:val="FootnoteReference"/>
        </w:rPr>
        <w:footnoteReference w:id="2"/>
      </w:r>
      <w:r w:rsidRPr="002451A2">
        <w:t xml:space="preserve"> They </w:t>
      </w:r>
      <w:r w:rsidR="00AC6707" w:rsidRPr="002451A2">
        <w:t xml:space="preserve">relate to the myth as both of these took place at a different time and year that relates to the myth. </w:t>
      </w:r>
      <w:r w:rsidR="0014589E" w:rsidRPr="002451A2">
        <w:t>Both of the Mysteries represents the life cycle of grain.</w:t>
      </w:r>
      <w:r w:rsidR="009C3E1E" w:rsidRPr="002451A2">
        <w:rPr>
          <w:rStyle w:val="FootnoteReference"/>
        </w:rPr>
        <w:footnoteReference w:id="3"/>
      </w:r>
      <w:r w:rsidR="009C3E1E" w:rsidRPr="002451A2">
        <w:t>,</w:t>
      </w:r>
      <w:r w:rsidR="009C3E1E" w:rsidRPr="002451A2">
        <w:rPr>
          <w:rStyle w:val="FootnoteReference"/>
        </w:rPr>
        <w:footnoteReference w:id="4"/>
      </w:r>
      <w:r w:rsidR="0014589E" w:rsidRPr="002451A2">
        <w:t xml:space="preserve"> As when the Lesser Mysteries are performed in the early spring</w:t>
      </w:r>
      <w:r w:rsidR="00821F59">
        <w:t xml:space="preserve"> (</w:t>
      </w:r>
      <w:proofErr w:type="spellStart"/>
      <w:r w:rsidR="00821F59">
        <w:t>Anthesterion</w:t>
      </w:r>
      <w:proofErr w:type="spellEnd"/>
      <w:r w:rsidR="00821F59">
        <w:t xml:space="preserve"> – February)</w:t>
      </w:r>
      <w:r w:rsidR="0014589E" w:rsidRPr="002451A2">
        <w:t xml:space="preserve"> this would be when they would harvest the grain.</w:t>
      </w:r>
      <w:r w:rsidR="00A76E51" w:rsidRPr="002451A2">
        <w:rPr>
          <w:rStyle w:val="FootnoteReference"/>
        </w:rPr>
        <w:footnoteReference w:id="5"/>
      </w:r>
      <w:r w:rsidR="00821F59">
        <w:t>,</w:t>
      </w:r>
      <w:r w:rsidR="00821F59">
        <w:rPr>
          <w:rStyle w:val="FootnoteReference"/>
        </w:rPr>
        <w:footnoteReference w:id="6"/>
      </w:r>
      <w:r w:rsidR="0014589E" w:rsidRPr="002451A2">
        <w:t xml:space="preserve"> With the Greater Mysteries in our calendar would be </w:t>
      </w:r>
      <w:r w:rsidR="0014589E" w:rsidRPr="002451A2">
        <w:lastRenderedPageBreak/>
        <w:t>September</w:t>
      </w:r>
      <w:r w:rsidR="009C3E1E" w:rsidRPr="002451A2">
        <w:t>/ October</w:t>
      </w:r>
      <w:r w:rsidR="003026B3">
        <w:t xml:space="preserve"> (called the Boedromion)</w:t>
      </w:r>
      <w:r w:rsidR="009C3E1E" w:rsidRPr="002451A2">
        <w:t>, this would represent the planting of the grain for the next season.</w:t>
      </w:r>
      <w:r w:rsidR="00821F59" w:rsidRPr="00821F59">
        <w:rPr>
          <w:rStyle w:val="FootnoteReference"/>
        </w:rPr>
        <w:t xml:space="preserve"> </w:t>
      </w:r>
      <w:r w:rsidR="00821F59">
        <w:rPr>
          <w:rStyle w:val="FootnoteReference"/>
        </w:rPr>
        <w:footnoteReference w:id="7"/>
      </w:r>
      <w:r w:rsidR="009C3E1E" w:rsidRPr="002451A2">
        <w:t xml:space="preserve"> </w:t>
      </w:r>
      <w:r w:rsidR="00A76E51" w:rsidRPr="002451A2">
        <w:t xml:space="preserve">However, there is no evidence to support this but the </w:t>
      </w:r>
      <w:r w:rsidR="009C3E1E" w:rsidRPr="002451A2">
        <w:t xml:space="preserve">two mysteries take place could be more linked to the Hymn to Demeter in that for the period of time that </w:t>
      </w:r>
      <w:r w:rsidR="00A76E51" w:rsidRPr="002451A2">
        <w:t>Persephone</w:t>
      </w:r>
      <w:r w:rsidR="009C3E1E" w:rsidRPr="002451A2">
        <w:t xml:space="preserve"> or Kore remain in Hell with Hades</w:t>
      </w:r>
      <w:r w:rsidR="00A76E51" w:rsidRPr="002451A2">
        <w:t>, is the period of time between the Lesser Mysteries and the Greater Mysteries.</w:t>
      </w:r>
      <w:r w:rsidR="001A6B25">
        <w:rPr>
          <w:rStyle w:val="FootnoteReference"/>
        </w:rPr>
        <w:footnoteReference w:id="8"/>
      </w:r>
      <w:r w:rsidR="009C3E1E" w:rsidRPr="002451A2">
        <w:t xml:space="preserve"> </w:t>
      </w:r>
      <w:r w:rsidR="00575D98" w:rsidRPr="002451A2">
        <w:t xml:space="preserve">This shows not just the Hymn to Demeter having influences on the rituals when they were performed but on the basis of the main Goddess that they were worshipping the Goddess of Agriculture they matched of the grain season and perform the ritual in conjunction to this. </w:t>
      </w:r>
    </w:p>
    <w:p w:rsidR="00575D98" w:rsidRDefault="00575D98" w:rsidP="00A3091C">
      <w:pPr>
        <w:spacing w:after="0" w:line="480" w:lineRule="auto"/>
      </w:pPr>
      <w:r w:rsidRPr="002451A2">
        <w:tab/>
        <w:t>In the Lesser Mysteries, sacrifices are performed in order for initiates to join the cult and sacrifices are performed in the myth, both of the sacrifices are in honour to Demeter. The initiates in the Lesser Mysteries on reaching Eleusis sa</w:t>
      </w:r>
      <w:r w:rsidR="00555ECA" w:rsidRPr="002451A2">
        <w:t>crificing</w:t>
      </w:r>
      <w:r w:rsidR="00F02B49" w:rsidRPr="002451A2">
        <w:t xml:space="preserve"> domesticated</w:t>
      </w:r>
      <w:r w:rsidR="00555ECA" w:rsidRPr="002451A2">
        <w:t xml:space="preserve"> animals sometimes pigs to Demeter.</w:t>
      </w:r>
      <w:r w:rsidR="00555ECA" w:rsidRPr="002451A2">
        <w:rPr>
          <w:rStyle w:val="FootnoteReference"/>
        </w:rPr>
        <w:footnoteReference w:id="9"/>
      </w:r>
      <w:r w:rsidR="00555ECA" w:rsidRPr="002451A2">
        <w:t>,</w:t>
      </w:r>
      <w:r w:rsidR="00555ECA" w:rsidRPr="002451A2">
        <w:rPr>
          <w:rStyle w:val="FootnoteReference"/>
        </w:rPr>
        <w:footnoteReference w:id="10"/>
      </w:r>
      <w:r w:rsidR="00555ECA" w:rsidRPr="002451A2">
        <w:t xml:space="preserve"> </w:t>
      </w:r>
      <w:r w:rsidR="00F02B49" w:rsidRPr="002451A2">
        <w:t xml:space="preserve">The Sacrifice occurs in the myth after the building of the Temple at Eleusis, Demeter refuses to let the crops grew as she is ‘longing’ for her daughter and the humans give gifts and carry out sacrifices to please the gods </w:t>
      </w:r>
      <w:r w:rsidR="00F02B49" w:rsidRPr="002451A2">
        <w:rPr>
          <w:noProof/>
        </w:rPr>
        <w:t>(Homer, The Homeric Hymns, 300-315)</w:t>
      </w:r>
      <w:r w:rsidR="00F02B49" w:rsidRPr="002451A2">
        <w:t xml:space="preserve">. </w:t>
      </w:r>
    </w:p>
    <w:p w:rsidR="002451A2" w:rsidRPr="002451A2" w:rsidRDefault="002451A2" w:rsidP="00A3091C">
      <w:pPr>
        <w:spacing w:after="0" w:line="480" w:lineRule="auto"/>
      </w:pPr>
      <w:r>
        <w:tab/>
      </w:r>
      <w:r w:rsidR="00252CF5">
        <w:t>The Hymn to Demeter further explain</w:t>
      </w:r>
      <w:r w:rsidR="005D1335">
        <w:t>s</w:t>
      </w:r>
      <w:r w:rsidR="00252CF5">
        <w:t xml:space="preserve"> its influence over the</w:t>
      </w:r>
      <w:r w:rsidR="00252CF5" w:rsidRPr="002451A2">
        <w:t xml:space="preserve"> Eleusinian</w:t>
      </w:r>
      <w:r w:rsidR="00252CF5">
        <w:t xml:space="preserve"> cult as with the fasting and the carrying of torches. </w:t>
      </w:r>
      <w:r w:rsidR="00A31C1D">
        <w:t>In the myth, when Demeter tries to find information about the where Persephone is, Demeter walked the earth for ‘nine days’</w:t>
      </w:r>
      <w:r w:rsidR="0000624E">
        <w:t>,</w:t>
      </w:r>
      <w:r w:rsidR="00A31C1D">
        <w:t xml:space="preserve"> ‘with flaming torches in both her hands’ </w:t>
      </w:r>
      <w:r w:rsidR="0000624E">
        <w:t>and not having any food or water to sustain herself</w:t>
      </w:r>
      <w:r w:rsidR="00F740EF">
        <w:t xml:space="preserve"> </w:t>
      </w:r>
      <w:r w:rsidR="00A31C1D" w:rsidRPr="002451A2">
        <w:rPr>
          <w:noProof/>
        </w:rPr>
        <w:t>(Homer,</w:t>
      </w:r>
      <w:r w:rsidR="00A31C1D">
        <w:rPr>
          <w:noProof/>
        </w:rPr>
        <w:t xml:space="preserve"> The Homeric Hymns, 45-50</w:t>
      </w:r>
      <w:r w:rsidR="00A31C1D" w:rsidRPr="002451A2">
        <w:rPr>
          <w:noProof/>
        </w:rPr>
        <w:t>)</w:t>
      </w:r>
      <w:r w:rsidR="00A3075F">
        <w:rPr>
          <w:noProof/>
        </w:rPr>
        <w:t>.</w:t>
      </w:r>
      <w:r w:rsidR="00A3075F">
        <w:rPr>
          <w:rStyle w:val="FootnoteReference"/>
          <w:noProof/>
        </w:rPr>
        <w:footnoteReference w:id="11"/>
      </w:r>
      <w:r w:rsidR="00A31C1D">
        <w:t xml:space="preserve"> </w:t>
      </w:r>
      <w:r w:rsidR="0000624E">
        <w:t xml:space="preserve"> </w:t>
      </w:r>
      <w:r w:rsidR="00A3075F">
        <w:t>In the Lesser Mysteries, the journey from Athens to Eleusis, initiates and followers carry torches in each of their hands. There is also an interlude in the ceremonies with nine days of fasting meaning not having any food or water.</w:t>
      </w:r>
      <w:r w:rsidR="00A3075F">
        <w:rPr>
          <w:rStyle w:val="FootnoteReference"/>
        </w:rPr>
        <w:footnoteReference w:id="12"/>
      </w:r>
      <w:r w:rsidR="00A3075F">
        <w:t xml:space="preserve"> Just like that mentioned in the myth, to symbolize Demeter’s journey to find information about her missing daughter shows that in this part of the myth it explains rituals and also creates a clear link of influence between the Eleusinian mysteries and the Hymn to Demeter.</w:t>
      </w:r>
    </w:p>
    <w:p w:rsidR="001A6B25" w:rsidRDefault="001A6B25" w:rsidP="00F0443B">
      <w:pPr>
        <w:spacing w:after="0" w:line="480" w:lineRule="auto"/>
      </w:pPr>
      <w:r>
        <w:tab/>
        <w:t>A Direct Link between the Hymn to Demeter and the Eleusinian mysteries is the creation of the Mysteries. In the Myth</w:t>
      </w:r>
      <w:r w:rsidR="00F0443B">
        <w:t>,</w:t>
      </w:r>
      <w:r>
        <w:t xml:space="preserve"> Demeter instructs the kings </w:t>
      </w:r>
      <w:r w:rsidR="00F0443B">
        <w:t xml:space="preserve">to create the mysteries and tells them the ‘celebration’ and informs them of her rites that will be carried out in the mysteries </w:t>
      </w:r>
      <w:r w:rsidR="00F0443B" w:rsidRPr="002451A2">
        <w:rPr>
          <w:noProof/>
        </w:rPr>
        <w:t>(Homer,</w:t>
      </w:r>
      <w:r w:rsidR="00F0443B">
        <w:rPr>
          <w:noProof/>
        </w:rPr>
        <w:t xml:space="preserve"> The Homeric Hymns, 470-485</w:t>
      </w:r>
      <w:r w:rsidR="00F0443B" w:rsidRPr="002451A2">
        <w:rPr>
          <w:noProof/>
        </w:rPr>
        <w:t>)</w:t>
      </w:r>
      <w:r w:rsidR="00F0443B" w:rsidRPr="002451A2">
        <w:t xml:space="preserve">. </w:t>
      </w:r>
      <w:r w:rsidR="00F0443B">
        <w:t xml:space="preserve"> The myth shows a direct influence on ritual practices with the creation of the cult but also creating ceremonies and acts that would be carried out at the cult.  </w:t>
      </w:r>
      <w:r w:rsidR="00A3075F">
        <w:tab/>
      </w:r>
    </w:p>
    <w:p w:rsidR="008737AD" w:rsidRPr="002451A2" w:rsidRDefault="00F0443B" w:rsidP="00F0443B">
      <w:pPr>
        <w:spacing w:after="0" w:line="480" w:lineRule="auto"/>
        <w:ind w:firstLine="720"/>
      </w:pPr>
      <w:r>
        <w:t>Furthermore, a</w:t>
      </w:r>
      <w:r w:rsidR="001A6B25">
        <w:t xml:space="preserve">nother link between the Hymn to Demeter and the Cult is the secrecy that surrounds it. </w:t>
      </w:r>
      <w:r>
        <w:t xml:space="preserve">In the same section with the creation of the Mysteries, the myth says ‘which no one may transgress in anyway’. This influences the cult hugely as only the followers would know the full going’s on of the Mysteries. This is clearly seen in the very little evidence of the cult </w:t>
      </w:r>
      <w:r w:rsidR="00C50BC4">
        <w:t>and so little is known abo</w:t>
      </w:r>
      <w:bookmarkStart w:id="0" w:name="_GoBack"/>
      <w:bookmarkEnd w:id="0"/>
      <w:r w:rsidR="00C50BC4">
        <w:t>ut the cult</w:t>
      </w:r>
      <w:r w:rsidR="00DF0376">
        <w:t xml:space="preserve">. </w:t>
      </w:r>
      <w:r w:rsidR="00625CC8">
        <w:t>Most Physical evidence of the cult is from the site of Eleusis from Archaeology digs of the area. Secrecy of the cult was tight that only people initiated into the Greater Mysteries were allowe</w:t>
      </w:r>
      <w:r w:rsidR="00821F59">
        <w:t xml:space="preserve">d to see the sacred symbols or </w:t>
      </w:r>
      <w:proofErr w:type="spellStart"/>
      <w:r w:rsidR="00821F59">
        <w:t>A</w:t>
      </w:r>
      <w:r w:rsidR="00625CC8">
        <w:t>naktoron</w:t>
      </w:r>
      <w:proofErr w:type="spellEnd"/>
      <w:r w:rsidR="00625CC8">
        <w:t>.</w:t>
      </w:r>
      <w:r w:rsidR="00625CC8">
        <w:rPr>
          <w:rStyle w:val="FootnoteReference"/>
        </w:rPr>
        <w:footnoteReference w:id="13"/>
      </w:r>
      <w:r>
        <w:t xml:space="preserve">  </w:t>
      </w:r>
    </w:p>
    <w:p w:rsidR="00723C75" w:rsidRDefault="005E2411" w:rsidP="00F0443B">
      <w:pPr>
        <w:spacing w:after="0" w:line="480" w:lineRule="auto"/>
      </w:pPr>
      <w:r>
        <w:tab/>
        <w:t>An</w:t>
      </w:r>
      <w:r w:rsidR="00994AB7">
        <w:t xml:space="preserve">other element of the Eleusinian Cult </w:t>
      </w:r>
      <w:r w:rsidR="002437C9">
        <w:t xml:space="preserve">that is influenced by the Hymn to Demeter was the </w:t>
      </w:r>
      <w:proofErr w:type="spellStart"/>
      <w:r w:rsidR="002437C9">
        <w:t>dromena</w:t>
      </w:r>
      <w:proofErr w:type="spellEnd"/>
      <w:r w:rsidR="002437C9">
        <w:t>.</w:t>
      </w:r>
      <w:r w:rsidR="002437C9">
        <w:rPr>
          <w:rStyle w:val="FootnoteReference"/>
        </w:rPr>
        <w:footnoteReference w:id="14"/>
      </w:r>
      <w:r w:rsidR="002437C9">
        <w:t xml:space="preserve"> This was one of the main things done at the cult were they would enact events in relation to the cult. </w:t>
      </w:r>
      <w:r w:rsidR="001A10C5">
        <w:t>In the Eleusinian cult they would enact different parts of the myth but mainly would enact the reunion of Demeter and Persephone. This clearly shows a relation between the</w:t>
      </w:r>
      <w:r w:rsidR="00A85F10">
        <w:t xml:space="preserve"> myth and the ritual practices as part of the myth become</w:t>
      </w:r>
      <w:r w:rsidR="00B33794">
        <w:t>s</w:t>
      </w:r>
      <w:r w:rsidR="00A85F10">
        <w:t xml:space="preserve"> the basis for some of the rituals pe</w:t>
      </w:r>
      <w:r w:rsidR="005D1335">
        <w:t>rformed and what more object is</w:t>
      </w:r>
      <w:r w:rsidR="00A85F10">
        <w:t xml:space="preserve"> related to the myth are shown (deiknymena) and some things in the myth are explained (legomena) allows direct ability </w:t>
      </w:r>
      <w:r w:rsidR="00B33794">
        <w:t xml:space="preserve">of the myth to explain and have a direct influence over the cult. </w:t>
      </w:r>
    </w:p>
    <w:p w:rsidR="00B33794" w:rsidRDefault="00B33794" w:rsidP="00F0443B">
      <w:pPr>
        <w:spacing w:after="0" w:line="480" w:lineRule="auto"/>
      </w:pPr>
      <w:r>
        <w:tab/>
        <w:t xml:space="preserve">One of the influences of the myth outside of the </w:t>
      </w:r>
      <w:r w:rsidR="00D56B19">
        <w:t>cult in the Th</w:t>
      </w:r>
      <w:r w:rsidR="00EE75FB">
        <w:t xml:space="preserve">esmophoria Festival. </w:t>
      </w:r>
      <w:r w:rsidR="00936EBB">
        <w:t xml:space="preserve">One of the main influence from the Hymn to Demeter is that when Demeter receives hospitability in Eleusis with </w:t>
      </w:r>
      <w:proofErr w:type="spellStart"/>
      <w:r w:rsidR="00936EBB">
        <w:t>Iambe</w:t>
      </w:r>
      <w:proofErr w:type="spellEnd"/>
      <w:r w:rsidR="00936EBB">
        <w:t>, she makes Demeter smith with jokes after the taking of her Daughter (</w:t>
      </w:r>
      <w:r w:rsidR="00936EBB" w:rsidRPr="002451A2">
        <w:rPr>
          <w:noProof/>
        </w:rPr>
        <w:t>Homer,</w:t>
      </w:r>
      <w:r w:rsidR="00936EBB">
        <w:rPr>
          <w:noProof/>
        </w:rPr>
        <w:t xml:space="preserve"> The Homeric Hymns, 200-205)</w:t>
      </w:r>
      <w:r w:rsidR="00936EBB">
        <w:t xml:space="preserve">. </w:t>
      </w:r>
      <w:r w:rsidR="0089512E">
        <w:t>This becomes a reason for why women make ribald jests (jokes) at the festival in Athens</w:t>
      </w:r>
      <w:r w:rsidR="005C1908">
        <w:t xml:space="preserve">. </w:t>
      </w:r>
      <w:r w:rsidR="005C1908">
        <w:rPr>
          <w:rStyle w:val="FootnoteReference"/>
        </w:rPr>
        <w:footnoteReference w:id="15"/>
      </w:r>
      <w:r w:rsidR="005C1908">
        <w:t>,</w:t>
      </w:r>
      <w:r w:rsidR="005C1908">
        <w:rPr>
          <w:rStyle w:val="FootnoteReference"/>
        </w:rPr>
        <w:footnoteReference w:id="16"/>
      </w:r>
      <w:r w:rsidR="0089512E">
        <w:t xml:space="preserve"> This clearly explains that the Hymn to Demeter had a clear influence over a festival that was dedicated to her, that was outside Eleusinian mysteries. </w:t>
      </w:r>
    </w:p>
    <w:p w:rsidR="005D1335" w:rsidRDefault="00F1547B" w:rsidP="005D1335">
      <w:pPr>
        <w:spacing w:after="0" w:line="480" w:lineRule="auto"/>
      </w:pPr>
      <w:r>
        <w:tab/>
      </w:r>
      <w:r w:rsidR="00C31D1B">
        <w:t>In summary, t</w:t>
      </w:r>
      <w:r w:rsidRPr="002451A2">
        <w:t xml:space="preserve">he </w:t>
      </w:r>
      <w:r w:rsidR="00C31D1B">
        <w:t>H</w:t>
      </w:r>
      <w:r w:rsidRPr="002451A2">
        <w:t xml:space="preserve">ymn to Demeter </w:t>
      </w:r>
      <w:r w:rsidR="00C31D1B">
        <w:t>show</w:t>
      </w:r>
      <w:r w:rsidR="005D1335">
        <w:t>s</w:t>
      </w:r>
      <w:r w:rsidR="00C31D1B">
        <w:t xml:space="preserve"> the myths ability to explain the influences the myth has to ritual practices in Ancient Greece in the Main form of the Eleusinian mysteries. Influences of the myth can be seen in the cult through where the ritual takes place overall or specific pin pointed places, the time of year when the two different rituals take place. The Eleusinian mysteries</w:t>
      </w:r>
      <w:r>
        <w:t xml:space="preserve"> performs sacrifices, fasting and the</w:t>
      </w:r>
      <w:r w:rsidR="00C31D1B">
        <w:t>y</w:t>
      </w:r>
      <w:r>
        <w:t xml:space="preserve"> carry torches that further shows the influences of the Hymn to Demeter on the </w:t>
      </w:r>
      <w:r w:rsidR="00C31D1B">
        <w:t>cult</w:t>
      </w:r>
      <w:r>
        <w:t xml:space="preserve">. </w:t>
      </w:r>
      <w:r w:rsidR="00C31D1B">
        <w:t>The Hymn to Demeter influences one main thing outside the cult, this is the Thesmophoria festival</w:t>
      </w:r>
      <w:r>
        <w:t xml:space="preserve">. </w:t>
      </w:r>
      <w:r w:rsidR="00C31D1B">
        <w:t>The Eleusinian m</w:t>
      </w:r>
      <w:r w:rsidR="00B805C5">
        <w:t>ysteries is the main element that was created from the myth but also the secrecy of the cult was kept due to the myth which further shows the myths ability to influence ritual practice in Ancient Greece.</w:t>
      </w:r>
      <w:r>
        <w:t xml:space="preserve"> </w:t>
      </w:r>
    </w:p>
    <w:sdt>
      <w:sdtPr>
        <w:rPr>
          <w:rFonts w:asciiTheme="minorHAnsi" w:eastAsiaTheme="minorHAnsi" w:hAnsiTheme="minorHAnsi" w:cstheme="minorBidi"/>
          <w:color w:val="auto"/>
          <w:sz w:val="22"/>
          <w:szCs w:val="22"/>
          <w:lang w:val="en-GB"/>
        </w:rPr>
        <w:id w:val="1768339200"/>
        <w:docPartObj>
          <w:docPartGallery w:val="Bibliographies"/>
          <w:docPartUnique/>
        </w:docPartObj>
      </w:sdtPr>
      <w:sdtEndPr/>
      <w:sdtContent>
        <w:p w:rsidR="007F3C0C" w:rsidRPr="005D1335" w:rsidRDefault="007F3C0C" w:rsidP="005D1335">
          <w:pPr>
            <w:pStyle w:val="Heading1"/>
            <w:spacing w:line="480" w:lineRule="auto"/>
          </w:pPr>
          <w:r w:rsidRPr="002451A2">
            <w:rPr>
              <w:sz w:val="22"/>
              <w:szCs w:val="22"/>
            </w:rPr>
            <w:t>Bibliography</w:t>
          </w:r>
        </w:p>
        <w:p w:rsidR="0098196A" w:rsidRPr="002451A2" w:rsidRDefault="0098196A" w:rsidP="0098196A">
          <w:pPr>
            <w:rPr>
              <w:lang w:val="en-US"/>
            </w:rPr>
          </w:pPr>
          <w:r w:rsidRPr="002451A2">
            <w:rPr>
              <w:lang w:val="en-US"/>
            </w:rPr>
            <w:t>Ancient Sources</w:t>
          </w:r>
        </w:p>
        <w:p w:rsidR="0098196A" w:rsidRPr="002451A2" w:rsidRDefault="0098196A" w:rsidP="0098196A">
          <w:pPr>
            <w:pStyle w:val="Bibliography"/>
            <w:rPr>
              <w:noProof/>
            </w:rPr>
          </w:pPr>
          <w:r w:rsidRPr="002451A2">
            <w:rPr>
              <w:noProof/>
            </w:rPr>
            <w:t xml:space="preserve">Homer, </w:t>
          </w:r>
          <w:r w:rsidRPr="002451A2">
            <w:rPr>
              <w:iCs/>
              <w:noProof/>
            </w:rPr>
            <w:t xml:space="preserve">The Homeric Hyms. </w:t>
          </w:r>
          <w:r w:rsidR="0027237D" w:rsidRPr="002451A2">
            <w:rPr>
              <w:iCs/>
              <w:noProof/>
            </w:rPr>
            <w:t>J.</w:t>
          </w:r>
          <w:r w:rsidRPr="002451A2">
            <w:rPr>
              <w:iCs/>
              <w:noProof/>
            </w:rPr>
            <w:t>Cashford (trans).</w:t>
          </w:r>
          <w:r w:rsidRPr="002451A2">
            <w:rPr>
              <w:noProof/>
            </w:rPr>
            <w:t xml:space="preserve"> 2003.</w:t>
          </w:r>
          <w:r w:rsidRPr="002451A2">
            <w:rPr>
              <w:i/>
              <w:iCs/>
              <w:noProof/>
            </w:rPr>
            <w:t xml:space="preserve"> </w:t>
          </w:r>
          <w:r w:rsidRPr="002451A2">
            <w:rPr>
              <w:noProof/>
            </w:rPr>
            <w:t>London: Penguin Classics.</w:t>
          </w:r>
        </w:p>
        <w:p w:rsidR="0098196A" w:rsidRPr="002451A2" w:rsidRDefault="0098196A" w:rsidP="0098196A">
          <w:pPr>
            <w:rPr>
              <w:lang w:val="en-US"/>
            </w:rPr>
          </w:pPr>
        </w:p>
        <w:p w:rsidR="0098196A" w:rsidRPr="002451A2" w:rsidRDefault="0098196A" w:rsidP="0098196A">
          <w:pPr>
            <w:rPr>
              <w:lang w:val="en-US"/>
            </w:rPr>
          </w:pPr>
          <w:r w:rsidRPr="002451A2">
            <w:rPr>
              <w:lang w:val="en-US"/>
            </w:rPr>
            <w:t>Secondary Sources</w:t>
          </w:r>
        </w:p>
        <w:sdt>
          <w:sdtPr>
            <w:id w:val="111145805"/>
            <w:bibliography/>
          </w:sdtPr>
          <w:sdtEndPr/>
          <w:sdtContent>
            <w:p w:rsidR="005D1335" w:rsidRDefault="007F3C0C" w:rsidP="005D1335">
              <w:pPr>
                <w:pStyle w:val="Bibliography"/>
                <w:rPr>
                  <w:noProof/>
                  <w:sz w:val="24"/>
                  <w:szCs w:val="24"/>
                  <w:lang w:val="en-US"/>
                </w:rPr>
              </w:pPr>
              <w:r w:rsidRPr="002451A2">
                <w:fldChar w:fldCharType="begin"/>
              </w:r>
              <w:r w:rsidRPr="002451A2">
                <w:instrText xml:space="preserve"> BIBLIOGRAPHY </w:instrText>
              </w:r>
              <w:r w:rsidRPr="002451A2">
                <w:fldChar w:fldCharType="separate"/>
              </w:r>
              <w:r w:rsidR="005D1335">
                <w:rPr>
                  <w:noProof/>
                  <w:lang w:val="en-US"/>
                </w:rPr>
                <w:t xml:space="preserve">Burkert, W., 1987. </w:t>
              </w:r>
              <w:r w:rsidR="005D1335">
                <w:rPr>
                  <w:i/>
                  <w:iCs/>
                  <w:noProof/>
                  <w:lang w:val="en-US"/>
                </w:rPr>
                <w:t xml:space="preserve">Ancient Mystey Cults. </w:t>
              </w:r>
              <w:r w:rsidR="005D1335">
                <w:rPr>
                  <w:noProof/>
                  <w:lang w:val="en-US"/>
                </w:rPr>
                <w:t>s.l.:Harvard Uni Press.</w:t>
              </w:r>
            </w:p>
            <w:p w:rsidR="005D1335" w:rsidRDefault="005D1335" w:rsidP="005D1335">
              <w:pPr>
                <w:pStyle w:val="Bibliography"/>
                <w:rPr>
                  <w:noProof/>
                  <w:lang w:val="en-US"/>
                </w:rPr>
              </w:pPr>
              <w:r>
                <w:rPr>
                  <w:noProof/>
                  <w:lang w:val="en-US"/>
                </w:rPr>
                <w:t xml:space="preserve">Editors, C. R., 2017. </w:t>
              </w:r>
              <w:r>
                <w:rPr>
                  <w:i/>
                  <w:iCs/>
                  <w:noProof/>
                  <w:lang w:val="en-US"/>
                </w:rPr>
                <w:t xml:space="preserve">The Eleusinian Mysteries: The History of Ancient Greece’s Most Famous Religious Rites. </w:t>
              </w:r>
              <w:r>
                <w:rPr>
                  <w:noProof/>
                  <w:lang w:val="en-US"/>
                </w:rPr>
                <w:t>s.l. :Charles River Editors.</w:t>
              </w:r>
            </w:p>
            <w:p w:rsidR="005D1335" w:rsidRDefault="005D1335" w:rsidP="005D1335">
              <w:pPr>
                <w:pStyle w:val="Bibliography"/>
                <w:rPr>
                  <w:noProof/>
                  <w:lang w:val="en-US"/>
                </w:rPr>
              </w:pPr>
              <w:r>
                <w:rPr>
                  <w:noProof/>
                  <w:lang w:val="en-US"/>
                </w:rPr>
                <w:t xml:space="preserve">Evans, N. A., 2002. Sanctuaries, Sacrifices, and the Eleusinian Mysteries. </w:t>
              </w:r>
              <w:r>
                <w:rPr>
                  <w:i/>
                  <w:iCs/>
                  <w:noProof/>
                  <w:lang w:val="en-US"/>
                </w:rPr>
                <w:t xml:space="preserve">Numen, </w:t>
              </w:r>
              <w:r>
                <w:rPr>
                  <w:noProof/>
                  <w:lang w:val="en-US"/>
                </w:rPr>
                <w:t>49(3), pp. 227-254.</w:t>
              </w:r>
            </w:p>
            <w:p w:rsidR="005D1335" w:rsidRDefault="005D1335" w:rsidP="005D1335">
              <w:pPr>
                <w:pStyle w:val="Bibliography"/>
                <w:rPr>
                  <w:noProof/>
                </w:rPr>
              </w:pPr>
              <w:r>
                <w:rPr>
                  <w:noProof/>
                </w:rPr>
                <w:t xml:space="preserve">Homer, 2003. </w:t>
              </w:r>
              <w:r>
                <w:rPr>
                  <w:i/>
                  <w:iCs/>
                  <w:noProof/>
                </w:rPr>
                <w:t xml:space="preserve">The Homeric Hyms. </w:t>
              </w:r>
              <w:r>
                <w:rPr>
                  <w:noProof/>
                </w:rPr>
                <w:t>London: Penguin Classics.</w:t>
              </w:r>
            </w:p>
            <w:p w:rsidR="005D1335" w:rsidRDefault="005D1335" w:rsidP="005D1335">
              <w:pPr>
                <w:pStyle w:val="Bibliography"/>
                <w:rPr>
                  <w:noProof/>
                  <w:lang w:val="en-US"/>
                </w:rPr>
              </w:pPr>
              <w:r>
                <w:rPr>
                  <w:noProof/>
                  <w:lang w:val="en-US"/>
                </w:rPr>
                <w:t xml:space="preserve">Kershaw, S. p., 2007. </w:t>
              </w:r>
              <w:r>
                <w:rPr>
                  <w:i/>
                  <w:iCs/>
                  <w:noProof/>
                  <w:lang w:val="en-US"/>
                </w:rPr>
                <w:t xml:space="preserve">A Brief Guide To The Greeks. </w:t>
              </w:r>
              <w:r>
                <w:rPr>
                  <w:noProof/>
                  <w:lang w:val="en-US"/>
                </w:rPr>
                <w:t>1st ed. London: Robinson.</w:t>
              </w:r>
            </w:p>
            <w:p w:rsidR="005D1335" w:rsidRDefault="005D1335" w:rsidP="005D1335">
              <w:pPr>
                <w:pStyle w:val="Bibliography"/>
                <w:rPr>
                  <w:noProof/>
                  <w:lang w:val="en-US"/>
                </w:rPr>
              </w:pPr>
              <w:r>
                <w:rPr>
                  <w:noProof/>
                  <w:lang w:val="en-US"/>
                </w:rPr>
                <w:t xml:space="preserve">March, J., 2008. </w:t>
              </w:r>
              <w:r>
                <w:rPr>
                  <w:i/>
                  <w:iCs/>
                  <w:noProof/>
                  <w:lang w:val="en-US"/>
                </w:rPr>
                <w:t xml:space="preserve">The Penguin Books of Classical Myths. </w:t>
              </w:r>
              <w:r>
                <w:rPr>
                  <w:noProof/>
                  <w:lang w:val="en-US"/>
                </w:rPr>
                <w:t>London: Allen Lane- Penguin Group.</w:t>
              </w:r>
            </w:p>
            <w:p w:rsidR="005D1335" w:rsidRDefault="005D1335" w:rsidP="005D1335">
              <w:pPr>
                <w:pStyle w:val="Bibliography"/>
                <w:rPr>
                  <w:noProof/>
                  <w:lang w:val="en-US"/>
                </w:rPr>
              </w:pPr>
              <w:r>
                <w:rPr>
                  <w:noProof/>
                  <w:lang w:val="en-US"/>
                </w:rPr>
                <w:t xml:space="preserve">Meyer, M., 1999. </w:t>
              </w:r>
              <w:r>
                <w:rPr>
                  <w:i/>
                  <w:iCs/>
                  <w:noProof/>
                  <w:lang w:val="en-US"/>
                </w:rPr>
                <w:t xml:space="preserve">The Ancient Mysteries: A Sourcebook of Sacred Texts. </w:t>
              </w:r>
              <w:r>
                <w:rPr>
                  <w:noProof/>
                  <w:lang w:val="en-US"/>
                </w:rPr>
                <w:t>Philadelphia: University of Pennsylvania Press.</w:t>
              </w:r>
            </w:p>
            <w:p w:rsidR="005D1335" w:rsidRDefault="005D1335" w:rsidP="005D1335">
              <w:pPr>
                <w:pStyle w:val="Bibliography"/>
                <w:rPr>
                  <w:noProof/>
                  <w:lang w:val="en-US"/>
                </w:rPr>
              </w:pPr>
              <w:r>
                <w:rPr>
                  <w:noProof/>
                  <w:lang w:val="en-US"/>
                </w:rPr>
                <w:t xml:space="preserve">Morford, M. P., 1999. </w:t>
              </w:r>
              <w:r>
                <w:rPr>
                  <w:i/>
                  <w:iCs/>
                  <w:noProof/>
                  <w:lang w:val="en-US"/>
                </w:rPr>
                <w:t xml:space="preserve">Classical Mythology. </w:t>
              </w:r>
              <w:r>
                <w:rPr>
                  <w:noProof/>
                  <w:lang w:val="en-US"/>
                </w:rPr>
                <w:t>6th ed. New York and Oxford: Oxford University Press.</w:t>
              </w:r>
            </w:p>
            <w:p w:rsidR="005D1335" w:rsidRDefault="005D1335" w:rsidP="005D1335">
              <w:pPr>
                <w:pStyle w:val="Bibliography"/>
                <w:rPr>
                  <w:noProof/>
                  <w:lang w:val="en-US"/>
                </w:rPr>
              </w:pPr>
              <w:r>
                <w:rPr>
                  <w:noProof/>
                  <w:lang w:val="en-US"/>
                </w:rPr>
                <w:t xml:space="preserve">Mylonas, G. E., 1947. Eleusis and the Eleusinian Mysteries. </w:t>
              </w:r>
              <w:r>
                <w:rPr>
                  <w:i/>
                  <w:iCs/>
                  <w:noProof/>
                  <w:lang w:val="en-US"/>
                </w:rPr>
                <w:t xml:space="preserve">The Classical Journal, </w:t>
              </w:r>
              <w:r>
                <w:rPr>
                  <w:noProof/>
                  <w:lang w:val="en-US"/>
                </w:rPr>
                <w:t>43(3), pp. 130-146.</w:t>
              </w:r>
            </w:p>
            <w:p w:rsidR="005D1335" w:rsidRDefault="005D1335" w:rsidP="005D1335">
              <w:pPr>
                <w:pStyle w:val="Bibliography"/>
                <w:rPr>
                  <w:noProof/>
                  <w:lang w:val="en-US"/>
                </w:rPr>
              </w:pPr>
              <w:r>
                <w:rPr>
                  <w:noProof/>
                  <w:lang w:val="en-US"/>
                </w:rPr>
                <w:t xml:space="preserve">Taylor, T., 1891. </w:t>
              </w:r>
              <w:r>
                <w:rPr>
                  <w:i/>
                  <w:iCs/>
                  <w:noProof/>
                  <w:lang w:val="en-US"/>
                </w:rPr>
                <w:t xml:space="preserve">A dissertation on The Eleusinian and Bacchic Mysteries. </w:t>
              </w:r>
              <w:r>
                <w:rPr>
                  <w:noProof/>
                  <w:lang w:val="en-US"/>
                </w:rPr>
                <w:t>New York: J.W. Bouton.</w:t>
              </w:r>
            </w:p>
            <w:p w:rsidR="005D1335" w:rsidRDefault="005D1335" w:rsidP="005D1335">
              <w:pPr>
                <w:pStyle w:val="Bibliography"/>
                <w:rPr>
                  <w:noProof/>
                  <w:lang w:val="en-US"/>
                </w:rPr>
              </w:pPr>
              <w:r>
                <w:rPr>
                  <w:noProof/>
                  <w:lang w:val="en-US"/>
                </w:rPr>
                <w:t xml:space="preserve">Wright, D., 1919. </w:t>
              </w:r>
              <w:r>
                <w:rPr>
                  <w:i/>
                  <w:iCs/>
                  <w:noProof/>
                  <w:lang w:val="en-US"/>
                </w:rPr>
                <w:t xml:space="preserve">Eleusinian Mysteries &amp; Rites. </w:t>
              </w:r>
              <w:r>
                <w:rPr>
                  <w:noProof/>
                  <w:lang w:val="en-US"/>
                </w:rPr>
                <w:t>Glastonbury: The Lost Library.</w:t>
              </w:r>
            </w:p>
            <w:p w:rsidR="007F3C0C" w:rsidRPr="002451A2" w:rsidRDefault="007F3C0C" w:rsidP="005D1335">
              <w:pPr>
                <w:spacing w:line="480" w:lineRule="auto"/>
              </w:pPr>
              <w:r w:rsidRPr="002451A2">
                <w:rPr>
                  <w:b/>
                  <w:bCs/>
                  <w:noProof/>
                </w:rPr>
                <w:fldChar w:fldCharType="end"/>
              </w:r>
            </w:p>
          </w:sdtContent>
        </w:sdt>
      </w:sdtContent>
    </w:sdt>
    <w:p w:rsidR="00DC7679" w:rsidRPr="002451A2" w:rsidRDefault="00DC7679" w:rsidP="00C30BDF">
      <w:pPr>
        <w:spacing w:line="480" w:lineRule="auto"/>
      </w:pPr>
    </w:p>
    <w:sectPr w:rsidR="00DC7679" w:rsidRPr="002451A2" w:rsidSect="00DC767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97D" w:rsidRDefault="00E9597D" w:rsidP="007948B6">
      <w:pPr>
        <w:spacing w:after="0" w:line="240" w:lineRule="auto"/>
      </w:pPr>
      <w:r>
        <w:separator/>
      </w:r>
    </w:p>
  </w:endnote>
  <w:endnote w:type="continuationSeparator" w:id="0">
    <w:p w:rsidR="00E9597D" w:rsidRDefault="00E9597D" w:rsidP="00794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97D" w:rsidRDefault="00E9597D" w:rsidP="007948B6">
      <w:pPr>
        <w:spacing w:after="0" w:line="240" w:lineRule="auto"/>
      </w:pPr>
      <w:r>
        <w:separator/>
      </w:r>
    </w:p>
  </w:footnote>
  <w:footnote w:type="continuationSeparator" w:id="0">
    <w:p w:rsidR="00E9597D" w:rsidRDefault="00E9597D" w:rsidP="007948B6">
      <w:pPr>
        <w:spacing w:after="0" w:line="240" w:lineRule="auto"/>
      </w:pPr>
      <w:r>
        <w:continuationSeparator/>
      </w:r>
    </w:p>
  </w:footnote>
  <w:footnote w:id="1">
    <w:p w:rsidR="005D34F3" w:rsidRDefault="005D34F3">
      <w:pPr>
        <w:pStyle w:val="FootnoteText"/>
      </w:pPr>
      <w:r>
        <w:rPr>
          <w:rStyle w:val="FootnoteReference"/>
        </w:rPr>
        <w:footnoteRef/>
      </w:r>
      <w:r>
        <w:t xml:space="preserve"> </w:t>
      </w:r>
      <w:sdt>
        <w:sdtPr>
          <w:id w:val="734986366"/>
          <w:citation/>
        </w:sdtPr>
        <w:sdtEndPr/>
        <w:sdtContent>
          <w:r>
            <w:fldChar w:fldCharType="begin"/>
          </w:r>
          <w:r>
            <w:instrText xml:space="preserve"> CITATION Mar991 \l 2057 </w:instrText>
          </w:r>
          <w:r>
            <w:fldChar w:fldCharType="separate"/>
          </w:r>
          <w:r w:rsidR="005D1335" w:rsidRPr="005D1335">
            <w:rPr>
              <w:noProof/>
            </w:rPr>
            <w:t>(Morford, 1999)</w:t>
          </w:r>
          <w:r>
            <w:fldChar w:fldCharType="end"/>
          </w:r>
        </w:sdtContent>
      </w:sdt>
    </w:p>
  </w:footnote>
  <w:footnote w:id="2">
    <w:p w:rsidR="00AC6707" w:rsidRDefault="00AC6707">
      <w:pPr>
        <w:pStyle w:val="FootnoteText"/>
      </w:pPr>
      <w:r>
        <w:rPr>
          <w:rStyle w:val="FootnoteReference"/>
        </w:rPr>
        <w:footnoteRef/>
      </w:r>
      <w:r>
        <w:t xml:space="preserve"> </w:t>
      </w:r>
      <w:sdt>
        <w:sdtPr>
          <w:id w:val="829571434"/>
          <w:citation/>
        </w:sdtPr>
        <w:sdtEndPr/>
        <w:sdtContent>
          <w:r>
            <w:fldChar w:fldCharType="begin"/>
          </w:r>
          <w:r>
            <w:instrText xml:space="preserve"> CITATION Mar991 \l 2057 </w:instrText>
          </w:r>
          <w:r>
            <w:fldChar w:fldCharType="separate"/>
          </w:r>
          <w:r w:rsidR="005D1335" w:rsidRPr="005D1335">
            <w:rPr>
              <w:noProof/>
            </w:rPr>
            <w:t>(Morford, 1999)</w:t>
          </w:r>
          <w:r>
            <w:fldChar w:fldCharType="end"/>
          </w:r>
        </w:sdtContent>
      </w:sdt>
    </w:p>
  </w:footnote>
  <w:footnote w:id="3">
    <w:p w:rsidR="009C3E1E" w:rsidRDefault="009C3E1E">
      <w:pPr>
        <w:pStyle w:val="FootnoteText"/>
      </w:pPr>
      <w:r>
        <w:rPr>
          <w:rStyle w:val="FootnoteReference"/>
        </w:rPr>
        <w:footnoteRef/>
      </w:r>
      <w:r>
        <w:t xml:space="preserve"> </w:t>
      </w:r>
      <w:sdt>
        <w:sdtPr>
          <w:id w:val="2086790574"/>
          <w:citation/>
        </w:sdtPr>
        <w:sdtEndPr/>
        <w:sdtContent>
          <w:r>
            <w:fldChar w:fldCharType="begin"/>
          </w:r>
          <w:r>
            <w:instrText xml:space="preserve"> CITATION Jen08 \l 2057 </w:instrText>
          </w:r>
          <w:r>
            <w:fldChar w:fldCharType="separate"/>
          </w:r>
          <w:r w:rsidR="005D1335" w:rsidRPr="005D1335">
            <w:rPr>
              <w:noProof/>
            </w:rPr>
            <w:t>(March, 2008)</w:t>
          </w:r>
          <w:r>
            <w:fldChar w:fldCharType="end"/>
          </w:r>
        </w:sdtContent>
      </w:sdt>
    </w:p>
  </w:footnote>
  <w:footnote w:id="4">
    <w:p w:rsidR="009C3E1E" w:rsidRDefault="009C3E1E">
      <w:pPr>
        <w:pStyle w:val="FootnoteText"/>
      </w:pPr>
      <w:r>
        <w:rPr>
          <w:rStyle w:val="FootnoteReference"/>
        </w:rPr>
        <w:footnoteRef/>
      </w:r>
      <w:r>
        <w:t xml:space="preserve"> </w:t>
      </w:r>
      <w:sdt>
        <w:sdtPr>
          <w:id w:val="-1393427229"/>
          <w:citation/>
        </w:sdtPr>
        <w:sdtEndPr/>
        <w:sdtContent>
          <w:r>
            <w:fldChar w:fldCharType="begin"/>
          </w:r>
          <w:r>
            <w:instrText xml:space="preserve"> CITATION Mar99 \l 2057 </w:instrText>
          </w:r>
          <w:r>
            <w:fldChar w:fldCharType="separate"/>
          </w:r>
          <w:r w:rsidR="005D1335" w:rsidRPr="005D1335">
            <w:rPr>
              <w:noProof/>
            </w:rPr>
            <w:t>(Meyer, 1999)</w:t>
          </w:r>
          <w:r>
            <w:fldChar w:fldCharType="end"/>
          </w:r>
        </w:sdtContent>
      </w:sdt>
    </w:p>
  </w:footnote>
  <w:footnote w:id="5">
    <w:p w:rsidR="00A76E51" w:rsidRDefault="00A76E51">
      <w:pPr>
        <w:pStyle w:val="FootnoteText"/>
      </w:pPr>
      <w:r>
        <w:rPr>
          <w:rStyle w:val="FootnoteReference"/>
        </w:rPr>
        <w:footnoteRef/>
      </w:r>
      <w:r>
        <w:t xml:space="preserve"> </w:t>
      </w:r>
      <w:sdt>
        <w:sdtPr>
          <w:id w:val="-164867691"/>
          <w:citation/>
        </w:sdtPr>
        <w:sdtEndPr/>
        <w:sdtContent>
          <w:r>
            <w:fldChar w:fldCharType="begin"/>
          </w:r>
          <w:r>
            <w:instrText xml:space="preserve"> CITATION Mar991 \l 2057 </w:instrText>
          </w:r>
          <w:r>
            <w:fldChar w:fldCharType="separate"/>
          </w:r>
          <w:r w:rsidR="005D1335" w:rsidRPr="005D1335">
            <w:rPr>
              <w:noProof/>
            </w:rPr>
            <w:t>(Morford, 1999)</w:t>
          </w:r>
          <w:r>
            <w:fldChar w:fldCharType="end"/>
          </w:r>
        </w:sdtContent>
      </w:sdt>
    </w:p>
  </w:footnote>
  <w:footnote w:id="6">
    <w:p w:rsidR="00821F59" w:rsidRDefault="00821F59">
      <w:pPr>
        <w:pStyle w:val="FootnoteText"/>
      </w:pPr>
      <w:r>
        <w:rPr>
          <w:rStyle w:val="FootnoteReference"/>
        </w:rPr>
        <w:footnoteRef/>
      </w:r>
      <w:r>
        <w:t xml:space="preserve"> </w:t>
      </w:r>
      <w:sdt>
        <w:sdtPr>
          <w:id w:val="-1176260944"/>
          <w:citation/>
        </w:sdtPr>
        <w:sdtEndPr/>
        <w:sdtContent>
          <w:r>
            <w:fldChar w:fldCharType="begin"/>
          </w:r>
          <w:r>
            <w:instrText xml:space="preserve"> CITATION Mar99 \l 2057 </w:instrText>
          </w:r>
          <w:r>
            <w:fldChar w:fldCharType="separate"/>
          </w:r>
          <w:r w:rsidR="005D1335" w:rsidRPr="005D1335">
            <w:rPr>
              <w:noProof/>
            </w:rPr>
            <w:t>(Meyer, 1999)</w:t>
          </w:r>
          <w:r>
            <w:fldChar w:fldCharType="end"/>
          </w:r>
        </w:sdtContent>
      </w:sdt>
    </w:p>
  </w:footnote>
  <w:footnote w:id="7">
    <w:p w:rsidR="00821F59" w:rsidRDefault="00821F59" w:rsidP="00821F59">
      <w:pPr>
        <w:pStyle w:val="FootnoteText"/>
      </w:pPr>
      <w:r>
        <w:rPr>
          <w:rStyle w:val="FootnoteReference"/>
        </w:rPr>
        <w:footnoteRef/>
      </w:r>
      <w:r>
        <w:t xml:space="preserve"> </w:t>
      </w:r>
      <w:sdt>
        <w:sdtPr>
          <w:id w:val="-841928932"/>
          <w:citation/>
        </w:sdtPr>
        <w:sdtEndPr/>
        <w:sdtContent>
          <w:r>
            <w:fldChar w:fldCharType="begin"/>
          </w:r>
          <w:r>
            <w:instrText xml:space="preserve"> CITATION Geo47 \l 2057 </w:instrText>
          </w:r>
          <w:r>
            <w:fldChar w:fldCharType="separate"/>
          </w:r>
          <w:r w:rsidR="005D1335" w:rsidRPr="005D1335">
            <w:rPr>
              <w:noProof/>
            </w:rPr>
            <w:t>(Mylonas, 1947)</w:t>
          </w:r>
          <w:r>
            <w:fldChar w:fldCharType="end"/>
          </w:r>
        </w:sdtContent>
      </w:sdt>
    </w:p>
  </w:footnote>
  <w:footnote w:id="8">
    <w:p w:rsidR="001A6B25" w:rsidRDefault="001A6B25">
      <w:pPr>
        <w:pStyle w:val="FootnoteText"/>
      </w:pPr>
      <w:r>
        <w:rPr>
          <w:rStyle w:val="FootnoteReference"/>
        </w:rPr>
        <w:footnoteRef/>
      </w:r>
      <w:r>
        <w:t xml:space="preserve"> </w:t>
      </w:r>
      <w:sdt>
        <w:sdtPr>
          <w:id w:val="-1929341806"/>
          <w:citation/>
        </w:sdtPr>
        <w:sdtEndPr/>
        <w:sdtContent>
          <w:r>
            <w:fldChar w:fldCharType="begin"/>
          </w:r>
          <w:r>
            <w:instrText xml:space="preserve"> CITATION Dud19 \l 2057 </w:instrText>
          </w:r>
          <w:r>
            <w:fldChar w:fldCharType="separate"/>
          </w:r>
          <w:r w:rsidR="005D1335" w:rsidRPr="005D1335">
            <w:rPr>
              <w:noProof/>
            </w:rPr>
            <w:t>(Wright, 1919)</w:t>
          </w:r>
          <w:r>
            <w:fldChar w:fldCharType="end"/>
          </w:r>
        </w:sdtContent>
      </w:sdt>
    </w:p>
  </w:footnote>
  <w:footnote w:id="9">
    <w:p w:rsidR="00555ECA" w:rsidRDefault="00555ECA">
      <w:pPr>
        <w:pStyle w:val="FootnoteText"/>
      </w:pPr>
      <w:r>
        <w:rPr>
          <w:rStyle w:val="FootnoteReference"/>
        </w:rPr>
        <w:footnoteRef/>
      </w:r>
      <w:r>
        <w:t xml:space="preserve"> </w:t>
      </w:r>
      <w:sdt>
        <w:sdtPr>
          <w:id w:val="-1839540997"/>
          <w:citation/>
        </w:sdtPr>
        <w:sdtEndPr/>
        <w:sdtContent>
          <w:r>
            <w:fldChar w:fldCharType="begin"/>
          </w:r>
          <w:r>
            <w:instrText xml:space="preserve">CITATION Mar99 \p 18 \l 2057 </w:instrText>
          </w:r>
          <w:r>
            <w:fldChar w:fldCharType="separate"/>
          </w:r>
          <w:r w:rsidR="005D1335" w:rsidRPr="005D1335">
            <w:rPr>
              <w:noProof/>
            </w:rPr>
            <w:t>(Meyer, 1999, p. 18)</w:t>
          </w:r>
          <w:r>
            <w:fldChar w:fldCharType="end"/>
          </w:r>
        </w:sdtContent>
      </w:sdt>
    </w:p>
  </w:footnote>
  <w:footnote w:id="10">
    <w:p w:rsidR="00555ECA" w:rsidRDefault="00555ECA">
      <w:pPr>
        <w:pStyle w:val="FootnoteText"/>
      </w:pPr>
      <w:r>
        <w:rPr>
          <w:rStyle w:val="FootnoteReference"/>
        </w:rPr>
        <w:footnoteRef/>
      </w:r>
      <w:r>
        <w:t xml:space="preserve"> </w:t>
      </w:r>
      <w:sdt>
        <w:sdtPr>
          <w:id w:val="257500902"/>
          <w:citation/>
        </w:sdtPr>
        <w:sdtEndPr/>
        <w:sdtContent>
          <w:r>
            <w:fldChar w:fldCharType="begin"/>
          </w:r>
          <w:r>
            <w:instrText xml:space="preserve"> CITATION Mar991 \l 2057 </w:instrText>
          </w:r>
          <w:r>
            <w:fldChar w:fldCharType="separate"/>
          </w:r>
          <w:r w:rsidR="005D1335" w:rsidRPr="005D1335">
            <w:rPr>
              <w:noProof/>
            </w:rPr>
            <w:t>(Morford, 1999)</w:t>
          </w:r>
          <w:r>
            <w:fldChar w:fldCharType="end"/>
          </w:r>
        </w:sdtContent>
      </w:sdt>
    </w:p>
  </w:footnote>
  <w:footnote w:id="11">
    <w:p w:rsidR="00A3075F" w:rsidRDefault="00A3075F">
      <w:pPr>
        <w:pStyle w:val="FootnoteText"/>
      </w:pPr>
      <w:r>
        <w:rPr>
          <w:rStyle w:val="FootnoteReference"/>
        </w:rPr>
        <w:footnoteRef/>
      </w:r>
      <w:r>
        <w:t xml:space="preserve"> </w:t>
      </w:r>
      <w:sdt>
        <w:sdtPr>
          <w:id w:val="-659072666"/>
          <w:citation/>
        </w:sdtPr>
        <w:sdtEndPr/>
        <w:sdtContent>
          <w:r>
            <w:fldChar w:fldCharType="begin"/>
          </w:r>
          <w:r>
            <w:instrText xml:space="preserve"> CITATION Jen08 \l 2057 </w:instrText>
          </w:r>
          <w:r>
            <w:fldChar w:fldCharType="separate"/>
          </w:r>
          <w:r w:rsidR="005D1335" w:rsidRPr="005D1335">
            <w:rPr>
              <w:noProof/>
            </w:rPr>
            <w:t>(March, 2008)</w:t>
          </w:r>
          <w:r>
            <w:fldChar w:fldCharType="end"/>
          </w:r>
        </w:sdtContent>
      </w:sdt>
    </w:p>
  </w:footnote>
  <w:footnote w:id="12">
    <w:p w:rsidR="00A3075F" w:rsidRDefault="00A3075F">
      <w:pPr>
        <w:pStyle w:val="FootnoteText"/>
      </w:pPr>
      <w:r>
        <w:rPr>
          <w:rStyle w:val="FootnoteReference"/>
        </w:rPr>
        <w:footnoteRef/>
      </w:r>
      <w:r>
        <w:t xml:space="preserve"> </w:t>
      </w:r>
      <w:sdt>
        <w:sdtPr>
          <w:id w:val="540095186"/>
          <w:citation/>
        </w:sdtPr>
        <w:sdtEndPr/>
        <w:sdtContent>
          <w:r>
            <w:fldChar w:fldCharType="begin"/>
          </w:r>
          <w:r>
            <w:instrText xml:space="preserve"> CITATION Mar991 \l 2057 </w:instrText>
          </w:r>
          <w:r>
            <w:fldChar w:fldCharType="separate"/>
          </w:r>
          <w:r w:rsidR="005D1335" w:rsidRPr="005D1335">
            <w:rPr>
              <w:noProof/>
            </w:rPr>
            <w:t>(Morford, 1999)</w:t>
          </w:r>
          <w:r>
            <w:fldChar w:fldCharType="end"/>
          </w:r>
        </w:sdtContent>
      </w:sdt>
    </w:p>
  </w:footnote>
  <w:footnote w:id="13">
    <w:p w:rsidR="00625CC8" w:rsidRDefault="00625CC8">
      <w:pPr>
        <w:pStyle w:val="FootnoteText"/>
      </w:pPr>
      <w:r>
        <w:rPr>
          <w:rStyle w:val="FootnoteReference"/>
        </w:rPr>
        <w:footnoteRef/>
      </w:r>
      <w:r>
        <w:t xml:space="preserve"> </w:t>
      </w:r>
      <w:sdt>
        <w:sdtPr>
          <w:id w:val="1721014530"/>
          <w:citation/>
        </w:sdtPr>
        <w:sdtEndPr/>
        <w:sdtContent>
          <w:r>
            <w:fldChar w:fldCharType="begin"/>
          </w:r>
          <w:r>
            <w:instrText xml:space="preserve"> CITATION Cha17 \l 2057 </w:instrText>
          </w:r>
          <w:r>
            <w:fldChar w:fldCharType="separate"/>
          </w:r>
          <w:r w:rsidR="005D1335" w:rsidRPr="005D1335">
            <w:rPr>
              <w:noProof/>
            </w:rPr>
            <w:t>(Editors, 2017)</w:t>
          </w:r>
          <w:r>
            <w:fldChar w:fldCharType="end"/>
          </w:r>
        </w:sdtContent>
      </w:sdt>
    </w:p>
  </w:footnote>
  <w:footnote w:id="14">
    <w:p w:rsidR="002437C9" w:rsidRDefault="002437C9">
      <w:pPr>
        <w:pStyle w:val="FootnoteText"/>
      </w:pPr>
      <w:r>
        <w:rPr>
          <w:rStyle w:val="FootnoteReference"/>
        </w:rPr>
        <w:footnoteRef/>
      </w:r>
      <w:r>
        <w:t xml:space="preserve"> </w:t>
      </w:r>
      <w:sdt>
        <w:sdtPr>
          <w:id w:val="-1844009270"/>
          <w:citation/>
        </w:sdtPr>
        <w:sdtEndPr/>
        <w:sdtContent>
          <w:r>
            <w:fldChar w:fldCharType="begin"/>
          </w:r>
          <w:r>
            <w:instrText xml:space="preserve"> CITATION Geo47 \l 2057 </w:instrText>
          </w:r>
          <w:r>
            <w:fldChar w:fldCharType="separate"/>
          </w:r>
          <w:r w:rsidR="005D1335" w:rsidRPr="005D1335">
            <w:rPr>
              <w:noProof/>
            </w:rPr>
            <w:t>(Mylonas, 1947)</w:t>
          </w:r>
          <w:r>
            <w:fldChar w:fldCharType="end"/>
          </w:r>
        </w:sdtContent>
      </w:sdt>
    </w:p>
  </w:footnote>
  <w:footnote w:id="15">
    <w:p w:rsidR="005C1908" w:rsidRDefault="005C1908">
      <w:pPr>
        <w:pStyle w:val="FootnoteText"/>
      </w:pPr>
      <w:r>
        <w:rPr>
          <w:rStyle w:val="FootnoteReference"/>
        </w:rPr>
        <w:footnoteRef/>
      </w:r>
      <w:r>
        <w:t xml:space="preserve"> </w:t>
      </w:r>
      <w:sdt>
        <w:sdtPr>
          <w:id w:val="-204251248"/>
          <w:citation/>
        </w:sdtPr>
        <w:sdtEndPr/>
        <w:sdtContent>
          <w:r>
            <w:fldChar w:fldCharType="begin"/>
          </w:r>
          <w:r>
            <w:instrText xml:space="preserve"> CITATION Mar991 \l 2057 </w:instrText>
          </w:r>
          <w:r>
            <w:fldChar w:fldCharType="separate"/>
          </w:r>
          <w:r w:rsidR="005D1335" w:rsidRPr="005D1335">
            <w:rPr>
              <w:noProof/>
            </w:rPr>
            <w:t>(Morford, 1999)</w:t>
          </w:r>
          <w:r>
            <w:fldChar w:fldCharType="end"/>
          </w:r>
        </w:sdtContent>
      </w:sdt>
    </w:p>
  </w:footnote>
  <w:footnote w:id="16">
    <w:p w:rsidR="005C1908" w:rsidRDefault="005C1908">
      <w:pPr>
        <w:pStyle w:val="FootnoteText"/>
      </w:pPr>
      <w:r>
        <w:rPr>
          <w:rStyle w:val="FootnoteReference"/>
        </w:rPr>
        <w:footnoteRef/>
      </w:r>
      <w:r>
        <w:t xml:space="preserve"> </w:t>
      </w:r>
      <w:sdt>
        <w:sdtPr>
          <w:id w:val="-441847245"/>
          <w:citation/>
        </w:sdtPr>
        <w:sdtEndPr/>
        <w:sdtContent>
          <w:r>
            <w:fldChar w:fldCharType="begin"/>
          </w:r>
          <w:r>
            <w:instrText xml:space="preserve"> CITATION Ste07 \l 2057 </w:instrText>
          </w:r>
          <w:r>
            <w:fldChar w:fldCharType="separate"/>
          </w:r>
          <w:r w:rsidR="005D1335" w:rsidRPr="005D1335">
            <w:rPr>
              <w:noProof/>
            </w:rPr>
            <w:t>(Kershaw, 2007)</w:t>
          </w:r>
          <w:r>
            <w:fldChar w:fldCharType="end"/>
          </w:r>
        </w:sdtContent>
      </w:sdt>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DE4570"/>
    <w:multiLevelType w:val="hybridMultilevel"/>
    <w:tmpl w:val="519AF776"/>
    <w:lvl w:ilvl="0" w:tplc="4F2E0814">
      <w:start w:val="1"/>
      <w:numFmt w:val="decimal"/>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679"/>
    <w:rsid w:val="0000624E"/>
    <w:rsid w:val="00015AF9"/>
    <w:rsid w:val="000516AC"/>
    <w:rsid w:val="000F2B9B"/>
    <w:rsid w:val="0014589E"/>
    <w:rsid w:val="001A10C5"/>
    <w:rsid w:val="001A6B25"/>
    <w:rsid w:val="001E6B0F"/>
    <w:rsid w:val="002437C9"/>
    <w:rsid w:val="002451A2"/>
    <w:rsid w:val="00252CF5"/>
    <w:rsid w:val="0027237D"/>
    <w:rsid w:val="003026B3"/>
    <w:rsid w:val="003610F9"/>
    <w:rsid w:val="003C0B45"/>
    <w:rsid w:val="00425912"/>
    <w:rsid w:val="004723B8"/>
    <w:rsid w:val="004B58A5"/>
    <w:rsid w:val="004E6BED"/>
    <w:rsid w:val="00534BED"/>
    <w:rsid w:val="00555ECA"/>
    <w:rsid w:val="00556529"/>
    <w:rsid w:val="00562C82"/>
    <w:rsid w:val="00575D98"/>
    <w:rsid w:val="005C1908"/>
    <w:rsid w:val="005D1335"/>
    <w:rsid w:val="005D34F3"/>
    <w:rsid w:val="005D4A00"/>
    <w:rsid w:val="005E2411"/>
    <w:rsid w:val="006233D9"/>
    <w:rsid w:val="00625CC8"/>
    <w:rsid w:val="006A13EA"/>
    <w:rsid w:val="00723C75"/>
    <w:rsid w:val="007948B6"/>
    <w:rsid w:val="007F3C0C"/>
    <w:rsid w:val="00821F59"/>
    <w:rsid w:val="008308DE"/>
    <w:rsid w:val="00834D28"/>
    <w:rsid w:val="0084441F"/>
    <w:rsid w:val="008737AD"/>
    <w:rsid w:val="0089512E"/>
    <w:rsid w:val="00936EBB"/>
    <w:rsid w:val="0098196A"/>
    <w:rsid w:val="00994AB7"/>
    <w:rsid w:val="009C3E1E"/>
    <w:rsid w:val="009D7C25"/>
    <w:rsid w:val="00A3075F"/>
    <w:rsid w:val="00A3091C"/>
    <w:rsid w:val="00A31C1D"/>
    <w:rsid w:val="00A449FA"/>
    <w:rsid w:val="00A76E51"/>
    <w:rsid w:val="00A85F10"/>
    <w:rsid w:val="00AC6707"/>
    <w:rsid w:val="00AD3412"/>
    <w:rsid w:val="00B33794"/>
    <w:rsid w:val="00B63434"/>
    <w:rsid w:val="00B805C5"/>
    <w:rsid w:val="00B85FA9"/>
    <w:rsid w:val="00C30BDF"/>
    <w:rsid w:val="00C31D1B"/>
    <w:rsid w:val="00C50BC4"/>
    <w:rsid w:val="00CB49F6"/>
    <w:rsid w:val="00CE1691"/>
    <w:rsid w:val="00D11718"/>
    <w:rsid w:val="00D23115"/>
    <w:rsid w:val="00D24C2D"/>
    <w:rsid w:val="00D56B19"/>
    <w:rsid w:val="00DB08C7"/>
    <w:rsid w:val="00DC518C"/>
    <w:rsid w:val="00DC7679"/>
    <w:rsid w:val="00DF0376"/>
    <w:rsid w:val="00E04822"/>
    <w:rsid w:val="00E768B4"/>
    <w:rsid w:val="00E9597D"/>
    <w:rsid w:val="00EC1D7F"/>
    <w:rsid w:val="00ED19BB"/>
    <w:rsid w:val="00EE75FB"/>
    <w:rsid w:val="00F02B49"/>
    <w:rsid w:val="00F0443B"/>
    <w:rsid w:val="00F1547B"/>
    <w:rsid w:val="00F740EF"/>
    <w:rsid w:val="00FB1BF1"/>
    <w:rsid w:val="00FD4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4E1F8"/>
  <w15:chartTrackingRefBased/>
  <w15:docId w15:val="{E587E3BA-3F2B-49D7-898F-858CF3767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F3C0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679"/>
    <w:pPr>
      <w:spacing w:after="0" w:line="240" w:lineRule="auto"/>
      <w:ind w:left="720"/>
      <w:contextualSpacing/>
    </w:pPr>
    <w:rPr>
      <w:rFonts w:eastAsiaTheme="minorEastAsia"/>
      <w:sz w:val="24"/>
      <w:szCs w:val="24"/>
    </w:rPr>
  </w:style>
  <w:style w:type="character" w:customStyle="1" w:styleId="Heading1Char">
    <w:name w:val="Heading 1 Char"/>
    <w:basedOn w:val="DefaultParagraphFont"/>
    <w:link w:val="Heading1"/>
    <w:uiPriority w:val="9"/>
    <w:rsid w:val="007F3C0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7F3C0C"/>
  </w:style>
  <w:style w:type="paragraph" w:styleId="FootnoteText">
    <w:name w:val="footnote text"/>
    <w:basedOn w:val="Normal"/>
    <w:link w:val="FootnoteTextChar"/>
    <w:uiPriority w:val="99"/>
    <w:semiHidden/>
    <w:unhideWhenUsed/>
    <w:rsid w:val="007948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48B6"/>
    <w:rPr>
      <w:sz w:val="20"/>
      <w:szCs w:val="20"/>
    </w:rPr>
  </w:style>
  <w:style w:type="character" w:styleId="FootnoteReference">
    <w:name w:val="footnote reference"/>
    <w:basedOn w:val="DefaultParagraphFont"/>
    <w:uiPriority w:val="99"/>
    <w:semiHidden/>
    <w:unhideWhenUsed/>
    <w:rsid w:val="007948B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1341">
      <w:bodyDiv w:val="1"/>
      <w:marLeft w:val="0"/>
      <w:marRight w:val="0"/>
      <w:marTop w:val="0"/>
      <w:marBottom w:val="0"/>
      <w:divBdr>
        <w:top w:val="none" w:sz="0" w:space="0" w:color="auto"/>
        <w:left w:val="none" w:sz="0" w:space="0" w:color="auto"/>
        <w:bottom w:val="none" w:sz="0" w:space="0" w:color="auto"/>
        <w:right w:val="none" w:sz="0" w:space="0" w:color="auto"/>
      </w:divBdr>
    </w:div>
    <w:div w:id="24602850">
      <w:bodyDiv w:val="1"/>
      <w:marLeft w:val="0"/>
      <w:marRight w:val="0"/>
      <w:marTop w:val="0"/>
      <w:marBottom w:val="0"/>
      <w:divBdr>
        <w:top w:val="none" w:sz="0" w:space="0" w:color="auto"/>
        <w:left w:val="none" w:sz="0" w:space="0" w:color="auto"/>
        <w:bottom w:val="none" w:sz="0" w:space="0" w:color="auto"/>
        <w:right w:val="none" w:sz="0" w:space="0" w:color="auto"/>
      </w:divBdr>
    </w:div>
    <w:div w:id="70004458">
      <w:bodyDiv w:val="1"/>
      <w:marLeft w:val="0"/>
      <w:marRight w:val="0"/>
      <w:marTop w:val="0"/>
      <w:marBottom w:val="0"/>
      <w:divBdr>
        <w:top w:val="none" w:sz="0" w:space="0" w:color="auto"/>
        <w:left w:val="none" w:sz="0" w:space="0" w:color="auto"/>
        <w:bottom w:val="none" w:sz="0" w:space="0" w:color="auto"/>
        <w:right w:val="none" w:sz="0" w:space="0" w:color="auto"/>
      </w:divBdr>
    </w:div>
    <w:div w:id="70851464">
      <w:bodyDiv w:val="1"/>
      <w:marLeft w:val="0"/>
      <w:marRight w:val="0"/>
      <w:marTop w:val="0"/>
      <w:marBottom w:val="0"/>
      <w:divBdr>
        <w:top w:val="none" w:sz="0" w:space="0" w:color="auto"/>
        <w:left w:val="none" w:sz="0" w:space="0" w:color="auto"/>
        <w:bottom w:val="none" w:sz="0" w:space="0" w:color="auto"/>
        <w:right w:val="none" w:sz="0" w:space="0" w:color="auto"/>
      </w:divBdr>
    </w:div>
    <w:div w:id="87241556">
      <w:bodyDiv w:val="1"/>
      <w:marLeft w:val="0"/>
      <w:marRight w:val="0"/>
      <w:marTop w:val="0"/>
      <w:marBottom w:val="0"/>
      <w:divBdr>
        <w:top w:val="none" w:sz="0" w:space="0" w:color="auto"/>
        <w:left w:val="none" w:sz="0" w:space="0" w:color="auto"/>
        <w:bottom w:val="none" w:sz="0" w:space="0" w:color="auto"/>
        <w:right w:val="none" w:sz="0" w:space="0" w:color="auto"/>
      </w:divBdr>
    </w:div>
    <w:div w:id="96799379">
      <w:bodyDiv w:val="1"/>
      <w:marLeft w:val="0"/>
      <w:marRight w:val="0"/>
      <w:marTop w:val="0"/>
      <w:marBottom w:val="0"/>
      <w:divBdr>
        <w:top w:val="none" w:sz="0" w:space="0" w:color="auto"/>
        <w:left w:val="none" w:sz="0" w:space="0" w:color="auto"/>
        <w:bottom w:val="none" w:sz="0" w:space="0" w:color="auto"/>
        <w:right w:val="none" w:sz="0" w:space="0" w:color="auto"/>
      </w:divBdr>
    </w:div>
    <w:div w:id="102116102">
      <w:bodyDiv w:val="1"/>
      <w:marLeft w:val="0"/>
      <w:marRight w:val="0"/>
      <w:marTop w:val="0"/>
      <w:marBottom w:val="0"/>
      <w:divBdr>
        <w:top w:val="none" w:sz="0" w:space="0" w:color="auto"/>
        <w:left w:val="none" w:sz="0" w:space="0" w:color="auto"/>
        <w:bottom w:val="none" w:sz="0" w:space="0" w:color="auto"/>
        <w:right w:val="none" w:sz="0" w:space="0" w:color="auto"/>
      </w:divBdr>
    </w:div>
    <w:div w:id="104618750">
      <w:bodyDiv w:val="1"/>
      <w:marLeft w:val="0"/>
      <w:marRight w:val="0"/>
      <w:marTop w:val="0"/>
      <w:marBottom w:val="0"/>
      <w:divBdr>
        <w:top w:val="none" w:sz="0" w:space="0" w:color="auto"/>
        <w:left w:val="none" w:sz="0" w:space="0" w:color="auto"/>
        <w:bottom w:val="none" w:sz="0" w:space="0" w:color="auto"/>
        <w:right w:val="none" w:sz="0" w:space="0" w:color="auto"/>
      </w:divBdr>
    </w:div>
    <w:div w:id="107239522">
      <w:bodyDiv w:val="1"/>
      <w:marLeft w:val="0"/>
      <w:marRight w:val="0"/>
      <w:marTop w:val="0"/>
      <w:marBottom w:val="0"/>
      <w:divBdr>
        <w:top w:val="none" w:sz="0" w:space="0" w:color="auto"/>
        <w:left w:val="none" w:sz="0" w:space="0" w:color="auto"/>
        <w:bottom w:val="none" w:sz="0" w:space="0" w:color="auto"/>
        <w:right w:val="none" w:sz="0" w:space="0" w:color="auto"/>
      </w:divBdr>
    </w:div>
    <w:div w:id="109476463">
      <w:bodyDiv w:val="1"/>
      <w:marLeft w:val="0"/>
      <w:marRight w:val="0"/>
      <w:marTop w:val="0"/>
      <w:marBottom w:val="0"/>
      <w:divBdr>
        <w:top w:val="none" w:sz="0" w:space="0" w:color="auto"/>
        <w:left w:val="none" w:sz="0" w:space="0" w:color="auto"/>
        <w:bottom w:val="none" w:sz="0" w:space="0" w:color="auto"/>
        <w:right w:val="none" w:sz="0" w:space="0" w:color="auto"/>
      </w:divBdr>
    </w:div>
    <w:div w:id="111752016">
      <w:bodyDiv w:val="1"/>
      <w:marLeft w:val="0"/>
      <w:marRight w:val="0"/>
      <w:marTop w:val="0"/>
      <w:marBottom w:val="0"/>
      <w:divBdr>
        <w:top w:val="none" w:sz="0" w:space="0" w:color="auto"/>
        <w:left w:val="none" w:sz="0" w:space="0" w:color="auto"/>
        <w:bottom w:val="none" w:sz="0" w:space="0" w:color="auto"/>
        <w:right w:val="none" w:sz="0" w:space="0" w:color="auto"/>
      </w:divBdr>
    </w:div>
    <w:div w:id="115219644">
      <w:bodyDiv w:val="1"/>
      <w:marLeft w:val="0"/>
      <w:marRight w:val="0"/>
      <w:marTop w:val="0"/>
      <w:marBottom w:val="0"/>
      <w:divBdr>
        <w:top w:val="none" w:sz="0" w:space="0" w:color="auto"/>
        <w:left w:val="none" w:sz="0" w:space="0" w:color="auto"/>
        <w:bottom w:val="none" w:sz="0" w:space="0" w:color="auto"/>
        <w:right w:val="none" w:sz="0" w:space="0" w:color="auto"/>
      </w:divBdr>
    </w:div>
    <w:div w:id="117188361">
      <w:bodyDiv w:val="1"/>
      <w:marLeft w:val="0"/>
      <w:marRight w:val="0"/>
      <w:marTop w:val="0"/>
      <w:marBottom w:val="0"/>
      <w:divBdr>
        <w:top w:val="none" w:sz="0" w:space="0" w:color="auto"/>
        <w:left w:val="none" w:sz="0" w:space="0" w:color="auto"/>
        <w:bottom w:val="none" w:sz="0" w:space="0" w:color="auto"/>
        <w:right w:val="none" w:sz="0" w:space="0" w:color="auto"/>
      </w:divBdr>
    </w:div>
    <w:div w:id="121845527">
      <w:bodyDiv w:val="1"/>
      <w:marLeft w:val="0"/>
      <w:marRight w:val="0"/>
      <w:marTop w:val="0"/>
      <w:marBottom w:val="0"/>
      <w:divBdr>
        <w:top w:val="none" w:sz="0" w:space="0" w:color="auto"/>
        <w:left w:val="none" w:sz="0" w:space="0" w:color="auto"/>
        <w:bottom w:val="none" w:sz="0" w:space="0" w:color="auto"/>
        <w:right w:val="none" w:sz="0" w:space="0" w:color="auto"/>
      </w:divBdr>
    </w:div>
    <w:div w:id="139884553">
      <w:bodyDiv w:val="1"/>
      <w:marLeft w:val="0"/>
      <w:marRight w:val="0"/>
      <w:marTop w:val="0"/>
      <w:marBottom w:val="0"/>
      <w:divBdr>
        <w:top w:val="none" w:sz="0" w:space="0" w:color="auto"/>
        <w:left w:val="none" w:sz="0" w:space="0" w:color="auto"/>
        <w:bottom w:val="none" w:sz="0" w:space="0" w:color="auto"/>
        <w:right w:val="none" w:sz="0" w:space="0" w:color="auto"/>
      </w:divBdr>
    </w:div>
    <w:div w:id="155070472">
      <w:bodyDiv w:val="1"/>
      <w:marLeft w:val="0"/>
      <w:marRight w:val="0"/>
      <w:marTop w:val="0"/>
      <w:marBottom w:val="0"/>
      <w:divBdr>
        <w:top w:val="none" w:sz="0" w:space="0" w:color="auto"/>
        <w:left w:val="none" w:sz="0" w:space="0" w:color="auto"/>
        <w:bottom w:val="none" w:sz="0" w:space="0" w:color="auto"/>
        <w:right w:val="none" w:sz="0" w:space="0" w:color="auto"/>
      </w:divBdr>
    </w:div>
    <w:div w:id="188370625">
      <w:bodyDiv w:val="1"/>
      <w:marLeft w:val="0"/>
      <w:marRight w:val="0"/>
      <w:marTop w:val="0"/>
      <w:marBottom w:val="0"/>
      <w:divBdr>
        <w:top w:val="none" w:sz="0" w:space="0" w:color="auto"/>
        <w:left w:val="none" w:sz="0" w:space="0" w:color="auto"/>
        <w:bottom w:val="none" w:sz="0" w:space="0" w:color="auto"/>
        <w:right w:val="none" w:sz="0" w:space="0" w:color="auto"/>
      </w:divBdr>
    </w:div>
    <w:div w:id="278032255">
      <w:bodyDiv w:val="1"/>
      <w:marLeft w:val="0"/>
      <w:marRight w:val="0"/>
      <w:marTop w:val="0"/>
      <w:marBottom w:val="0"/>
      <w:divBdr>
        <w:top w:val="none" w:sz="0" w:space="0" w:color="auto"/>
        <w:left w:val="none" w:sz="0" w:space="0" w:color="auto"/>
        <w:bottom w:val="none" w:sz="0" w:space="0" w:color="auto"/>
        <w:right w:val="none" w:sz="0" w:space="0" w:color="auto"/>
      </w:divBdr>
    </w:div>
    <w:div w:id="293099647">
      <w:bodyDiv w:val="1"/>
      <w:marLeft w:val="0"/>
      <w:marRight w:val="0"/>
      <w:marTop w:val="0"/>
      <w:marBottom w:val="0"/>
      <w:divBdr>
        <w:top w:val="none" w:sz="0" w:space="0" w:color="auto"/>
        <w:left w:val="none" w:sz="0" w:space="0" w:color="auto"/>
        <w:bottom w:val="none" w:sz="0" w:space="0" w:color="auto"/>
        <w:right w:val="none" w:sz="0" w:space="0" w:color="auto"/>
      </w:divBdr>
    </w:div>
    <w:div w:id="294600007">
      <w:bodyDiv w:val="1"/>
      <w:marLeft w:val="0"/>
      <w:marRight w:val="0"/>
      <w:marTop w:val="0"/>
      <w:marBottom w:val="0"/>
      <w:divBdr>
        <w:top w:val="none" w:sz="0" w:space="0" w:color="auto"/>
        <w:left w:val="none" w:sz="0" w:space="0" w:color="auto"/>
        <w:bottom w:val="none" w:sz="0" w:space="0" w:color="auto"/>
        <w:right w:val="none" w:sz="0" w:space="0" w:color="auto"/>
      </w:divBdr>
    </w:div>
    <w:div w:id="297613596">
      <w:bodyDiv w:val="1"/>
      <w:marLeft w:val="0"/>
      <w:marRight w:val="0"/>
      <w:marTop w:val="0"/>
      <w:marBottom w:val="0"/>
      <w:divBdr>
        <w:top w:val="none" w:sz="0" w:space="0" w:color="auto"/>
        <w:left w:val="none" w:sz="0" w:space="0" w:color="auto"/>
        <w:bottom w:val="none" w:sz="0" w:space="0" w:color="auto"/>
        <w:right w:val="none" w:sz="0" w:space="0" w:color="auto"/>
      </w:divBdr>
    </w:div>
    <w:div w:id="310670598">
      <w:bodyDiv w:val="1"/>
      <w:marLeft w:val="0"/>
      <w:marRight w:val="0"/>
      <w:marTop w:val="0"/>
      <w:marBottom w:val="0"/>
      <w:divBdr>
        <w:top w:val="none" w:sz="0" w:space="0" w:color="auto"/>
        <w:left w:val="none" w:sz="0" w:space="0" w:color="auto"/>
        <w:bottom w:val="none" w:sz="0" w:space="0" w:color="auto"/>
        <w:right w:val="none" w:sz="0" w:space="0" w:color="auto"/>
      </w:divBdr>
    </w:div>
    <w:div w:id="333722664">
      <w:bodyDiv w:val="1"/>
      <w:marLeft w:val="0"/>
      <w:marRight w:val="0"/>
      <w:marTop w:val="0"/>
      <w:marBottom w:val="0"/>
      <w:divBdr>
        <w:top w:val="none" w:sz="0" w:space="0" w:color="auto"/>
        <w:left w:val="none" w:sz="0" w:space="0" w:color="auto"/>
        <w:bottom w:val="none" w:sz="0" w:space="0" w:color="auto"/>
        <w:right w:val="none" w:sz="0" w:space="0" w:color="auto"/>
      </w:divBdr>
    </w:div>
    <w:div w:id="357006530">
      <w:bodyDiv w:val="1"/>
      <w:marLeft w:val="0"/>
      <w:marRight w:val="0"/>
      <w:marTop w:val="0"/>
      <w:marBottom w:val="0"/>
      <w:divBdr>
        <w:top w:val="none" w:sz="0" w:space="0" w:color="auto"/>
        <w:left w:val="none" w:sz="0" w:space="0" w:color="auto"/>
        <w:bottom w:val="none" w:sz="0" w:space="0" w:color="auto"/>
        <w:right w:val="none" w:sz="0" w:space="0" w:color="auto"/>
      </w:divBdr>
    </w:div>
    <w:div w:id="376467339">
      <w:bodyDiv w:val="1"/>
      <w:marLeft w:val="0"/>
      <w:marRight w:val="0"/>
      <w:marTop w:val="0"/>
      <w:marBottom w:val="0"/>
      <w:divBdr>
        <w:top w:val="none" w:sz="0" w:space="0" w:color="auto"/>
        <w:left w:val="none" w:sz="0" w:space="0" w:color="auto"/>
        <w:bottom w:val="none" w:sz="0" w:space="0" w:color="auto"/>
        <w:right w:val="none" w:sz="0" w:space="0" w:color="auto"/>
      </w:divBdr>
    </w:div>
    <w:div w:id="393352609">
      <w:bodyDiv w:val="1"/>
      <w:marLeft w:val="0"/>
      <w:marRight w:val="0"/>
      <w:marTop w:val="0"/>
      <w:marBottom w:val="0"/>
      <w:divBdr>
        <w:top w:val="none" w:sz="0" w:space="0" w:color="auto"/>
        <w:left w:val="none" w:sz="0" w:space="0" w:color="auto"/>
        <w:bottom w:val="none" w:sz="0" w:space="0" w:color="auto"/>
        <w:right w:val="none" w:sz="0" w:space="0" w:color="auto"/>
      </w:divBdr>
    </w:div>
    <w:div w:id="395251337">
      <w:bodyDiv w:val="1"/>
      <w:marLeft w:val="0"/>
      <w:marRight w:val="0"/>
      <w:marTop w:val="0"/>
      <w:marBottom w:val="0"/>
      <w:divBdr>
        <w:top w:val="none" w:sz="0" w:space="0" w:color="auto"/>
        <w:left w:val="none" w:sz="0" w:space="0" w:color="auto"/>
        <w:bottom w:val="none" w:sz="0" w:space="0" w:color="auto"/>
        <w:right w:val="none" w:sz="0" w:space="0" w:color="auto"/>
      </w:divBdr>
    </w:div>
    <w:div w:id="431320513">
      <w:bodyDiv w:val="1"/>
      <w:marLeft w:val="0"/>
      <w:marRight w:val="0"/>
      <w:marTop w:val="0"/>
      <w:marBottom w:val="0"/>
      <w:divBdr>
        <w:top w:val="none" w:sz="0" w:space="0" w:color="auto"/>
        <w:left w:val="none" w:sz="0" w:space="0" w:color="auto"/>
        <w:bottom w:val="none" w:sz="0" w:space="0" w:color="auto"/>
        <w:right w:val="none" w:sz="0" w:space="0" w:color="auto"/>
      </w:divBdr>
    </w:div>
    <w:div w:id="440222396">
      <w:bodyDiv w:val="1"/>
      <w:marLeft w:val="0"/>
      <w:marRight w:val="0"/>
      <w:marTop w:val="0"/>
      <w:marBottom w:val="0"/>
      <w:divBdr>
        <w:top w:val="none" w:sz="0" w:space="0" w:color="auto"/>
        <w:left w:val="none" w:sz="0" w:space="0" w:color="auto"/>
        <w:bottom w:val="none" w:sz="0" w:space="0" w:color="auto"/>
        <w:right w:val="none" w:sz="0" w:space="0" w:color="auto"/>
      </w:divBdr>
    </w:div>
    <w:div w:id="449322116">
      <w:bodyDiv w:val="1"/>
      <w:marLeft w:val="0"/>
      <w:marRight w:val="0"/>
      <w:marTop w:val="0"/>
      <w:marBottom w:val="0"/>
      <w:divBdr>
        <w:top w:val="none" w:sz="0" w:space="0" w:color="auto"/>
        <w:left w:val="none" w:sz="0" w:space="0" w:color="auto"/>
        <w:bottom w:val="none" w:sz="0" w:space="0" w:color="auto"/>
        <w:right w:val="none" w:sz="0" w:space="0" w:color="auto"/>
      </w:divBdr>
    </w:div>
    <w:div w:id="462895279">
      <w:bodyDiv w:val="1"/>
      <w:marLeft w:val="0"/>
      <w:marRight w:val="0"/>
      <w:marTop w:val="0"/>
      <w:marBottom w:val="0"/>
      <w:divBdr>
        <w:top w:val="none" w:sz="0" w:space="0" w:color="auto"/>
        <w:left w:val="none" w:sz="0" w:space="0" w:color="auto"/>
        <w:bottom w:val="none" w:sz="0" w:space="0" w:color="auto"/>
        <w:right w:val="none" w:sz="0" w:space="0" w:color="auto"/>
      </w:divBdr>
    </w:div>
    <w:div w:id="463425320">
      <w:bodyDiv w:val="1"/>
      <w:marLeft w:val="0"/>
      <w:marRight w:val="0"/>
      <w:marTop w:val="0"/>
      <w:marBottom w:val="0"/>
      <w:divBdr>
        <w:top w:val="none" w:sz="0" w:space="0" w:color="auto"/>
        <w:left w:val="none" w:sz="0" w:space="0" w:color="auto"/>
        <w:bottom w:val="none" w:sz="0" w:space="0" w:color="auto"/>
        <w:right w:val="none" w:sz="0" w:space="0" w:color="auto"/>
      </w:divBdr>
    </w:div>
    <w:div w:id="479004773">
      <w:bodyDiv w:val="1"/>
      <w:marLeft w:val="0"/>
      <w:marRight w:val="0"/>
      <w:marTop w:val="0"/>
      <w:marBottom w:val="0"/>
      <w:divBdr>
        <w:top w:val="none" w:sz="0" w:space="0" w:color="auto"/>
        <w:left w:val="none" w:sz="0" w:space="0" w:color="auto"/>
        <w:bottom w:val="none" w:sz="0" w:space="0" w:color="auto"/>
        <w:right w:val="none" w:sz="0" w:space="0" w:color="auto"/>
      </w:divBdr>
    </w:div>
    <w:div w:id="483474208">
      <w:bodyDiv w:val="1"/>
      <w:marLeft w:val="0"/>
      <w:marRight w:val="0"/>
      <w:marTop w:val="0"/>
      <w:marBottom w:val="0"/>
      <w:divBdr>
        <w:top w:val="none" w:sz="0" w:space="0" w:color="auto"/>
        <w:left w:val="none" w:sz="0" w:space="0" w:color="auto"/>
        <w:bottom w:val="none" w:sz="0" w:space="0" w:color="auto"/>
        <w:right w:val="none" w:sz="0" w:space="0" w:color="auto"/>
      </w:divBdr>
    </w:div>
    <w:div w:id="498618817">
      <w:bodyDiv w:val="1"/>
      <w:marLeft w:val="0"/>
      <w:marRight w:val="0"/>
      <w:marTop w:val="0"/>
      <w:marBottom w:val="0"/>
      <w:divBdr>
        <w:top w:val="none" w:sz="0" w:space="0" w:color="auto"/>
        <w:left w:val="none" w:sz="0" w:space="0" w:color="auto"/>
        <w:bottom w:val="none" w:sz="0" w:space="0" w:color="auto"/>
        <w:right w:val="none" w:sz="0" w:space="0" w:color="auto"/>
      </w:divBdr>
    </w:div>
    <w:div w:id="515923795">
      <w:bodyDiv w:val="1"/>
      <w:marLeft w:val="0"/>
      <w:marRight w:val="0"/>
      <w:marTop w:val="0"/>
      <w:marBottom w:val="0"/>
      <w:divBdr>
        <w:top w:val="none" w:sz="0" w:space="0" w:color="auto"/>
        <w:left w:val="none" w:sz="0" w:space="0" w:color="auto"/>
        <w:bottom w:val="none" w:sz="0" w:space="0" w:color="auto"/>
        <w:right w:val="none" w:sz="0" w:space="0" w:color="auto"/>
      </w:divBdr>
    </w:div>
    <w:div w:id="516504256">
      <w:bodyDiv w:val="1"/>
      <w:marLeft w:val="0"/>
      <w:marRight w:val="0"/>
      <w:marTop w:val="0"/>
      <w:marBottom w:val="0"/>
      <w:divBdr>
        <w:top w:val="none" w:sz="0" w:space="0" w:color="auto"/>
        <w:left w:val="none" w:sz="0" w:space="0" w:color="auto"/>
        <w:bottom w:val="none" w:sz="0" w:space="0" w:color="auto"/>
        <w:right w:val="none" w:sz="0" w:space="0" w:color="auto"/>
      </w:divBdr>
    </w:div>
    <w:div w:id="569968751">
      <w:bodyDiv w:val="1"/>
      <w:marLeft w:val="0"/>
      <w:marRight w:val="0"/>
      <w:marTop w:val="0"/>
      <w:marBottom w:val="0"/>
      <w:divBdr>
        <w:top w:val="none" w:sz="0" w:space="0" w:color="auto"/>
        <w:left w:val="none" w:sz="0" w:space="0" w:color="auto"/>
        <w:bottom w:val="none" w:sz="0" w:space="0" w:color="auto"/>
        <w:right w:val="none" w:sz="0" w:space="0" w:color="auto"/>
      </w:divBdr>
    </w:div>
    <w:div w:id="602108639">
      <w:bodyDiv w:val="1"/>
      <w:marLeft w:val="0"/>
      <w:marRight w:val="0"/>
      <w:marTop w:val="0"/>
      <w:marBottom w:val="0"/>
      <w:divBdr>
        <w:top w:val="none" w:sz="0" w:space="0" w:color="auto"/>
        <w:left w:val="none" w:sz="0" w:space="0" w:color="auto"/>
        <w:bottom w:val="none" w:sz="0" w:space="0" w:color="auto"/>
        <w:right w:val="none" w:sz="0" w:space="0" w:color="auto"/>
      </w:divBdr>
    </w:div>
    <w:div w:id="627669123">
      <w:bodyDiv w:val="1"/>
      <w:marLeft w:val="0"/>
      <w:marRight w:val="0"/>
      <w:marTop w:val="0"/>
      <w:marBottom w:val="0"/>
      <w:divBdr>
        <w:top w:val="none" w:sz="0" w:space="0" w:color="auto"/>
        <w:left w:val="none" w:sz="0" w:space="0" w:color="auto"/>
        <w:bottom w:val="none" w:sz="0" w:space="0" w:color="auto"/>
        <w:right w:val="none" w:sz="0" w:space="0" w:color="auto"/>
      </w:divBdr>
    </w:div>
    <w:div w:id="699278433">
      <w:bodyDiv w:val="1"/>
      <w:marLeft w:val="0"/>
      <w:marRight w:val="0"/>
      <w:marTop w:val="0"/>
      <w:marBottom w:val="0"/>
      <w:divBdr>
        <w:top w:val="none" w:sz="0" w:space="0" w:color="auto"/>
        <w:left w:val="none" w:sz="0" w:space="0" w:color="auto"/>
        <w:bottom w:val="none" w:sz="0" w:space="0" w:color="auto"/>
        <w:right w:val="none" w:sz="0" w:space="0" w:color="auto"/>
      </w:divBdr>
    </w:div>
    <w:div w:id="732236276">
      <w:bodyDiv w:val="1"/>
      <w:marLeft w:val="0"/>
      <w:marRight w:val="0"/>
      <w:marTop w:val="0"/>
      <w:marBottom w:val="0"/>
      <w:divBdr>
        <w:top w:val="none" w:sz="0" w:space="0" w:color="auto"/>
        <w:left w:val="none" w:sz="0" w:space="0" w:color="auto"/>
        <w:bottom w:val="none" w:sz="0" w:space="0" w:color="auto"/>
        <w:right w:val="none" w:sz="0" w:space="0" w:color="auto"/>
      </w:divBdr>
    </w:div>
    <w:div w:id="732846897">
      <w:bodyDiv w:val="1"/>
      <w:marLeft w:val="0"/>
      <w:marRight w:val="0"/>
      <w:marTop w:val="0"/>
      <w:marBottom w:val="0"/>
      <w:divBdr>
        <w:top w:val="none" w:sz="0" w:space="0" w:color="auto"/>
        <w:left w:val="none" w:sz="0" w:space="0" w:color="auto"/>
        <w:bottom w:val="none" w:sz="0" w:space="0" w:color="auto"/>
        <w:right w:val="none" w:sz="0" w:space="0" w:color="auto"/>
      </w:divBdr>
    </w:div>
    <w:div w:id="738482430">
      <w:bodyDiv w:val="1"/>
      <w:marLeft w:val="0"/>
      <w:marRight w:val="0"/>
      <w:marTop w:val="0"/>
      <w:marBottom w:val="0"/>
      <w:divBdr>
        <w:top w:val="none" w:sz="0" w:space="0" w:color="auto"/>
        <w:left w:val="none" w:sz="0" w:space="0" w:color="auto"/>
        <w:bottom w:val="none" w:sz="0" w:space="0" w:color="auto"/>
        <w:right w:val="none" w:sz="0" w:space="0" w:color="auto"/>
      </w:divBdr>
    </w:div>
    <w:div w:id="778062162">
      <w:bodyDiv w:val="1"/>
      <w:marLeft w:val="0"/>
      <w:marRight w:val="0"/>
      <w:marTop w:val="0"/>
      <w:marBottom w:val="0"/>
      <w:divBdr>
        <w:top w:val="none" w:sz="0" w:space="0" w:color="auto"/>
        <w:left w:val="none" w:sz="0" w:space="0" w:color="auto"/>
        <w:bottom w:val="none" w:sz="0" w:space="0" w:color="auto"/>
        <w:right w:val="none" w:sz="0" w:space="0" w:color="auto"/>
      </w:divBdr>
    </w:div>
    <w:div w:id="902062677">
      <w:bodyDiv w:val="1"/>
      <w:marLeft w:val="0"/>
      <w:marRight w:val="0"/>
      <w:marTop w:val="0"/>
      <w:marBottom w:val="0"/>
      <w:divBdr>
        <w:top w:val="none" w:sz="0" w:space="0" w:color="auto"/>
        <w:left w:val="none" w:sz="0" w:space="0" w:color="auto"/>
        <w:bottom w:val="none" w:sz="0" w:space="0" w:color="auto"/>
        <w:right w:val="none" w:sz="0" w:space="0" w:color="auto"/>
      </w:divBdr>
    </w:div>
    <w:div w:id="908468067">
      <w:bodyDiv w:val="1"/>
      <w:marLeft w:val="0"/>
      <w:marRight w:val="0"/>
      <w:marTop w:val="0"/>
      <w:marBottom w:val="0"/>
      <w:divBdr>
        <w:top w:val="none" w:sz="0" w:space="0" w:color="auto"/>
        <w:left w:val="none" w:sz="0" w:space="0" w:color="auto"/>
        <w:bottom w:val="none" w:sz="0" w:space="0" w:color="auto"/>
        <w:right w:val="none" w:sz="0" w:space="0" w:color="auto"/>
      </w:divBdr>
    </w:div>
    <w:div w:id="938607082">
      <w:bodyDiv w:val="1"/>
      <w:marLeft w:val="0"/>
      <w:marRight w:val="0"/>
      <w:marTop w:val="0"/>
      <w:marBottom w:val="0"/>
      <w:divBdr>
        <w:top w:val="none" w:sz="0" w:space="0" w:color="auto"/>
        <w:left w:val="none" w:sz="0" w:space="0" w:color="auto"/>
        <w:bottom w:val="none" w:sz="0" w:space="0" w:color="auto"/>
        <w:right w:val="none" w:sz="0" w:space="0" w:color="auto"/>
      </w:divBdr>
    </w:div>
    <w:div w:id="950547566">
      <w:bodyDiv w:val="1"/>
      <w:marLeft w:val="0"/>
      <w:marRight w:val="0"/>
      <w:marTop w:val="0"/>
      <w:marBottom w:val="0"/>
      <w:divBdr>
        <w:top w:val="none" w:sz="0" w:space="0" w:color="auto"/>
        <w:left w:val="none" w:sz="0" w:space="0" w:color="auto"/>
        <w:bottom w:val="none" w:sz="0" w:space="0" w:color="auto"/>
        <w:right w:val="none" w:sz="0" w:space="0" w:color="auto"/>
      </w:divBdr>
    </w:div>
    <w:div w:id="952244703">
      <w:bodyDiv w:val="1"/>
      <w:marLeft w:val="0"/>
      <w:marRight w:val="0"/>
      <w:marTop w:val="0"/>
      <w:marBottom w:val="0"/>
      <w:divBdr>
        <w:top w:val="none" w:sz="0" w:space="0" w:color="auto"/>
        <w:left w:val="none" w:sz="0" w:space="0" w:color="auto"/>
        <w:bottom w:val="none" w:sz="0" w:space="0" w:color="auto"/>
        <w:right w:val="none" w:sz="0" w:space="0" w:color="auto"/>
      </w:divBdr>
    </w:div>
    <w:div w:id="977609155">
      <w:bodyDiv w:val="1"/>
      <w:marLeft w:val="0"/>
      <w:marRight w:val="0"/>
      <w:marTop w:val="0"/>
      <w:marBottom w:val="0"/>
      <w:divBdr>
        <w:top w:val="none" w:sz="0" w:space="0" w:color="auto"/>
        <w:left w:val="none" w:sz="0" w:space="0" w:color="auto"/>
        <w:bottom w:val="none" w:sz="0" w:space="0" w:color="auto"/>
        <w:right w:val="none" w:sz="0" w:space="0" w:color="auto"/>
      </w:divBdr>
    </w:div>
    <w:div w:id="1016729245">
      <w:bodyDiv w:val="1"/>
      <w:marLeft w:val="0"/>
      <w:marRight w:val="0"/>
      <w:marTop w:val="0"/>
      <w:marBottom w:val="0"/>
      <w:divBdr>
        <w:top w:val="none" w:sz="0" w:space="0" w:color="auto"/>
        <w:left w:val="none" w:sz="0" w:space="0" w:color="auto"/>
        <w:bottom w:val="none" w:sz="0" w:space="0" w:color="auto"/>
        <w:right w:val="none" w:sz="0" w:space="0" w:color="auto"/>
      </w:divBdr>
    </w:div>
    <w:div w:id="1045443583">
      <w:bodyDiv w:val="1"/>
      <w:marLeft w:val="0"/>
      <w:marRight w:val="0"/>
      <w:marTop w:val="0"/>
      <w:marBottom w:val="0"/>
      <w:divBdr>
        <w:top w:val="none" w:sz="0" w:space="0" w:color="auto"/>
        <w:left w:val="none" w:sz="0" w:space="0" w:color="auto"/>
        <w:bottom w:val="none" w:sz="0" w:space="0" w:color="auto"/>
        <w:right w:val="none" w:sz="0" w:space="0" w:color="auto"/>
      </w:divBdr>
    </w:div>
    <w:div w:id="1049457633">
      <w:bodyDiv w:val="1"/>
      <w:marLeft w:val="0"/>
      <w:marRight w:val="0"/>
      <w:marTop w:val="0"/>
      <w:marBottom w:val="0"/>
      <w:divBdr>
        <w:top w:val="none" w:sz="0" w:space="0" w:color="auto"/>
        <w:left w:val="none" w:sz="0" w:space="0" w:color="auto"/>
        <w:bottom w:val="none" w:sz="0" w:space="0" w:color="auto"/>
        <w:right w:val="none" w:sz="0" w:space="0" w:color="auto"/>
      </w:divBdr>
    </w:div>
    <w:div w:id="1054424078">
      <w:bodyDiv w:val="1"/>
      <w:marLeft w:val="0"/>
      <w:marRight w:val="0"/>
      <w:marTop w:val="0"/>
      <w:marBottom w:val="0"/>
      <w:divBdr>
        <w:top w:val="none" w:sz="0" w:space="0" w:color="auto"/>
        <w:left w:val="none" w:sz="0" w:space="0" w:color="auto"/>
        <w:bottom w:val="none" w:sz="0" w:space="0" w:color="auto"/>
        <w:right w:val="none" w:sz="0" w:space="0" w:color="auto"/>
      </w:divBdr>
    </w:div>
    <w:div w:id="1063213260">
      <w:bodyDiv w:val="1"/>
      <w:marLeft w:val="0"/>
      <w:marRight w:val="0"/>
      <w:marTop w:val="0"/>
      <w:marBottom w:val="0"/>
      <w:divBdr>
        <w:top w:val="none" w:sz="0" w:space="0" w:color="auto"/>
        <w:left w:val="none" w:sz="0" w:space="0" w:color="auto"/>
        <w:bottom w:val="none" w:sz="0" w:space="0" w:color="auto"/>
        <w:right w:val="none" w:sz="0" w:space="0" w:color="auto"/>
      </w:divBdr>
    </w:div>
    <w:div w:id="1064255624">
      <w:bodyDiv w:val="1"/>
      <w:marLeft w:val="0"/>
      <w:marRight w:val="0"/>
      <w:marTop w:val="0"/>
      <w:marBottom w:val="0"/>
      <w:divBdr>
        <w:top w:val="none" w:sz="0" w:space="0" w:color="auto"/>
        <w:left w:val="none" w:sz="0" w:space="0" w:color="auto"/>
        <w:bottom w:val="none" w:sz="0" w:space="0" w:color="auto"/>
        <w:right w:val="none" w:sz="0" w:space="0" w:color="auto"/>
      </w:divBdr>
    </w:div>
    <w:div w:id="1068303940">
      <w:bodyDiv w:val="1"/>
      <w:marLeft w:val="0"/>
      <w:marRight w:val="0"/>
      <w:marTop w:val="0"/>
      <w:marBottom w:val="0"/>
      <w:divBdr>
        <w:top w:val="none" w:sz="0" w:space="0" w:color="auto"/>
        <w:left w:val="none" w:sz="0" w:space="0" w:color="auto"/>
        <w:bottom w:val="none" w:sz="0" w:space="0" w:color="auto"/>
        <w:right w:val="none" w:sz="0" w:space="0" w:color="auto"/>
      </w:divBdr>
    </w:div>
    <w:div w:id="1089044124">
      <w:bodyDiv w:val="1"/>
      <w:marLeft w:val="0"/>
      <w:marRight w:val="0"/>
      <w:marTop w:val="0"/>
      <w:marBottom w:val="0"/>
      <w:divBdr>
        <w:top w:val="none" w:sz="0" w:space="0" w:color="auto"/>
        <w:left w:val="none" w:sz="0" w:space="0" w:color="auto"/>
        <w:bottom w:val="none" w:sz="0" w:space="0" w:color="auto"/>
        <w:right w:val="none" w:sz="0" w:space="0" w:color="auto"/>
      </w:divBdr>
    </w:div>
    <w:div w:id="1089698770">
      <w:bodyDiv w:val="1"/>
      <w:marLeft w:val="0"/>
      <w:marRight w:val="0"/>
      <w:marTop w:val="0"/>
      <w:marBottom w:val="0"/>
      <w:divBdr>
        <w:top w:val="none" w:sz="0" w:space="0" w:color="auto"/>
        <w:left w:val="none" w:sz="0" w:space="0" w:color="auto"/>
        <w:bottom w:val="none" w:sz="0" w:space="0" w:color="auto"/>
        <w:right w:val="none" w:sz="0" w:space="0" w:color="auto"/>
      </w:divBdr>
    </w:div>
    <w:div w:id="1097100172">
      <w:bodyDiv w:val="1"/>
      <w:marLeft w:val="0"/>
      <w:marRight w:val="0"/>
      <w:marTop w:val="0"/>
      <w:marBottom w:val="0"/>
      <w:divBdr>
        <w:top w:val="none" w:sz="0" w:space="0" w:color="auto"/>
        <w:left w:val="none" w:sz="0" w:space="0" w:color="auto"/>
        <w:bottom w:val="none" w:sz="0" w:space="0" w:color="auto"/>
        <w:right w:val="none" w:sz="0" w:space="0" w:color="auto"/>
      </w:divBdr>
    </w:div>
    <w:div w:id="1105537543">
      <w:bodyDiv w:val="1"/>
      <w:marLeft w:val="0"/>
      <w:marRight w:val="0"/>
      <w:marTop w:val="0"/>
      <w:marBottom w:val="0"/>
      <w:divBdr>
        <w:top w:val="none" w:sz="0" w:space="0" w:color="auto"/>
        <w:left w:val="none" w:sz="0" w:space="0" w:color="auto"/>
        <w:bottom w:val="none" w:sz="0" w:space="0" w:color="auto"/>
        <w:right w:val="none" w:sz="0" w:space="0" w:color="auto"/>
      </w:divBdr>
    </w:div>
    <w:div w:id="1132941689">
      <w:bodyDiv w:val="1"/>
      <w:marLeft w:val="0"/>
      <w:marRight w:val="0"/>
      <w:marTop w:val="0"/>
      <w:marBottom w:val="0"/>
      <w:divBdr>
        <w:top w:val="none" w:sz="0" w:space="0" w:color="auto"/>
        <w:left w:val="none" w:sz="0" w:space="0" w:color="auto"/>
        <w:bottom w:val="none" w:sz="0" w:space="0" w:color="auto"/>
        <w:right w:val="none" w:sz="0" w:space="0" w:color="auto"/>
      </w:divBdr>
    </w:div>
    <w:div w:id="1143040198">
      <w:bodyDiv w:val="1"/>
      <w:marLeft w:val="0"/>
      <w:marRight w:val="0"/>
      <w:marTop w:val="0"/>
      <w:marBottom w:val="0"/>
      <w:divBdr>
        <w:top w:val="none" w:sz="0" w:space="0" w:color="auto"/>
        <w:left w:val="none" w:sz="0" w:space="0" w:color="auto"/>
        <w:bottom w:val="none" w:sz="0" w:space="0" w:color="auto"/>
        <w:right w:val="none" w:sz="0" w:space="0" w:color="auto"/>
      </w:divBdr>
    </w:div>
    <w:div w:id="1150319372">
      <w:bodyDiv w:val="1"/>
      <w:marLeft w:val="0"/>
      <w:marRight w:val="0"/>
      <w:marTop w:val="0"/>
      <w:marBottom w:val="0"/>
      <w:divBdr>
        <w:top w:val="none" w:sz="0" w:space="0" w:color="auto"/>
        <w:left w:val="none" w:sz="0" w:space="0" w:color="auto"/>
        <w:bottom w:val="none" w:sz="0" w:space="0" w:color="auto"/>
        <w:right w:val="none" w:sz="0" w:space="0" w:color="auto"/>
      </w:divBdr>
    </w:div>
    <w:div w:id="1154490010">
      <w:bodyDiv w:val="1"/>
      <w:marLeft w:val="0"/>
      <w:marRight w:val="0"/>
      <w:marTop w:val="0"/>
      <w:marBottom w:val="0"/>
      <w:divBdr>
        <w:top w:val="none" w:sz="0" w:space="0" w:color="auto"/>
        <w:left w:val="none" w:sz="0" w:space="0" w:color="auto"/>
        <w:bottom w:val="none" w:sz="0" w:space="0" w:color="auto"/>
        <w:right w:val="none" w:sz="0" w:space="0" w:color="auto"/>
      </w:divBdr>
    </w:div>
    <w:div w:id="1165169423">
      <w:bodyDiv w:val="1"/>
      <w:marLeft w:val="0"/>
      <w:marRight w:val="0"/>
      <w:marTop w:val="0"/>
      <w:marBottom w:val="0"/>
      <w:divBdr>
        <w:top w:val="none" w:sz="0" w:space="0" w:color="auto"/>
        <w:left w:val="none" w:sz="0" w:space="0" w:color="auto"/>
        <w:bottom w:val="none" w:sz="0" w:space="0" w:color="auto"/>
        <w:right w:val="none" w:sz="0" w:space="0" w:color="auto"/>
      </w:divBdr>
    </w:div>
    <w:div w:id="1181239076">
      <w:bodyDiv w:val="1"/>
      <w:marLeft w:val="0"/>
      <w:marRight w:val="0"/>
      <w:marTop w:val="0"/>
      <w:marBottom w:val="0"/>
      <w:divBdr>
        <w:top w:val="none" w:sz="0" w:space="0" w:color="auto"/>
        <w:left w:val="none" w:sz="0" w:space="0" w:color="auto"/>
        <w:bottom w:val="none" w:sz="0" w:space="0" w:color="auto"/>
        <w:right w:val="none" w:sz="0" w:space="0" w:color="auto"/>
      </w:divBdr>
    </w:div>
    <w:div w:id="1182859480">
      <w:bodyDiv w:val="1"/>
      <w:marLeft w:val="0"/>
      <w:marRight w:val="0"/>
      <w:marTop w:val="0"/>
      <w:marBottom w:val="0"/>
      <w:divBdr>
        <w:top w:val="none" w:sz="0" w:space="0" w:color="auto"/>
        <w:left w:val="none" w:sz="0" w:space="0" w:color="auto"/>
        <w:bottom w:val="none" w:sz="0" w:space="0" w:color="auto"/>
        <w:right w:val="none" w:sz="0" w:space="0" w:color="auto"/>
      </w:divBdr>
    </w:div>
    <w:div w:id="1184201009">
      <w:bodyDiv w:val="1"/>
      <w:marLeft w:val="0"/>
      <w:marRight w:val="0"/>
      <w:marTop w:val="0"/>
      <w:marBottom w:val="0"/>
      <w:divBdr>
        <w:top w:val="none" w:sz="0" w:space="0" w:color="auto"/>
        <w:left w:val="none" w:sz="0" w:space="0" w:color="auto"/>
        <w:bottom w:val="none" w:sz="0" w:space="0" w:color="auto"/>
        <w:right w:val="none" w:sz="0" w:space="0" w:color="auto"/>
      </w:divBdr>
    </w:div>
    <w:div w:id="1193303747">
      <w:bodyDiv w:val="1"/>
      <w:marLeft w:val="0"/>
      <w:marRight w:val="0"/>
      <w:marTop w:val="0"/>
      <w:marBottom w:val="0"/>
      <w:divBdr>
        <w:top w:val="none" w:sz="0" w:space="0" w:color="auto"/>
        <w:left w:val="none" w:sz="0" w:space="0" w:color="auto"/>
        <w:bottom w:val="none" w:sz="0" w:space="0" w:color="auto"/>
        <w:right w:val="none" w:sz="0" w:space="0" w:color="auto"/>
      </w:divBdr>
    </w:div>
    <w:div w:id="1221525535">
      <w:bodyDiv w:val="1"/>
      <w:marLeft w:val="0"/>
      <w:marRight w:val="0"/>
      <w:marTop w:val="0"/>
      <w:marBottom w:val="0"/>
      <w:divBdr>
        <w:top w:val="none" w:sz="0" w:space="0" w:color="auto"/>
        <w:left w:val="none" w:sz="0" w:space="0" w:color="auto"/>
        <w:bottom w:val="none" w:sz="0" w:space="0" w:color="auto"/>
        <w:right w:val="none" w:sz="0" w:space="0" w:color="auto"/>
      </w:divBdr>
    </w:div>
    <w:div w:id="1228030566">
      <w:bodyDiv w:val="1"/>
      <w:marLeft w:val="0"/>
      <w:marRight w:val="0"/>
      <w:marTop w:val="0"/>
      <w:marBottom w:val="0"/>
      <w:divBdr>
        <w:top w:val="none" w:sz="0" w:space="0" w:color="auto"/>
        <w:left w:val="none" w:sz="0" w:space="0" w:color="auto"/>
        <w:bottom w:val="none" w:sz="0" w:space="0" w:color="auto"/>
        <w:right w:val="none" w:sz="0" w:space="0" w:color="auto"/>
      </w:divBdr>
    </w:div>
    <w:div w:id="1291858260">
      <w:bodyDiv w:val="1"/>
      <w:marLeft w:val="0"/>
      <w:marRight w:val="0"/>
      <w:marTop w:val="0"/>
      <w:marBottom w:val="0"/>
      <w:divBdr>
        <w:top w:val="none" w:sz="0" w:space="0" w:color="auto"/>
        <w:left w:val="none" w:sz="0" w:space="0" w:color="auto"/>
        <w:bottom w:val="none" w:sz="0" w:space="0" w:color="auto"/>
        <w:right w:val="none" w:sz="0" w:space="0" w:color="auto"/>
      </w:divBdr>
    </w:div>
    <w:div w:id="1333335357">
      <w:bodyDiv w:val="1"/>
      <w:marLeft w:val="0"/>
      <w:marRight w:val="0"/>
      <w:marTop w:val="0"/>
      <w:marBottom w:val="0"/>
      <w:divBdr>
        <w:top w:val="none" w:sz="0" w:space="0" w:color="auto"/>
        <w:left w:val="none" w:sz="0" w:space="0" w:color="auto"/>
        <w:bottom w:val="none" w:sz="0" w:space="0" w:color="auto"/>
        <w:right w:val="none" w:sz="0" w:space="0" w:color="auto"/>
      </w:divBdr>
    </w:div>
    <w:div w:id="1349260610">
      <w:bodyDiv w:val="1"/>
      <w:marLeft w:val="0"/>
      <w:marRight w:val="0"/>
      <w:marTop w:val="0"/>
      <w:marBottom w:val="0"/>
      <w:divBdr>
        <w:top w:val="none" w:sz="0" w:space="0" w:color="auto"/>
        <w:left w:val="none" w:sz="0" w:space="0" w:color="auto"/>
        <w:bottom w:val="none" w:sz="0" w:space="0" w:color="auto"/>
        <w:right w:val="none" w:sz="0" w:space="0" w:color="auto"/>
      </w:divBdr>
    </w:div>
    <w:div w:id="1356033106">
      <w:bodyDiv w:val="1"/>
      <w:marLeft w:val="0"/>
      <w:marRight w:val="0"/>
      <w:marTop w:val="0"/>
      <w:marBottom w:val="0"/>
      <w:divBdr>
        <w:top w:val="none" w:sz="0" w:space="0" w:color="auto"/>
        <w:left w:val="none" w:sz="0" w:space="0" w:color="auto"/>
        <w:bottom w:val="none" w:sz="0" w:space="0" w:color="auto"/>
        <w:right w:val="none" w:sz="0" w:space="0" w:color="auto"/>
      </w:divBdr>
    </w:div>
    <w:div w:id="1378159435">
      <w:bodyDiv w:val="1"/>
      <w:marLeft w:val="0"/>
      <w:marRight w:val="0"/>
      <w:marTop w:val="0"/>
      <w:marBottom w:val="0"/>
      <w:divBdr>
        <w:top w:val="none" w:sz="0" w:space="0" w:color="auto"/>
        <w:left w:val="none" w:sz="0" w:space="0" w:color="auto"/>
        <w:bottom w:val="none" w:sz="0" w:space="0" w:color="auto"/>
        <w:right w:val="none" w:sz="0" w:space="0" w:color="auto"/>
      </w:divBdr>
    </w:div>
    <w:div w:id="1385179447">
      <w:bodyDiv w:val="1"/>
      <w:marLeft w:val="0"/>
      <w:marRight w:val="0"/>
      <w:marTop w:val="0"/>
      <w:marBottom w:val="0"/>
      <w:divBdr>
        <w:top w:val="none" w:sz="0" w:space="0" w:color="auto"/>
        <w:left w:val="none" w:sz="0" w:space="0" w:color="auto"/>
        <w:bottom w:val="none" w:sz="0" w:space="0" w:color="auto"/>
        <w:right w:val="none" w:sz="0" w:space="0" w:color="auto"/>
      </w:divBdr>
    </w:div>
    <w:div w:id="1453816864">
      <w:bodyDiv w:val="1"/>
      <w:marLeft w:val="0"/>
      <w:marRight w:val="0"/>
      <w:marTop w:val="0"/>
      <w:marBottom w:val="0"/>
      <w:divBdr>
        <w:top w:val="none" w:sz="0" w:space="0" w:color="auto"/>
        <w:left w:val="none" w:sz="0" w:space="0" w:color="auto"/>
        <w:bottom w:val="none" w:sz="0" w:space="0" w:color="auto"/>
        <w:right w:val="none" w:sz="0" w:space="0" w:color="auto"/>
      </w:divBdr>
    </w:div>
    <w:div w:id="1467774019">
      <w:bodyDiv w:val="1"/>
      <w:marLeft w:val="0"/>
      <w:marRight w:val="0"/>
      <w:marTop w:val="0"/>
      <w:marBottom w:val="0"/>
      <w:divBdr>
        <w:top w:val="none" w:sz="0" w:space="0" w:color="auto"/>
        <w:left w:val="none" w:sz="0" w:space="0" w:color="auto"/>
        <w:bottom w:val="none" w:sz="0" w:space="0" w:color="auto"/>
        <w:right w:val="none" w:sz="0" w:space="0" w:color="auto"/>
      </w:divBdr>
    </w:div>
    <w:div w:id="1490320637">
      <w:bodyDiv w:val="1"/>
      <w:marLeft w:val="0"/>
      <w:marRight w:val="0"/>
      <w:marTop w:val="0"/>
      <w:marBottom w:val="0"/>
      <w:divBdr>
        <w:top w:val="none" w:sz="0" w:space="0" w:color="auto"/>
        <w:left w:val="none" w:sz="0" w:space="0" w:color="auto"/>
        <w:bottom w:val="none" w:sz="0" w:space="0" w:color="auto"/>
        <w:right w:val="none" w:sz="0" w:space="0" w:color="auto"/>
      </w:divBdr>
    </w:div>
    <w:div w:id="1499033281">
      <w:bodyDiv w:val="1"/>
      <w:marLeft w:val="0"/>
      <w:marRight w:val="0"/>
      <w:marTop w:val="0"/>
      <w:marBottom w:val="0"/>
      <w:divBdr>
        <w:top w:val="none" w:sz="0" w:space="0" w:color="auto"/>
        <w:left w:val="none" w:sz="0" w:space="0" w:color="auto"/>
        <w:bottom w:val="none" w:sz="0" w:space="0" w:color="auto"/>
        <w:right w:val="none" w:sz="0" w:space="0" w:color="auto"/>
      </w:divBdr>
    </w:div>
    <w:div w:id="1571188395">
      <w:bodyDiv w:val="1"/>
      <w:marLeft w:val="0"/>
      <w:marRight w:val="0"/>
      <w:marTop w:val="0"/>
      <w:marBottom w:val="0"/>
      <w:divBdr>
        <w:top w:val="none" w:sz="0" w:space="0" w:color="auto"/>
        <w:left w:val="none" w:sz="0" w:space="0" w:color="auto"/>
        <w:bottom w:val="none" w:sz="0" w:space="0" w:color="auto"/>
        <w:right w:val="none" w:sz="0" w:space="0" w:color="auto"/>
      </w:divBdr>
    </w:div>
    <w:div w:id="1583224640">
      <w:bodyDiv w:val="1"/>
      <w:marLeft w:val="0"/>
      <w:marRight w:val="0"/>
      <w:marTop w:val="0"/>
      <w:marBottom w:val="0"/>
      <w:divBdr>
        <w:top w:val="none" w:sz="0" w:space="0" w:color="auto"/>
        <w:left w:val="none" w:sz="0" w:space="0" w:color="auto"/>
        <w:bottom w:val="none" w:sz="0" w:space="0" w:color="auto"/>
        <w:right w:val="none" w:sz="0" w:space="0" w:color="auto"/>
      </w:divBdr>
    </w:div>
    <w:div w:id="1620603644">
      <w:bodyDiv w:val="1"/>
      <w:marLeft w:val="0"/>
      <w:marRight w:val="0"/>
      <w:marTop w:val="0"/>
      <w:marBottom w:val="0"/>
      <w:divBdr>
        <w:top w:val="none" w:sz="0" w:space="0" w:color="auto"/>
        <w:left w:val="none" w:sz="0" w:space="0" w:color="auto"/>
        <w:bottom w:val="none" w:sz="0" w:space="0" w:color="auto"/>
        <w:right w:val="none" w:sz="0" w:space="0" w:color="auto"/>
      </w:divBdr>
    </w:div>
    <w:div w:id="1661272578">
      <w:bodyDiv w:val="1"/>
      <w:marLeft w:val="0"/>
      <w:marRight w:val="0"/>
      <w:marTop w:val="0"/>
      <w:marBottom w:val="0"/>
      <w:divBdr>
        <w:top w:val="none" w:sz="0" w:space="0" w:color="auto"/>
        <w:left w:val="none" w:sz="0" w:space="0" w:color="auto"/>
        <w:bottom w:val="none" w:sz="0" w:space="0" w:color="auto"/>
        <w:right w:val="none" w:sz="0" w:space="0" w:color="auto"/>
      </w:divBdr>
    </w:div>
    <w:div w:id="1664581529">
      <w:bodyDiv w:val="1"/>
      <w:marLeft w:val="0"/>
      <w:marRight w:val="0"/>
      <w:marTop w:val="0"/>
      <w:marBottom w:val="0"/>
      <w:divBdr>
        <w:top w:val="none" w:sz="0" w:space="0" w:color="auto"/>
        <w:left w:val="none" w:sz="0" w:space="0" w:color="auto"/>
        <w:bottom w:val="none" w:sz="0" w:space="0" w:color="auto"/>
        <w:right w:val="none" w:sz="0" w:space="0" w:color="auto"/>
      </w:divBdr>
    </w:div>
    <w:div w:id="1697998451">
      <w:bodyDiv w:val="1"/>
      <w:marLeft w:val="0"/>
      <w:marRight w:val="0"/>
      <w:marTop w:val="0"/>
      <w:marBottom w:val="0"/>
      <w:divBdr>
        <w:top w:val="none" w:sz="0" w:space="0" w:color="auto"/>
        <w:left w:val="none" w:sz="0" w:space="0" w:color="auto"/>
        <w:bottom w:val="none" w:sz="0" w:space="0" w:color="auto"/>
        <w:right w:val="none" w:sz="0" w:space="0" w:color="auto"/>
      </w:divBdr>
    </w:div>
    <w:div w:id="1734087194">
      <w:bodyDiv w:val="1"/>
      <w:marLeft w:val="0"/>
      <w:marRight w:val="0"/>
      <w:marTop w:val="0"/>
      <w:marBottom w:val="0"/>
      <w:divBdr>
        <w:top w:val="none" w:sz="0" w:space="0" w:color="auto"/>
        <w:left w:val="none" w:sz="0" w:space="0" w:color="auto"/>
        <w:bottom w:val="none" w:sz="0" w:space="0" w:color="auto"/>
        <w:right w:val="none" w:sz="0" w:space="0" w:color="auto"/>
      </w:divBdr>
    </w:div>
    <w:div w:id="1745881435">
      <w:bodyDiv w:val="1"/>
      <w:marLeft w:val="0"/>
      <w:marRight w:val="0"/>
      <w:marTop w:val="0"/>
      <w:marBottom w:val="0"/>
      <w:divBdr>
        <w:top w:val="none" w:sz="0" w:space="0" w:color="auto"/>
        <w:left w:val="none" w:sz="0" w:space="0" w:color="auto"/>
        <w:bottom w:val="none" w:sz="0" w:space="0" w:color="auto"/>
        <w:right w:val="none" w:sz="0" w:space="0" w:color="auto"/>
      </w:divBdr>
    </w:div>
    <w:div w:id="1754622204">
      <w:bodyDiv w:val="1"/>
      <w:marLeft w:val="0"/>
      <w:marRight w:val="0"/>
      <w:marTop w:val="0"/>
      <w:marBottom w:val="0"/>
      <w:divBdr>
        <w:top w:val="none" w:sz="0" w:space="0" w:color="auto"/>
        <w:left w:val="none" w:sz="0" w:space="0" w:color="auto"/>
        <w:bottom w:val="none" w:sz="0" w:space="0" w:color="auto"/>
        <w:right w:val="none" w:sz="0" w:space="0" w:color="auto"/>
      </w:divBdr>
    </w:div>
    <w:div w:id="1769616098">
      <w:bodyDiv w:val="1"/>
      <w:marLeft w:val="0"/>
      <w:marRight w:val="0"/>
      <w:marTop w:val="0"/>
      <w:marBottom w:val="0"/>
      <w:divBdr>
        <w:top w:val="none" w:sz="0" w:space="0" w:color="auto"/>
        <w:left w:val="none" w:sz="0" w:space="0" w:color="auto"/>
        <w:bottom w:val="none" w:sz="0" w:space="0" w:color="auto"/>
        <w:right w:val="none" w:sz="0" w:space="0" w:color="auto"/>
      </w:divBdr>
    </w:div>
    <w:div w:id="1806116581">
      <w:bodyDiv w:val="1"/>
      <w:marLeft w:val="0"/>
      <w:marRight w:val="0"/>
      <w:marTop w:val="0"/>
      <w:marBottom w:val="0"/>
      <w:divBdr>
        <w:top w:val="none" w:sz="0" w:space="0" w:color="auto"/>
        <w:left w:val="none" w:sz="0" w:space="0" w:color="auto"/>
        <w:bottom w:val="none" w:sz="0" w:space="0" w:color="auto"/>
        <w:right w:val="none" w:sz="0" w:space="0" w:color="auto"/>
      </w:divBdr>
    </w:div>
    <w:div w:id="1837184406">
      <w:bodyDiv w:val="1"/>
      <w:marLeft w:val="0"/>
      <w:marRight w:val="0"/>
      <w:marTop w:val="0"/>
      <w:marBottom w:val="0"/>
      <w:divBdr>
        <w:top w:val="none" w:sz="0" w:space="0" w:color="auto"/>
        <w:left w:val="none" w:sz="0" w:space="0" w:color="auto"/>
        <w:bottom w:val="none" w:sz="0" w:space="0" w:color="auto"/>
        <w:right w:val="none" w:sz="0" w:space="0" w:color="auto"/>
      </w:divBdr>
    </w:div>
    <w:div w:id="1839730967">
      <w:bodyDiv w:val="1"/>
      <w:marLeft w:val="0"/>
      <w:marRight w:val="0"/>
      <w:marTop w:val="0"/>
      <w:marBottom w:val="0"/>
      <w:divBdr>
        <w:top w:val="none" w:sz="0" w:space="0" w:color="auto"/>
        <w:left w:val="none" w:sz="0" w:space="0" w:color="auto"/>
        <w:bottom w:val="none" w:sz="0" w:space="0" w:color="auto"/>
        <w:right w:val="none" w:sz="0" w:space="0" w:color="auto"/>
      </w:divBdr>
    </w:div>
    <w:div w:id="1874221694">
      <w:bodyDiv w:val="1"/>
      <w:marLeft w:val="0"/>
      <w:marRight w:val="0"/>
      <w:marTop w:val="0"/>
      <w:marBottom w:val="0"/>
      <w:divBdr>
        <w:top w:val="none" w:sz="0" w:space="0" w:color="auto"/>
        <w:left w:val="none" w:sz="0" w:space="0" w:color="auto"/>
        <w:bottom w:val="none" w:sz="0" w:space="0" w:color="auto"/>
        <w:right w:val="none" w:sz="0" w:space="0" w:color="auto"/>
      </w:divBdr>
    </w:div>
    <w:div w:id="1882401609">
      <w:bodyDiv w:val="1"/>
      <w:marLeft w:val="0"/>
      <w:marRight w:val="0"/>
      <w:marTop w:val="0"/>
      <w:marBottom w:val="0"/>
      <w:divBdr>
        <w:top w:val="none" w:sz="0" w:space="0" w:color="auto"/>
        <w:left w:val="none" w:sz="0" w:space="0" w:color="auto"/>
        <w:bottom w:val="none" w:sz="0" w:space="0" w:color="auto"/>
        <w:right w:val="none" w:sz="0" w:space="0" w:color="auto"/>
      </w:divBdr>
    </w:div>
    <w:div w:id="1892619656">
      <w:bodyDiv w:val="1"/>
      <w:marLeft w:val="0"/>
      <w:marRight w:val="0"/>
      <w:marTop w:val="0"/>
      <w:marBottom w:val="0"/>
      <w:divBdr>
        <w:top w:val="none" w:sz="0" w:space="0" w:color="auto"/>
        <w:left w:val="none" w:sz="0" w:space="0" w:color="auto"/>
        <w:bottom w:val="none" w:sz="0" w:space="0" w:color="auto"/>
        <w:right w:val="none" w:sz="0" w:space="0" w:color="auto"/>
      </w:divBdr>
    </w:div>
    <w:div w:id="1899198589">
      <w:bodyDiv w:val="1"/>
      <w:marLeft w:val="0"/>
      <w:marRight w:val="0"/>
      <w:marTop w:val="0"/>
      <w:marBottom w:val="0"/>
      <w:divBdr>
        <w:top w:val="none" w:sz="0" w:space="0" w:color="auto"/>
        <w:left w:val="none" w:sz="0" w:space="0" w:color="auto"/>
        <w:bottom w:val="none" w:sz="0" w:space="0" w:color="auto"/>
        <w:right w:val="none" w:sz="0" w:space="0" w:color="auto"/>
      </w:divBdr>
    </w:div>
    <w:div w:id="1903052457">
      <w:bodyDiv w:val="1"/>
      <w:marLeft w:val="0"/>
      <w:marRight w:val="0"/>
      <w:marTop w:val="0"/>
      <w:marBottom w:val="0"/>
      <w:divBdr>
        <w:top w:val="none" w:sz="0" w:space="0" w:color="auto"/>
        <w:left w:val="none" w:sz="0" w:space="0" w:color="auto"/>
        <w:bottom w:val="none" w:sz="0" w:space="0" w:color="auto"/>
        <w:right w:val="none" w:sz="0" w:space="0" w:color="auto"/>
      </w:divBdr>
    </w:div>
    <w:div w:id="1944606844">
      <w:bodyDiv w:val="1"/>
      <w:marLeft w:val="0"/>
      <w:marRight w:val="0"/>
      <w:marTop w:val="0"/>
      <w:marBottom w:val="0"/>
      <w:divBdr>
        <w:top w:val="none" w:sz="0" w:space="0" w:color="auto"/>
        <w:left w:val="none" w:sz="0" w:space="0" w:color="auto"/>
        <w:bottom w:val="none" w:sz="0" w:space="0" w:color="auto"/>
        <w:right w:val="none" w:sz="0" w:space="0" w:color="auto"/>
      </w:divBdr>
    </w:div>
    <w:div w:id="1951160543">
      <w:bodyDiv w:val="1"/>
      <w:marLeft w:val="0"/>
      <w:marRight w:val="0"/>
      <w:marTop w:val="0"/>
      <w:marBottom w:val="0"/>
      <w:divBdr>
        <w:top w:val="none" w:sz="0" w:space="0" w:color="auto"/>
        <w:left w:val="none" w:sz="0" w:space="0" w:color="auto"/>
        <w:bottom w:val="none" w:sz="0" w:space="0" w:color="auto"/>
        <w:right w:val="none" w:sz="0" w:space="0" w:color="auto"/>
      </w:divBdr>
    </w:div>
    <w:div w:id="1980842575">
      <w:bodyDiv w:val="1"/>
      <w:marLeft w:val="0"/>
      <w:marRight w:val="0"/>
      <w:marTop w:val="0"/>
      <w:marBottom w:val="0"/>
      <w:divBdr>
        <w:top w:val="none" w:sz="0" w:space="0" w:color="auto"/>
        <w:left w:val="none" w:sz="0" w:space="0" w:color="auto"/>
        <w:bottom w:val="none" w:sz="0" w:space="0" w:color="auto"/>
        <w:right w:val="none" w:sz="0" w:space="0" w:color="auto"/>
      </w:divBdr>
    </w:div>
    <w:div w:id="1994486716">
      <w:bodyDiv w:val="1"/>
      <w:marLeft w:val="0"/>
      <w:marRight w:val="0"/>
      <w:marTop w:val="0"/>
      <w:marBottom w:val="0"/>
      <w:divBdr>
        <w:top w:val="none" w:sz="0" w:space="0" w:color="auto"/>
        <w:left w:val="none" w:sz="0" w:space="0" w:color="auto"/>
        <w:bottom w:val="none" w:sz="0" w:space="0" w:color="auto"/>
        <w:right w:val="none" w:sz="0" w:space="0" w:color="auto"/>
      </w:divBdr>
    </w:div>
    <w:div w:id="2050713917">
      <w:bodyDiv w:val="1"/>
      <w:marLeft w:val="0"/>
      <w:marRight w:val="0"/>
      <w:marTop w:val="0"/>
      <w:marBottom w:val="0"/>
      <w:divBdr>
        <w:top w:val="none" w:sz="0" w:space="0" w:color="auto"/>
        <w:left w:val="none" w:sz="0" w:space="0" w:color="auto"/>
        <w:bottom w:val="none" w:sz="0" w:space="0" w:color="auto"/>
        <w:right w:val="none" w:sz="0" w:space="0" w:color="auto"/>
      </w:divBdr>
    </w:div>
    <w:div w:id="2087649876">
      <w:bodyDiv w:val="1"/>
      <w:marLeft w:val="0"/>
      <w:marRight w:val="0"/>
      <w:marTop w:val="0"/>
      <w:marBottom w:val="0"/>
      <w:divBdr>
        <w:top w:val="none" w:sz="0" w:space="0" w:color="auto"/>
        <w:left w:val="none" w:sz="0" w:space="0" w:color="auto"/>
        <w:bottom w:val="none" w:sz="0" w:space="0" w:color="auto"/>
        <w:right w:val="none" w:sz="0" w:space="0" w:color="auto"/>
      </w:divBdr>
    </w:div>
    <w:div w:id="2100905727">
      <w:bodyDiv w:val="1"/>
      <w:marLeft w:val="0"/>
      <w:marRight w:val="0"/>
      <w:marTop w:val="0"/>
      <w:marBottom w:val="0"/>
      <w:divBdr>
        <w:top w:val="none" w:sz="0" w:space="0" w:color="auto"/>
        <w:left w:val="none" w:sz="0" w:space="0" w:color="auto"/>
        <w:bottom w:val="none" w:sz="0" w:space="0" w:color="auto"/>
        <w:right w:val="none" w:sz="0" w:space="0" w:color="auto"/>
      </w:divBdr>
    </w:div>
    <w:div w:id="2101442950">
      <w:bodyDiv w:val="1"/>
      <w:marLeft w:val="0"/>
      <w:marRight w:val="0"/>
      <w:marTop w:val="0"/>
      <w:marBottom w:val="0"/>
      <w:divBdr>
        <w:top w:val="none" w:sz="0" w:space="0" w:color="auto"/>
        <w:left w:val="none" w:sz="0" w:space="0" w:color="auto"/>
        <w:bottom w:val="none" w:sz="0" w:space="0" w:color="auto"/>
        <w:right w:val="none" w:sz="0" w:space="0" w:color="auto"/>
      </w:divBdr>
    </w:div>
    <w:div w:id="2105758169">
      <w:bodyDiv w:val="1"/>
      <w:marLeft w:val="0"/>
      <w:marRight w:val="0"/>
      <w:marTop w:val="0"/>
      <w:marBottom w:val="0"/>
      <w:divBdr>
        <w:top w:val="none" w:sz="0" w:space="0" w:color="auto"/>
        <w:left w:val="none" w:sz="0" w:space="0" w:color="auto"/>
        <w:bottom w:val="none" w:sz="0" w:space="0" w:color="auto"/>
        <w:right w:val="none" w:sz="0" w:space="0" w:color="auto"/>
      </w:divBdr>
    </w:div>
    <w:div w:id="2106027526">
      <w:bodyDiv w:val="1"/>
      <w:marLeft w:val="0"/>
      <w:marRight w:val="0"/>
      <w:marTop w:val="0"/>
      <w:marBottom w:val="0"/>
      <w:divBdr>
        <w:top w:val="none" w:sz="0" w:space="0" w:color="auto"/>
        <w:left w:val="none" w:sz="0" w:space="0" w:color="auto"/>
        <w:bottom w:val="none" w:sz="0" w:space="0" w:color="auto"/>
        <w:right w:val="none" w:sz="0" w:space="0" w:color="auto"/>
      </w:divBdr>
    </w:div>
    <w:div w:id="2120102532">
      <w:bodyDiv w:val="1"/>
      <w:marLeft w:val="0"/>
      <w:marRight w:val="0"/>
      <w:marTop w:val="0"/>
      <w:marBottom w:val="0"/>
      <w:divBdr>
        <w:top w:val="none" w:sz="0" w:space="0" w:color="auto"/>
        <w:left w:val="none" w:sz="0" w:space="0" w:color="auto"/>
        <w:bottom w:val="none" w:sz="0" w:space="0" w:color="auto"/>
        <w:right w:val="none" w:sz="0" w:space="0" w:color="auto"/>
      </w:divBdr>
    </w:div>
    <w:div w:id="214519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Hom03</b:Tag>
    <b:SourceType>Book</b:SourceType>
    <b:Guid>{01F07EC5-2791-403E-BC0A-7281F9FE1782}</b:Guid>
    <b:Title>The Homeric Hyms</b:Title>
    <b:Year>2003</b:Year>
    <b:LCID>en-GB</b:LCID>
    <b:City>London</b:City>
    <b:Publisher>Penguin Classics</b:Publisher>
    <b:Author>
      <b:Author>
        <b:NameList>
          <b:Person>
            <b:Last>Homer</b:Last>
          </b:Person>
        </b:NameList>
      </b:Author>
      <b:Translator>
        <b:NameList>
          <b:Person>
            <b:Last>(trans)</b:Last>
            <b:First>Jules</b:First>
            <b:Middle>Cashford</b:Middle>
          </b:Person>
        </b:NameList>
      </b:Translator>
    </b:Author>
    <b:RefOrder>1</b:RefOrder>
  </b:Source>
  <b:Source>
    <b:Tag>Dud19</b:Tag>
    <b:SourceType>Book</b:SourceType>
    <b:Guid>{2889AD74-DBBB-4CAD-A144-C80B0EE60807}</b:Guid>
    <b:Author>
      <b:Author>
        <b:NameList>
          <b:Person>
            <b:Last>Wright</b:Last>
            <b:First>Dudley</b:First>
          </b:Person>
        </b:NameList>
      </b:Author>
    </b:Author>
    <b:Title>Eleusinian Mysteries &amp; Rites</b:Title>
    <b:Year>1919</b:Year>
    <b:City>Glastonbury</b:City>
    <b:Publisher>The Lost Library</b:Publisher>
    <b:RefOrder>2</b:RefOrder>
  </b:Source>
  <b:Source>
    <b:Tag>TTa91</b:Tag>
    <b:SourceType>Book</b:SourceType>
    <b:Guid>{BAE39DCB-8BB6-459A-A6E7-0EF8B774C7B8}</b:Guid>
    <b:Author>
      <b:Author>
        <b:NameList>
          <b:Person>
            <b:Last>Taylor</b:Last>
            <b:First>T.</b:First>
          </b:Person>
        </b:NameList>
      </b:Author>
    </b:Author>
    <b:Title>A dissertation on The Eleusinian and Bacchic Mysteries</b:Title>
    <b:Year>1891</b:Year>
    <b:City>New York</b:City>
    <b:Publisher>J.W. Bouton</b:Publisher>
    <b:RefOrder>3</b:RefOrder>
  </b:Source>
  <b:Source>
    <b:Tag>Cha17</b:Tag>
    <b:SourceType>Book</b:SourceType>
    <b:Guid>{F1145D23-143D-40FB-94EE-E0C2BFD54D58}</b:Guid>
    <b:Author>
      <b:Author>
        <b:NameList>
          <b:Person>
            <b:Last>Editors</b:Last>
            <b:First>Charles</b:First>
            <b:Middle>River</b:Middle>
          </b:Person>
        </b:NameList>
      </b:Author>
    </b:Author>
    <b:Title>The Eleusinian Mysteries: The History of Ancient Greece’s Most Famous Religious Rites</b:Title>
    <b:Year>2017</b:Year>
    <b:Publisher>Charles River Editors</b:Publisher>
    <b:RefOrder>4</b:RefOrder>
  </b:Source>
  <b:Source>
    <b:Tag>Wat87</b:Tag>
    <b:SourceType>Book</b:SourceType>
    <b:Guid>{14106A27-1BF0-4486-8AD4-4F56D316B628}</b:Guid>
    <b:Author>
      <b:Author>
        <b:NameList>
          <b:Person>
            <b:Last>Burkert</b:Last>
            <b:First>Watter</b:First>
          </b:Person>
        </b:NameList>
      </b:Author>
    </b:Author>
    <b:Title>Ancient Mystey Cults</b:Title>
    <b:Year>1987</b:Year>
    <b:Publisher>Harvard Uni Press</b:Publisher>
    <b:RefOrder>5</b:RefOrder>
  </b:Source>
  <b:Source>
    <b:Tag>Mar99</b:Tag>
    <b:SourceType>Book</b:SourceType>
    <b:Guid>{8DD87D03-333D-4B37-A7B0-D1F98E4DDF76}</b:Guid>
    <b:Author>
      <b:Author>
        <b:NameList>
          <b:Person>
            <b:Last>Meyer</b:Last>
            <b:First>Marvin</b:First>
          </b:Person>
        </b:NameList>
      </b:Author>
    </b:Author>
    <b:Title>The Ancient Mysteries: A Sourcebook of Sacred Texts </b:Title>
    <b:Year>1999</b:Year>
    <b:City>Philadelphia</b:City>
    <b:Publisher>University of Pennsylvania Press</b:Publisher>
    <b:RefOrder>6</b:RefOrder>
  </b:Source>
  <b:Source>
    <b:Tag>Mar991</b:Tag>
    <b:SourceType>Book</b:SourceType>
    <b:Guid>{0F19BFBC-A4DC-492E-AC3E-F806E349E5AE}</b:Guid>
    <b:Author>
      <b:Author>
        <b:NameList>
          <b:Person>
            <b:Last>Morford</b:Last>
            <b:First>Mark</b:First>
            <b:Middle>P.O.</b:Middle>
          </b:Person>
        </b:NameList>
      </b:Author>
    </b:Author>
    <b:Title>Classical Mythology</b:Title>
    <b:Year>1999</b:Year>
    <b:City>New York and Oxford</b:City>
    <b:Publisher>Oxford University Press</b:Publisher>
    <b:Edition>6th</b:Edition>
    <b:RefOrder>7</b:RefOrder>
  </b:Source>
  <b:Source>
    <b:Tag>Nan02</b:Tag>
    <b:SourceType>JournalArticle</b:SourceType>
    <b:Guid>{DF6F4D17-EAAC-48BE-9BB9-6476967B6A6A}</b:Guid>
    <b:Title>Sanctuaries, Sacrifices, and the Eleusinian Mysteries</b:Title>
    <b:Year>2002</b:Year>
    <b:Author>
      <b:Author>
        <b:NameList>
          <b:Person>
            <b:Last>Evans</b:Last>
            <b:First>Nancy</b:First>
            <b:Middle>A</b:Middle>
          </b:Person>
        </b:NameList>
      </b:Author>
    </b:Author>
    <b:JournalName>Numen</b:JournalName>
    <b:Pages>227-254</b:Pages>
    <b:Volume>49</b:Volume>
    <b:Issue>3</b:Issue>
    <b:RefOrder>8</b:RefOrder>
  </b:Source>
  <b:Source>
    <b:Tag>Geo47</b:Tag>
    <b:SourceType>JournalArticle</b:SourceType>
    <b:Guid>{AAA088CA-375C-47C4-A796-32D2705B518B}</b:Guid>
    <b:Author>
      <b:Author>
        <b:NameList>
          <b:Person>
            <b:Last>Mylonas</b:Last>
            <b:First>George</b:First>
            <b:Middle>E.</b:Middle>
          </b:Person>
        </b:NameList>
      </b:Author>
    </b:Author>
    <b:Title>Eleusis and the Eleusinian Mysteries</b:Title>
    <b:JournalName>The Classical Journal</b:JournalName>
    <b:Year>1947</b:Year>
    <b:Pages>130-146</b:Pages>
    <b:Volume>43</b:Volume>
    <b:Issue>3</b:Issue>
    <b:RefOrder>9</b:RefOrder>
  </b:Source>
  <b:Source>
    <b:Tag>Jen08</b:Tag>
    <b:SourceType>Book</b:SourceType>
    <b:Guid>{576A0A24-5992-462B-9B6D-0A29AD1C294C}</b:Guid>
    <b:Title>The Penguin Books of Classical Myths</b:Title>
    <b:Year>2008</b:Year>
    <b:Author>
      <b:Author>
        <b:NameList>
          <b:Person>
            <b:Last>March</b:Last>
            <b:First>Jenny</b:First>
          </b:Person>
        </b:NameList>
      </b:Author>
    </b:Author>
    <b:City>London</b:City>
    <b:Publisher>Allen Lane- Penguin Group</b:Publisher>
    <b:RefOrder>10</b:RefOrder>
  </b:Source>
  <b:Source>
    <b:Tag>Ste07</b:Tag>
    <b:SourceType>Book</b:SourceType>
    <b:Guid>{3CEB064C-F43F-4814-B0B9-03854F65582A}</b:Guid>
    <b:Author>
      <b:Author>
        <b:NameList>
          <b:Person>
            <b:Last>Kershaw</b:Last>
            <b:First>Stephen</b:First>
            <b:Middle>p.</b:Middle>
          </b:Person>
        </b:NameList>
      </b:Author>
    </b:Author>
    <b:Title>A Brief Guide To The Greeks </b:Title>
    <b:Year>2007</b:Year>
    <b:City>London</b:City>
    <b:Publisher>Robinson</b:Publisher>
    <b:Edition>1st</b:Edition>
    <b:RefOrder>11</b:RefOrder>
  </b:Source>
</b:Sources>
</file>

<file path=customXml/itemProps1.xml><?xml version="1.0" encoding="utf-8"?>
<ds:datastoreItem xmlns:ds="http://schemas.openxmlformats.org/officeDocument/2006/customXml" ds:itemID="{938F83F7-8FD9-413F-A987-913008930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1371</Words>
  <Characters>7816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.3.36</dc:creator>
  <cp:keywords/>
  <dc:description/>
  <cp:lastModifiedBy>Rebecca Carlton (1701268)</cp:lastModifiedBy>
  <cp:revision>2</cp:revision>
  <dcterms:created xsi:type="dcterms:W3CDTF">2018-01-09T10:10:00Z</dcterms:created>
  <dcterms:modified xsi:type="dcterms:W3CDTF">2018-01-09T10:10:00Z</dcterms:modified>
</cp:coreProperties>
</file>