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392E269" w14:textId="77777777" w:rsidR="002160F2" w:rsidRDefault="002160F2" w:rsidP="002160F2">
      <w:pPr>
        <w:jc w:val="center"/>
        <w:rPr>
          <w:b/>
          <w:sz w:val="32"/>
        </w:rPr>
      </w:pPr>
    </w:p>
    <w:p w14:paraId="5504A172" w14:textId="77777777" w:rsidR="002160F2" w:rsidRDefault="002160F2" w:rsidP="002160F2">
      <w:pPr>
        <w:jc w:val="center"/>
        <w:rPr>
          <w:b/>
          <w:sz w:val="32"/>
        </w:rPr>
      </w:pPr>
    </w:p>
    <w:p w14:paraId="039329DA" w14:textId="77777777" w:rsidR="002160F2" w:rsidRDefault="002160F2" w:rsidP="002160F2">
      <w:pPr>
        <w:jc w:val="center"/>
        <w:rPr>
          <w:b/>
          <w:sz w:val="32"/>
        </w:rPr>
      </w:pPr>
    </w:p>
    <w:p w14:paraId="3FB93D74" w14:textId="77777777" w:rsidR="002160F2" w:rsidRDefault="002160F2" w:rsidP="002160F2">
      <w:pPr>
        <w:jc w:val="center"/>
        <w:rPr>
          <w:b/>
          <w:sz w:val="32"/>
        </w:rPr>
      </w:pPr>
    </w:p>
    <w:p w14:paraId="407759E4" w14:textId="77777777" w:rsidR="002160F2" w:rsidRDefault="002160F2" w:rsidP="002160F2">
      <w:pPr>
        <w:jc w:val="center"/>
        <w:rPr>
          <w:b/>
          <w:sz w:val="32"/>
        </w:rPr>
      </w:pPr>
    </w:p>
    <w:p w14:paraId="3DC055FF" w14:textId="77777777" w:rsidR="002160F2" w:rsidRDefault="002160F2" w:rsidP="002160F2">
      <w:pPr>
        <w:jc w:val="center"/>
        <w:rPr>
          <w:b/>
          <w:sz w:val="32"/>
        </w:rPr>
      </w:pPr>
    </w:p>
    <w:p w14:paraId="16AFED22" w14:textId="77777777" w:rsidR="002160F2" w:rsidRDefault="002160F2" w:rsidP="002160F2">
      <w:pPr>
        <w:jc w:val="center"/>
        <w:rPr>
          <w:b/>
          <w:sz w:val="32"/>
        </w:rPr>
      </w:pPr>
    </w:p>
    <w:p w14:paraId="7628EE7D" w14:textId="77777777" w:rsidR="002160F2" w:rsidRDefault="002160F2" w:rsidP="002160F2">
      <w:pPr>
        <w:jc w:val="center"/>
        <w:rPr>
          <w:b/>
          <w:sz w:val="32"/>
        </w:rPr>
      </w:pPr>
    </w:p>
    <w:p w14:paraId="3544B985" w14:textId="152C9F48" w:rsidR="002160F2" w:rsidRPr="002160F2" w:rsidRDefault="002160F2" w:rsidP="002160F2">
      <w:pPr>
        <w:jc w:val="center"/>
        <w:rPr>
          <w:b/>
          <w:sz w:val="32"/>
        </w:rPr>
      </w:pPr>
      <w:r w:rsidRPr="002160F2">
        <w:rPr>
          <w:b/>
          <w:sz w:val="32"/>
        </w:rPr>
        <w:t>Module Title: International Financial Management</w:t>
      </w:r>
    </w:p>
    <w:p w14:paraId="3000B309" w14:textId="49F27796" w:rsidR="002160F2" w:rsidRPr="002160F2" w:rsidRDefault="002160F2" w:rsidP="002160F2">
      <w:pPr>
        <w:jc w:val="center"/>
        <w:rPr>
          <w:b/>
          <w:sz w:val="32"/>
        </w:rPr>
      </w:pPr>
      <w:r w:rsidRPr="002160F2">
        <w:rPr>
          <w:b/>
          <w:sz w:val="32"/>
        </w:rPr>
        <w:t>Assessment 1</w:t>
      </w:r>
    </w:p>
    <w:p w14:paraId="75E28404" w14:textId="6BE74D71" w:rsidR="002160F2" w:rsidRPr="002160F2" w:rsidRDefault="002160F2" w:rsidP="002160F2">
      <w:pPr>
        <w:pBdr>
          <w:bottom w:val="single" w:sz="4" w:space="1" w:color="auto"/>
        </w:pBdr>
        <w:jc w:val="center"/>
        <w:rPr>
          <w:b/>
          <w:sz w:val="32"/>
        </w:rPr>
      </w:pPr>
      <w:r w:rsidRPr="002160F2">
        <w:rPr>
          <w:b/>
          <w:sz w:val="32"/>
        </w:rPr>
        <w:t>Lectures Nam</w:t>
      </w:r>
      <w:bookmarkStart w:id="0" w:name="_GoBack"/>
      <w:bookmarkEnd w:id="0"/>
      <w:r w:rsidRPr="002160F2">
        <w:rPr>
          <w:b/>
          <w:sz w:val="32"/>
        </w:rPr>
        <w:t>e: Taye Osadiya</w:t>
      </w:r>
    </w:p>
    <w:p w14:paraId="366B6233" w14:textId="77777777" w:rsidR="002160F2" w:rsidRDefault="002160F2" w:rsidP="002160F2">
      <w:pPr>
        <w:rPr>
          <w:b/>
        </w:rPr>
      </w:pPr>
    </w:p>
    <w:p w14:paraId="50A30183" w14:textId="77777777" w:rsidR="002160F2" w:rsidRDefault="002160F2" w:rsidP="002160F2">
      <w:pPr>
        <w:rPr>
          <w:b/>
        </w:rPr>
      </w:pPr>
    </w:p>
    <w:p w14:paraId="39686DE6" w14:textId="1B292993" w:rsidR="002160F2" w:rsidRPr="002160F2" w:rsidRDefault="002160F2" w:rsidP="002160F2">
      <w:pPr>
        <w:rPr>
          <w:b/>
        </w:rPr>
      </w:pPr>
      <w:r w:rsidRPr="002160F2">
        <w:rPr>
          <w:b/>
        </w:rPr>
        <w:t xml:space="preserve">Student </w:t>
      </w:r>
      <w:r w:rsidRPr="002160F2">
        <w:rPr>
          <w:b/>
        </w:rPr>
        <w:t xml:space="preserve">Name: </w:t>
      </w:r>
      <w:proofErr w:type="spellStart"/>
      <w:r w:rsidRPr="002160F2">
        <w:rPr>
          <w:b/>
        </w:rPr>
        <w:t>Nicoleta</w:t>
      </w:r>
      <w:proofErr w:type="spellEnd"/>
      <w:r w:rsidRPr="002160F2">
        <w:rPr>
          <w:b/>
        </w:rPr>
        <w:t xml:space="preserve"> </w:t>
      </w:r>
      <w:proofErr w:type="spellStart"/>
      <w:r w:rsidRPr="002160F2">
        <w:rPr>
          <w:b/>
        </w:rPr>
        <w:t>Briceag</w:t>
      </w:r>
      <w:proofErr w:type="spellEnd"/>
      <w:r w:rsidRPr="002160F2">
        <w:rPr>
          <w:b/>
        </w:rPr>
        <w:t xml:space="preserve"> </w:t>
      </w:r>
    </w:p>
    <w:p w14:paraId="764CD590" w14:textId="77777777" w:rsidR="002160F2" w:rsidRPr="002160F2" w:rsidRDefault="002160F2" w:rsidP="002160F2">
      <w:pPr>
        <w:rPr>
          <w:b/>
        </w:rPr>
      </w:pPr>
      <w:r w:rsidRPr="002160F2">
        <w:rPr>
          <w:b/>
        </w:rPr>
        <w:t>Student Number: 1914033</w:t>
      </w:r>
    </w:p>
    <w:p w14:paraId="525C026E" w14:textId="0DEF7515" w:rsidR="002160F2" w:rsidRDefault="002160F2" w:rsidP="002160F2">
      <w:pPr>
        <w:rPr>
          <w:b/>
        </w:rPr>
      </w:pPr>
      <w:r>
        <w:rPr>
          <w:b/>
        </w:rPr>
        <w:br w:type="page"/>
      </w:r>
    </w:p>
    <w:sdt>
      <w:sdtPr>
        <w:id w:val="731961343"/>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158CB38C" w14:textId="061816AD" w:rsidR="002160F2" w:rsidRPr="002160F2" w:rsidRDefault="002160F2" w:rsidP="002160F2">
          <w:pPr>
            <w:pStyle w:val="TOCHeading"/>
            <w:jc w:val="center"/>
            <w:rPr>
              <w:rFonts w:ascii="Times New Roman" w:hAnsi="Times New Roman" w:cs="Times New Roman"/>
              <w:b/>
              <w:color w:val="000000" w:themeColor="text1"/>
              <w:sz w:val="28"/>
              <w:szCs w:val="28"/>
            </w:rPr>
          </w:pPr>
          <w:r w:rsidRPr="002160F2">
            <w:rPr>
              <w:rFonts w:ascii="Times New Roman" w:hAnsi="Times New Roman" w:cs="Times New Roman"/>
              <w:b/>
              <w:color w:val="000000" w:themeColor="text1"/>
              <w:sz w:val="28"/>
              <w:szCs w:val="28"/>
            </w:rPr>
            <w:t>Table of Contents</w:t>
          </w:r>
        </w:p>
        <w:p w14:paraId="1DE7F551" w14:textId="77777777" w:rsidR="002160F2" w:rsidRDefault="002160F2">
          <w:pPr>
            <w:pStyle w:val="TOC1"/>
            <w:tabs>
              <w:tab w:val="right" w:leader="dot" w:pos="9016"/>
            </w:tabs>
            <w:rPr>
              <w:noProof/>
            </w:rPr>
          </w:pPr>
          <w:r>
            <w:fldChar w:fldCharType="begin"/>
          </w:r>
          <w:r>
            <w:instrText xml:space="preserve"> TOC \o "1-3" \h \z \u </w:instrText>
          </w:r>
          <w:r>
            <w:fldChar w:fldCharType="separate"/>
          </w:r>
          <w:hyperlink w:anchor="_Toc99640973" w:history="1">
            <w:r w:rsidRPr="000A17E7">
              <w:rPr>
                <w:rStyle w:val="Hyperlink"/>
                <w:noProof/>
              </w:rPr>
              <w:t>Introduction</w:t>
            </w:r>
            <w:r>
              <w:rPr>
                <w:noProof/>
                <w:webHidden/>
              </w:rPr>
              <w:tab/>
            </w:r>
            <w:r>
              <w:rPr>
                <w:noProof/>
                <w:webHidden/>
              </w:rPr>
              <w:fldChar w:fldCharType="begin"/>
            </w:r>
            <w:r>
              <w:rPr>
                <w:noProof/>
                <w:webHidden/>
              </w:rPr>
              <w:instrText xml:space="preserve"> PAGEREF _Toc99640973 \h </w:instrText>
            </w:r>
            <w:r>
              <w:rPr>
                <w:noProof/>
                <w:webHidden/>
              </w:rPr>
            </w:r>
            <w:r>
              <w:rPr>
                <w:noProof/>
                <w:webHidden/>
              </w:rPr>
              <w:fldChar w:fldCharType="separate"/>
            </w:r>
            <w:r>
              <w:rPr>
                <w:noProof/>
                <w:webHidden/>
              </w:rPr>
              <w:t>3</w:t>
            </w:r>
            <w:r>
              <w:rPr>
                <w:noProof/>
                <w:webHidden/>
              </w:rPr>
              <w:fldChar w:fldCharType="end"/>
            </w:r>
          </w:hyperlink>
        </w:p>
        <w:p w14:paraId="66BAEB75" w14:textId="77777777" w:rsidR="002160F2" w:rsidRDefault="002160F2">
          <w:pPr>
            <w:pStyle w:val="TOC1"/>
            <w:tabs>
              <w:tab w:val="right" w:leader="dot" w:pos="9016"/>
            </w:tabs>
            <w:rPr>
              <w:noProof/>
            </w:rPr>
          </w:pPr>
          <w:hyperlink w:anchor="_Toc99640974" w:history="1">
            <w:r w:rsidRPr="000A17E7">
              <w:rPr>
                <w:rStyle w:val="Hyperlink"/>
                <w:noProof/>
              </w:rPr>
              <w:t>Discussions</w:t>
            </w:r>
            <w:r>
              <w:rPr>
                <w:noProof/>
                <w:webHidden/>
              </w:rPr>
              <w:tab/>
            </w:r>
            <w:r>
              <w:rPr>
                <w:noProof/>
                <w:webHidden/>
              </w:rPr>
              <w:fldChar w:fldCharType="begin"/>
            </w:r>
            <w:r>
              <w:rPr>
                <w:noProof/>
                <w:webHidden/>
              </w:rPr>
              <w:instrText xml:space="preserve"> PAGEREF _Toc99640974 \h </w:instrText>
            </w:r>
            <w:r>
              <w:rPr>
                <w:noProof/>
                <w:webHidden/>
              </w:rPr>
            </w:r>
            <w:r>
              <w:rPr>
                <w:noProof/>
                <w:webHidden/>
              </w:rPr>
              <w:fldChar w:fldCharType="separate"/>
            </w:r>
            <w:r>
              <w:rPr>
                <w:noProof/>
                <w:webHidden/>
              </w:rPr>
              <w:t>3</w:t>
            </w:r>
            <w:r>
              <w:rPr>
                <w:noProof/>
                <w:webHidden/>
              </w:rPr>
              <w:fldChar w:fldCharType="end"/>
            </w:r>
          </w:hyperlink>
        </w:p>
        <w:p w14:paraId="2BE7C8D6" w14:textId="77777777" w:rsidR="002160F2" w:rsidRDefault="002160F2">
          <w:pPr>
            <w:pStyle w:val="TOC1"/>
            <w:tabs>
              <w:tab w:val="right" w:leader="dot" w:pos="9016"/>
            </w:tabs>
            <w:rPr>
              <w:noProof/>
            </w:rPr>
          </w:pPr>
          <w:hyperlink w:anchor="_Toc99640975" w:history="1">
            <w:r w:rsidRPr="000A17E7">
              <w:rPr>
                <w:rStyle w:val="Hyperlink"/>
                <w:noProof/>
              </w:rPr>
              <w:t>Conclusions</w:t>
            </w:r>
            <w:r>
              <w:rPr>
                <w:noProof/>
                <w:webHidden/>
              </w:rPr>
              <w:tab/>
            </w:r>
            <w:r>
              <w:rPr>
                <w:noProof/>
                <w:webHidden/>
              </w:rPr>
              <w:fldChar w:fldCharType="begin"/>
            </w:r>
            <w:r>
              <w:rPr>
                <w:noProof/>
                <w:webHidden/>
              </w:rPr>
              <w:instrText xml:space="preserve"> PAGEREF _Toc99640975 \h </w:instrText>
            </w:r>
            <w:r>
              <w:rPr>
                <w:noProof/>
                <w:webHidden/>
              </w:rPr>
            </w:r>
            <w:r>
              <w:rPr>
                <w:noProof/>
                <w:webHidden/>
              </w:rPr>
              <w:fldChar w:fldCharType="separate"/>
            </w:r>
            <w:r>
              <w:rPr>
                <w:noProof/>
                <w:webHidden/>
              </w:rPr>
              <w:t>6</w:t>
            </w:r>
            <w:r>
              <w:rPr>
                <w:noProof/>
                <w:webHidden/>
              </w:rPr>
              <w:fldChar w:fldCharType="end"/>
            </w:r>
          </w:hyperlink>
        </w:p>
        <w:p w14:paraId="761091B4" w14:textId="77777777" w:rsidR="002160F2" w:rsidRDefault="002160F2">
          <w:pPr>
            <w:pStyle w:val="TOC1"/>
            <w:tabs>
              <w:tab w:val="right" w:leader="dot" w:pos="9016"/>
            </w:tabs>
            <w:rPr>
              <w:noProof/>
            </w:rPr>
          </w:pPr>
          <w:hyperlink w:anchor="_Toc99640976" w:history="1">
            <w:r w:rsidRPr="000A17E7">
              <w:rPr>
                <w:rStyle w:val="Hyperlink"/>
                <w:noProof/>
              </w:rPr>
              <w:t>References</w:t>
            </w:r>
            <w:r>
              <w:rPr>
                <w:noProof/>
                <w:webHidden/>
              </w:rPr>
              <w:tab/>
            </w:r>
            <w:r>
              <w:rPr>
                <w:noProof/>
                <w:webHidden/>
              </w:rPr>
              <w:fldChar w:fldCharType="begin"/>
            </w:r>
            <w:r>
              <w:rPr>
                <w:noProof/>
                <w:webHidden/>
              </w:rPr>
              <w:instrText xml:space="preserve"> PAGEREF _Toc99640976 \h </w:instrText>
            </w:r>
            <w:r>
              <w:rPr>
                <w:noProof/>
                <w:webHidden/>
              </w:rPr>
            </w:r>
            <w:r>
              <w:rPr>
                <w:noProof/>
                <w:webHidden/>
              </w:rPr>
              <w:fldChar w:fldCharType="separate"/>
            </w:r>
            <w:r>
              <w:rPr>
                <w:noProof/>
                <w:webHidden/>
              </w:rPr>
              <w:t>7</w:t>
            </w:r>
            <w:r>
              <w:rPr>
                <w:noProof/>
                <w:webHidden/>
              </w:rPr>
              <w:fldChar w:fldCharType="end"/>
            </w:r>
          </w:hyperlink>
        </w:p>
        <w:p w14:paraId="51D0B7A8" w14:textId="74B2B008" w:rsidR="002160F2" w:rsidRDefault="002160F2">
          <w:r>
            <w:rPr>
              <w:b/>
              <w:bCs/>
              <w:noProof/>
            </w:rPr>
            <w:fldChar w:fldCharType="end"/>
          </w:r>
        </w:p>
      </w:sdtContent>
    </w:sdt>
    <w:p w14:paraId="66203205" w14:textId="77777777" w:rsidR="002160F2" w:rsidRDefault="002160F2">
      <w:pPr>
        <w:rPr>
          <w:b/>
        </w:rPr>
      </w:pPr>
      <w:r>
        <w:rPr>
          <w:b/>
        </w:rPr>
        <w:br w:type="page"/>
      </w:r>
    </w:p>
    <w:p w14:paraId="00000001" w14:textId="2ED6163F" w:rsidR="000D1779" w:rsidRDefault="002F4DF6" w:rsidP="002160F2">
      <w:pPr>
        <w:pStyle w:val="Heading1"/>
      </w:pPr>
      <w:bookmarkStart w:id="1" w:name="_Toc99640973"/>
      <w:r>
        <w:lastRenderedPageBreak/>
        <w:t>Introduction</w:t>
      </w:r>
      <w:bookmarkEnd w:id="1"/>
      <w:r>
        <w:t xml:space="preserve"> </w:t>
      </w:r>
    </w:p>
    <w:p w14:paraId="00000002" w14:textId="4F9B09F2" w:rsidR="000D1779" w:rsidRDefault="002F4DF6">
      <w:r>
        <w:t>W</w:t>
      </w:r>
      <w:r>
        <w:t>hile the presence of general accounting is indicating the transaction detail presentations only, applied</w:t>
      </w:r>
      <w:r>
        <w:t xml:space="preserve"> concept of “Financial Management provides effective accounting evaluation support as well as financial performance analysis of business on a structural basis”. This particular </w:t>
      </w:r>
      <w:r w:rsidR="002160F2">
        <w:t xml:space="preserve">accounting generally provides </w:t>
      </w:r>
      <w:r>
        <w:t xml:space="preserve">significant </w:t>
      </w:r>
      <w:r w:rsidR="002160F2">
        <w:t>pathway with</w:t>
      </w:r>
      <w:r>
        <w:t xml:space="preserve"> respect to which over</w:t>
      </w:r>
      <w:r>
        <w:t>all organisational efficiency approach can be evaluated. It is applied to initiate some planning support and compatibility determinati</w:t>
      </w:r>
      <w:r w:rsidR="002160F2">
        <w:t xml:space="preserve">on approaches as well with </w:t>
      </w:r>
      <w:r>
        <w:t>maintenance of which general potentiality and performance compatibility can be managed (Pr</w:t>
      </w:r>
      <w:r>
        <w:t xml:space="preserve">ihartono and Asandimitra, 2018).  </w:t>
      </w:r>
    </w:p>
    <w:p w14:paraId="00000003" w14:textId="25A241FC" w:rsidR="000D1779" w:rsidRDefault="002F4DF6">
      <w:r>
        <w:t>It also applied to provide some structural identification regarding optimum capital position also with maintenance of which general development of accountability associated to business performance can be effectively balan</w:t>
      </w:r>
      <w:r>
        <w:t>ced. In this discussion mainly the financial attr</w:t>
      </w:r>
      <w:r w:rsidR="002160F2">
        <w:t>ibute for the business of Rio-Ti</w:t>
      </w:r>
      <w:r>
        <w:t xml:space="preserve">nto in the present financial period. </w:t>
      </w:r>
    </w:p>
    <w:p w14:paraId="00000004" w14:textId="77777777" w:rsidR="000D1779" w:rsidRDefault="002F4DF6" w:rsidP="002160F2">
      <w:pPr>
        <w:pStyle w:val="Heading1"/>
      </w:pPr>
      <w:bookmarkStart w:id="2" w:name="_Toc99640974"/>
      <w:r>
        <w:t>Discussions</w:t>
      </w:r>
      <w:bookmarkEnd w:id="2"/>
      <w:r>
        <w:t xml:space="preserve"> </w:t>
      </w:r>
    </w:p>
    <w:p w14:paraId="00000005" w14:textId="4AC374F0" w:rsidR="000D1779" w:rsidRDefault="002F4DF6">
      <w:r>
        <w:t>General conceptual approach regarding the use of “Financial management” provides a level of compatibility development includ</w:t>
      </w:r>
      <w:r>
        <w:t>ing an operating sustainability approach mainly with the maintenance of which a general standardised approach of business can effectively be initiated (</w:t>
      </w:r>
      <w:r>
        <w:rPr>
          <w:color w:val="222222"/>
          <w:highlight w:val="white"/>
        </w:rPr>
        <w:t>Al Ahbabi and Nobanee, 2019)</w:t>
      </w:r>
      <w:r>
        <w:t>. It is applied to provide a positive accounting formulated development with</w:t>
      </w:r>
      <w:r>
        <w:t xml:space="preserve"> respect to which general growth and other associated attributes can also be managed on a developing basis. Rio Tinto group is considered as “Anglo Australian multinational organisation which is nominated as the second largest metal and mining Corporation </w:t>
      </w:r>
      <w:r>
        <w:t>in the globe”. It was formulated during the period of 1873, which</w:t>
      </w:r>
      <w:r w:rsidR="002160F2">
        <w:t xml:space="preserve"> indicates it’s around 150 years </w:t>
      </w:r>
      <w:r>
        <w:t>old Corporation that operated with support of 45000 different employees in the present situation (</w:t>
      </w:r>
      <w:r>
        <w:rPr>
          <w:color w:val="222222"/>
          <w:highlight w:val="white"/>
        </w:rPr>
        <w:t>Riotinto.com, 2022)</w:t>
      </w:r>
      <w:r>
        <w:t>. Its present headquarter is located in Lo</w:t>
      </w:r>
      <w:r>
        <w:t xml:space="preserve">ndon, United Kingdom and operated in a global prospects in accordance with the present marketing demand mainly. </w:t>
      </w:r>
    </w:p>
    <w:p w14:paraId="00000006" w14:textId="77777777" w:rsidR="000D1779" w:rsidRDefault="002F4DF6">
      <w:r>
        <w:t>General on quarterly basis or half yearly basis and annually basis, the management of individual business Used to share a particular portion of</w:t>
      </w:r>
      <w:r>
        <w:t xml:space="preserve"> earning among the shareholder which is recognised as dividend. This particular dividend could be either cash or share depending on the general decision initiated in the board meeting (</w:t>
      </w:r>
      <w:r>
        <w:rPr>
          <w:color w:val="222222"/>
          <w:highlight w:val="white"/>
        </w:rPr>
        <w:t>Al Muhairi and Nobanee, 2019)</w:t>
      </w:r>
      <w:r>
        <w:t>. With maintenance of positive dividend su</w:t>
      </w:r>
      <w:r>
        <w:t>pport, proper structural growth including market capitalisation and processing for individual business are supported which also bring accountability development as well.  In respect to the basic approach the management of Rio Tinto also used to provide a s</w:t>
      </w:r>
      <w:r>
        <w:t xml:space="preserve">ignificant volume of difference to the shareholder with respect to which the positive attributes of Finance can be balanced. In present accounting year depending </w:t>
      </w:r>
      <w:r>
        <w:lastRenderedPageBreak/>
        <w:t>on the volume of profit the business provides Total 1040cents as dividend per share basis alon</w:t>
      </w:r>
      <w:r>
        <w:t>g with final ordinary dividend of 417cents and special dividend of 62 cents per share basis. Associated with the basic approach the management also provides $15.4 billion cash to shareholders as dividend engagement for maintaining the financial stability a</w:t>
      </w:r>
      <w:r>
        <w:t>pproach in a proper manner (</w:t>
      </w:r>
      <w:r>
        <w:rPr>
          <w:color w:val="222222"/>
          <w:highlight w:val="white"/>
        </w:rPr>
        <w:t>Riotinto.com, 2022)</w:t>
      </w:r>
      <w:r>
        <w:t>. Including the same approach the organisation also provides a fully franked dividend for Ordinary shareholders in order to maintain the compatibility as well as foreseeable future growth mainly. Apart from th</w:t>
      </w:r>
      <w:r>
        <w:t>at the management of the business also used to provide a significant Volume of importance over the dividend reinvestment planning with respect of which a positive accounting compatibility including the market capitalisation approach can effectively formula</w:t>
      </w:r>
      <w:r>
        <w:t>ted (</w:t>
      </w:r>
      <w:r>
        <w:rPr>
          <w:color w:val="222222"/>
          <w:highlight w:val="white"/>
        </w:rPr>
        <w:t>Alkaabi and Nobanee, 2019)</w:t>
      </w:r>
      <w:r>
        <w:t xml:space="preserve">. </w:t>
      </w:r>
    </w:p>
    <w:p w14:paraId="00000007" w14:textId="1BB2D03A" w:rsidR="000D1779" w:rsidRDefault="002F4DF6">
      <w:r>
        <w:t xml:space="preserve">According to the general approach in case of this particular business engagement </w:t>
      </w:r>
      <w:r w:rsidR="002160F2">
        <w:t>of constant</w:t>
      </w:r>
      <w:r>
        <w:t xml:space="preserve"> Dividend policy is noticed with respect to which the general growth including formulating development of the business can procee</w:t>
      </w:r>
      <w:r>
        <w:t>d. Maintenance of this particular policy is used to provide a significant volume of investment approach to the shareholder with increasing the dividend capability volume in a supporting order (</w:t>
      </w:r>
      <w:r>
        <w:rPr>
          <w:color w:val="222222"/>
          <w:highlight w:val="white"/>
        </w:rPr>
        <w:t xml:space="preserve">Martin </w:t>
      </w:r>
      <w:r>
        <w:rPr>
          <w:i/>
          <w:color w:val="222222"/>
          <w:highlight w:val="white"/>
        </w:rPr>
        <w:t xml:space="preserve">et al., </w:t>
      </w:r>
      <w:r>
        <w:rPr>
          <w:color w:val="222222"/>
          <w:highlight w:val="white"/>
        </w:rPr>
        <w:t>2020)</w:t>
      </w:r>
      <w:r>
        <w:t xml:space="preserve">. Depending on this approach </w:t>
      </w:r>
      <w:r w:rsidR="002160F2">
        <w:t>a particular</w:t>
      </w:r>
      <w:r>
        <w:t xml:space="preserve"> </w:t>
      </w:r>
      <w:r>
        <w:t xml:space="preserve">portion of business profit is distributed among the shareholders on a constant basis </w:t>
      </w:r>
      <w:r w:rsidR="002160F2">
        <w:t>and it</w:t>
      </w:r>
      <w:r>
        <w:t xml:space="preserve"> totally depends upon the earning approach of profitability volume of business generally. In the initiative of this type of engagement, the general growth including</w:t>
      </w:r>
      <w:r>
        <w:t xml:space="preserve"> the volatility regarding earning approach of business can also be initiated in a proper order which is influential in order to maintain the compatibility and associated structural modification of business capital in proper order. The general approach to t</w:t>
      </w:r>
      <w:r>
        <w:t>he management usually follows the dividend imputation system in order to maintain the volume of dividend payment and taxation approach in a positive border with respect to which the overall financial compatibility and structural approach of business capita</w:t>
      </w:r>
      <w:r>
        <w:t>l can effectively manage. The present volume of dividend yield of the business is indicating around 12.40% performances with 7.56 GBP level basically. Including the same approach total returning initiatives of the business is indicating the level of 24.22%</w:t>
      </w:r>
      <w:r>
        <w:t xml:space="preserve"> with suitable financial development processing mainly. In the present accounting period (September 2021) the organisation initiated around £48.57 as reinvestment price of share with the support of which general compatibility including operating stability </w:t>
      </w:r>
      <w:r>
        <w:t>approach of the business effectively balanced and formulated (</w:t>
      </w:r>
      <w:r>
        <w:rPr>
          <w:color w:val="222222"/>
          <w:highlight w:val="white"/>
        </w:rPr>
        <w:t>Riotinto.com, 2022)</w:t>
      </w:r>
      <w:r>
        <w:t xml:space="preserve">. </w:t>
      </w:r>
    </w:p>
    <w:p w14:paraId="00000008" w14:textId="11D12F3E" w:rsidR="000D1779" w:rsidRDefault="002F4DF6">
      <w:r>
        <w:t>As per the general conceptual approach, the concept of market hypothesis theory is initiated to provide detailed structural presentation regarding business financial perfor</w:t>
      </w:r>
      <w:r>
        <w:t xml:space="preserve">mances which can be determined with respect to the share performances. Through maintenance of positive share pricing while a business is able to maintain the sustainability approach regarding market </w:t>
      </w:r>
      <w:r>
        <w:lastRenderedPageBreak/>
        <w:t>capitalisation, with proper understanding about this theo</w:t>
      </w:r>
      <w:r>
        <w:t>ry the external investors can realise the significance of compatibility related to business investment processing in a supportive order. In the present accounting period the share price of this business has risen to 6,098 (+22.00), including the Market cap</w:t>
      </w:r>
      <w:r>
        <w:t xml:space="preserve">italization value as 98.781billion, beta as 0.55, PE ratio as 6.17 and EPS level of 988.40 respectively. With recognising the present beta approach it can be considerable that the </w:t>
      </w:r>
      <w:r w:rsidR="002160F2">
        <w:t>overall volume</w:t>
      </w:r>
      <w:r>
        <w:t xml:space="preserve"> of business investment approach is indicating a lower risk a</w:t>
      </w:r>
      <w:r>
        <w:t>ssessment support with initiative of which the general compatibility including some of the development structure of business can also be initiated in a proper manner (</w:t>
      </w:r>
      <w:r>
        <w:rPr>
          <w:color w:val="222222"/>
          <w:highlight w:val="white"/>
        </w:rPr>
        <w:t>Brigham and Daves, 2018)</w:t>
      </w:r>
      <w:r>
        <w:t xml:space="preserve">. In the present situation the management of Rio Tinto initiated </w:t>
      </w:r>
      <w:r>
        <w:t>the approach of acquisition regarding the Rincon lithium project that is able to initiate a significant volume of production development approach including operating stability processing mainly for managing the accountability initiatives in a more supporti</w:t>
      </w:r>
      <w:r>
        <w:t>ve manner. It also used to provide a systematic volume of investment processing for the shareholders as well with respect of which the market capitalisation processing can also be initiated in a supportive order. Associated with the same approach the manag</w:t>
      </w:r>
      <w:r>
        <w:t xml:space="preserve">ement of this particular organisation also makes an offer to buy “Turquoise hill project; the London rush” for initiating a significant volume of financial development including operating approach processing reasons (Capel, 2022). With application of this </w:t>
      </w:r>
      <w:r>
        <w:t>particular investment initiative the compatibility including performance the ability of the business can easily be managed that can bring a proper volume of performance development processing as well as compatibility analysis for the shareholders’ in a mor</w:t>
      </w:r>
      <w:r>
        <w:t>e comprehensive manner.</w:t>
      </w:r>
    </w:p>
    <w:p w14:paraId="00000009" w14:textId="77777777" w:rsidR="000D1779" w:rsidRDefault="002F4DF6">
      <w:r>
        <w:t xml:space="preserve">Applied significance of “investment appraisal processing under financial management brings a positive amount of compatibility including performance development initiative with respect to which general formulated development” can be </w:t>
      </w:r>
      <w:r>
        <w:t>initiated. It also proceeds to recognise and evaluate financial structural modification as well as project compatibility determination support also, which is influential in order to manage the business probable opportunity in a positive order (</w:t>
      </w:r>
      <w:r>
        <w:rPr>
          <w:color w:val="222222"/>
          <w:highlight w:val="white"/>
        </w:rPr>
        <w:t xml:space="preserve">Brigham and </w:t>
      </w:r>
      <w:r>
        <w:rPr>
          <w:color w:val="222222"/>
          <w:highlight w:val="white"/>
        </w:rPr>
        <w:t>Ehrhardt, 2019)</w:t>
      </w:r>
      <w:r>
        <w:t>. For the primary purpose of initiating this particular operation, processing different methodical identification has been initiated with respect to which the general positive growth of accounting can be managed. In associated to the present</w:t>
      </w:r>
      <w:r>
        <w:t xml:space="preserve"> “Jadar project in Serbia and Gudai-Darri (Koodaideri) project in Western Australia”, the management of this business is used to follow the  net present value concept and accounting rate of return method basically with respect of which the general volume o</w:t>
      </w:r>
      <w:r>
        <w:t>f processing including operational compatibility can be determined (</w:t>
      </w:r>
      <w:r>
        <w:rPr>
          <w:highlight w:val="white"/>
        </w:rPr>
        <w:t>Riotinto.com, 2022)</w:t>
      </w:r>
      <w:r>
        <w:t xml:space="preserve">. While the presence of net present value is initiated in order to determine the overall compatibility </w:t>
      </w:r>
      <w:r>
        <w:lastRenderedPageBreak/>
        <w:t xml:space="preserve">regarding project financial compatibility determination approach, </w:t>
      </w:r>
      <w:r>
        <w:t>presence of ARR method used to provide a positive identification regarding returning approach of the business in associated to investment of $2.6 billion basically. Importance to this type of initiative approach is essential for the managerial department o</w:t>
      </w:r>
      <w:r>
        <w:t>f the business with respect of which a positive amount of stability including growth initiatives can be evaluated. It is also used to indicate a proper identification support regarding compatibility approach of the business also with maintenance of which t</w:t>
      </w:r>
      <w:r>
        <w:t>he general performance growth and other associated formulation can also be managed on a proper basis (</w:t>
      </w:r>
      <w:r>
        <w:rPr>
          <w:color w:val="222222"/>
          <w:highlight w:val="white"/>
        </w:rPr>
        <w:t>Shapiro and Hanouna, 2019)</w:t>
      </w:r>
      <w:r>
        <w:t xml:space="preserve">. The presence of this type of engagement for this business is used to inform the stakeholder about the financial compatibility </w:t>
      </w:r>
      <w:r>
        <w:t xml:space="preserve">and the overall project initiative in a proper manner so that the compatibility development and other associated growth approach in the future can effectively be initiated. </w:t>
      </w:r>
    </w:p>
    <w:p w14:paraId="0000000A" w14:textId="77777777" w:rsidR="000D1779" w:rsidRDefault="002F4DF6" w:rsidP="002160F2">
      <w:pPr>
        <w:pStyle w:val="Heading1"/>
      </w:pPr>
      <w:bookmarkStart w:id="3" w:name="_Toc99640975"/>
      <w:r>
        <w:t>Conclusions</w:t>
      </w:r>
      <w:bookmarkEnd w:id="3"/>
      <w:r>
        <w:t xml:space="preserve"> </w:t>
      </w:r>
    </w:p>
    <w:p w14:paraId="0000000B" w14:textId="77777777" w:rsidR="000D1779" w:rsidRDefault="002F4DF6">
      <w:r>
        <w:t>The primary approach of this accounting is not only initiated to prov</w:t>
      </w:r>
      <w:r>
        <w:t>ide some accounting identification support instead of that, it is also applied to initiate some of the significant compatibility  including structural modification support regarding financial position which is initiated for managerial growth purpose as wel</w:t>
      </w:r>
      <w:r>
        <w:t>l. It also provides the proper identifiable support regarding investment compatibility of the business also with the maintenance of which the general growth and structural modification of business can also be initiated in a more supportive basis. In respec</w:t>
      </w:r>
      <w:r>
        <w:t>t to the present performances of Rio Tinto the management should provide importance of the financial compatibility including investment processing of the business in a more supportive border so that the Business expansion processing can effectively proceed</w:t>
      </w:r>
      <w:r>
        <w:t xml:space="preserve">. </w:t>
      </w:r>
    </w:p>
    <w:p w14:paraId="210E0DB4" w14:textId="3330845D" w:rsidR="002160F2" w:rsidRDefault="002160F2">
      <w:r>
        <w:br w:type="page"/>
      </w:r>
    </w:p>
    <w:p w14:paraId="6752B2AF" w14:textId="684A321E" w:rsidR="002160F2" w:rsidRPr="002160F2" w:rsidRDefault="002160F2" w:rsidP="002160F2">
      <w:pPr>
        <w:pStyle w:val="Heading1"/>
      </w:pPr>
      <w:bookmarkStart w:id="4" w:name="_Toc99640976"/>
      <w:r w:rsidRPr="002160F2">
        <w:lastRenderedPageBreak/>
        <w:t>References</w:t>
      </w:r>
      <w:bookmarkEnd w:id="4"/>
    </w:p>
    <w:p w14:paraId="00D6483C" w14:textId="77777777" w:rsidR="002160F2" w:rsidRDefault="002160F2" w:rsidP="002160F2">
      <w:pPr>
        <w:rPr>
          <w:color w:val="222222"/>
          <w:shd w:val="clear" w:color="auto" w:fill="FFFFFF"/>
        </w:rPr>
      </w:pPr>
      <w:r w:rsidRPr="000617A4">
        <w:rPr>
          <w:color w:val="222222"/>
          <w:shd w:val="clear" w:color="auto" w:fill="FFFFFF"/>
        </w:rPr>
        <w:t>Al Ahbabi, A.R. and Nobanee, H., 2019. Conceptual building of sustainable financial management &amp; sustainable financial growth. </w:t>
      </w:r>
      <w:r w:rsidRPr="000617A4">
        <w:rPr>
          <w:i/>
          <w:iCs/>
          <w:color w:val="222222"/>
          <w:shd w:val="clear" w:color="auto" w:fill="FFFFFF"/>
        </w:rPr>
        <w:t>Available at SSRN 3472313</w:t>
      </w:r>
      <w:r w:rsidRPr="000617A4">
        <w:rPr>
          <w:color w:val="222222"/>
          <w:shd w:val="clear" w:color="auto" w:fill="FFFFFF"/>
        </w:rPr>
        <w:t>.</w:t>
      </w:r>
    </w:p>
    <w:p w14:paraId="379DC664" w14:textId="77777777" w:rsidR="002160F2" w:rsidRPr="000617A4" w:rsidRDefault="002160F2" w:rsidP="002160F2">
      <w:pPr>
        <w:rPr>
          <w:color w:val="222222"/>
          <w:shd w:val="clear" w:color="auto" w:fill="FFFFFF"/>
        </w:rPr>
      </w:pPr>
      <w:r w:rsidRPr="000617A4">
        <w:rPr>
          <w:color w:val="222222"/>
          <w:shd w:val="clear" w:color="auto" w:fill="FFFFFF"/>
        </w:rPr>
        <w:t>Al Muhairi, M. and Nobanee, H., 2019. Sustainable financial management. </w:t>
      </w:r>
      <w:r w:rsidRPr="000617A4">
        <w:rPr>
          <w:i/>
          <w:iCs/>
          <w:color w:val="222222"/>
          <w:shd w:val="clear" w:color="auto" w:fill="FFFFFF"/>
        </w:rPr>
        <w:t>Available at SSRN 3472417</w:t>
      </w:r>
      <w:r w:rsidRPr="000617A4">
        <w:rPr>
          <w:color w:val="222222"/>
          <w:shd w:val="clear" w:color="auto" w:fill="FFFFFF"/>
        </w:rPr>
        <w:t>.</w:t>
      </w:r>
    </w:p>
    <w:p w14:paraId="3AD0C4B2" w14:textId="77777777" w:rsidR="002160F2" w:rsidRDefault="002160F2" w:rsidP="002160F2">
      <w:pPr>
        <w:rPr>
          <w:color w:val="222222"/>
          <w:shd w:val="clear" w:color="auto" w:fill="FFFFFF"/>
        </w:rPr>
      </w:pPr>
      <w:r w:rsidRPr="000617A4">
        <w:rPr>
          <w:color w:val="222222"/>
          <w:shd w:val="clear" w:color="auto" w:fill="FFFFFF"/>
        </w:rPr>
        <w:t>Alkaabi, H. and Nobanee, H., 2019. A study on financial management in promoting sustainable business practices &amp; development. </w:t>
      </w:r>
      <w:r w:rsidRPr="000617A4">
        <w:rPr>
          <w:i/>
          <w:iCs/>
          <w:color w:val="222222"/>
          <w:shd w:val="clear" w:color="auto" w:fill="FFFFFF"/>
        </w:rPr>
        <w:t>Available at SSRN 3472415</w:t>
      </w:r>
      <w:r w:rsidRPr="000617A4">
        <w:rPr>
          <w:color w:val="222222"/>
          <w:shd w:val="clear" w:color="auto" w:fill="FFFFFF"/>
        </w:rPr>
        <w:t>.</w:t>
      </w:r>
    </w:p>
    <w:p w14:paraId="7616A1D9" w14:textId="77777777" w:rsidR="002160F2" w:rsidRDefault="002160F2" w:rsidP="002160F2">
      <w:pPr>
        <w:rPr>
          <w:color w:val="222222"/>
          <w:shd w:val="clear" w:color="auto" w:fill="FFFFFF"/>
        </w:rPr>
      </w:pPr>
      <w:r w:rsidRPr="000617A4">
        <w:rPr>
          <w:color w:val="222222"/>
          <w:shd w:val="clear" w:color="auto" w:fill="FFFFFF"/>
        </w:rPr>
        <w:t>Brigham, E.F. and Daves, P.R., 2018. </w:t>
      </w:r>
      <w:r w:rsidRPr="000617A4">
        <w:rPr>
          <w:i/>
          <w:iCs/>
          <w:color w:val="222222"/>
          <w:shd w:val="clear" w:color="auto" w:fill="FFFFFF"/>
        </w:rPr>
        <w:t>Intermediate financial management</w:t>
      </w:r>
      <w:r w:rsidRPr="000617A4">
        <w:rPr>
          <w:color w:val="222222"/>
          <w:shd w:val="clear" w:color="auto" w:fill="FFFFFF"/>
        </w:rPr>
        <w:t xml:space="preserve">. </w:t>
      </w:r>
      <w:proofErr w:type="spellStart"/>
      <w:r w:rsidRPr="000617A4">
        <w:rPr>
          <w:color w:val="222222"/>
          <w:shd w:val="clear" w:color="auto" w:fill="FFFFFF"/>
        </w:rPr>
        <w:t>Cengage</w:t>
      </w:r>
      <w:proofErr w:type="spellEnd"/>
      <w:r w:rsidRPr="000617A4">
        <w:rPr>
          <w:color w:val="222222"/>
          <w:shd w:val="clear" w:color="auto" w:fill="FFFFFF"/>
        </w:rPr>
        <w:t xml:space="preserve"> Learning.</w:t>
      </w:r>
    </w:p>
    <w:p w14:paraId="5D4C0315" w14:textId="77777777" w:rsidR="002160F2" w:rsidRPr="000617A4" w:rsidRDefault="002160F2" w:rsidP="002160F2">
      <w:pPr>
        <w:rPr>
          <w:color w:val="222222"/>
          <w:shd w:val="clear" w:color="auto" w:fill="FFFFFF"/>
        </w:rPr>
      </w:pPr>
      <w:r w:rsidRPr="000617A4">
        <w:rPr>
          <w:color w:val="222222"/>
          <w:shd w:val="clear" w:color="auto" w:fill="FFFFFF"/>
        </w:rPr>
        <w:t>Brigham, E.F. and Ehrhardt, M.C., 2019. </w:t>
      </w:r>
      <w:r w:rsidRPr="000617A4">
        <w:rPr>
          <w:i/>
          <w:iCs/>
          <w:color w:val="222222"/>
          <w:shd w:val="clear" w:color="auto" w:fill="FFFFFF"/>
        </w:rPr>
        <w:t>Financial management: Theory &amp; practice</w:t>
      </w:r>
      <w:r w:rsidRPr="000617A4">
        <w:rPr>
          <w:color w:val="222222"/>
          <w:shd w:val="clear" w:color="auto" w:fill="FFFFFF"/>
        </w:rPr>
        <w:t xml:space="preserve">. </w:t>
      </w:r>
      <w:proofErr w:type="spellStart"/>
      <w:r w:rsidRPr="000617A4">
        <w:rPr>
          <w:color w:val="222222"/>
          <w:shd w:val="clear" w:color="auto" w:fill="FFFFFF"/>
        </w:rPr>
        <w:t>Cengage</w:t>
      </w:r>
      <w:proofErr w:type="spellEnd"/>
      <w:r w:rsidRPr="000617A4">
        <w:rPr>
          <w:color w:val="222222"/>
          <w:shd w:val="clear" w:color="auto" w:fill="FFFFFF"/>
        </w:rPr>
        <w:t xml:space="preserve"> Learning.</w:t>
      </w:r>
    </w:p>
    <w:p w14:paraId="481F2335" w14:textId="77777777" w:rsidR="002160F2" w:rsidRPr="000617A4" w:rsidRDefault="002160F2" w:rsidP="002160F2">
      <w:pPr>
        <w:rPr>
          <w:color w:val="222222"/>
          <w:shd w:val="clear" w:color="auto" w:fill="FFFFFF"/>
        </w:rPr>
      </w:pPr>
      <w:r w:rsidRPr="000617A4">
        <w:rPr>
          <w:color w:val="222222"/>
          <w:shd w:val="clear" w:color="auto" w:fill="FFFFFF"/>
        </w:rPr>
        <w:t>Capel, C., 2022. </w:t>
      </w:r>
      <w:r w:rsidRPr="000617A4">
        <w:rPr>
          <w:i/>
          <w:iCs/>
          <w:color w:val="222222"/>
          <w:shd w:val="clear" w:color="auto" w:fill="FFFFFF"/>
        </w:rPr>
        <w:t>Rio Tinto Makes Offer to Buy Out Turquoise Hill: The London Rush</w:t>
      </w:r>
      <w:r w:rsidRPr="000617A4">
        <w:rPr>
          <w:color w:val="222222"/>
          <w:shd w:val="clear" w:color="auto" w:fill="FFFFFF"/>
        </w:rPr>
        <w:t>. [</w:t>
      </w:r>
      <w:proofErr w:type="gramStart"/>
      <w:r w:rsidRPr="000617A4">
        <w:rPr>
          <w:color w:val="222222"/>
          <w:shd w:val="clear" w:color="auto" w:fill="FFFFFF"/>
        </w:rPr>
        <w:t>online</w:t>
      </w:r>
      <w:proofErr w:type="gramEnd"/>
      <w:r w:rsidRPr="000617A4">
        <w:rPr>
          <w:color w:val="222222"/>
          <w:shd w:val="clear" w:color="auto" w:fill="FFFFFF"/>
        </w:rPr>
        <w:t xml:space="preserve">] </w:t>
      </w:r>
      <w:proofErr w:type="spellStart"/>
      <w:r w:rsidRPr="000617A4">
        <w:rPr>
          <w:color w:val="222222"/>
          <w:shd w:val="clear" w:color="auto" w:fill="FFFFFF"/>
        </w:rPr>
        <w:t>BloombergQuint</w:t>
      </w:r>
      <w:proofErr w:type="spellEnd"/>
      <w:r w:rsidRPr="000617A4">
        <w:rPr>
          <w:color w:val="222222"/>
          <w:shd w:val="clear" w:color="auto" w:fill="FFFFFF"/>
        </w:rPr>
        <w:t>. Available at: &lt;https://www.bloombergquint.com/markets/rio-tinto-makes-offer-to-buy-out-turquoise-hill-the-london-rush&gt; [Accessed 31 March 2022].</w:t>
      </w:r>
    </w:p>
    <w:p w14:paraId="6D967547" w14:textId="77777777" w:rsidR="002160F2" w:rsidRPr="000617A4" w:rsidRDefault="002160F2" w:rsidP="002160F2">
      <w:pPr>
        <w:rPr>
          <w:color w:val="222222"/>
          <w:shd w:val="clear" w:color="auto" w:fill="FFFFFF"/>
        </w:rPr>
      </w:pPr>
      <w:r w:rsidRPr="000617A4">
        <w:rPr>
          <w:color w:val="222222"/>
          <w:shd w:val="clear" w:color="auto" w:fill="FFFFFF"/>
        </w:rPr>
        <w:t xml:space="preserve">Martin, J.D., </w:t>
      </w:r>
      <w:proofErr w:type="spellStart"/>
      <w:r w:rsidRPr="000617A4">
        <w:rPr>
          <w:color w:val="222222"/>
          <w:shd w:val="clear" w:color="auto" w:fill="FFFFFF"/>
        </w:rPr>
        <w:t>Keown</w:t>
      </w:r>
      <w:proofErr w:type="spellEnd"/>
      <w:r w:rsidRPr="000617A4">
        <w:rPr>
          <w:color w:val="222222"/>
          <w:shd w:val="clear" w:color="auto" w:fill="FFFFFF"/>
        </w:rPr>
        <w:t>, A.J. and Titman, S., 2020. </w:t>
      </w:r>
      <w:r w:rsidRPr="000617A4">
        <w:rPr>
          <w:i/>
          <w:iCs/>
          <w:color w:val="222222"/>
          <w:shd w:val="clear" w:color="auto" w:fill="FFFFFF"/>
        </w:rPr>
        <w:t>Financial management: principles and applications</w:t>
      </w:r>
      <w:r w:rsidRPr="000617A4">
        <w:rPr>
          <w:color w:val="222222"/>
          <w:shd w:val="clear" w:color="auto" w:fill="FFFFFF"/>
        </w:rPr>
        <w:t>. Prentice Hall.</w:t>
      </w:r>
    </w:p>
    <w:p w14:paraId="401E1A81" w14:textId="77777777" w:rsidR="002160F2" w:rsidRPr="000617A4" w:rsidRDefault="002160F2" w:rsidP="002160F2">
      <w:pPr>
        <w:rPr>
          <w:color w:val="222222"/>
          <w:shd w:val="clear" w:color="auto" w:fill="FFFFFF"/>
        </w:rPr>
      </w:pPr>
      <w:r w:rsidRPr="000617A4">
        <w:rPr>
          <w:color w:val="222222"/>
          <w:shd w:val="clear" w:color="auto" w:fill="FFFFFF"/>
        </w:rPr>
        <w:t>Prihartono, M.R.D. and Asandimitra, N., 2018. Analysis factors influencing financial management behaviour. </w:t>
      </w:r>
      <w:r w:rsidRPr="000617A4">
        <w:rPr>
          <w:i/>
          <w:iCs/>
          <w:color w:val="222222"/>
          <w:shd w:val="clear" w:color="auto" w:fill="FFFFFF"/>
        </w:rPr>
        <w:t>International Journal of Academic Research in Business and Social Sciences</w:t>
      </w:r>
      <w:r w:rsidRPr="000617A4">
        <w:rPr>
          <w:color w:val="222222"/>
          <w:shd w:val="clear" w:color="auto" w:fill="FFFFFF"/>
        </w:rPr>
        <w:t>, </w:t>
      </w:r>
      <w:r w:rsidRPr="000617A4">
        <w:rPr>
          <w:i/>
          <w:iCs/>
          <w:color w:val="222222"/>
          <w:shd w:val="clear" w:color="auto" w:fill="FFFFFF"/>
        </w:rPr>
        <w:t>8</w:t>
      </w:r>
      <w:r w:rsidRPr="000617A4">
        <w:rPr>
          <w:color w:val="222222"/>
          <w:shd w:val="clear" w:color="auto" w:fill="FFFFFF"/>
        </w:rPr>
        <w:t>(8), pp.308-326.</w:t>
      </w:r>
    </w:p>
    <w:p w14:paraId="5DEBAE7D" w14:textId="77777777" w:rsidR="002160F2" w:rsidRPr="000617A4" w:rsidRDefault="002160F2" w:rsidP="002160F2">
      <w:pPr>
        <w:rPr>
          <w:color w:val="222222"/>
          <w:shd w:val="clear" w:color="auto" w:fill="FFFFFF"/>
        </w:rPr>
      </w:pPr>
      <w:r w:rsidRPr="000617A4">
        <w:rPr>
          <w:color w:val="222222"/>
          <w:shd w:val="clear" w:color="auto" w:fill="FFFFFF"/>
        </w:rPr>
        <w:t>Riotinto.com. 2022. </w:t>
      </w:r>
      <w:r w:rsidRPr="000617A4">
        <w:rPr>
          <w:i/>
          <w:iCs/>
          <w:color w:val="222222"/>
          <w:shd w:val="clear" w:color="auto" w:fill="FFFFFF"/>
        </w:rPr>
        <w:t>About</w:t>
      </w:r>
      <w:r w:rsidRPr="000617A4">
        <w:rPr>
          <w:color w:val="222222"/>
          <w:shd w:val="clear" w:color="auto" w:fill="FFFFFF"/>
        </w:rPr>
        <w:t>. [</w:t>
      </w:r>
      <w:proofErr w:type="gramStart"/>
      <w:r w:rsidRPr="000617A4">
        <w:rPr>
          <w:color w:val="222222"/>
          <w:shd w:val="clear" w:color="auto" w:fill="FFFFFF"/>
        </w:rPr>
        <w:t>online</w:t>
      </w:r>
      <w:proofErr w:type="gramEnd"/>
      <w:r w:rsidRPr="000617A4">
        <w:rPr>
          <w:color w:val="222222"/>
          <w:shd w:val="clear" w:color="auto" w:fill="FFFFFF"/>
        </w:rPr>
        <w:t>] Available at: &lt;https://www.riotinto.com/en/about&gt; [Accessed 31 March 2022].</w:t>
      </w:r>
    </w:p>
    <w:p w14:paraId="3591D344" w14:textId="77777777" w:rsidR="002160F2" w:rsidRPr="000617A4" w:rsidRDefault="002160F2" w:rsidP="002160F2">
      <w:pPr>
        <w:rPr>
          <w:color w:val="222222"/>
          <w:shd w:val="clear" w:color="auto" w:fill="FFFFFF"/>
        </w:rPr>
      </w:pPr>
      <w:r w:rsidRPr="000617A4">
        <w:rPr>
          <w:color w:val="222222"/>
          <w:shd w:val="clear" w:color="auto" w:fill="FFFFFF"/>
        </w:rPr>
        <w:t>Riotinto.com. 2022. </w:t>
      </w:r>
      <w:r w:rsidRPr="000617A4">
        <w:rPr>
          <w:i/>
          <w:iCs/>
          <w:color w:val="222222"/>
          <w:shd w:val="clear" w:color="auto" w:fill="FFFFFF"/>
        </w:rPr>
        <w:t>Annual Report</w:t>
      </w:r>
      <w:r w:rsidRPr="000617A4">
        <w:rPr>
          <w:color w:val="222222"/>
          <w:shd w:val="clear" w:color="auto" w:fill="FFFFFF"/>
        </w:rPr>
        <w:t>. [</w:t>
      </w:r>
      <w:proofErr w:type="gramStart"/>
      <w:r w:rsidRPr="000617A4">
        <w:rPr>
          <w:color w:val="222222"/>
          <w:shd w:val="clear" w:color="auto" w:fill="FFFFFF"/>
        </w:rPr>
        <w:t>online</w:t>
      </w:r>
      <w:proofErr w:type="gramEnd"/>
      <w:r w:rsidRPr="000617A4">
        <w:rPr>
          <w:color w:val="222222"/>
          <w:shd w:val="clear" w:color="auto" w:fill="FFFFFF"/>
        </w:rPr>
        <w:t>] Available at: &lt;https://www.riotinto.com/en/invest/reports/annual-report&gt; [Accessed 31 March 2022].</w:t>
      </w:r>
    </w:p>
    <w:p w14:paraId="3662BA16" w14:textId="77777777" w:rsidR="002160F2" w:rsidRPr="000617A4" w:rsidRDefault="002160F2" w:rsidP="002160F2">
      <w:r w:rsidRPr="000617A4">
        <w:rPr>
          <w:color w:val="000000"/>
          <w:shd w:val="clear" w:color="auto" w:fill="FFFFFF"/>
        </w:rPr>
        <w:t>Riotinto.com. 2022. </w:t>
      </w:r>
      <w:r w:rsidRPr="000617A4">
        <w:rPr>
          <w:i/>
          <w:iCs/>
          <w:color w:val="000000"/>
          <w:shd w:val="clear" w:color="auto" w:fill="FFFFFF"/>
        </w:rPr>
        <w:t>Projects</w:t>
      </w:r>
      <w:r w:rsidRPr="000617A4">
        <w:rPr>
          <w:color w:val="000000"/>
          <w:shd w:val="clear" w:color="auto" w:fill="FFFFFF"/>
        </w:rPr>
        <w:t>. [</w:t>
      </w:r>
      <w:proofErr w:type="gramStart"/>
      <w:r w:rsidRPr="000617A4">
        <w:rPr>
          <w:color w:val="000000"/>
          <w:shd w:val="clear" w:color="auto" w:fill="FFFFFF"/>
        </w:rPr>
        <w:t>online</w:t>
      </w:r>
      <w:proofErr w:type="gramEnd"/>
      <w:r w:rsidRPr="000617A4">
        <w:rPr>
          <w:color w:val="000000"/>
          <w:shd w:val="clear" w:color="auto" w:fill="FFFFFF"/>
        </w:rPr>
        <w:t>] Available at: &lt;https://www.riotinto.com/en/operations/projects&gt; [Accessed 31 March 2022].</w:t>
      </w:r>
    </w:p>
    <w:p w14:paraId="0489A46E" w14:textId="77777777" w:rsidR="002160F2" w:rsidRPr="000617A4" w:rsidRDefault="002160F2" w:rsidP="002160F2">
      <w:pPr>
        <w:rPr>
          <w:color w:val="222222"/>
          <w:shd w:val="clear" w:color="auto" w:fill="FFFFFF"/>
        </w:rPr>
      </w:pPr>
      <w:r w:rsidRPr="000617A4">
        <w:rPr>
          <w:color w:val="222222"/>
          <w:shd w:val="clear" w:color="auto" w:fill="FFFFFF"/>
        </w:rPr>
        <w:t>Shapiro, A.C. and Hanouna, P., 2019. </w:t>
      </w:r>
      <w:r w:rsidRPr="000617A4">
        <w:rPr>
          <w:i/>
          <w:iCs/>
          <w:color w:val="222222"/>
          <w:shd w:val="clear" w:color="auto" w:fill="FFFFFF"/>
        </w:rPr>
        <w:t>Multinational financial management</w:t>
      </w:r>
      <w:r w:rsidRPr="000617A4">
        <w:rPr>
          <w:color w:val="222222"/>
          <w:shd w:val="clear" w:color="auto" w:fill="FFFFFF"/>
        </w:rPr>
        <w:t>. John Wiley &amp; Sons.</w:t>
      </w:r>
    </w:p>
    <w:p w14:paraId="42022B76" w14:textId="77777777" w:rsidR="002160F2" w:rsidRDefault="002160F2"/>
    <w:p w14:paraId="0000000C" w14:textId="77777777" w:rsidR="000D1779" w:rsidRDefault="000D1779"/>
    <w:p w14:paraId="0000000D" w14:textId="77777777" w:rsidR="000D1779" w:rsidRDefault="000D1779"/>
    <w:p w14:paraId="0000000E" w14:textId="77777777" w:rsidR="000D1779" w:rsidRDefault="000D1779"/>
    <w:sectPr w:rsidR="000D1779">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FC6866" w14:textId="77777777" w:rsidR="002F4DF6" w:rsidRDefault="002F4DF6">
      <w:pPr>
        <w:spacing w:line="240" w:lineRule="auto"/>
      </w:pPr>
      <w:r>
        <w:separator/>
      </w:r>
    </w:p>
  </w:endnote>
  <w:endnote w:type="continuationSeparator" w:id="0">
    <w:p w14:paraId="625EAA70" w14:textId="77777777" w:rsidR="002F4DF6" w:rsidRDefault="002F4D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0F" w14:textId="77777777" w:rsidR="000D1779" w:rsidRDefault="000D177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4C4C9" w14:textId="77777777" w:rsidR="002F4DF6" w:rsidRDefault="002F4DF6">
      <w:pPr>
        <w:spacing w:line="240" w:lineRule="auto"/>
      </w:pPr>
      <w:r>
        <w:separator/>
      </w:r>
    </w:p>
  </w:footnote>
  <w:footnote w:type="continuationSeparator" w:id="0">
    <w:p w14:paraId="2CE1A672" w14:textId="77777777" w:rsidR="002F4DF6" w:rsidRDefault="002F4DF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779"/>
    <w:rsid w:val="000D1779"/>
    <w:rsid w:val="002160F2"/>
    <w:rsid w:val="002F4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DA674F-7EE6-494F-8204-789B1F39C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2160F2"/>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160F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160F2"/>
    <w:pPr>
      <w:spacing w:after="100"/>
    </w:pPr>
  </w:style>
  <w:style w:type="character" w:styleId="Hyperlink">
    <w:name w:val="Hyperlink"/>
    <w:basedOn w:val="DefaultParagraphFont"/>
    <w:uiPriority w:val="99"/>
    <w:unhideWhenUsed/>
    <w:rsid w:val="002160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16917-8CB8-49AA-B6ED-6B3CC1563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1944</Words>
  <Characters>11086</Characters>
  <Application>Microsoft Office Word</Application>
  <DocSecurity>0</DocSecurity>
  <Lines>92</Lines>
  <Paragraphs>26</Paragraphs>
  <ScaleCrop>false</ScaleCrop>
  <Company/>
  <LinksUpToDate>false</LinksUpToDate>
  <CharactersWithSpaces>13004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2022-03-31T12:10:00Z</dcterms:created>
  <dcterms:modified xsi:type="dcterms:W3CDTF">2022-03-31T12:14:00Z</dcterms:modified>
</cp:coreProperties>
</file>