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72154603"/>
        <w:docPartObj>
          <w:docPartGallery w:val="Cover Pages"/>
          <w:docPartUnique/>
        </w:docPartObj>
      </w:sdtPr>
      <w:sdtEndPr>
        <w:rPr>
          <w:rFonts w:eastAsiaTheme="minorEastAsia"/>
          <w:color w:val="156082" w:themeColor="accent1"/>
        </w:rPr>
      </w:sdtEndPr>
      <w:sdtContent>
        <w:p w14:paraId="0E3DE367" w14:textId="0F84CE40" w:rsidR="00BF0AEF" w:rsidRDefault="00BF0AEF">
          <w:r>
            <w:rPr>
              <w:noProof/>
            </w:rPr>
            <mc:AlternateContent>
              <mc:Choice Requires="wpg">
                <w:drawing>
                  <wp:anchor distT="0" distB="0" distL="114300" distR="114300" simplePos="0" relativeHeight="251659264" behindDoc="1" locked="0" layoutInCell="1" allowOverlap="1" wp14:anchorId="77498E0D" wp14:editId="047A0B89">
                    <wp:simplePos x="0" y="0"/>
                    <wp:positionH relativeFrom="page">
                      <wp:posOffset>266700</wp:posOffset>
                    </wp:positionH>
                    <wp:positionV relativeFrom="page">
                      <wp:posOffset>241300</wp:posOffset>
                    </wp:positionV>
                    <wp:extent cx="6959600" cy="10203610"/>
                    <wp:effectExtent l="0" t="0" r="0" b="7620"/>
                    <wp:wrapNone/>
                    <wp:docPr id="193" name="Group 198"/>
                    <wp:cNvGraphicFramePr/>
                    <a:graphic xmlns:a="http://schemas.openxmlformats.org/drawingml/2006/main">
                      <a:graphicData uri="http://schemas.microsoft.com/office/word/2010/wordprocessingGroup">
                        <wpg:wgp>
                          <wpg:cNvGrpSpPr/>
                          <wpg:grpSpPr>
                            <a:xfrm>
                              <a:off x="0" y="0"/>
                              <a:ext cx="6959600" cy="10203610"/>
                              <a:chOff x="-63500" y="0"/>
                              <a:chExt cx="6959600" cy="1020338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5A6299" w14:textId="287EE895" w:rsidR="00BF0AEF" w:rsidRDefault="00015645" w:rsidP="00BF0AEF">
                                  <w:pPr>
                                    <w:jc w:val="center"/>
                                  </w:pPr>
                                  <w:r>
                                    <w:t xml:space="preserve">MSc </w:t>
                                  </w:r>
                                  <w:r w:rsidR="00BF0AEF" w:rsidRPr="00BF0AEF">
                                    <w:t xml:space="preserve">Public Health and Social Care in Practice </w:t>
                                  </w:r>
                                </w:p>
                                <w:p w14:paraId="54AB0F63" w14:textId="77777777" w:rsidR="00BF0AEF" w:rsidRPr="00BF0AEF" w:rsidRDefault="00BF0AEF" w:rsidP="00BF0AEF">
                                  <w:pPr>
                                    <w:jc w:val="center"/>
                                  </w:pPr>
                                  <w:r w:rsidRPr="00BF0AEF">
                                    <w:t>Component 2  Service Improvement Report Word count (or equivalent): 3,000 words (+/- 10%)</w:t>
                                  </w:r>
                                </w:p>
                                <w:p w14:paraId="506A9379" w14:textId="24D00459" w:rsidR="00BF0AEF" w:rsidRDefault="00BF0AEF" w:rsidP="00BF0AEF">
                                  <w:pPr>
                                    <w:jc w:val="center"/>
                                  </w:pPr>
                                  <w:r>
                                    <w:t>Total word count: 3</w:t>
                                  </w:r>
                                  <w:r w:rsidR="00913165">
                                    <w:t>29</w:t>
                                  </w:r>
                                  <w:r w:rsidR="0072626D">
                                    <w:t>9</w:t>
                                  </w:r>
                                </w:p>
                                <w:p w14:paraId="4EBF863A" w14:textId="77777777" w:rsidR="00BF0AEF" w:rsidRDefault="00BF0AEF" w:rsidP="00BF0A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3500" y="4093965"/>
                                <a:ext cx="6959600" cy="610941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6D2DD8" w14:textId="55BA2589" w:rsidR="000D4D2C" w:rsidRPr="00015645" w:rsidRDefault="000D4D2C" w:rsidP="00015645">
                                  <w:pPr>
                                    <w:pStyle w:val="Title"/>
                                    <w:rPr>
                                      <w:rFonts w:ascii="Arial" w:hAnsi="Arial" w:cs="Arial"/>
                                      <w:sz w:val="36"/>
                                      <w:szCs w:val="36"/>
                                    </w:rPr>
                                  </w:pPr>
                                  <w:r w:rsidRPr="00015645">
                                    <w:rPr>
                                      <w:rFonts w:ascii="Arial" w:hAnsi="Arial" w:cs="Arial"/>
                                      <w:sz w:val="36"/>
                                      <w:szCs w:val="36"/>
                                    </w:rPr>
                                    <w:t xml:space="preserve">A Critical Analysis of Quality Management and Patient Safety Failures Identified in the </w:t>
                                  </w:r>
                                  <w:proofErr w:type="spellStart"/>
                                  <w:r w:rsidRPr="00015645">
                                    <w:rPr>
                                      <w:rFonts w:ascii="Arial" w:hAnsi="Arial" w:cs="Arial"/>
                                      <w:sz w:val="36"/>
                                      <w:szCs w:val="36"/>
                                    </w:rPr>
                                    <w:t>Ockenden</w:t>
                                  </w:r>
                                  <w:proofErr w:type="spellEnd"/>
                                  <w:r w:rsidRPr="00015645">
                                    <w:rPr>
                                      <w:rFonts w:ascii="Arial" w:hAnsi="Arial" w:cs="Arial"/>
                                      <w:sz w:val="36"/>
                                      <w:szCs w:val="36"/>
                                    </w:rPr>
                                    <w:t xml:space="preserve"> Review: Applying Quality Improvement and Implementation Science Framework to NHS Maternity Services.</w:t>
                                  </w:r>
                                  <w:r w:rsidR="00BF0AEF" w:rsidRPr="00015645">
                                    <w:rPr>
                                      <w:rFonts w:ascii="Arial" w:hAnsi="Arial" w:cs="Arial"/>
                                      <w:sz w:val="36"/>
                                      <w:szCs w:val="36"/>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81492" w14:textId="4ECC5431" w:rsidR="00BF0AEF" w:rsidRP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Module: Quality Assurance and Service Improvements  </w:t>
                                  </w:r>
                                </w:p>
                                <w:p w14:paraId="2F29FAAF" w14:textId="77777777" w:rsidR="00BF0AEF" w:rsidRP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Module code: LCHS7006   </w:t>
                                  </w:r>
                                </w:p>
                                <w:p w14:paraId="7E129DE3" w14:textId="77777777" w:rsid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Lecturer: Dilhara Mampitiya Christopher Mafuva </w:t>
                                  </w:r>
                                </w:p>
                                <w:p w14:paraId="6FA3E37B" w14:textId="3EBCDB6A" w:rsidR="000D4D2C" w:rsidRDefault="000D4D2C" w:rsidP="00BF0AEF">
                                  <w:pPr>
                                    <w:pStyle w:val="NoSpacing"/>
                                    <w:jc w:val="center"/>
                                    <w:rPr>
                                      <w:rFonts w:ascii="Arial" w:eastAsiaTheme="majorEastAsia" w:hAnsi="Arial" w:cs="Arial"/>
                                      <w:caps/>
                                      <w:sz w:val="32"/>
                                      <w:szCs w:val="32"/>
                                      <w:lang w:val="en-GB"/>
                                    </w:rPr>
                                  </w:pPr>
                                  <w:r>
                                    <w:rPr>
                                      <w:rFonts w:ascii="Arial" w:eastAsiaTheme="majorEastAsia" w:hAnsi="Arial" w:cs="Arial"/>
                                      <w:caps/>
                                      <w:sz w:val="32"/>
                                      <w:szCs w:val="32"/>
                                      <w:lang w:val="en-GB"/>
                                    </w:rPr>
                                    <w:t xml:space="preserve">Patience edo </w:t>
                                  </w:r>
                                </w:p>
                                <w:p w14:paraId="08A67B86" w14:textId="28338BE5" w:rsidR="000D4D2C" w:rsidRPr="00BF0AEF" w:rsidRDefault="000D4D2C" w:rsidP="00BF0AEF">
                                  <w:pPr>
                                    <w:pStyle w:val="NoSpacing"/>
                                    <w:jc w:val="center"/>
                                    <w:rPr>
                                      <w:rFonts w:ascii="Arial" w:eastAsiaTheme="majorEastAsia" w:hAnsi="Arial" w:cs="Arial"/>
                                      <w:caps/>
                                      <w:sz w:val="32"/>
                                      <w:szCs w:val="32"/>
                                      <w:lang w:val="en-GB"/>
                                    </w:rPr>
                                  </w:pPr>
                                  <w:r>
                                    <w:rPr>
                                      <w:rFonts w:ascii="Arial" w:eastAsiaTheme="majorEastAsia" w:hAnsi="Arial" w:cs="Arial"/>
                                      <w:caps/>
                                      <w:sz w:val="32"/>
                                      <w:szCs w:val="32"/>
                                      <w:lang w:val="en-GB"/>
                                    </w:rPr>
                                    <w:t>Student ID: 2220883</w:t>
                                  </w:r>
                                </w:p>
                                <w:p w14:paraId="789DAE98" w14:textId="77777777" w:rsidR="00BF0AEF" w:rsidRPr="00BF0AEF" w:rsidRDefault="00BF0AEF" w:rsidP="00BF0AEF">
                                  <w:pPr>
                                    <w:pStyle w:val="NoSpacing"/>
                                    <w:jc w:val="center"/>
                                    <w:rPr>
                                      <w:rFonts w:ascii="Arial" w:eastAsiaTheme="majorEastAsia" w:hAnsi="Arial" w:cs="Arial"/>
                                      <w:caps/>
                                      <w:color w:val="156082" w:themeColor="accent1"/>
                                      <w:sz w:val="36"/>
                                      <w:szCs w:val="36"/>
                                    </w:rPr>
                                  </w:pPr>
                                </w:p>
                                <w:p w14:paraId="78AC8A2D" w14:textId="502652E7" w:rsidR="00BF0AEF" w:rsidRPr="00BF0AEF" w:rsidRDefault="00BF0AEF">
                                  <w:pPr>
                                    <w:pStyle w:val="NoSpacing"/>
                                    <w:jc w:val="center"/>
                                    <w:rPr>
                                      <w:rFonts w:ascii="Arial" w:eastAsiaTheme="majorEastAsia" w:hAnsi="Arial" w:cs="Arial"/>
                                      <w:caps/>
                                      <w:color w:val="156082" w:themeColor="accent1"/>
                                      <w:sz w:val="36"/>
                                      <w:szCs w:val="36"/>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7498E0D" id="Group 198" o:spid="_x0000_s1026" style="position:absolute;margin-left:21pt;margin-top:19pt;width:548pt;height:803.45pt;z-index:-251657216;mso-position-horizontal-relative:page;mso-position-vertical-relative:page" coordorigin="-635" coordsize="69596,1020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textbox>
                        <w:txbxContent>
                          <w:p w14:paraId="515A6299" w14:textId="287EE895" w:rsidR="00BF0AEF" w:rsidRDefault="00015645" w:rsidP="00BF0AEF">
                            <w:pPr>
                              <w:jc w:val="center"/>
                            </w:pPr>
                            <w:r>
                              <w:t xml:space="preserve">MSc </w:t>
                            </w:r>
                            <w:r w:rsidR="00BF0AEF" w:rsidRPr="00BF0AEF">
                              <w:t xml:space="preserve">Public Health and Social Care in Practice </w:t>
                            </w:r>
                          </w:p>
                          <w:p w14:paraId="54AB0F63" w14:textId="77777777" w:rsidR="00BF0AEF" w:rsidRPr="00BF0AEF" w:rsidRDefault="00BF0AEF" w:rsidP="00BF0AEF">
                            <w:pPr>
                              <w:jc w:val="center"/>
                            </w:pPr>
                            <w:r w:rsidRPr="00BF0AEF">
                              <w:t>Component 2  Service Improvement Report Word count (or equivalent): 3,000 words (+/- 10%)</w:t>
                            </w:r>
                          </w:p>
                          <w:p w14:paraId="506A9379" w14:textId="24D00459" w:rsidR="00BF0AEF" w:rsidRDefault="00BF0AEF" w:rsidP="00BF0AEF">
                            <w:pPr>
                              <w:jc w:val="center"/>
                            </w:pPr>
                            <w:r>
                              <w:t>Total word count: 3</w:t>
                            </w:r>
                            <w:r w:rsidR="00913165">
                              <w:t>29</w:t>
                            </w:r>
                            <w:r w:rsidR="0072626D">
                              <w:t>9</w:t>
                            </w:r>
                          </w:p>
                          <w:p w14:paraId="4EBF863A" w14:textId="77777777" w:rsidR="00BF0AEF" w:rsidRDefault="00BF0AEF" w:rsidP="00BF0AEF">
                            <w:pPr>
                              <w:jc w:val="center"/>
                            </w:pPr>
                          </w:p>
                        </w:txbxContent>
                      </v:textbox>
                    </v:rect>
                    <v:rect id="Rectangle 195" o:spid="_x0000_s1028" style="position:absolute;left:-635;top:40939;width:69596;height:6109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286D2DD8" w14:textId="55BA2589" w:rsidR="000D4D2C" w:rsidRPr="00015645" w:rsidRDefault="000D4D2C" w:rsidP="00015645">
                            <w:pPr>
                              <w:pStyle w:val="Title"/>
                              <w:rPr>
                                <w:rFonts w:ascii="Arial" w:hAnsi="Arial" w:cs="Arial"/>
                                <w:sz w:val="36"/>
                                <w:szCs w:val="36"/>
                              </w:rPr>
                            </w:pPr>
                            <w:r w:rsidRPr="00015645">
                              <w:rPr>
                                <w:rFonts w:ascii="Arial" w:hAnsi="Arial" w:cs="Arial"/>
                                <w:sz w:val="36"/>
                                <w:szCs w:val="36"/>
                              </w:rPr>
                              <w:t xml:space="preserve">A Critical Analysis of Quality Management and Patient Safety Failures Identified in the </w:t>
                            </w:r>
                            <w:proofErr w:type="spellStart"/>
                            <w:r w:rsidRPr="00015645">
                              <w:rPr>
                                <w:rFonts w:ascii="Arial" w:hAnsi="Arial" w:cs="Arial"/>
                                <w:sz w:val="36"/>
                                <w:szCs w:val="36"/>
                              </w:rPr>
                              <w:t>Ockenden</w:t>
                            </w:r>
                            <w:proofErr w:type="spellEnd"/>
                            <w:r w:rsidRPr="00015645">
                              <w:rPr>
                                <w:rFonts w:ascii="Arial" w:hAnsi="Arial" w:cs="Arial"/>
                                <w:sz w:val="36"/>
                                <w:szCs w:val="36"/>
                              </w:rPr>
                              <w:t xml:space="preserve"> Review: Applying Quality Improvement and Implementation Science Framework to NHS Maternity Services.</w:t>
                            </w:r>
                            <w:r w:rsidR="00BF0AEF" w:rsidRPr="00015645">
                              <w:rPr>
                                <w:rFonts w:ascii="Arial" w:hAnsi="Arial" w:cs="Arial"/>
                                <w:sz w:val="36"/>
                                <w:szCs w:val="36"/>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4A81492" w14:textId="4ECC5431" w:rsidR="00BF0AEF" w:rsidRP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Module: Quality Assurance and Service Improvements  </w:t>
                            </w:r>
                          </w:p>
                          <w:p w14:paraId="2F29FAAF" w14:textId="77777777" w:rsidR="00BF0AEF" w:rsidRP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Module code: LCHS7006   </w:t>
                            </w:r>
                          </w:p>
                          <w:p w14:paraId="7E129DE3" w14:textId="77777777" w:rsidR="00BF0AEF" w:rsidRDefault="00BF0AEF" w:rsidP="00BF0AEF">
                            <w:pPr>
                              <w:pStyle w:val="NoSpacing"/>
                              <w:jc w:val="center"/>
                              <w:rPr>
                                <w:rFonts w:ascii="Arial" w:eastAsiaTheme="majorEastAsia" w:hAnsi="Arial" w:cs="Arial"/>
                                <w:caps/>
                                <w:sz w:val="32"/>
                                <w:szCs w:val="32"/>
                                <w:lang w:val="en-GB"/>
                              </w:rPr>
                            </w:pPr>
                            <w:r w:rsidRPr="00BF0AEF">
                              <w:rPr>
                                <w:rFonts w:ascii="Arial" w:eastAsiaTheme="majorEastAsia" w:hAnsi="Arial" w:cs="Arial"/>
                                <w:caps/>
                                <w:sz w:val="32"/>
                                <w:szCs w:val="32"/>
                                <w:lang w:val="en-GB"/>
                              </w:rPr>
                              <w:t xml:space="preserve">Lecturer: Dilhara Mampitiya Christopher Mafuva </w:t>
                            </w:r>
                          </w:p>
                          <w:p w14:paraId="6FA3E37B" w14:textId="3EBCDB6A" w:rsidR="000D4D2C" w:rsidRDefault="000D4D2C" w:rsidP="00BF0AEF">
                            <w:pPr>
                              <w:pStyle w:val="NoSpacing"/>
                              <w:jc w:val="center"/>
                              <w:rPr>
                                <w:rFonts w:ascii="Arial" w:eastAsiaTheme="majorEastAsia" w:hAnsi="Arial" w:cs="Arial"/>
                                <w:caps/>
                                <w:sz w:val="32"/>
                                <w:szCs w:val="32"/>
                                <w:lang w:val="en-GB"/>
                              </w:rPr>
                            </w:pPr>
                            <w:r>
                              <w:rPr>
                                <w:rFonts w:ascii="Arial" w:eastAsiaTheme="majorEastAsia" w:hAnsi="Arial" w:cs="Arial"/>
                                <w:caps/>
                                <w:sz w:val="32"/>
                                <w:szCs w:val="32"/>
                                <w:lang w:val="en-GB"/>
                              </w:rPr>
                              <w:t xml:space="preserve">Patience edo </w:t>
                            </w:r>
                          </w:p>
                          <w:p w14:paraId="08A67B86" w14:textId="28338BE5" w:rsidR="000D4D2C" w:rsidRPr="00BF0AEF" w:rsidRDefault="000D4D2C" w:rsidP="00BF0AEF">
                            <w:pPr>
                              <w:pStyle w:val="NoSpacing"/>
                              <w:jc w:val="center"/>
                              <w:rPr>
                                <w:rFonts w:ascii="Arial" w:eastAsiaTheme="majorEastAsia" w:hAnsi="Arial" w:cs="Arial"/>
                                <w:caps/>
                                <w:sz w:val="32"/>
                                <w:szCs w:val="32"/>
                                <w:lang w:val="en-GB"/>
                              </w:rPr>
                            </w:pPr>
                            <w:r>
                              <w:rPr>
                                <w:rFonts w:ascii="Arial" w:eastAsiaTheme="majorEastAsia" w:hAnsi="Arial" w:cs="Arial"/>
                                <w:caps/>
                                <w:sz w:val="32"/>
                                <w:szCs w:val="32"/>
                                <w:lang w:val="en-GB"/>
                              </w:rPr>
                              <w:t>Student ID: 2220883</w:t>
                            </w:r>
                          </w:p>
                          <w:p w14:paraId="789DAE98" w14:textId="77777777" w:rsidR="00BF0AEF" w:rsidRPr="00BF0AEF" w:rsidRDefault="00BF0AEF" w:rsidP="00BF0AEF">
                            <w:pPr>
                              <w:pStyle w:val="NoSpacing"/>
                              <w:jc w:val="center"/>
                              <w:rPr>
                                <w:rFonts w:ascii="Arial" w:eastAsiaTheme="majorEastAsia" w:hAnsi="Arial" w:cs="Arial"/>
                                <w:caps/>
                                <w:color w:val="156082" w:themeColor="accent1"/>
                                <w:sz w:val="36"/>
                                <w:szCs w:val="36"/>
                              </w:rPr>
                            </w:pPr>
                          </w:p>
                          <w:p w14:paraId="78AC8A2D" w14:textId="502652E7" w:rsidR="00BF0AEF" w:rsidRPr="00BF0AEF" w:rsidRDefault="00BF0AEF">
                            <w:pPr>
                              <w:pStyle w:val="NoSpacing"/>
                              <w:jc w:val="center"/>
                              <w:rPr>
                                <w:rFonts w:ascii="Arial" w:eastAsiaTheme="majorEastAsia" w:hAnsi="Arial" w:cs="Arial"/>
                                <w:caps/>
                                <w:color w:val="156082" w:themeColor="accent1"/>
                                <w:sz w:val="36"/>
                                <w:szCs w:val="36"/>
                              </w:rPr>
                            </w:pPr>
                          </w:p>
                        </w:txbxContent>
                      </v:textbox>
                    </v:shape>
                    <w10:wrap anchorx="page" anchory="page"/>
                  </v:group>
                </w:pict>
              </mc:Fallback>
            </mc:AlternateContent>
          </w:r>
        </w:p>
        <w:p w14:paraId="67E84462" w14:textId="6BA762C3" w:rsidR="00BF0AEF" w:rsidRDefault="00BF0AEF">
          <w:pPr>
            <w:rPr>
              <w:rFonts w:eastAsiaTheme="minorEastAsia"/>
              <w:color w:val="156082" w:themeColor="accent1"/>
            </w:rPr>
          </w:pPr>
          <w:r>
            <w:rPr>
              <w:rFonts w:eastAsiaTheme="minorEastAsia"/>
              <w:color w:val="156082" w:themeColor="accent1"/>
            </w:rPr>
            <w:br w:type="page"/>
          </w:r>
        </w:p>
      </w:sdtContent>
    </w:sdt>
    <w:p w14:paraId="02675FAD" w14:textId="05173F69" w:rsidR="00A819C4" w:rsidRPr="00EA1072" w:rsidRDefault="7FDF1876" w:rsidP="00EA1072">
      <w:pPr>
        <w:pStyle w:val="Heading2"/>
        <w:jc w:val="right"/>
        <w:rPr>
          <w:rFonts w:ascii="Arial" w:hAnsi="Arial" w:cs="Arial"/>
          <w:i/>
          <w:iCs/>
        </w:rPr>
      </w:pPr>
      <w:r w:rsidRPr="00EA1072">
        <w:rPr>
          <w:rFonts w:ascii="Arial" w:hAnsi="Arial" w:cs="Arial"/>
          <w:i/>
          <w:iCs/>
        </w:rPr>
        <w:t>Abstract</w:t>
      </w:r>
    </w:p>
    <w:p w14:paraId="3FED5CC7" w14:textId="47E4CDA3" w:rsidR="66C76083" w:rsidRPr="00EA1072" w:rsidRDefault="66C76083" w:rsidP="00EA1072">
      <w:pPr>
        <w:jc w:val="both"/>
        <w:rPr>
          <w:rFonts w:ascii="Arial" w:hAnsi="Arial" w:cs="Arial"/>
        </w:rPr>
      </w:pPr>
      <w:r w:rsidRPr="00EA1072">
        <w:rPr>
          <w:rFonts w:ascii="Arial" w:hAnsi="Arial" w:cs="Arial"/>
        </w:rPr>
        <w:t xml:space="preserve">Quality and patient safety in NHS maternity </w:t>
      </w:r>
      <w:r w:rsidR="00015645" w:rsidRPr="00EA1072">
        <w:rPr>
          <w:rFonts w:ascii="Arial" w:hAnsi="Arial" w:cs="Arial"/>
        </w:rPr>
        <w:t>services</w:t>
      </w:r>
      <w:r w:rsidRPr="00EA1072">
        <w:rPr>
          <w:rFonts w:ascii="Arial" w:hAnsi="Arial" w:cs="Arial"/>
        </w:rPr>
        <w:t xml:space="preserve"> remain significant national concerns, with repeated investigations identifying preventable maternal and neonatal harm associated with organisational and clinical failures. This report critically evaluates the quality and patient safety failures identified in the Independent Review of Maternity Services at Shrewsbury and Telford Hospital NHS Trust (Ockenden Review) and develops evidence-based recommendations for sustainable service improvement.</w:t>
      </w:r>
    </w:p>
    <w:p w14:paraId="2F57CB3E" w14:textId="18E53893" w:rsidR="66C76083" w:rsidRPr="00EA1072" w:rsidRDefault="66C76083" w:rsidP="00EA1072">
      <w:pPr>
        <w:jc w:val="both"/>
        <w:rPr>
          <w:rFonts w:ascii="Arial" w:hAnsi="Arial" w:cs="Arial"/>
        </w:rPr>
      </w:pPr>
      <w:r w:rsidRPr="00EA1072">
        <w:rPr>
          <w:rFonts w:ascii="Arial" w:hAnsi="Arial" w:cs="Arial"/>
        </w:rPr>
        <w:t>A systems-based analysis was undertaken to examine the organisational factors contributing to unsafe maternity care. The Fishbone (Ishikawa) Diagram and Five Whys were applied to identify contributory and underlying causes, while Donabedian's Structure–Process–Outcome model evaluated relationships between organisational structures, care processes and patient outcomes. SWOT analysis assessed strategic capacity for improvement. Implementation was further examined through the Consolidated Framework for Implementation Research (CFIR), Normalisation Process Theory (NPT) and PARIHS framework. Evidence was drawn from peer-reviewed literature, national policy, regulatory reports and published organisational evidence.</w:t>
      </w:r>
    </w:p>
    <w:p w14:paraId="3C1301AD" w14:textId="0AFF213B" w:rsidR="66C76083" w:rsidRPr="00EA1072" w:rsidRDefault="66C76083" w:rsidP="00EA1072">
      <w:pPr>
        <w:jc w:val="both"/>
        <w:rPr>
          <w:rFonts w:ascii="Arial" w:hAnsi="Arial" w:cs="Arial"/>
        </w:rPr>
      </w:pPr>
      <w:r w:rsidRPr="00EA1072">
        <w:rPr>
          <w:rFonts w:ascii="Arial" w:hAnsi="Arial" w:cs="Arial"/>
        </w:rPr>
        <w:t>The analysis identified weaknesses in clinical governance, leadership, workforce capacity, multidisciplinary working, organisational culture and implementation as major contributors to unsafe maternity care. Evidence from the Ockenden Review, Care Quality Commission, MBRRACE-UK and NHS Resolution indicates that preventable harm, inequalities and substantial financial consequences remain important concerns across NHS maternity services.</w:t>
      </w:r>
    </w:p>
    <w:p w14:paraId="61AC48AE" w14:textId="173B1F09" w:rsidR="66C76083" w:rsidRPr="00EA1072" w:rsidRDefault="66C76083" w:rsidP="00EA1072">
      <w:pPr>
        <w:jc w:val="both"/>
        <w:rPr>
          <w:rFonts w:ascii="Arial" w:hAnsi="Arial" w:cs="Arial"/>
        </w:rPr>
      </w:pPr>
      <w:r w:rsidRPr="00EA1072">
        <w:rPr>
          <w:rFonts w:ascii="Arial" w:hAnsi="Arial" w:cs="Arial"/>
        </w:rPr>
        <w:t>The report recommends strengthening clinical governance and accountability, leadership and safety culture, workforce capability and human factors, digital quality surveillance, organisational learning and action on maternity inequalities. These improvements should be implemented through iterative Plan–Do–Study–Act (PDSA) cycles, supported by implementation science to strengthen organisational readiness, multidisciplinary participation, facilitation and sustainability. Overall, the analysis concludes that safer maternity care requires more than additional policies or clinical guidance; sustainable improvement depends on organisations developing the capacity to translate evidence and learning into routine practice through accountable governance, adequate resources, collaborative working and continuous evaluation.</w:t>
      </w:r>
    </w:p>
    <w:p w14:paraId="4CBC00AF" w14:textId="35644267" w:rsidR="6FBCA6F1" w:rsidRPr="00EA1072" w:rsidRDefault="6FBCA6F1" w:rsidP="00EA1072">
      <w:pPr>
        <w:jc w:val="both"/>
        <w:rPr>
          <w:rFonts w:ascii="Arial" w:hAnsi="Arial" w:cs="Arial"/>
        </w:rPr>
      </w:pPr>
    </w:p>
    <w:p w14:paraId="2921C26A" w14:textId="77777777" w:rsidR="00367253" w:rsidRPr="00EA1072" w:rsidRDefault="00367253" w:rsidP="00EA1072">
      <w:pPr>
        <w:jc w:val="both"/>
        <w:rPr>
          <w:rFonts w:ascii="Arial" w:hAnsi="Arial" w:cs="Arial"/>
        </w:rPr>
      </w:pPr>
    </w:p>
    <w:p w14:paraId="29232013" w14:textId="77777777" w:rsidR="00367253" w:rsidRDefault="00367253" w:rsidP="6FBCA6F1">
      <w:pPr>
        <w:rPr>
          <w:rFonts w:asciiTheme="minorBidi" w:hAnsiTheme="minorBidi"/>
        </w:rPr>
      </w:pPr>
    </w:p>
    <w:p w14:paraId="5695883A" w14:textId="77777777" w:rsidR="00A819C4" w:rsidRDefault="00A819C4" w:rsidP="000B344B"/>
    <w:sdt>
      <w:sdtPr>
        <w:id w:val="-115760620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1272F18" w14:textId="5BC2DC0C" w:rsidR="00367253" w:rsidRDefault="00367253">
          <w:pPr>
            <w:pStyle w:val="TOCHeading"/>
          </w:pPr>
          <w:r>
            <w:t>Table of Contents</w:t>
          </w:r>
        </w:p>
        <w:p w14:paraId="67E3960E" w14:textId="744A32F8" w:rsidR="00334C66" w:rsidRDefault="00367253">
          <w:pPr>
            <w:pStyle w:val="TOC2"/>
            <w:tabs>
              <w:tab w:val="left" w:pos="960"/>
              <w:tab w:val="right" w:leader="dot" w:pos="9016"/>
            </w:tabs>
            <w:rPr>
              <w:rFonts w:eastAsiaTheme="minorEastAsia"/>
              <w:noProof/>
              <w:lang w:eastAsia="en-GB"/>
            </w:rPr>
          </w:pPr>
          <w:r>
            <w:fldChar w:fldCharType="begin"/>
          </w:r>
          <w:r>
            <w:instrText xml:space="preserve"> TOC \o "1-3" \h \z \u </w:instrText>
          </w:r>
          <w:r>
            <w:fldChar w:fldCharType="separate"/>
          </w:r>
          <w:hyperlink w:anchor="_Toc238025916" w:history="1">
            <w:r w:rsidR="00334C66" w:rsidRPr="00AE7BD6">
              <w:rPr>
                <w:rStyle w:val="Hyperlink"/>
                <w:bCs/>
                <w:noProof/>
              </w:rPr>
              <w:t>1.0</w:t>
            </w:r>
            <w:r w:rsidR="00334C66">
              <w:rPr>
                <w:rFonts w:eastAsiaTheme="minorEastAsia"/>
                <w:noProof/>
                <w:lang w:eastAsia="en-GB"/>
              </w:rPr>
              <w:tab/>
            </w:r>
            <w:r w:rsidR="00334C66" w:rsidRPr="00AE7BD6">
              <w:rPr>
                <w:rStyle w:val="Hyperlink"/>
                <w:rFonts w:ascii="Arial" w:hAnsi="Arial" w:cs="Arial"/>
                <w:noProof/>
              </w:rPr>
              <w:t>Introduction</w:t>
            </w:r>
            <w:r w:rsidR="00334C66">
              <w:rPr>
                <w:noProof/>
                <w:webHidden/>
              </w:rPr>
              <w:tab/>
            </w:r>
            <w:r w:rsidR="00334C66">
              <w:rPr>
                <w:noProof/>
                <w:webHidden/>
              </w:rPr>
              <w:fldChar w:fldCharType="begin"/>
            </w:r>
            <w:r w:rsidR="00334C66">
              <w:rPr>
                <w:noProof/>
                <w:webHidden/>
              </w:rPr>
              <w:instrText xml:space="preserve"> PAGEREF _Toc238025916 \h </w:instrText>
            </w:r>
            <w:r w:rsidR="00334C66">
              <w:rPr>
                <w:noProof/>
                <w:webHidden/>
              </w:rPr>
            </w:r>
            <w:r w:rsidR="00334C66">
              <w:rPr>
                <w:noProof/>
                <w:webHidden/>
              </w:rPr>
              <w:fldChar w:fldCharType="separate"/>
            </w:r>
            <w:r w:rsidR="00334C66">
              <w:rPr>
                <w:noProof/>
                <w:webHidden/>
              </w:rPr>
              <w:t>3</w:t>
            </w:r>
            <w:r w:rsidR="00334C66">
              <w:rPr>
                <w:noProof/>
                <w:webHidden/>
              </w:rPr>
              <w:fldChar w:fldCharType="end"/>
            </w:r>
          </w:hyperlink>
        </w:p>
        <w:p w14:paraId="21008B4D" w14:textId="50824753" w:rsidR="00334C66" w:rsidRDefault="00334C66">
          <w:pPr>
            <w:pStyle w:val="TOC2"/>
            <w:tabs>
              <w:tab w:val="right" w:leader="dot" w:pos="9016"/>
            </w:tabs>
            <w:rPr>
              <w:rFonts w:eastAsiaTheme="minorEastAsia"/>
              <w:noProof/>
              <w:lang w:eastAsia="en-GB"/>
            </w:rPr>
          </w:pPr>
          <w:hyperlink w:anchor="_Toc238025917" w:history="1">
            <w:r w:rsidRPr="00AE7BD6">
              <w:rPr>
                <w:rStyle w:val="Hyperlink"/>
                <w:rFonts w:ascii="Arial" w:hAnsi="Arial" w:cs="Arial"/>
                <w:noProof/>
              </w:rPr>
              <w:t>1.2 Rationale</w:t>
            </w:r>
            <w:r>
              <w:rPr>
                <w:noProof/>
                <w:webHidden/>
              </w:rPr>
              <w:tab/>
            </w:r>
            <w:r>
              <w:rPr>
                <w:noProof/>
                <w:webHidden/>
              </w:rPr>
              <w:fldChar w:fldCharType="begin"/>
            </w:r>
            <w:r>
              <w:rPr>
                <w:noProof/>
                <w:webHidden/>
              </w:rPr>
              <w:instrText xml:space="preserve"> PAGEREF _Toc238025917 \h </w:instrText>
            </w:r>
            <w:r>
              <w:rPr>
                <w:noProof/>
                <w:webHidden/>
              </w:rPr>
            </w:r>
            <w:r>
              <w:rPr>
                <w:noProof/>
                <w:webHidden/>
              </w:rPr>
              <w:fldChar w:fldCharType="separate"/>
            </w:r>
            <w:r>
              <w:rPr>
                <w:noProof/>
                <w:webHidden/>
              </w:rPr>
              <w:t>3</w:t>
            </w:r>
            <w:r>
              <w:rPr>
                <w:noProof/>
                <w:webHidden/>
              </w:rPr>
              <w:fldChar w:fldCharType="end"/>
            </w:r>
          </w:hyperlink>
        </w:p>
        <w:p w14:paraId="2CECD840" w14:textId="109CD514" w:rsidR="00334C66" w:rsidRDefault="00334C66">
          <w:pPr>
            <w:pStyle w:val="TOC2"/>
            <w:tabs>
              <w:tab w:val="right" w:leader="dot" w:pos="9016"/>
            </w:tabs>
            <w:rPr>
              <w:rFonts w:eastAsiaTheme="minorEastAsia"/>
              <w:noProof/>
              <w:lang w:eastAsia="en-GB"/>
            </w:rPr>
          </w:pPr>
          <w:hyperlink w:anchor="_Toc238025918" w:history="1">
            <w:r w:rsidRPr="00AE7BD6">
              <w:rPr>
                <w:rStyle w:val="Hyperlink"/>
                <w:rFonts w:ascii="Arial" w:hAnsi="Arial" w:cs="Arial"/>
                <w:noProof/>
              </w:rPr>
              <w:t>1.3 Aim and Objectives</w:t>
            </w:r>
            <w:r>
              <w:rPr>
                <w:noProof/>
                <w:webHidden/>
              </w:rPr>
              <w:tab/>
            </w:r>
            <w:r>
              <w:rPr>
                <w:noProof/>
                <w:webHidden/>
              </w:rPr>
              <w:fldChar w:fldCharType="begin"/>
            </w:r>
            <w:r>
              <w:rPr>
                <w:noProof/>
                <w:webHidden/>
              </w:rPr>
              <w:instrText xml:space="preserve"> PAGEREF _Toc238025918 \h </w:instrText>
            </w:r>
            <w:r>
              <w:rPr>
                <w:noProof/>
                <w:webHidden/>
              </w:rPr>
            </w:r>
            <w:r>
              <w:rPr>
                <w:noProof/>
                <w:webHidden/>
              </w:rPr>
              <w:fldChar w:fldCharType="separate"/>
            </w:r>
            <w:r>
              <w:rPr>
                <w:noProof/>
                <w:webHidden/>
              </w:rPr>
              <w:t>4</w:t>
            </w:r>
            <w:r>
              <w:rPr>
                <w:noProof/>
                <w:webHidden/>
              </w:rPr>
              <w:fldChar w:fldCharType="end"/>
            </w:r>
          </w:hyperlink>
        </w:p>
        <w:p w14:paraId="1530C979" w14:textId="06E06CD7" w:rsidR="00334C66" w:rsidRDefault="00334C66">
          <w:pPr>
            <w:pStyle w:val="TOC2"/>
            <w:tabs>
              <w:tab w:val="right" w:leader="dot" w:pos="9016"/>
            </w:tabs>
            <w:rPr>
              <w:rFonts w:eastAsiaTheme="minorEastAsia"/>
              <w:noProof/>
              <w:lang w:eastAsia="en-GB"/>
            </w:rPr>
          </w:pPr>
          <w:hyperlink w:anchor="_Toc238025919" w:history="1">
            <w:r w:rsidRPr="00AE7BD6">
              <w:rPr>
                <w:rStyle w:val="Hyperlink"/>
                <w:rFonts w:ascii="Arial" w:hAnsi="Arial" w:cs="Arial"/>
                <w:noProof/>
              </w:rPr>
              <w:t>2.0 Systems Analysis of the Quality Concern</w:t>
            </w:r>
            <w:r>
              <w:rPr>
                <w:noProof/>
                <w:webHidden/>
              </w:rPr>
              <w:tab/>
            </w:r>
            <w:r>
              <w:rPr>
                <w:noProof/>
                <w:webHidden/>
              </w:rPr>
              <w:fldChar w:fldCharType="begin"/>
            </w:r>
            <w:r>
              <w:rPr>
                <w:noProof/>
                <w:webHidden/>
              </w:rPr>
              <w:instrText xml:space="preserve"> PAGEREF _Toc238025919 \h </w:instrText>
            </w:r>
            <w:r>
              <w:rPr>
                <w:noProof/>
                <w:webHidden/>
              </w:rPr>
            </w:r>
            <w:r>
              <w:rPr>
                <w:noProof/>
                <w:webHidden/>
              </w:rPr>
              <w:fldChar w:fldCharType="separate"/>
            </w:r>
            <w:r>
              <w:rPr>
                <w:noProof/>
                <w:webHidden/>
              </w:rPr>
              <w:t>5</w:t>
            </w:r>
            <w:r>
              <w:rPr>
                <w:noProof/>
                <w:webHidden/>
              </w:rPr>
              <w:fldChar w:fldCharType="end"/>
            </w:r>
          </w:hyperlink>
        </w:p>
        <w:p w14:paraId="0BADDF9B" w14:textId="516F37F8" w:rsidR="00334C66" w:rsidRDefault="00334C66">
          <w:pPr>
            <w:pStyle w:val="TOC2"/>
            <w:tabs>
              <w:tab w:val="right" w:leader="dot" w:pos="9016"/>
            </w:tabs>
            <w:rPr>
              <w:rFonts w:eastAsiaTheme="minorEastAsia"/>
              <w:noProof/>
              <w:lang w:eastAsia="en-GB"/>
            </w:rPr>
          </w:pPr>
          <w:hyperlink w:anchor="_Toc238025920" w:history="1">
            <w:r w:rsidRPr="00AE7BD6">
              <w:rPr>
                <w:rStyle w:val="Hyperlink"/>
                <w:rFonts w:ascii="Arial" w:hAnsi="Arial" w:cs="Arial"/>
                <w:noProof/>
              </w:rPr>
              <w:t>2.1 Root Cause Analysis Using the Fishbone Diagram</w:t>
            </w:r>
            <w:r>
              <w:rPr>
                <w:noProof/>
                <w:webHidden/>
              </w:rPr>
              <w:tab/>
            </w:r>
            <w:r>
              <w:rPr>
                <w:noProof/>
                <w:webHidden/>
              </w:rPr>
              <w:fldChar w:fldCharType="begin"/>
            </w:r>
            <w:r>
              <w:rPr>
                <w:noProof/>
                <w:webHidden/>
              </w:rPr>
              <w:instrText xml:space="preserve"> PAGEREF _Toc238025920 \h </w:instrText>
            </w:r>
            <w:r>
              <w:rPr>
                <w:noProof/>
                <w:webHidden/>
              </w:rPr>
            </w:r>
            <w:r>
              <w:rPr>
                <w:noProof/>
                <w:webHidden/>
              </w:rPr>
              <w:fldChar w:fldCharType="separate"/>
            </w:r>
            <w:r>
              <w:rPr>
                <w:noProof/>
                <w:webHidden/>
              </w:rPr>
              <w:t>5</w:t>
            </w:r>
            <w:r>
              <w:rPr>
                <w:noProof/>
                <w:webHidden/>
              </w:rPr>
              <w:fldChar w:fldCharType="end"/>
            </w:r>
          </w:hyperlink>
        </w:p>
        <w:p w14:paraId="2867FD13" w14:textId="7FD19070" w:rsidR="00334C66" w:rsidRDefault="00334C66">
          <w:pPr>
            <w:pStyle w:val="TOC2"/>
            <w:tabs>
              <w:tab w:val="right" w:leader="dot" w:pos="9016"/>
            </w:tabs>
            <w:rPr>
              <w:rFonts w:eastAsiaTheme="minorEastAsia"/>
              <w:noProof/>
              <w:lang w:eastAsia="en-GB"/>
            </w:rPr>
          </w:pPr>
          <w:hyperlink w:anchor="_Toc238025921" w:history="1">
            <w:r w:rsidRPr="00AE7BD6">
              <w:rPr>
                <w:rStyle w:val="Hyperlink"/>
                <w:rFonts w:ascii="Arial" w:hAnsi="Arial" w:cs="Arial"/>
                <w:noProof/>
              </w:rPr>
              <w:t>2.2 Root Cause Analysis Using the Five Whys</w:t>
            </w:r>
            <w:r>
              <w:rPr>
                <w:noProof/>
                <w:webHidden/>
              </w:rPr>
              <w:tab/>
            </w:r>
            <w:r>
              <w:rPr>
                <w:noProof/>
                <w:webHidden/>
              </w:rPr>
              <w:fldChar w:fldCharType="begin"/>
            </w:r>
            <w:r>
              <w:rPr>
                <w:noProof/>
                <w:webHidden/>
              </w:rPr>
              <w:instrText xml:space="preserve"> PAGEREF _Toc238025921 \h </w:instrText>
            </w:r>
            <w:r>
              <w:rPr>
                <w:noProof/>
                <w:webHidden/>
              </w:rPr>
            </w:r>
            <w:r>
              <w:rPr>
                <w:noProof/>
                <w:webHidden/>
              </w:rPr>
              <w:fldChar w:fldCharType="separate"/>
            </w:r>
            <w:r>
              <w:rPr>
                <w:noProof/>
                <w:webHidden/>
              </w:rPr>
              <w:t>6</w:t>
            </w:r>
            <w:r>
              <w:rPr>
                <w:noProof/>
                <w:webHidden/>
              </w:rPr>
              <w:fldChar w:fldCharType="end"/>
            </w:r>
          </w:hyperlink>
        </w:p>
        <w:p w14:paraId="38648B7C" w14:textId="6396340E" w:rsidR="00334C66" w:rsidRDefault="00334C66">
          <w:pPr>
            <w:pStyle w:val="TOC2"/>
            <w:tabs>
              <w:tab w:val="right" w:leader="dot" w:pos="9016"/>
            </w:tabs>
            <w:rPr>
              <w:rFonts w:eastAsiaTheme="minorEastAsia"/>
              <w:noProof/>
              <w:lang w:eastAsia="en-GB"/>
            </w:rPr>
          </w:pPr>
          <w:hyperlink w:anchor="_Toc238025922" w:history="1">
            <w:r w:rsidRPr="00AE7BD6">
              <w:rPr>
                <w:rStyle w:val="Hyperlink"/>
                <w:rFonts w:ascii="Arial" w:hAnsi="Arial" w:cs="Arial"/>
                <w:noProof/>
              </w:rPr>
              <w:t>2.3 Evaluating Healthcare Quality Using Donabedian's Structure–Process–Outcome Model</w:t>
            </w:r>
            <w:r>
              <w:rPr>
                <w:noProof/>
                <w:webHidden/>
              </w:rPr>
              <w:tab/>
            </w:r>
            <w:r>
              <w:rPr>
                <w:noProof/>
                <w:webHidden/>
              </w:rPr>
              <w:fldChar w:fldCharType="begin"/>
            </w:r>
            <w:r>
              <w:rPr>
                <w:noProof/>
                <w:webHidden/>
              </w:rPr>
              <w:instrText xml:space="preserve"> PAGEREF _Toc238025922 \h </w:instrText>
            </w:r>
            <w:r>
              <w:rPr>
                <w:noProof/>
                <w:webHidden/>
              </w:rPr>
            </w:r>
            <w:r>
              <w:rPr>
                <w:noProof/>
                <w:webHidden/>
              </w:rPr>
              <w:fldChar w:fldCharType="separate"/>
            </w:r>
            <w:r>
              <w:rPr>
                <w:noProof/>
                <w:webHidden/>
              </w:rPr>
              <w:t>7</w:t>
            </w:r>
            <w:r>
              <w:rPr>
                <w:noProof/>
                <w:webHidden/>
              </w:rPr>
              <w:fldChar w:fldCharType="end"/>
            </w:r>
          </w:hyperlink>
        </w:p>
        <w:p w14:paraId="0447D5C3" w14:textId="522A1EDC" w:rsidR="00334C66" w:rsidRDefault="00334C66">
          <w:pPr>
            <w:pStyle w:val="TOC2"/>
            <w:tabs>
              <w:tab w:val="right" w:leader="dot" w:pos="9016"/>
            </w:tabs>
            <w:rPr>
              <w:rFonts w:eastAsiaTheme="minorEastAsia"/>
              <w:noProof/>
              <w:lang w:eastAsia="en-GB"/>
            </w:rPr>
          </w:pPr>
          <w:hyperlink w:anchor="_Toc238025923" w:history="1">
            <w:r w:rsidR="00015645">
              <w:rPr>
                <w:rStyle w:val="Hyperlink"/>
                <w:rFonts w:ascii="Arial" w:hAnsi="Arial" w:cs="Arial"/>
                <w:noProof/>
              </w:rPr>
              <w:t>2.4 SWOT: What strategic capacity exists for improvement</w:t>
            </w:r>
            <w:r w:rsidR="00015645">
              <w:rPr>
                <w:rStyle w:val="Hyperlink"/>
                <w:rFonts w:ascii="Arial" w:hAnsi="Arial" w:cs="Arial"/>
                <w:noProof/>
              </w:rPr>
              <w:tab/>
              <w:t>8</w:t>
            </w:r>
          </w:hyperlink>
        </w:p>
        <w:p w14:paraId="52E058C7" w14:textId="7F1F5313" w:rsidR="00334C66" w:rsidRDefault="00334C66">
          <w:pPr>
            <w:pStyle w:val="TOC2"/>
            <w:tabs>
              <w:tab w:val="right" w:leader="dot" w:pos="9016"/>
            </w:tabs>
            <w:rPr>
              <w:rFonts w:eastAsiaTheme="minorEastAsia"/>
              <w:noProof/>
              <w:lang w:eastAsia="en-GB"/>
            </w:rPr>
          </w:pPr>
          <w:hyperlink w:anchor="_Toc238025924" w:history="1">
            <w:r w:rsidRPr="00AE7BD6">
              <w:rPr>
                <w:rStyle w:val="Hyperlink"/>
                <w:rFonts w:ascii="Arial" w:hAnsi="Arial" w:cs="Arial"/>
                <w:noProof/>
              </w:rPr>
              <w:t>2.5 Implementation Science</w:t>
            </w:r>
            <w:r>
              <w:rPr>
                <w:noProof/>
                <w:webHidden/>
              </w:rPr>
              <w:tab/>
            </w:r>
            <w:r>
              <w:rPr>
                <w:noProof/>
                <w:webHidden/>
              </w:rPr>
              <w:fldChar w:fldCharType="begin"/>
            </w:r>
            <w:r>
              <w:rPr>
                <w:noProof/>
                <w:webHidden/>
              </w:rPr>
              <w:instrText xml:space="preserve"> PAGEREF _Toc238025924 \h </w:instrText>
            </w:r>
            <w:r>
              <w:rPr>
                <w:noProof/>
                <w:webHidden/>
              </w:rPr>
            </w:r>
            <w:r>
              <w:rPr>
                <w:noProof/>
                <w:webHidden/>
              </w:rPr>
              <w:fldChar w:fldCharType="separate"/>
            </w:r>
            <w:r>
              <w:rPr>
                <w:noProof/>
                <w:webHidden/>
              </w:rPr>
              <w:t>9</w:t>
            </w:r>
            <w:r>
              <w:rPr>
                <w:noProof/>
                <w:webHidden/>
              </w:rPr>
              <w:fldChar w:fldCharType="end"/>
            </w:r>
          </w:hyperlink>
        </w:p>
        <w:p w14:paraId="03BABA51" w14:textId="25FF081C" w:rsidR="00334C66" w:rsidRDefault="00334C66">
          <w:pPr>
            <w:pStyle w:val="TOC2"/>
            <w:tabs>
              <w:tab w:val="right" w:leader="dot" w:pos="9016"/>
            </w:tabs>
            <w:rPr>
              <w:rFonts w:eastAsiaTheme="minorEastAsia"/>
              <w:noProof/>
              <w:lang w:eastAsia="en-GB"/>
            </w:rPr>
          </w:pPr>
          <w:hyperlink w:anchor="_Toc238025925" w:history="1">
            <w:r w:rsidRPr="00AE7BD6">
              <w:rPr>
                <w:rStyle w:val="Hyperlink"/>
                <w:rFonts w:ascii="Arial" w:hAnsi="Arial" w:cs="Arial"/>
                <w:b/>
                <w:bCs/>
                <w:noProof/>
              </w:rPr>
              <w:t>3.0 Evidence-based Recommendation and Implementation</w:t>
            </w:r>
            <w:r>
              <w:rPr>
                <w:noProof/>
                <w:webHidden/>
              </w:rPr>
              <w:tab/>
            </w:r>
            <w:r>
              <w:rPr>
                <w:noProof/>
                <w:webHidden/>
              </w:rPr>
              <w:fldChar w:fldCharType="begin"/>
            </w:r>
            <w:r>
              <w:rPr>
                <w:noProof/>
                <w:webHidden/>
              </w:rPr>
              <w:instrText xml:space="preserve"> PAGEREF _Toc238025925 \h </w:instrText>
            </w:r>
            <w:r>
              <w:rPr>
                <w:noProof/>
                <w:webHidden/>
              </w:rPr>
            </w:r>
            <w:r>
              <w:rPr>
                <w:noProof/>
                <w:webHidden/>
              </w:rPr>
              <w:fldChar w:fldCharType="separate"/>
            </w:r>
            <w:r>
              <w:rPr>
                <w:noProof/>
                <w:webHidden/>
              </w:rPr>
              <w:t>11</w:t>
            </w:r>
            <w:r>
              <w:rPr>
                <w:noProof/>
                <w:webHidden/>
              </w:rPr>
              <w:fldChar w:fldCharType="end"/>
            </w:r>
          </w:hyperlink>
        </w:p>
        <w:p w14:paraId="2D8A57BF" w14:textId="08BCA75C" w:rsidR="00334C66" w:rsidRDefault="00334C66">
          <w:pPr>
            <w:pStyle w:val="TOC2"/>
            <w:tabs>
              <w:tab w:val="right" w:leader="dot" w:pos="9016"/>
            </w:tabs>
            <w:rPr>
              <w:rFonts w:eastAsiaTheme="minorEastAsia"/>
              <w:noProof/>
              <w:lang w:eastAsia="en-GB"/>
            </w:rPr>
          </w:pPr>
          <w:hyperlink w:anchor="_Toc238025926" w:history="1">
            <w:r w:rsidRPr="00AE7BD6">
              <w:rPr>
                <w:rStyle w:val="Hyperlink"/>
                <w:rFonts w:ascii="Arial" w:hAnsi="Arial" w:cs="Arial"/>
                <w:noProof/>
              </w:rPr>
              <w:t>3.1 Strengthen Clinical Governance and Accountability</w:t>
            </w:r>
            <w:r>
              <w:rPr>
                <w:noProof/>
                <w:webHidden/>
              </w:rPr>
              <w:tab/>
            </w:r>
            <w:r>
              <w:rPr>
                <w:noProof/>
                <w:webHidden/>
              </w:rPr>
              <w:fldChar w:fldCharType="begin"/>
            </w:r>
            <w:r>
              <w:rPr>
                <w:noProof/>
                <w:webHidden/>
              </w:rPr>
              <w:instrText xml:space="preserve"> PAGEREF _Toc238025926 \h </w:instrText>
            </w:r>
            <w:r>
              <w:rPr>
                <w:noProof/>
                <w:webHidden/>
              </w:rPr>
            </w:r>
            <w:r>
              <w:rPr>
                <w:noProof/>
                <w:webHidden/>
              </w:rPr>
              <w:fldChar w:fldCharType="separate"/>
            </w:r>
            <w:r>
              <w:rPr>
                <w:noProof/>
                <w:webHidden/>
              </w:rPr>
              <w:t>11</w:t>
            </w:r>
            <w:r>
              <w:rPr>
                <w:noProof/>
                <w:webHidden/>
              </w:rPr>
              <w:fldChar w:fldCharType="end"/>
            </w:r>
          </w:hyperlink>
        </w:p>
        <w:p w14:paraId="2F54F535" w14:textId="1E83B586" w:rsidR="00334C66" w:rsidRDefault="00334C66">
          <w:pPr>
            <w:pStyle w:val="TOC2"/>
            <w:tabs>
              <w:tab w:val="right" w:leader="dot" w:pos="9016"/>
            </w:tabs>
            <w:rPr>
              <w:rFonts w:eastAsiaTheme="minorEastAsia"/>
              <w:noProof/>
              <w:lang w:eastAsia="en-GB"/>
            </w:rPr>
          </w:pPr>
          <w:hyperlink w:anchor="_Toc238025927" w:history="1">
            <w:r w:rsidRPr="00AE7BD6">
              <w:rPr>
                <w:rStyle w:val="Hyperlink"/>
                <w:rFonts w:ascii="Arial" w:hAnsi="Arial" w:cs="Arial"/>
                <w:noProof/>
              </w:rPr>
              <w:t>3.2 Leadership and Safety Culture</w:t>
            </w:r>
            <w:r>
              <w:rPr>
                <w:noProof/>
                <w:webHidden/>
              </w:rPr>
              <w:tab/>
            </w:r>
            <w:r>
              <w:rPr>
                <w:noProof/>
                <w:webHidden/>
              </w:rPr>
              <w:fldChar w:fldCharType="begin"/>
            </w:r>
            <w:r>
              <w:rPr>
                <w:noProof/>
                <w:webHidden/>
              </w:rPr>
              <w:instrText xml:space="preserve"> PAGEREF _Toc238025927 \h </w:instrText>
            </w:r>
            <w:r>
              <w:rPr>
                <w:noProof/>
                <w:webHidden/>
              </w:rPr>
            </w:r>
            <w:r>
              <w:rPr>
                <w:noProof/>
                <w:webHidden/>
              </w:rPr>
              <w:fldChar w:fldCharType="separate"/>
            </w:r>
            <w:r>
              <w:rPr>
                <w:noProof/>
                <w:webHidden/>
              </w:rPr>
              <w:t>11</w:t>
            </w:r>
            <w:r>
              <w:rPr>
                <w:noProof/>
                <w:webHidden/>
              </w:rPr>
              <w:fldChar w:fldCharType="end"/>
            </w:r>
          </w:hyperlink>
        </w:p>
        <w:p w14:paraId="694FBC48" w14:textId="11119111" w:rsidR="00334C66" w:rsidRDefault="00334C66">
          <w:pPr>
            <w:pStyle w:val="TOC2"/>
            <w:tabs>
              <w:tab w:val="right" w:leader="dot" w:pos="9016"/>
            </w:tabs>
            <w:rPr>
              <w:rFonts w:eastAsiaTheme="minorEastAsia"/>
              <w:noProof/>
              <w:lang w:eastAsia="en-GB"/>
            </w:rPr>
          </w:pPr>
          <w:hyperlink w:anchor="_Toc238025928" w:history="1">
            <w:r w:rsidRPr="00AE7BD6">
              <w:rPr>
                <w:rStyle w:val="Hyperlink"/>
                <w:rFonts w:ascii="Arial" w:hAnsi="Arial" w:cs="Arial"/>
                <w:noProof/>
              </w:rPr>
              <w:t>3.3 Workforce Capability and Human Factors</w:t>
            </w:r>
            <w:r>
              <w:rPr>
                <w:noProof/>
                <w:webHidden/>
              </w:rPr>
              <w:tab/>
            </w:r>
            <w:r>
              <w:rPr>
                <w:noProof/>
                <w:webHidden/>
              </w:rPr>
              <w:fldChar w:fldCharType="begin"/>
            </w:r>
            <w:r>
              <w:rPr>
                <w:noProof/>
                <w:webHidden/>
              </w:rPr>
              <w:instrText xml:space="preserve"> PAGEREF _Toc238025928 \h </w:instrText>
            </w:r>
            <w:r>
              <w:rPr>
                <w:noProof/>
                <w:webHidden/>
              </w:rPr>
            </w:r>
            <w:r>
              <w:rPr>
                <w:noProof/>
                <w:webHidden/>
              </w:rPr>
              <w:fldChar w:fldCharType="separate"/>
            </w:r>
            <w:r>
              <w:rPr>
                <w:noProof/>
                <w:webHidden/>
              </w:rPr>
              <w:t>12</w:t>
            </w:r>
            <w:r>
              <w:rPr>
                <w:noProof/>
                <w:webHidden/>
              </w:rPr>
              <w:fldChar w:fldCharType="end"/>
            </w:r>
          </w:hyperlink>
        </w:p>
        <w:p w14:paraId="32F701AE" w14:textId="440C2FDF" w:rsidR="00334C66" w:rsidRDefault="00334C66">
          <w:pPr>
            <w:pStyle w:val="TOC2"/>
            <w:tabs>
              <w:tab w:val="right" w:leader="dot" w:pos="9016"/>
            </w:tabs>
            <w:rPr>
              <w:rFonts w:eastAsiaTheme="minorEastAsia"/>
              <w:noProof/>
              <w:lang w:eastAsia="en-GB"/>
            </w:rPr>
          </w:pPr>
          <w:hyperlink w:anchor="_Toc238025929" w:history="1">
            <w:r w:rsidRPr="00AE7BD6">
              <w:rPr>
                <w:rStyle w:val="Hyperlink"/>
                <w:rFonts w:ascii="Arial" w:hAnsi="Arial" w:cs="Arial"/>
                <w:noProof/>
              </w:rPr>
              <w:t>3.4 Digital Quality Surveillance and Organisational Learning</w:t>
            </w:r>
            <w:r>
              <w:rPr>
                <w:noProof/>
                <w:webHidden/>
              </w:rPr>
              <w:tab/>
            </w:r>
            <w:r>
              <w:rPr>
                <w:noProof/>
                <w:webHidden/>
              </w:rPr>
              <w:fldChar w:fldCharType="begin"/>
            </w:r>
            <w:r>
              <w:rPr>
                <w:noProof/>
                <w:webHidden/>
              </w:rPr>
              <w:instrText xml:space="preserve"> PAGEREF _Toc238025929 \h </w:instrText>
            </w:r>
            <w:r>
              <w:rPr>
                <w:noProof/>
                <w:webHidden/>
              </w:rPr>
            </w:r>
            <w:r>
              <w:rPr>
                <w:noProof/>
                <w:webHidden/>
              </w:rPr>
              <w:fldChar w:fldCharType="separate"/>
            </w:r>
            <w:r>
              <w:rPr>
                <w:noProof/>
                <w:webHidden/>
              </w:rPr>
              <w:t>12</w:t>
            </w:r>
            <w:r>
              <w:rPr>
                <w:noProof/>
                <w:webHidden/>
              </w:rPr>
              <w:fldChar w:fldCharType="end"/>
            </w:r>
          </w:hyperlink>
        </w:p>
        <w:p w14:paraId="49083CCA" w14:textId="5497AC0B" w:rsidR="00334C66" w:rsidRDefault="00334C66">
          <w:pPr>
            <w:pStyle w:val="TOC2"/>
            <w:tabs>
              <w:tab w:val="right" w:leader="dot" w:pos="9016"/>
            </w:tabs>
            <w:rPr>
              <w:rFonts w:eastAsiaTheme="minorEastAsia"/>
              <w:noProof/>
              <w:lang w:eastAsia="en-GB"/>
            </w:rPr>
          </w:pPr>
          <w:hyperlink w:anchor="_Toc238025930" w:history="1">
            <w:r w:rsidRPr="00AE7BD6">
              <w:rPr>
                <w:rStyle w:val="Hyperlink"/>
                <w:rFonts w:ascii="Arial" w:hAnsi="Arial" w:cs="Arial"/>
                <w:noProof/>
              </w:rPr>
              <w:t>3.5 Reducing Maternity Inequalities</w:t>
            </w:r>
            <w:r>
              <w:rPr>
                <w:noProof/>
                <w:webHidden/>
              </w:rPr>
              <w:tab/>
            </w:r>
            <w:r>
              <w:rPr>
                <w:noProof/>
                <w:webHidden/>
              </w:rPr>
              <w:fldChar w:fldCharType="begin"/>
            </w:r>
            <w:r>
              <w:rPr>
                <w:noProof/>
                <w:webHidden/>
              </w:rPr>
              <w:instrText xml:space="preserve"> PAGEREF _Toc238025930 \h </w:instrText>
            </w:r>
            <w:r>
              <w:rPr>
                <w:noProof/>
                <w:webHidden/>
              </w:rPr>
            </w:r>
            <w:r>
              <w:rPr>
                <w:noProof/>
                <w:webHidden/>
              </w:rPr>
              <w:fldChar w:fldCharType="separate"/>
            </w:r>
            <w:r>
              <w:rPr>
                <w:noProof/>
                <w:webHidden/>
              </w:rPr>
              <w:t>13</w:t>
            </w:r>
            <w:r>
              <w:rPr>
                <w:noProof/>
                <w:webHidden/>
              </w:rPr>
              <w:fldChar w:fldCharType="end"/>
            </w:r>
          </w:hyperlink>
        </w:p>
        <w:p w14:paraId="5C10DD49" w14:textId="4DE7633A" w:rsidR="00334C66" w:rsidRDefault="00334C66">
          <w:pPr>
            <w:pStyle w:val="TOC2"/>
            <w:tabs>
              <w:tab w:val="right" w:leader="dot" w:pos="9016"/>
            </w:tabs>
            <w:rPr>
              <w:rFonts w:eastAsiaTheme="minorEastAsia"/>
              <w:noProof/>
              <w:lang w:eastAsia="en-GB"/>
            </w:rPr>
          </w:pPr>
          <w:hyperlink w:anchor="_Toc238025931" w:history="1">
            <w:r w:rsidRPr="00AE7BD6">
              <w:rPr>
                <w:rStyle w:val="Hyperlink"/>
                <w:rFonts w:ascii="Arial" w:hAnsi="Arial" w:cs="Arial"/>
                <w:noProof/>
              </w:rPr>
              <w:t>3.6 Implementation Through PDSA</w:t>
            </w:r>
            <w:r>
              <w:rPr>
                <w:noProof/>
                <w:webHidden/>
              </w:rPr>
              <w:tab/>
            </w:r>
            <w:r>
              <w:rPr>
                <w:noProof/>
                <w:webHidden/>
              </w:rPr>
              <w:fldChar w:fldCharType="begin"/>
            </w:r>
            <w:r>
              <w:rPr>
                <w:noProof/>
                <w:webHidden/>
              </w:rPr>
              <w:instrText xml:space="preserve"> PAGEREF _Toc238025931 \h </w:instrText>
            </w:r>
            <w:r>
              <w:rPr>
                <w:noProof/>
                <w:webHidden/>
              </w:rPr>
            </w:r>
            <w:r>
              <w:rPr>
                <w:noProof/>
                <w:webHidden/>
              </w:rPr>
              <w:fldChar w:fldCharType="separate"/>
            </w:r>
            <w:r>
              <w:rPr>
                <w:noProof/>
                <w:webHidden/>
              </w:rPr>
              <w:t>14</w:t>
            </w:r>
            <w:r>
              <w:rPr>
                <w:noProof/>
                <w:webHidden/>
              </w:rPr>
              <w:fldChar w:fldCharType="end"/>
            </w:r>
          </w:hyperlink>
        </w:p>
        <w:p w14:paraId="0E061370" w14:textId="7FFD9C6B" w:rsidR="00334C66" w:rsidRDefault="00334C66">
          <w:pPr>
            <w:pStyle w:val="TOC2"/>
            <w:tabs>
              <w:tab w:val="right" w:leader="dot" w:pos="9016"/>
            </w:tabs>
            <w:rPr>
              <w:rFonts w:eastAsiaTheme="minorEastAsia"/>
              <w:noProof/>
              <w:lang w:eastAsia="en-GB"/>
            </w:rPr>
          </w:pPr>
          <w:hyperlink w:anchor="_Toc238025932" w:history="1">
            <w:r w:rsidRPr="00AE7BD6">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_Toc238025932 \h </w:instrText>
            </w:r>
            <w:r>
              <w:rPr>
                <w:noProof/>
                <w:webHidden/>
              </w:rPr>
            </w:r>
            <w:r>
              <w:rPr>
                <w:noProof/>
                <w:webHidden/>
              </w:rPr>
              <w:fldChar w:fldCharType="separate"/>
            </w:r>
            <w:r>
              <w:rPr>
                <w:noProof/>
                <w:webHidden/>
              </w:rPr>
              <w:t>15</w:t>
            </w:r>
            <w:r>
              <w:rPr>
                <w:noProof/>
                <w:webHidden/>
              </w:rPr>
              <w:fldChar w:fldCharType="end"/>
            </w:r>
          </w:hyperlink>
        </w:p>
        <w:p w14:paraId="1A2461F8" w14:textId="5FBF485C" w:rsidR="00334C66" w:rsidRDefault="00334C66">
          <w:pPr>
            <w:pStyle w:val="TOC2"/>
            <w:tabs>
              <w:tab w:val="right" w:leader="dot" w:pos="9016"/>
            </w:tabs>
            <w:rPr>
              <w:rFonts w:eastAsiaTheme="minorEastAsia"/>
              <w:noProof/>
              <w:lang w:eastAsia="en-GB"/>
            </w:rPr>
          </w:pPr>
          <w:hyperlink w:anchor="_Toc238025933" w:history="1">
            <w:r w:rsidRPr="00AE7BD6">
              <w:rPr>
                <w:rStyle w:val="Hyperlink"/>
                <w:noProof/>
              </w:rPr>
              <w:t>References</w:t>
            </w:r>
            <w:r>
              <w:rPr>
                <w:noProof/>
                <w:webHidden/>
              </w:rPr>
              <w:tab/>
            </w:r>
            <w:r>
              <w:rPr>
                <w:noProof/>
                <w:webHidden/>
              </w:rPr>
              <w:fldChar w:fldCharType="begin"/>
            </w:r>
            <w:r>
              <w:rPr>
                <w:noProof/>
                <w:webHidden/>
              </w:rPr>
              <w:instrText xml:space="preserve"> PAGEREF _Toc238025933 \h </w:instrText>
            </w:r>
            <w:r>
              <w:rPr>
                <w:noProof/>
                <w:webHidden/>
              </w:rPr>
            </w:r>
            <w:r>
              <w:rPr>
                <w:noProof/>
                <w:webHidden/>
              </w:rPr>
              <w:fldChar w:fldCharType="separate"/>
            </w:r>
            <w:r>
              <w:rPr>
                <w:noProof/>
                <w:webHidden/>
              </w:rPr>
              <w:t>16</w:t>
            </w:r>
            <w:r>
              <w:rPr>
                <w:noProof/>
                <w:webHidden/>
              </w:rPr>
              <w:fldChar w:fldCharType="end"/>
            </w:r>
          </w:hyperlink>
        </w:p>
        <w:p w14:paraId="37468688" w14:textId="00CF1601" w:rsidR="00367253" w:rsidRDefault="00367253">
          <w:r>
            <w:rPr>
              <w:b/>
              <w:bCs/>
              <w:noProof/>
            </w:rPr>
            <w:fldChar w:fldCharType="end"/>
          </w:r>
        </w:p>
      </w:sdtContent>
    </w:sdt>
    <w:p w14:paraId="46473ACE" w14:textId="77777777" w:rsidR="00A819C4" w:rsidRDefault="00A819C4" w:rsidP="000B344B"/>
    <w:p w14:paraId="33EA8145" w14:textId="77777777" w:rsidR="00367253" w:rsidRDefault="00367253" w:rsidP="000B344B"/>
    <w:p w14:paraId="06B9733A" w14:textId="77777777" w:rsidR="00367253" w:rsidRDefault="00367253" w:rsidP="000B344B"/>
    <w:p w14:paraId="1A926A71" w14:textId="77777777" w:rsidR="00367253" w:rsidRDefault="00367253" w:rsidP="000B344B"/>
    <w:p w14:paraId="69F694DF" w14:textId="77777777" w:rsidR="00367253" w:rsidRDefault="00367253" w:rsidP="000B344B"/>
    <w:p w14:paraId="63D06D0F" w14:textId="77777777" w:rsidR="000D4D2C" w:rsidRDefault="000D4D2C" w:rsidP="000B344B"/>
    <w:p w14:paraId="44C694BD" w14:textId="77777777" w:rsidR="000D4D2C" w:rsidRDefault="000D4D2C" w:rsidP="000B344B"/>
    <w:p w14:paraId="063F7ED9" w14:textId="77777777" w:rsidR="00367253" w:rsidRDefault="00367253" w:rsidP="000B344B"/>
    <w:p w14:paraId="7D0BD378" w14:textId="77777777" w:rsidR="00367253" w:rsidRPr="0072626D" w:rsidRDefault="00367253" w:rsidP="000B344B">
      <w:pPr>
        <w:rPr>
          <w:rFonts w:ascii="Arial" w:hAnsi="Arial" w:cs="Arial"/>
        </w:rPr>
      </w:pPr>
    </w:p>
    <w:p w14:paraId="43F18770" w14:textId="1E6E799A" w:rsidR="00300DE1" w:rsidRPr="0072626D" w:rsidRDefault="00EA0BB7" w:rsidP="005B6B19">
      <w:pPr>
        <w:pStyle w:val="ListParagraph"/>
        <w:numPr>
          <w:ilvl w:val="0"/>
          <w:numId w:val="19"/>
        </w:numPr>
        <w:jc w:val="both"/>
        <w:rPr>
          <w:rFonts w:ascii="Arial" w:hAnsi="Arial" w:cs="Arial"/>
          <w:b/>
          <w:bCs/>
        </w:rPr>
      </w:pPr>
      <w:r w:rsidRPr="0072626D">
        <w:rPr>
          <w:rStyle w:val="Heading2Char"/>
          <w:rFonts w:ascii="Arial" w:hAnsi="Arial" w:cs="Arial"/>
          <w:sz w:val="24"/>
          <w:szCs w:val="24"/>
        </w:rPr>
        <w:t xml:space="preserve"> </w:t>
      </w:r>
      <w:bookmarkStart w:id="0" w:name="_Toc238025916"/>
      <w:r w:rsidR="00300DE1" w:rsidRPr="0072626D">
        <w:rPr>
          <w:rStyle w:val="Heading2Char"/>
          <w:rFonts w:ascii="Arial" w:hAnsi="Arial" w:cs="Arial"/>
          <w:sz w:val="24"/>
          <w:szCs w:val="24"/>
        </w:rPr>
        <w:t>Introduction</w:t>
      </w:r>
      <w:bookmarkEnd w:id="0"/>
      <w:r w:rsidR="00300DE1" w:rsidRPr="0072626D">
        <w:rPr>
          <w:rFonts w:ascii="Arial" w:hAnsi="Arial" w:cs="Arial"/>
          <w:b/>
          <w:bCs/>
        </w:rPr>
        <w:br/>
      </w:r>
      <w:r w:rsidR="00300DE1" w:rsidRPr="0072626D">
        <w:rPr>
          <w:rStyle w:val="Heading2Char"/>
          <w:rFonts w:ascii="Arial" w:hAnsi="Arial" w:cs="Arial"/>
          <w:sz w:val="24"/>
          <w:szCs w:val="24"/>
        </w:rPr>
        <w:t>1.1 Background and Rationale</w:t>
      </w:r>
    </w:p>
    <w:p w14:paraId="6A866CB6" w14:textId="4F04D4CF" w:rsidR="5C5F22F5" w:rsidRPr="0072626D" w:rsidRDefault="5C5F22F5" w:rsidP="005B6B19">
      <w:pPr>
        <w:spacing w:line="360" w:lineRule="auto"/>
        <w:jc w:val="both"/>
        <w:rPr>
          <w:rFonts w:ascii="Arial" w:hAnsi="Arial" w:cs="Arial"/>
        </w:rPr>
      </w:pPr>
      <w:r w:rsidRPr="0072626D">
        <w:rPr>
          <w:rFonts w:ascii="Arial" w:hAnsi="Arial" w:cs="Arial"/>
        </w:rPr>
        <w:t>Healthcare quality encompasses care that is safe, effective, person-centred, timely, efficient and equitable, making these dimensions fundamental to patient safety and continuous service improvement (Institute of Medicine, 2001; WHO, 2023). Within NHS maternity services, quality depends not only on clinical competence but also on effective leadership, governance, multidisciplinary communication, workforce capacity and organisational learning (NHS England, 2023a; CQC, 2024).</w:t>
      </w:r>
    </w:p>
    <w:p w14:paraId="05344995" w14:textId="41DA9F10" w:rsidR="5C5F22F5" w:rsidRPr="0072626D" w:rsidRDefault="5C5F22F5" w:rsidP="005B6B19">
      <w:pPr>
        <w:spacing w:line="360" w:lineRule="auto"/>
        <w:jc w:val="both"/>
        <w:rPr>
          <w:rFonts w:ascii="Arial" w:hAnsi="Arial" w:cs="Arial"/>
        </w:rPr>
      </w:pPr>
      <w:r w:rsidRPr="0072626D">
        <w:rPr>
          <w:rFonts w:ascii="Arial" w:hAnsi="Arial" w:cs="Arial"/>
        </w:rPr>
        <w:t>Despite national regulation and evidence-based guidance, preventable maternal and neonatal harm remains a significant concern. The Ockenden Review examined 1,592 clinical incidents involving 1,486 families at Shrewsbury and Telford Hospital NHS Trust and identified repeated failures in governance, leadership, communication, escalation and organisational learning (Ockenden, 2022). The review concluded that different care might or would reasonably have prevented death or serious outcomes for 201 babies and identified significant or major concerns in 9 of the 12 maternal deaths examined (Ockenden, 2022). These findings demonstrate that maternity safety failures cannot be understood solely as individual clinical errors but require examination of the organisational systems in which care is delivered.</w:t>
      </w:r>
    </w:p>
    <w:p w14:paraId="3B3DE58C" w14:textId="09BE5F3D" w:rsidR="0B6D0EDC" w:rsidRPr="0072626D" w:rsidRDefault="5C5F22F5" w:rsidP="005B6B19">
      <w:pPr>
        <w:spacing w:line="360" w:lineRule="auto"/>
        <w:jc w:val="both"/>
        <w:rPr>
          <w:rFonts w:ascii="Arial" w:hAnsi="Arial" w:cs="Arial"/>
        </w:rPr>
      </w:pPr>
      <w:r w:rsidRPr="0072626D">
        <w:rPr>
          <w:rFonts w:ascii="Arial" w:hAnsi="Arial" w:cs="Arial"/>
        </w:rPr>
        <w:t>National evidence indicates that this concern extends beyond one NHS Trust. CQC's maternity inspection programme identified substantial variation in safety and leadership across maternity services, with 47% rated Requires Improvement for safety and 18% rated Inadequate (CQC, 2024). Similar organisational weaknesses were identified in the Francis Report, Morecambe Bay Investigation and East Kent Maternity Investigation, demonstrating persistent difficulties translating lessons from serious incidents into sustained organisational improvement (Francis, 2013; Kirkup, 2015; Kirkup, 2022).</w:t>
      </w:r>
    </w:p>
    <w:p w14:paraId="71760163" w14:textId="7870A91C" w:rsidR="0A297C9A" w:rsidRPr="0072626D" w:rsidRDefault="0A297C9A" w:rsidP="005B6B19">
      <w:pPr>
        <w:pStyle w:val="Heading2"/>
        <w:jc w:val="both"/>
        <w:rPr>
          <w:rFonts w:ascii="Arial" w:hAnsi="Arial" w:cs="Arial"/>
          <w:sz w:val="24"/>
          <w:szCs w:val="24"/>
        </w:rPr>
      </w:pPr>
      <w:bookmarkStart w:id="1" w:name="_Toc238025917"/>
      <w:r w:rsidRPr="0072626D">
        <w:rPr>
          <w:rFonts w:ascii="Arial" w:hAnsi="Arial" w:cs="Arial"/>
          <w:sz w:val="24"/>
          <w:szCs w:val="24"/>
        </w:rPr>
        <w:t>1.</w:t>
      </w:r>
      <w:r w:rsidR="002E2C8D" w:rsidRPr="0072626D">
        <w:rPr>
          <w:rFonts w:ascii="Arial" w:hAnsi="Arial" w:cs="Arial"/>
          <w:sz w:val="24"/>
          <w:szCs w:val="24"/>
        </w:rPr>
        <w:t xml:space="preserve">2 </w:t>
      </w:r>
      <w:r w:rsidRPr="0072626D">
        <w:rPr>
          <w:rFonts w:ascii="Arial" w:hAnsi="Arial" w:cs="Arial"/>
          <w:sz w:val="24"/>
          <w:szCs w:val="24"/>
        </w:rPr>
        <w:t>Rationale</w:t>
      </w:r>
      <w:bookmarkEnd w:id="1"/>
      <w:r w:rsidRPr="0072626D">
        <w:rPr>
          <w:rFonts w:ascii="Arial" w:hAnsi="Arial" w:cs="Arial"/>
          <w:sz w:val="24"/>
          <w:szCs w:val="24"/>
        </w:rPr>
        <w:t xml:space="preserve"> </w:t>
      </w:r>
    </w:p>
    <w:p w14:paraId="78D310CA" w14:textId="35D03FBD" w:rsidR="0A297C9A" w:rsidRPr="0072626D" w:rsidRDefault="0A297C9A" w:rsidP="005B6B19">
      <w:pPr>
        <w:spacing w:line="360" w:lineRule="auto"/>
        <w:jc w:val="both"/>
        <w:rPr>
          <w:rFonts w:ascii="Arial" w:hAnsi="Arial" w:cs="Arial"/>
        </w:rPr>
      </w:pPr>
      <w:r w:rsidRPr="0072626D">
        <w:rPr>
          <w:rFonts w:ascii="Arial" w:hAnsi="Arial" w:cs="Arial"/>
        </w:rPr>
        <w:t>The Ockenden Review was selected because its scale and detailed examination of recurrent organisational failures provide a strong case study for evaluating quality management and service improvement. Importantly, it demonstrates that having evidence-based guidance is insufficient when leadership, governance, workforce capability and organisational culture do not support consistent implementation (Ockenden, 2022; NHS England, 2023a).</w:t>
      </w:r>
    </w:p>
    <w:p w14:paraId="0F3E2A8F" w14:textId="2114CC8B" w:rsidR="00300DE1" w:rsidRPr="0072626D" w:rsidRDefault="00300DE1" w:rsidP="005B6B19">
      <w:pPr>
        <w:pStyle w:val="Heading2"/>
        <w:jc w:val="both"/>
        <w:rPr>
          <w:rFonts w:ascii="Arial" w:hAnsi="Arial" w:cs="Arial"/>
          <w:sz w:val="24"/>
          <w:szCs w:val="24"/>
        </w:rPr>
      </w:pPr>
      <w:bookmarkStart w:id="2" w:name="_Toc238025918"/>
      <w:r w:rsidRPr="0072626D">
        <w:rPr>
          <w:rFonts w:ascii="Arial" w:hAnsi="Arial" w:cs="Arial"/>
          <w:sz w:val="24"/>
          <w:szCs w:val="24"/>
        </w:rPr>
        <w:t>1.</w:t>
      </w:r>
      <w:r w:rsidR="00832557" w:rsidRPr="0072626D">
        <w:rPr>
          <w:rFonts w:ascii="Arial" w:hAnsi="Arial" w:cs="Arial"/>
          <w:sz w:val="24"/>
          <w:szCs w:val="24"/>
        </w:rPr>
        <w:t>3</w:t>
      </w:r>
      <w:r w:rsidRPr="0072626D">
        <w:rPr>
          <w:rFonts w:ascii="Arial" w:hAnsi="Arial" w:cs="Arial"/>
          <w:sz w:val="24"/>
          <w:szCs w:val="24"/>
        </w:rPr>
        <w:t xml:space="preserve"> Aim and Objectives</w:t>
      </w:r>
      <w:bookmarkEnd w:id="2"/>
    </w:p>
    <w:p w14:paraId="06506F55" w14:textId="7AFD7671" w:rsidR="003A4B9D" w:rsidRPr="0072626D" w:rsidRDefault="0A297C9A" w:rsidP="005B6B19">
      <w:pPr>
        <w:spacing w:line="360" w:lineRule="auto"/>
        <w:jc w:val="both"/>
        <w:rPr>
          <w:rFonts w:ascii="Arial" w:hAnsi="Arial" w:cs="Arial"/>
        </w:rPr>
      </w:pPr>
      <w:r w:rsidRPr="0072626D">
        <w:rPr>
          <w:rFonts w:ascii="Arial" w:hAnsi="Arial" w:cs="Arial"/>
        </w:rPr>
        <w:t>This report critically evaluates the organisational causes of quality and patient safety failures identified in the Ockenden Review using Fishbone analysis, Five Whys, Donabedian's Structure–Process–Outcome model, SWOT, CFIR, NPT and PARIHS. It then develops evidence-based recommendations addressing governance, leadership, workforce capability, organisational learning, digital innovation and health inequalities, supported by a Plan–Do–Study–Act (PDSA) implementation strategy.</w:t>
      </w:r>
    </w:p>
    <w:p w14:paraId="3582989C" w14:textId="77777777" w:rsidR="00EA0BB7" w:rsidRPr="0072626D" w:rsidRDefault="00EA0BB7" w:rsidP="005B6B19">
      <w:pPr>
        <w:spacing w:line="360" w:lineRule="auto"/>
        <w:jc w:val="both"/>
        <w:rPr>
          <w:rFonts w:ascii="Arial" w:hAnsi="Arial" w:cs="Arial"/>
        </w:rPr>
      </w:pPr>
    </w:p>
    <w:p w14:paraId="2D3C820C" w14:textId="77777777" w:rsidR="00EA0BB7" w:rsidRPr="0072626D" w:rsidRDefault="00EA0BB7" w:rsidP="005B6B19">
      <w:pPr>
        <w:spacing w:line="360" w:lineRule="auto"/>
        <w:jc w:val="both"/>
        <w:rPr>
          <w:rFonts w:ascii="Arial" w:hAnsi="Arial" w:cs="Arial"/>
        </w:rPr>
      </w:pPr>
    </w:p>
    <w:p w14:paraId="4A531887" w14:textId="77777777" w:rsidR="00EA0BB7" w:rsidRPr="0072626D" w:rsidRDefault="00EA0BB7" w:rsidP="005B6B19">
      <w:pPr>
        <w:spacing w:line="360" w:lineRule="auto"/>
        <w:jc w:val="both"/>
        <w:rPr>
          <w:rFonts w:ascii="Arial" w:hAnsi="Arial" w:cs="Arial"/>
        </w:rPr>
      </w:pPr>
    </w:p>
    <w:p w14:paraId="7AADD0F1" w14:textId="77777777" w:rsidR="00EA0BB7" w:rsidRPr="0072626D" w:rsidRDefault="00EA0BB7" w:rsidP="005B6B19">
      <w:pPr>
        <w:spacing w:line="360" w:lineRule="auto"/>
        <w:jc w:val="both"/>
        <w:rPr>
          <w:rFonts w:ascii="Arial" w:hAnsi="Arial" w:cs="Arial"/>
        </w:rPr>
      </w:pPr>
    </w:p>
    <w:p w14:paraId="1D0103B9" w14:textId="77777777" w:rsidR="00EA0BB7" w:rsidRPr="0072626D" w:rsidRDefault="00EA0BB7" w:rsidP="005B6B19">
      <w:pPr>
        <w:spacing w:line="360" w:lineRule="auto"/>
        <w:jc w:val="both"/>
        <w:rPr>
          <w:rFonts w:ascii="Arial" w:hAnsi="Arial" w:cs="Arial"/>
        </w:rPr>
      </w:pPr>
    </w:p>
    <w:p w14:paraId="3C731024" w14:textId="77777777" w:rsidR="00EA0BB7" w:rsidRPr="0072626D" w:rsidRDefault="00EA0BB7" w:rsidP="005B6B19">
      <w:pPr>
        <w:spacing w:line="360" w:lineRule="auto"/>
        <w:jc w:val="both"/>
        <w:rPr>
          <w:rFonts w:ascii="Arial" w:hAnsi="Arial" w:cs="Arial"/>
        </w:rPr>
      </w:pPr>
    </w:p>
    <w:p w14:paraId="7EE16267" w14:textId="77777777" w:rsidR="00EA0BB7" w:rsidRPr="0072626D" w:rsidRDefault="00EA0BB7" w:rsidP="005B6B19">
      <w:pPr>
        <w:spacing w:line="360" w:lineRule="auto"/>
        <w:jc w:val="both"/>
        <w:rPr>
          <w:rFonts w:ascii="Arial" w:hAnsi="Arial" w:cs="Arial"/>
        </w:rPr>
      </w:pPr>
    </w:p>
    <w:p w14:paraId="4E00F8FE" w14:textId="77777777" w:rsidR="00EA0BB7" w:rsidRPr="0072626D" w:rsidRDefault="00EA0BB7" w:rsidP="005B6B19">
      <w:pPr>
        <w:spacing w:line="360" w:lineRule="auto"/>
        <w:jc w:val="both"/>
        <w:rPr>
          <w:rFonts w:ascii="Arial" w:hAnsi="Arial" w:cs="Arial"/>
        </w:rPr>
      </w:pPr>
    </w:p>
    <w:p w14:paraId="0A4EF6E4" w14:textId="77777777" w:rsidR="00EA0BB7" w:rsidRPr="0072626D" w:rsidRDefault="00EA0BB7" w:rsidP="005B6B19">
      <w:pPr>
        <w:spacing w:line="360" w:lineRule="auto"/>
        <w:jc w:val="both"/>
        <w:rPr>
          <w:rFonts w:ascii="Arial" w:hAnsi="Arial" w:cs="Arial"/>
        </w:rPr>
      </w:pPr>
    </w:p>
    <w:p w14:paraId="5D40330D" w14:textId="77777777" w:rsidR="00EA0BB7" w:rsidRPr="0072626D" w:rsidRDefault="00EA0BB7" w:rsidP="005B6B19">
      <w:pPr>
        <w:spacing w:line="360" w:lineRule="auto"/>
        <w:jc w:val="both"/>
        <w:rPr>
          <w:rFonts w:ascii="Arial" w:hAnsi="Arial" w:cs="Arial"/>
        </w:rPr>
      </w:pPr>
    </w:p>
    <w:p w14:paraId="4CDF2137" w14:textId="77777777" w:rsidR="00EA0BB7" w:rsidRPr="0072626D" w:rsidRDefault="00EA0BB7" w:rsidP="005B6B19">
      <w:pPr>
        <w:spacing w:line="360" w:lineRule="auto"/>
        <w:jc w:val="both"/>
        <w:rPr>
          <w:rFonts w:ascii="Arial" w:hAnsi="Arial" w:cs="Arial"/>
        </w:rPr>
      </w:pPr>
    </w:p>
    <w:p w14:paraId="4A06F6DE" w14:textId="77777777" w:rsidR="00EA0BB7" w:rsidRPr="0072626D" w:rsidRDefault="00EA0BB7" w:rsidP="005B6B19">
      <w:pPr>
        <w:spacing w:line="360" w:lineRule="auto"/>
        <w:jc w:val="both"/>
        <w:rPr>
          <w:rFonts w:ascii="Arial" w:hAnsi="Arial" w:cs="Arial"/>
        </w:rPr>
      </w:pPr>
    </w:p>
    <w:p w14:paraId="20A8D63D" w14:textId="77777777" w:rsidR="00EA0BB7" w:rsidRPr="0072626D" w:rsidRDefault="00EA0BB7" w:rsidP="005B6B19">
      <w:pPr>
        <w:spacing w:line="360" w:lineRule="auto"/>
        <w:jc w:val="both"/>
        <w:rPr>
          <w:rFonts w:ascii="Arial" w:hAnsi="Arial" w:cs="Arial"/>
        </w:rPr>
      </w:pPr>
    </w:p>
    <w:p w14:paraId="44BFC0AB" w14:textId="77777777" w:rsidR="00EA0BB7" w:rsidRPr="0072626D" w:rsidRDefault="00EA0BB7" w:rsidP="005B6B19">
      <w:pPr>
        <w:spacing w:line="360" w:lineRule="auto"/>
        <w:jc w:val="both"/>
        <w:rPr>
          <w:rFonts w:ascii="Arial" w:hAnsi="Arial" w:cs="Arial"/>
        </w:rPr>
      </w:pPr>
    </w:p>
    <w:p w14:paraId="7AEAD2F7" w14:textId="77777777" w:rsidR="00EA0BB7" w:rsidRPr="0072626D" w:rsidRDefault="00EA0BB7" w:rsidP="005B6B19">
      <w:pPr>
        <w:spacing w:line="360" w:lineRule="auto"/>
        <w:jc w:val="both"/>
        <w:rPr>
          <w:rFonts w:ascii="Arial" w:hAnsi="Arial" w:cs="Arial"/>
        </w:rPr>
      </w:pPr>
    </w:p>
    <w:p w14:paraId="5BA36AC6" w14:textId="77777777" w:rsidR="00367253" w:rsidRPr="0072626D" w:rsidRDefault="00367253" w:rsidP="005B6B19">
      <w:pPr>
        <w:spacing w:line="360" w:lineRule="auto"/>
        <w:jc w:val="both"/>
        <w:rPr>
          <w:rFonts w:ascii="Arial" w:hAnsi="Arial" w:cs="Arial"/>
        </w:rPr>
      </w:pPr>
    </w:p>
    <w:p w14:paraId="31979F95" w14:textId="2B902820" w:rsidR="00CF3D1E" w:rsidRPr="0072626D" w:rsidRDefault="00CF3D1E" w:rsidP="005B6B19">
      <w:pPr>
        <w:pStyle w:val="Heading2"/>
        <w:jc w:val="both"/>
        <w:rPr>
          <w:rFonts w:ascii="Arial" w:hAnsi="Arial" w:cs="Arial"/>
          <w:sz w:val="24"/>
          <w:szCs w:val="24"/>
        </w:rPr>
      </w:pPr>
      <w:bookmarkStart w:id="3" w:name="_Toc238025919"/>
      <w:r w:rsidRPr="0072626D">
        <w:rPr>
          <w:rFonts w:ascii="Arial" w:hAnsi="Arial" w:cs="Arial"/>
          <w:sz w:val="24"/>
          <w:szCs w:val="24"/>
        </w:rPr>
        <w:t>2.0 Systems Analysis of the Quality Concern</w:t>
      </w:r>
      <w:bookmarkEnd w:id="3"/>
      <w:r w:rsidRPr="0072626D">
        <w:rPr>
          <w:rFonts w:ascii="Arial" w:hAnsi="Arial" w:cs="Arial"/>
          <w:sz w:val="24"/>
          <w:szCs w:val="24"/>
        </w:rPr>
        <w:t xml:space="preserve"> </w:t>
      </w:r>
    </w:p>
    <w:p w14:paraId="6A544EEA" w14:textId="53973BD1" w:rsidR="000D48B4" w:rsidRPr="0072626D" w:rsidRDefault="000D48B4" w:rsidP="000D48B4">
      <w:pPr>
        <w:jc w:val="both"/>
        <w:rPr>
          <w:rFonts w:ascii="Arial" w:hAnsi="Arial" w:cs="Arial"/>
        </w:rPr>
      </w:pPr>
      <w:r w:rsidRPr="0072626D">
        <w:rPr>
          <w:rFonts w:ascii="Arial" w:hAnsi="Arial" w:cs="Arial"/>
        </w:rPr>
        <w:t xml:space="preserve">Healthcare quality requires safe, effective, person-centred, timely, efficient and equitable care, supported by effective governance, workforce capability and organisational learning (Institute of Medicine, 2001; WHO, 2023; NHS England, 2023a; CQC, 2024). Systems thinking conceptualises healthcare organisations as complex adaptive systems in which outcomes emerge through interactions between people, processes, technology and organisational structures (Braithwaite </w:t>
      </w:r>
      <w:r w:rsidRPr="0072626D">
        <w:rPr>
          <w:rFonts w:ascii="Arial" w:hAnsi="Arial" w:cs="Arial"/>
          <w:i/>
          <w:iCs/>
        </w:rPr>
        <w:t>et al.,</w:t>
      </w:r>
      <w:r w:rsidRPr="0072626D">
        <w:rPr>
          <w:rFonts w:ascii="Arial" w:hAnsi="Arial" w:cs="Arial"/>
        </w:rPr>
        <w:t xml:space="preserve"> 2018; </w:t>
      </w:r>
      <w:proofErr w:type="spellStart"/>
      <w:r w:rsidRPr="0072626D">
        <w:rPr>
          <w:rFonts w:ascii="Arial" w:hAnsi="Arial" w:cs="Arial"/>
        </w:rPr>
        <w:t>Carayon</w:t>
      </w:r>
      <w:proofErr w:type="spellEnd"/>
      <w:r w:rsidRPr="0072626D">
        <w:rPr>
          <w:rFonts w:ascii="Arial" w:hAnsi="Arial" w:cs="Arial"/>
        </w:rPr>
        <w:t xml:space="preserve"> </w:t>
      </w:r>
      <w:r w:rsidRPr="0072626D">
        <w:rPr>
          <w:rFonts w:ascii="Arial" w:hAnsi="Arial" w:cs="Arial"/>
          <w:i/>
          <w:iCs/>
        </w:rPr>
        <w:t>et al.,</w:t>
      </w:r>
      <w:r w:rsidRPr="0072626D">
        <w:rPr>
          <w:rFonts w:ascii="Arial" w:hAnsi="Arial" w:cs="Arial"/>
        </w:rPr>
        <w:t xml:space="preserve"> 2020). Preventable harm should therefore be understood through interacting weaknesses in governance, workforce, communication and organisational culture rather than individual error alone (Reason, 2000; Hollnagel, 2014).</w:t>
      </w:r>
    </w:p>
    <w:p w14:paraId="20116588" w14:textId="77777777" w:rsidR="0072626D" w:rsidRPr="0072626D" w:rsidRDefault="000D48B4" w:rsidP="005B6B19">
      <w:pPr>
        <w:jc w:val="both"/>
        <w:rPr>
          <w:rFonts w:ascii="Arial" w:hAnsi="Arial" w:cs="Arial"/>
        </w:rPr>
      </w:pPr>
      <w:r w:rsidRPr="0072626D">
        <w:rPr>
          <w:rFonts w:ascii="Arial" w:hAnsi="Arial" w:cs="Arial"/>
        </w:rPr>
        <w:t xml:space="preserve">This perspective is reflected in Ockenden's examination of </w:t>
      </w:r>
      <w:r w:rsidRPr="0072626D">
        <w:rPr>
          <w:rFonts w:ascii="Arial" w:hAnsi="Arial" w:cs="Arial"/>
          <w:b/>
          <w:bCs/>
        </w:rPr>
        <w:t>1,592 incidents involving 1,486 families</w:t>
      </w:r>
      <w:r w:rsidRPr="0072626D">
        <w:rPr>
          <w:rFonts w:ascii="Arial" w:hAnsi="Arial" w:cs="Arial"/>
        </w:rPr>
        <w:t xml:space="preserve">, where different care might or would reasonably have prevented death or serious outcomes for </w:t>
      </w:r>
      <w:r w:rsidRPr="0072626D">
        <w:rPr>
          <w:rFonts w:ascii="Arial" w:hAnsi="Arial" w:cs="Arial"/>
          <w:b/>
          <w:bCs/>
        </w:rPr>
        <w:t>201 babies</w:t>
      </w:r>
      <w:r w:rsidRPr="0072626D">
        <w:rPr>
          <w:rFonts w:ascii="Arial" w:hAnsi="Arial" w:cs="Arial"/>
        </w:rPr>
        <w:t xml:space="preserve">, with significant or major concerns identified in </w:t>
      </w:r>
      <w:r w:rsidRPr="0072626D">
        <w:rPr>
          <w:rFonts w:ascii="Arial" w:hAnsi="Arial" w:cs="Arial"/>
          <w:b/>
          <w:bCs/>
        </w:rPr>
        <w:t>9 of 12 maternal deaths</w:t>
      </w:r>
      <w:r w:rsidRPr="0072626D">
        <w:rPr>
          <w:rFonts w:ascii="Arial" w:hAnsi="Arial" w:cs="Arial"/>
        </w:rPr>
        <w:t xml:space="preserve"> (Ockenden, 2022). Similar failures reported by Francis (2013), Kirkup (2015) and Kirkup (2022) demonstrate persistent difficulty translating organisational learning into sustained improvement. </w:t>
      </w:r>
      <w:r w:rsidR="0072626D" w:rsidRPr="0072626D">
        <w:rPr>
          <w:rFonts w:ascii="Arial" w:hAnsi="Arial" w:cs="Arial"/>
        </w:rPr>
        <w:t>“Therefore, effective maternity improvement requires system-level change rather than individual accountability.”</w:t>
      </w:r>
    </w:p>
    <w:p w14:paraId="7F8568E3" w14:textId="540D5F64" w:rsidR="3FED612D" w:rsidRPr="0072626D" w:rsidRDefault="3FED612D" w:rsidP="005B6B19">
      <w:pPr>
        <w:jc w:val="both"/>
        <w:rPr>
          <w:rStyle w:val="Heading2Char"/>
          <w:rFonts w:ascii="Arial" w:hAnsi="Arial" w:cs="Arial"/>
          <w:sz w:val="24"/>
          <w:szCs w:val="24"/>
        </w:rPr>
      </w:pPr>
      <w:bookmarkStart w:id="4" w:name="_Toc238025920"/>
      <w:r w:rsidRPr="0072626D">
        <w:rPr>
          <w:rStyle w:val="Heading2Char"/>
          <w:rFonts w:ascii="Arial" w:hAnsi="Arial" w:cs="Arial"/>
          <w:sz w:val="24"/>
          <w:szCs w:val="24"/>
        </w:rPr>
        <w:t>2.</w:t>
      </w:r>
      <w:r w:rsidR="00804AC7" w:rsidRPr="0072626D">
        <w:rPr>
          <w:rStyle w:val="Heading2Char"/>
          <w:rFonts w:ascii="Arial" w:hAnsi="Arial" w:cs="Arial"/>
          <w:sz w:val="24"/>
          <w:szCs w:val="24"/>
        </w:rPr>
        <w:t>1</w:t>
      </w:r>
      <w:r w:rsidRPr="0072626D">
        <w:rPr>
          <w:rStyle w:val="Heading2Char"/>
          <w:rFonts w:ascii="Arial" w:hAnsi="Arial" w:cs="Arial"/>
          <w:sz w:val="24"/>
          <w:szCs w:val="24"/>
        </w:rPr>
        <w:t xml:space="preserve"> Root Cause Analysis Using the Fishbone Diagram</w:t>
      </w:r>
      <w:bookmarkEnd w:id="4"/>
    </w:p>
    <w:p w14:paraId="6AFCDF11" w14:textId="6AAFBAA5" w:rsidR="3FED612D" w:rsidRPr="0072626D" w:rsidRDefault="00771C08" w:rsidP="005B6B19">
      <w:pPr>
        <w:spacing w:line="360" w:lineRule="auto"/>
        <w:jc w:val="both"/>
        <w:rPr>
          <w:rFonts w:ascii="Arial" w:hAnsi="Arial" w:cs="Arial"/>
        </w:rPr>
      </w:pPr>
      <w:r w:rsidRPr="0072626D">
        <w:rPr>
          <w:rFonts w:ascii="Arial" w:hAnsi="Arial" w:cs="Arial"/>
        </w:rPr>
        <w:t xml:space="preserve"> </w:t>
      </w:r>
      <w:r w:rsidR="3FED612D" w:rsidRPr="0072626D">
        <w:rPr>
          <w:rFonts w:ascii="Arial" w:hAnsi="Arial" w:cs="Arial"/>
        </w:rPr>
        <w:t>The Fishbone Diagram, developed by Ishikawa (1986), is a quality management tool that identifies and categorises multiple contributory causes of a defined problem. In healthcare, it supports root cause analysis by examining how organisational factors such as leadership, workforce, communication, clinical processes, governance and culture interact, thereby shifting analysis away from individual blame towards system improvement (Ishikawa, 1986; Reason, 2000; NHS England, 2023a).</w:t>
      </w:r>
    </w:p>
    <w:p w14:paraId="00A37E9D" w14:textId="45A7BE87" w:rsidR="00771C08" w:rsidRPr="0072626D" w:rsidRDefault="3FED612D" w:rsidP="00771C08">
      <w:pPr>
        <w:spacing w:line="360" w:lineRule="auto"/>
        <w:jc w:val="both"/>
        <w:rPr>
          <w:rFonts w:ascii="Arial" w:hAnsi="Arial" w:cs="Arial"/>
        </w:rPr>
      </w:pPr>
      <w:r w:rsidRPr="0072626D">
        <w:rPr>
          <w:rFonts w:ascii="Arial" w:hAnsi="Arial" w:cs="Arial"/>
        </w:rPr>
        <w:t xml:space="preserve">Applied to Ockenden, the framework identifies interconnected weaknesses including ineffective leadership and governance, workforce shortages, inconsistent competency assessment, delayed escalation, cardiotocography (CTG) misinterpretation, poor multidisciplinary communication and failure to listen to women and families (Ockenden, 2022). Nationally, CQC findings </w:t>
      </w:r>
      <w:r w:rsidR="00015645">
        <w:rPr>
          <w:rFonts w:ascii="Arial" w:hAnsi="Arial" w:cs="Arial"/>
        </w:rPr>
        <w:t>show</w:t>
      </w:r>
      <w:r w:rsidRPr="0072626D">
        <w:rPr>
          <w:rFonts w:ascii="Arial" w:hAnsi="Arial" w:cs="Arial"/>
        </w:rPr>
        <w:t xml:space="preserve"> 47% of maternity services requiring improvement for safety and 18% rated inadequate further indicate that organisational weaknesses extend beyond a single Trust (CQC, 2024).</w:t>
      </w:r>
    </w:p>
    <w:p w14:paraId="619E0C36" w14:textId="12EAAACA" w:rsidR="3FED612D" w:rsidRPr="0072626D" w:rsidRDefault="00771C08" w:rsidP="005B6B19">
      <w:pPr>
        <w:spacing w:line="360" w:lineRule="auto"/>
        <w:jc w:val="both"/>
        <w:rPr>
          <w:rFonts w:ascii="Arial" w:hAnsi="Arial" w:cs="Arial"/>
        </w:rPr>
      </w:pPr>
      <w:r w:rsidRPr="0072626D">
        <w:rPr>
          <w:rFonts w:ascii="Arial" w:hAnsi="Arial" w:cs="Arial"/>
        </w:rPr>
        <w:t xml:space="preserve">The Fishbone Diagram is valuable because it provides a structured, systems-based analysis and facilitates multidisciplinary learning rather than individual blame (Reason, 2000). However, identifying contributory factors does not establish why they persisted. </w:t>
      </w:r>
      <w:r w:rsidR="00804AC7" w:rsidRPr="0072626D">
        <w:rPr>
          <w:rFonts w:ascii="Arial" w:hAnsi="Arial" w:cs="Arial"/>
          <w:noProof/>
        </w:rPr>
        <w:drawing>
          <wp:anchor distT="0" distB="0" distL="114300" distR="114300" simplePos="0" relativeHeight="251664896" behindDoc="0" locked="0" layoutInCell="1" allowOverlap="1" wp14:anchorId="38C7C315" wp14:editId="2B9D33D2">
            <wp:simplePos x="0" y="0"/>
            <wp:positionH relativeFrom="column">
              <wp:posOffset>-285750</wp:posOffset>
            </wp:positionH>
            <wp:positionV relativeFrom="page">
              <wp:posOffset>1537970</wp:posOffset>
            </wp:positionV>
            <wp:extent cx="6074410" cy="2818765"/>
            <wp:effectExtent l="0" t="0" r="2540" b="635"/>
            <wp:wrapTopAndBottom/>
            <wp:docPr id="262726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74410" cy="2818765"/>
                    </a:xfrm>
                    <a:prstGeom prst="rect">
                      <a:avLst/>
                    </a:prstGeom>
                    <a:noFill/>
                  </pic:spPr>
                </pic:pic>
              </a:graphicData>
            </a:graphic>
            <wp14:sizeRelH relativeFrom="margin">
              <wp14:pctWidth>0</wp14:pctWidth>
            </wp14:sizeRelH>
            <wp14:sizeRelV relativeFrom="margin">
              <wp14:pctHeight>0</wp14:pctHeight>
            </wp14:sizeRelV>
          </wp:anchor>
        </w:drawing>
      </w:r>
      <w:r w:rsidRPr="0072626D">
        <w:rPr>
          <w:rFonts w:ascii="Arial" w:hAnsi="Arial" w:cs="Arial"/>
        </w:rPr>
        <w:t>Therefore, the Five Whys provides the next level of root-cause analysis.</w:t>
      </w:r>
    </w:p>
    <w:p w14:paraId="41E45FFF" w14:textId="7375C037" w:rsidR="00771C08" w:rsidRPr="00802719" w:rsidRDefault="00802719" w:rsidP="005B6B19">
      <w:pPr>
        <w:spacing w:line="360" w:lineRule="auto"/>
        <w:jc w:val="both"/>
        <w:rPr>
          <w:rFonts w:ascii="Arial" w:hAnsi="Arial" w:cs="Arial"/>
        </w:rPr>
      </w:pPr>
      <w:r w:rsidRPr="00802719">
        <w:rPr>
          <w:rFonts w:ascii="Arial" w:hAnsi="Arial" w:cs="Arial"/>
        </w:rPr>
        <w:t xml:space="preserve">Figure 1. Fishbone analysis of organisational factors affecting maternity care quality and patient safety. Adapted from </w:t>
      </w:r>
      <w:proofErr w:type="spellStart"/>
      <w:r w:rsidRPr="00802719">
        <w:rPr>
          <w:rFonts w:ascii="Arial" w:hAnsi="Arial" w:cs="Arial"/>
        </w:rPr>
        <w:t>ConceptDraw</w:t>
      </w:r>
      <w:proofErr w:type="spellEnd"/>
      <w:r w:rsidRPr="00802719">
        <w:rPr>
          <w:rFonts w:ascii="Arial" w:hAnsi="Arial" w:cs="Arial"/>
        </w:rPr>
        <w:t xml:space="preserve"> (n.d.) and informed by Ishikawa (1986), Reason (2000) and Ockenden (2022).</w:t>
      </w:r>
    </w:p>
    <w:p w14:paraId="6A0B693C" w14:textId="257DD0A4" w:rsidR="3FED612D" w:rsidRPr="0072626D" w:rsidRDefault="5AF12AA3" w:rsidP="005B6B19">
      <w:pPr>
        <w:pStyle w:val="Heading2"/>
        <w:jc w:val="both"/>
        <w:rPr>
          <w:rFonts w:ascii="Arial" w:hAnsi="Arial" w:cs="Arial"/>
          <w:sz w:val="24"/>
          <w:szCs w:val="24"/>
        </w:rPr>
      </w:pPr>
      <w:bookmarkStart w:id="5" w:name="_Toc238025921"/>
      <w:r w:rsidRPr="0072626D">
        <w:rPr>
          <w:rFonts w:ascii="Arial" w:hAnsi="Arial" w:cs="Arial"/>
          <w:sz w:val="24"/>
          <w:szCs w:val="24"/>
        </w:rPr>
        <w:t>2.</w:t>
      </w:r>
      <w:r w:rsidR="00804AC7" w:rsidRPr="0072626D">
        <w:rPr>
          <w:rFonts w:ascii="Arial" w:hAnsi="Arial" w:cs="Arial"/>
          <w:sz w:val="24"/>
          <w:szCs w:val="24"/>
        </w:rPr>
        <w:t>2</w:t>
      </w:r>
      <w:r w:rsidRPr="0072626D">
        <w:rPr>
          <w:rFonts w:ascii="Arial" w:hAnsi="Arial" w:cs="Arial"/>
          <w:sz w:val="24"/>
          <w:szCs w:val="24"/>
        </w:rPr>
        <w:t xml:space="preserve"> Root Cause Analysis Using the Five Whys</w:t>
      </w:r>
      <w:bookmarkEnd w:id="5"/>
    </w:p>
    <w:p w14:paraId="6898AF18" w14:textId="61F995B3" w:rsidR="3EEBD73D" w:rsidRPr="0072626D" w:rsidRDefault="3EEBD73D" w:rsidP="005B6B19">
      <w:pPr>
        <w:jc w:val="both"/>
        <w:rPr>
          <w:rFonts w:ascii="Arial" w:hAnsi="Arial" w:cs="Arial"/>
        </w:rPr>
      </w:pPr>
      <w:r w:rsidRPr="0072626D">
        <w:rPr>
          <w:rFonts w:ascii="Arial" w:hAnsi="Arial" w:cs="Arial"/>
        </w:rPr>
        <w:t>The Five Whys, developed by Ohno (1988), is a root-cause analysis technique that repeatedly asks why an adverse event occurred to move from its immediate manifestation towards underlying organisational causes. In healthcare quality management, it is valuable because it redirects investigation from individual error towards the systems and organisational conditions influencing unsafe care (Ohno, 1988; Reason, 2000). Applied to Ockenden, it helps examine why recognised maternity safety problems were allowed to persist rather than merely identifying what went wrong.</w:t>
      </w:r>
    </w:p>
    <w:p w14:paraId="28489B2C" w14:textId="0F02585E" w:rsidR="68556627" w:rsidRPr="0072626D" w:rsidRDefault="68556627" w:rsidP="005B6B19">
      <w:pPr>
        <w:jc w:val="both"/>
        <w:rPr>
          <w:rFonts w:ascii="Arial" w:hAnsi="Arial" w:cs="Arial"/>
          <w:b/>
          <w:bCs/>
        </w:rPr>
      </w:pPr>
      <w:r w:rsidRPr="0072626D">
        <w:rPr>
          <w:rFonts w:ascii="Arial" w:hAnsi="Arial" w:cs="Arial"/>
          <w:b/>
          <w:bCs/>
        </w:rPr>
        <w:t xml:space="preserve">Five Whys </w:t>
      </w:r>
      <w:r w:rsidR="00EA0BB7" w:rsidRPr="0072626D">
        <w:rPr>
          <w:rFonts w:ascii="Arial" w:hAnsi="Arial" w:cs="Arial"/>
          <w:b/>
          <w:bCs/>
        </w:rPr>
        <w:t>Analysis</w:t>
      </w:r>
      <w:r w:rsidRPr="0072626D">
        <w:rPr>
          <w:rFonts w:ascii="Arial" w:hAnsi="Arial" w:cs="Arial"/>
          <w:b/>
          <w:bCs/>
        </w:rPr>
        <w:t xml:space="preserve"> Applied to the Ockenden Review</w:t>
      </w:r>
      <w:r w:rsidR="00804AC7" w:rsidRPr="0072626D">
        <w:rPr>
          <w:rFonts w:ascii="Arial" w:hAnsi="Arial" w:cs="Arial"/>
          <w:b/>
          <w:bCs/>
        </w:rPr>
        <w:t xml:space="preserve"> </w:t>
      </w:r>
    </w:p>
    <w:tbl>
      <w:tblPr>
        <w:tblW w:w="9786" w:type="dxa"/>
        <w:tblCellSpacing w:w="15" w:type="dxa"/>
        <w:tblInd w:w="-426" w:type="dxa"/>
        <w:tblCellMar>
          <w:top w:w="15" w:type="dxa"/>
          <w:left w:w="15" w:type="dxa"/>
          <w:bottom w:w="15" w:type="dxa"/>
          <w:right w:w="15" w:type="dxa"/>
        </w:tblCellMar>
        <w:tblLook w:val="04A0" w:firstRow="1" w:lastRow="0" w:firstColumn="1" w:lastColumn="0" w:noHBand="0" w:noVBand="1"/>
      </w:tblPr>
      <w:tblGrid>
        <w:gridCol w:w="1036"/>
        <w:gridCol w:w="2382"/>
        <w:gridCol w:w="6368"/>
      </w:tblGrid>
      <w:tr w:rsidR="005B6B19" w:rsidRPr="0072626D" w14:paraId="772EA03C" w14:textId="77777777" w:rsidTr="005B6B19">
        <w:trPr>
          <w:tblHeader/>
          <w:tblCellSpacing w:w="15" w:type="dxa"/>
        </w:trPr>
        <w:tc>
          <w:tcPr>
            <w:tcW w:w="948" w:type="dxa"/>
            <w:vAlign w:val="center"/>
            <w:hideMark/>
          </w:tcPr>
          <w:p w14:paraId="3BE3684D" w14:textId="77777777" w:rsidR="005B6B19" w:rsidRPr="0072626D" w:rsidRDefault="005B6B19" w:rsidP="005B6B19">
            <w:pPr>
              <w:spacing w:after="0" w:line="240" w:lineRule="auto"/>
              <w:jc w:val="both"/>
              <w:rPr>
                <w:rFonts w:ascii="Arial" w:eastAsia="Times New Roman" w:hAnsi="Arial" w:cs="Arial"/>
                <w:b/>
                <w:bCs/>
                <w:kern w:val="0"/>
                <w:lang w:eastAsia="en-GB"/>
                <w14:ligatures w14:val="none"/>
              </w:rPr>
            </w:pPr>
            <w:r w:rsidRPr="0072626D">
              <w:rPr>
                <w:rFonts w:ascii="Arial" w:eastAsia="Times New Roman" w:hAnsi="Arial" w:cs="Arial"/>
                <w:b/>
                <w:bCs/>
                <w:kern w:val="0"/>
                <w:lang w:eastAsia="en-GB"/>
                <w14:ligatures w14:val="none"/>
              </w:rPr>
              <w:t>Stage</w:t>
            </w:r>
          </w:p>
        </w:tc>
        <w:tc>
          <w:tcPr>
            <w:tcW w:w="2238" w:type="dxa"/>
            <w:vAlign w:val="center"/>
            <w:hideMark/>
          </w:tcPr>
          <w:p w14:paraId="1E25376E" w14:textId="77777777" w:rsidR="005B6B19" w:rsidRPr="0072626D" w:rsidRDefault="005B6B19" w:rsidP="005B6B19">
            <w:pPr>
              <w:spacing w:after="0" w:line="240" w:lineRule="auto"/>
              <w:jc w:val="both"/>
              <w:rPr>
                <w:rFonts w:ascii="Arial" w:eastAsia="Times New Roman" w:hAnsi="Arial" w:cs="Arial"/>
                <w:b/>
                <w:bCs/>
                <w:kern w:val="0"/>
                <w:lang w:eastAsia="en-GB"/>
                <w14:ligatures w14:val="none"/>
              </w:rPr>
            </w:pPr>
            <w:r w:rsidRPr="0072626D">
              <w:rPr>
                <w:rFonts w:ascii="Arial" w:eastAsia="Times New Roman" w:hAnsi="Arial" w:cs="Arial"/>
                <w:b/>
                <w:bCs/>
                <w:kern w:val="0"/>
                <w:lang w:eastAsia="en-GB"/>
                <w14:ligatures w14:val="none"/>
              </w:rPr>
              <w:t>Question</w:t>
            </w:r>
          </w:p>
        </w:tc>
        <w:tc>
          <w:tcPr>
            <w:tcW w:w="6480" w:type="dxa"/>
            <w:vAlign w:val="center"/>
            <w:hideMark/>
          </w:tcPr>
          <w:p w14:paraId="14CC2831" w14:textId="77777777" w:rsidR="005B6B19" w:rsidRPr="0072626D" w:rsidRDefault="005B6B19" w:rsidP="005B6B19">
            <w:pPr>
              <w:spacing w:after="0" w:line="240" w:lineRule="auto"/>
              <w:jc w:val="both"/>
              <w:rPr>
                <w:rFonts w:ascii="Arial" w:eastAsia="Times New Roman" w:hAnsi="Arial" w:cs="Arial"/>
                <w:b/>
                <w:bCs/>
                <w:kern w:val="0"/>
                <w:lang w:eastAsia="en-GB"/>
                <w14:ligatures w14:val="none"/>
              </w:rPr>
            </w:pPr>
            <w:r w:rsidRPr="0072626D">
              <w:rPr>
                <w:rFonts w:ascii="Arial" w:eastAsia="Times New Roman" w:hAnsi="Arial" w:cs="Arial"/>
                <w:b/>
                <w:bCs/>
                <w:kern w:val="0"/>
                <w:lang w:eastAsia="en-GB"/>
                <w14:ligatures w14:val="none"/>
              </w:rPr>
              <w:t>Application to Ockenden</w:t>
            </w:r>
          </w:p>
        </w:tc>
      </w:tr>
      <w:tr w:rsidR="005B6B19" w:rsidRPr="0072626D" w14:paraId="47F41164" w14:textId="77777777" w:rsidTr="005B6B19">
        <w:trPr>
          <w:tblCellSpacing w:w="15" w:type="dxa"/>
        </w:trPr>
        <w:tc>
          <w:tcPr>
            <w:tcW w:w="948" w:type="dxa"/>
            <w:vAlign w:val="center"/>
            <w:hideMark/>
          </w:tcPr>
          <w:p w14:paraId="52C62617"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Problem</w:t>
            </w:r>
          </w:p>
        </w:tc>
        <w:tc>
          <w:tcPr>
            <w:tcW w:w="2238" w:type="dxa"/>
            <w:vAlign w:val="center"/>
            <w:hideMark/>
          </w:tcPr>
          <w:p w14:paraId="16B029C8"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What was the quality failure?</w:t>
            </w:r>
          </w:p>
        </w:tc>
        <w:tc>
          <w:tcPr>
            <w:tcW w:w="6480" w:type="dxa"/>
            <w:vAlign w:val="center"/>
            <w:hideMark/>
          </w:tcPr>
          <w:p w14:paraId="7F3FA6EF"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Avoidable maternal and neonatal harm occurred repeatedly within maternity services (Ockenden, 2022).</w:t>
            </w:r>
          </w:p>
        </w:tc>
      </w:tr>
      <w:tr w:rsidR="005B6B19" w:rsidRPr="0072626D" w14:paraId="7070A788" w14:textId="77777777" w:rsidTr="005B6B19">
        <w:trPr>
          <w:tblCellSpacing w:w="15" w:type="dxa"/>
        </w:trPr>
        <w:tc>
          <w:tcPr>
            <w:tcW w:w="948" w:type="dxa"/>
            <w:vAlign w:val="center"/>
            <w:hideMark/>
          </w:tcPr>
          <w:p w14:paraId="794BF8D3"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Why 1</w:t>
            </w:r>
          </w:p>
        </w:tc>
        <w:tc>
          <w:tcPr>
            <w:tcW w:w="2238" w:type="dxa"/>
            <w:vAlign w:val="center"/>
            <w:hideMark/>
          </w:tcPr>
          <w:p w14:paraId="7295AC23"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Why did avoidable harm occur?</w:t>
            </w:r>
          </w:p>
        </w:tc>
        <w:tc>
          <w:tcPr>
            <w:tcW w:w="6480" w:type="dxa"/>
            <w:vAlign w:val="center"/>
            <w:hideMark/>
          </w:tcPr>
          <w:p w14:paraId="72F9B3B9"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 xml:space="preserve">Maternal and </w:t>
            </w:r>
            <w:proofErr w:type="spellStart"/>
            <w:r w:rsidRPr="0072626D">
              <w:rPr>
                <w:rFonts w:ascii="Arial" w:eastAsia="Times New Roman" w:hAnsi="Arial" w:cs="Arial"/>
                <w:kern w:val="0"/>
                <w:lang w:eastAsia="en-GB"/>
                <w14:ligatures w14:val="none"/>
              </w:rPr>
              <w:t>fetal</w:t>
            </w:r>
            <w:proofErr w:type="spellEnd"/>
            <w:r w:rsidRPr="0072626D">
              <w:rPr>
                <w:rFonts w:ascii="Arial" w:eastAsia="Times New Roman" w:hAnsi="Arial" w:cs="Arial"/>
                <w:kern w:val="0"/>
                <w:lang w:eastAsia="en-GB"/>
                <w14:ligatures w14:val="none"/>
              </w:rPr>
              <w:t xml:space="preserve"> deterioration was not always recognised, escalated or acted upon promptly (Ockenden, 2022).</w:t>
            </w:r>
          </w:p>
        </w:tc>
      </w:tr>
      <w:tr w:rsidR="005B6B19" w:rsidRPr="0072626D" w14:paraId="3C670F28" w14:textId="77777777" w:rsidTr="005B6B19">
        <w:trPr>
          <w:tblCellSpacing w:w="15" w:type="dxa"/>
        </w:trPr>
        <w:tc>
          <w:tcPr>
            <w:tcW w:w="948" w:type="dxa"/>
            <w:vAlign w:val="center"/>
            <w:hideMark/>
          </w:tcPr>
          <w:p w14:paraId="2CD7F8D4"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Why 2</w:t>
            </w:r>
          </w:p>
        </w:tc>
        <w:tc>
          <w:tcPr>
            <w:tcW w:w="2238" w:type="dxa"/>
            <w:vAlign w:val="center"/>
            <w:hideMark/>
          </w:tcPr>
          <w:p w14:paraId="7471B08F"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Why was recognition/escalation delayed?</w:t>
            </w:r>
          </w:p>
        </w:tc>
        <w:tc>
          <w:tcPr>
            <w:tcW w:w="6480" w:type="dxa"/>
            <w:vAlign w:val="center"/>
            <w:hideMark/>
          </w:tcPr>
          <w:p w14:paraId="488F4C18"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CTG interpretation, multidisciplinary communication and access to appropriate senior review were inconsistent (Ockenden, 2022).</w:t>
            </w:r>
          </w:p>
        </w:tc>
      </w:tr>
      <w:tr w:rsidR="005B6B19" w:rsidRPr="0072626D" w14:paraId="1DB97566" w14:textId="77777777" w:rsidTr="005B6B19">
        <w:trPr>
          <w:tblCellSpacing w:w="15" w:type="dxa"/>
        </w:trPr>
        <w:tc>
          <w:tcPr>
            <w:tcW w:w="948" w:type="dxa"/>
            <w:vAlign w:val="center"/>
            <w:hideMark/>
          </w:tcPr>
          <w:p w14:paraId="58BD5496"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Why 3</w:t>
            </w:r>
          </w:p>
        </w:tc>
        <w:tc>
          <w:tcPr>
            <w:tcW w:w="2238" w:type="dxa"/>
            <w:vAlign w:val="center"/>
            <w:hideMark/>
          </w:tcPr>
          <w:p w14:paraId="7262DD46"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Why were these processes inconsistent?</w:t>
            </w:r>
          </w:p>
        </w:tc>
        <w:tc>
          <w:tcPr>
            <w:tcW w:w="6480" w:type="dxa"/>
            <w:vAlign w:val="center"/>
            <w:hideMark/>
          </w:tcPr>
          <w:p w14:paraId="55CFBE04"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Workforce pressures, competency gaps, inadequate supervision and fragmented multidisciplinary working reduced the reliability of safe practice (Ockenden, 2022).</w:t>
            </w:r>
          </w:p>
        </w:tc>
      </w:tr>
      <w:tr w:rsidR="005B6B19" w:rsidRPr="0072626D" w14:paraId="02C4A29E" w14:textId="77777777" w:rsidTr="005B6B19">
        <w:trPr>
          <w:tblCellSpacing w:w="15" w:type="dxa"/>
        </w:trPr>
        <w:tc>
          <w:tcPr>
            <w:tcW w:w="948" w:type="dxa"/>
            <w:vAlign w:val="center"/>
            <w:hideMark/>
          </w:tcPr>
          <w:p w14:paraId="6ED98AA4"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Why 4</w:t>
            </w:r>
          </w:p>
        </w:tc>
        <w:tc>
          <w:tcPr>
            <w:tcW w:w="2238" w:type="dxa"/>
            <w:vAlign w:val="center"/>
            <w:hideMark/>
          </w:tcPr>
          <w:p w14:paraId="2AA8A573"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Why did these weaknesses persist?</w:t>
            </w:r>
          </w:p>
        </w:tc>
        <w:tc>
          <w:tcPr>
            <w:tcW w:w="6480" w:type="dxa"/>
            <w:vAlign w:val="center"/>
            <w:hideMark/>
          </w:tcPr>
          <w:p w14:paraId="22DFE799"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Governance, incident investigation and organisational learning did not consistently identify, challenge and correct recurring safety problems (Ockenden, 2022).</w:t>
            </w:r>
          </w:p>
        </w:tc>
      </w:tr>
      <w:tr w:rsidR="005B6B19" w:rsidRPr="0072626D" w14:paraId="3714624F" w14:textId="77777777" w:rsidTr="005B6B19">
        <w:trPr>
          <w:tblCellSpacing w:w="15" w:type="dxa"/>
        </w:trPr>
        <w:tc>
          <w:tcPr>
            <w:tcW w:w="948" w:type="dxa"/>
            <w:vAlign w:val="center"/>
            <w:hideMark/>
          </w:tcPr>
          <w:p w14:paraId="4C9F2632"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Why 5</w:t>
            </w:r>
          </w:p>
        </w:tc>
        <w:tc>
          <w:tcPr>
            <w:tcW w:w="2238" w:type="dxa"/>
            <w:vAlign w:val="center"/>
            <w:hideMark/>
          </w:tcPr>
          <w:p w14:paraId="108918BF"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Why was sustainable improvement not achieved?</w:t>
            </w:r>
          </w:p>
        </w:tc>
        <w:tc>
          <w:tcPr>
            <w:tcW w:w="6480" w:type="dxa"/>
            <w:vAlign w:val="center"/>
            <w:hideMark/>
          </w:tcPr>
          <w:p w14:paraId="44D7D436"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Leadership and implementation systems did not reliably translate recognised standards, previous warnings and organisational learning into sustained routine practice (Ockenden, 2022).</w:t>
            </w:r>
          </w:p>
          <w:p w14:paraId="768713ED" w14:textId="77777777" w:rsidR="005B6B19" w:rsidRPr="0072626D" w:rsidRDefault="005B6B19" w:rsidP="005B6B19">
            <w:pPr>
              <w:spacing w:after="0" w:line="240" w:lineRule="auto"/>
              <w:jc w:val="both"/>
              <w:rPr>
                <w:rFonts w:ascii="Arial" w:eastAsia="Times New Roman" w:hAnsi="Arial" w:cs="Arial"/>
                <w:kern w:val="0"/>
                <w:lang w:eastAsia="en-GB"/>
                <w14:ligatures w14:val="none"/>
              </w:rPr>
            </w:pPr>
          </w:p>
        </w:tc>
      </w:tr>
    </w:tbl>
    <w:p w14:paraId="4D9E4024" w14:textId="1301D6A6" w:rsidR="024780B5" w:rsidRPr="0072626D" w:rsidRDefault="024780B5" w:rsidP="005B6B19">
      <w:pPr>
        <w:jc w:val="both"/>
        <w:rPr>
          <w:rFonts w:ascii="Arial" w:hAnsi="Arial" w:cs="Arial"/>
        </w:rPr>
      </w:pPr>
      <w:r w:rsidRPr="0072626D">
        <w:rPr>
          <w:rFonts w:ascii="Arial" w:hAnsi="Arial" w:cs="Arial"/>
          <w:b/>
          <w:bCs/>
        </w:rPr>
        <w:t>Table</w:t>
      </w:r>
      <w:r w:rsidR="00E96694" w:rsidRPr="0072626D">
        <w:rPr>
          <w:rFonts w:ascii="Arial" w:hAnsi="Arial" w:cs="Arial"/>
          <w:b/>
          <w:bCs/>
        </w:rPr>
        <w:t xml:space="preserve"> 1</w:t>
      </w:r>
      <w:r w:rsidR="00804AC7" w:rsidRPr="0072626D">
        <w:rPr>
          <w:rFonts w:ascii="Arial" w:hAnsi="Arial" w:cs="Arial"/>
        </w:rPr>
        <w:t xml:space="preserve">. </w:t>
      </w:r>
      <w:r w:rsidRPr="0072626D">
        <w:rPr>
          <w:rFonts w:ascii="Arial" w:hAnsi="Arial" w:cs="Arial"/>
        </w:rPr>
        <w:t xml:space="preserve"> Five Whys root-cause analysis of maternity safety failures. Adapted from Ohno (1988) and applied to findings from Ockenden (2022).</w:t>
      </w:r>
    </w:p>
    <w:p w14:paraId="405DA4D4" w14:textId="5300F44F" w:rsidR="024780B5" w:rsidRPr="0072626D" w:rsidRDefault="024780B5" w:rsidP="005B6B19">
      <w:pPr>
        <w:jc w:val="both"/>
        <w:rPr>
          <w:rFonts w:ascii="Arial" w:hAnsi="Arial" w:cs="Arial"/>
        </w:rPr>
      </w:pPr>
      <w:r w:rsidRPr="0072626D">
        <w:rPr>
          <w:rFonts w:ascii="Arial" w:hAnsi="Arial" w:cs="Arial"/>
          <w:b/>
          <w:bCs/>
        </w:rPr>
        <w:t>Critical Analysis</w:t>
      </w:r>
    </w:p>
    <w:p w14:paraId="55372A00" w14:textId="01DB5422" w:rsidR="024780B5" w:rsidRPr="0072626D" w:rsidRDefault="024780B5" w:rsidP="005B6B19">
      <w:pPr>
        <w:jc w:val="both"/>
        <w:rPr>
          <w:rFonts w:ascii="Arial" w:hAnsi="Arial" w:cs="Arial"/>
        </w:rPr>
      </w:pPr>
      <w:r w:rsidRPr="0072626D">
        <w:rPr>
          <w:rFonts w:ascii="Arial" w:hAnsi="Arial" w:cs="Arial"/>
        </w:rPr>
        <w:t>The analysis shifts the explanation for harm from the proximal clinical failure—such as delayed escalation—to deeper organisational weaknesses in governance, leadership and learning. This is important because responding only to Why 1 or Why 2 could result in additional CTG training or revised escalation guidance while leaving the conditions that allowed those failures to recur unchanged. The Five Whys therefore challenges superficial explanations and supports systems-oriented improvement rather than individual blame (Reason, 2000).</w:t>
      </w:r>
    </w:p>
    <w:p w14:paraId="05F4A176" w14:textId="43094334" w:rsidR="024780B5" w:rsidRPr="0072626D" w:rsidRDefault="024780B5" w:rsidP="005B6B19">
      <w:pPr>
        <w:jc w:val="both"/>
        <w:rPr>
          <w:rFonts w:ascii="Arial" w:hAnsi="Arial" w:cs="Arial"/>
        </w:rPr>
      </w:pPr>
      <w:r w:rsidRPr="0072626D">
        <w:rPr>
          <w:rFonts w:ascii="Arial" w:hAnsi="Arial" w:cs="Arial"/>
        </w:rPr>
        <w:t xml:space="preserve">However, its apparent simplicity is also a limitation. The sequence implies a relatively linear causal pathway, whereas healthcare organisations are complex adaptive systems in which staffing, workload, leadership, culture, communication and clinical decisions interact dynamically (Braithwaite </w:t>
      </w:r>
      <w:r w:rsidRPr="0072626D">
        <w:rPr>
          <w:rFonts w:ascii="Arial" w:hAnsi="Arial" w:cs="Arial"/>
          <w:i/>
          <w:iCs/>
        </w:rPr>
        <w:t>et al</w:t>
      </w:r>
      <w:r w:rsidRPr="0072626D">
        <w:rPr>
          <w:rFonts w:ascii="Arial" w:hAnsi="Arial" w:cs="Arial"/>
        </w:rPr>
        <w:t>., 2018). Hollnagel (2014) further challenges conventional linear approaches to safety because outcomes may emerge from combinations of everyday system interactions rather than a single identifiable root cause. Consequently, another investigator could follow the same incident and reach a different fifth “why”, making findings partly dependent on how questions are framed.</w:t>
      </w:r>
    </w:p>
    <w:p w14:paraId="5748C0BA" w14:textId="3215402B" w:rsidR="024780B5" w:rsidRPr="0072626D" w:rsidRDefault="024780B5" w:rsidP="005B6B19">
      <w:pPr>
        <w:jc w:val="both"/>
        <w:rPr>
          <w:rFonts w:ascii="Arial" w:hAnsi="Arial" w:cs="Arial"/>
        </w:rPr>
      </w:pPr>
      <w:r w:rsidRPr="0072626D">
        <w:rPr>
          <w:rFonts w:ascii="Arial" w:hAnsi="Arial" w:cs="Arial"/>
        </w:rPr>
        <w:t>Critically, stopping the analysis at “staff required more training” could itself reproduce an individual-focused response, despite the deeper evidence of organisational failure. The Five Whys should therefore be used to generate hypotheses about underlying causes rather than treated as proof of one definitive root cause.</w:t>
      </w:r>
      <w:r w:rsidR="00F21571" w:rsidRPr="0072626D">
        <w:rPr>
          <w:rFonts w:ascii="Arial" w:hAnsi="Arial" w:cs="Arial"/>
        </w:rPr>
        <w:t xml:space="preserve"> T</w:t>
      </w:r>
      <w:r w:rsidRPr="0072626D">
        <w:rPr>
          <w:rFonts w:ascii="Arial" w:hAnsi="Arial" w:cs="Arial"/>
        </w:rPr>
        <w:t>his report, it complements the Fishbone analysis by providing greater causal depth</w:t>
      </w:r>
      <w:r w:rsidR="00F21571" w:rsidRPr="0072626D">
        <w:rPr>
          <w:rFonts w:ascii="Arial" w:hAnsi="Arial" w:cs="Arial"/>
        </w:rPr>
        <w:t>; t</w:t>
      </w:r>
      <w:r w:rsidRPr="0072626D">
        <w:rPr>
          <w:rFonts w:ascii="Arial" w:hAnsi="Arial" w:cs="Arial"/>
        </w:rPr>
        <w:t>he Donabedian Structure–Process–Outcome model subsequently evaluates how these organisational conditions influenced care delivery and patient outcomes.</w:t>
      </w:r>
    </w:p>
    <w:p w14:paraId="3E7A9C2B" w14:textId="56201317" w:rsidR="00075B5D" w:rsidRPr="0072626D" w:rsidRDefault="00075B5D" w:rsidP="005B6B19">
      <w:pPr>
        <w:pStyle w:val="Heading2"/>
        <w:jc w:val="both"/>
        <w:rPr>
          <w:rFonts w:ascii="Arial" w:hAnsi="Arial" w:cs="Arial"/>
          <w:sz w:val="24"/>
          <w:szCs w:val="24"/>
        </w:rPr>
      </w:pPr>
      <w:bookmarkStart w:id="6" w:name="_Toc238025922"/>
      <w:r w:rsidRPr="0072626D">
        <w:rPr>
          <w:rFonts w:ascii="Arial" w:hAnsi="Arial" w:cs="Arial"/>
          <w:sz w:val="24"/>
          <w:szCs w:val="24"/>
        </w:rPr>
        <w:t>2.</w:t>
      </w:r>
      <w:r w:rsidR="000D4D2C" w:rsidRPr="0072626D">
        <w:rPr>
          <w:rFonts w:ascii="Arial" w:hAnsi="Arial" w:cs="Arial"/>
          <w:sz w:val="24"/>
          <w:szCs w:val="24"/>
        </w:rPr>
        <w:t>3</w:t>
      </w:r>
      <w:r w:rsidRPr="0072626D">
        <w:rPr>
          <w:rFonts w:ascii="Arial" w:hAnsi="Arial" w:cs="Arial"/>
          <w:sz w:val="24"/>
          <w:szCs w:val="24"/>
        </w:rPr>
        <w:t xml:space="preserve"> Evaluating Healthcare Quality Using Donabedian's Structure–Process–Outcome Model</w:t>
      </w:r>
      <w:bookmarkEnd w:id="6"/>
    </w:p>
    <w:p w14:paraId="00C5E82E" w14:textId="77777777" w:rsidR="00075B5D" w:rsidRPr="0072626D" w:rsidRDefault="00075B5D" w:rsidP="005B6B19">
      <w:pPr>
        <w:jc w:val="both"/>
        <w:rPr>
          <w:rFonts w:ascii="Arial" w:hAnsi="Arial" w:cs="Arial"/>
        </w:rPr>
      </w:pPr>
      <w:r w:rsidRPr="0072626D">
        <w:rPr>
          <w:rFonts w:ascii="Arial" w:hAnsi="Arial" w:cs="Arial"/>
        </w:rPr>
        <w:t>Donabedian's Structure–Process–Outcome (SPO) model evaluates healthcare quality by examining how organisational capacity influences care delivery and subsequent patient outcomes (Donabedian, 1988). Unlike the preceding root-cause analyses, its value here is to demonstrate where quality improvement should be targeted and how improvement could be measured.</w:t>
      </w:r>
    </w:p>
    <w:tbl>
      <w:tblPr>
        <w:tblStyle w:val="TableGrid"/>
        <w:tblW w:w="0" w:type="auto"/>
        <w:tblLook w:val="04A0" w:firstRow="1" w:lastRow="0" w:firstColumn="1" w:lastColumn="0" w:noHBand="0" w:noVBand="1"/>
      </w:tblPr>
      <w:tblGrid>
        <w:gridCol w:w="1283"/>
        <w:gridCol w:w="7733"/>
      </w:tblGrid>
      <w:tr w:rsidR="00075B5D" w:rsidRPr="0072626D" w14:paraId="658D1105" w14:textId="77777777" w:rsidTr="00075B5D">
        <w:tc>
          <w:tcPr>
            <w:tcW w:w="1271" w:type="dxa"/>
            <w:hideMark/>
          </w:tcPr>
          <w:p w14:paraId="04F35AD9" w14:textId="77777777" w:rsidR="00075B5D" w:rsidRPr="0072626D" w:rsidRDefault="00075B5D" w:rsidP="005B6B19">
            <w:pPr>
              <w:jc w:val="both"/>
              <w:rPr>
                <w:rFonts w:ascii="Arial" w:eastAsia="Times New Roman" w:hAnsi="Arial" w:cs="Arial"/>
                <w:b/>
                <w:bCs/>
                <w:kern w:val="0"/>
                <w:lang w:eastAsia="en-GB"/>
                <w14:ligatures w14:val="none"/>
              </w:rPr>
            </w:pPr>
            <w:r w:rsidRPr="0072626D">
              <w:rPr>
                <w:rFonts w:ascii="Arial" w:eastAsia="Times New Roman" w:hAnsi="Arial" w:cs="Arial"/>
                <w:b/>
                <w:bCs/>
                <w:kern w:val="0"/>
                <w:lang w:eastAsia="en-GB"/>
                <w14:ligatures w14:val="none"/>
              </w:rPr>
              <w:t>Domain</w:t>
            </w:r>
          </w:p>
        </w:tc>
        <w:tc>
          <w:tcPr>
            <w:tcW w:w="7745" w:type="dxa"/>
            <w:hideMark/>
          </w:tcPr>
          <w:p w14:paraId="06F0F8FF" w14:textId="2A39155C" w:rsidR="00075B5D" w:rsidRPr="0072626D" w:rsidRDefault="00075B5D" w:rsidP="005B6B19">
            <w:pPr>
              <w:jc w:val="both"/>
              <w:rPr>
                <w:rFonts w:ascii="Arial" w:eastAsia="Times New Roman" w:hAnsi="Arial" w:cs="Arial"/>
                <w:b/>
                <w:bCs/>
                <w:kern w:val="0"/>
                <w:lang w:eastAsia="en-GB"/>
                <w14:ligatures w14:val="none"/>
              </w:rPr>
            </w:pPr>
            <w:r w:rsidRPr="0072626D">
              <w:rPr>
                <w:rFonts w:ascii="Arial" w:eastAsia="Times New Roman" w:hAnsi="Arial" w:cs="Arial"/>
                <w:b/>
                <w:bCs/>
                <w:kern w:val="0"/>
                <w:lang w:eastAsia="en-GB"/>
                <w14:ligatures w14:val="none"/>
              </w:rPr>
              <w:t xml:space="preserve">Application to Ockenden and quality </w:t>
            </w:r>
            <w:r w:rsidR="00015645">
              <w:rPr>
                <w:rFonts w:ascii="Arial" w:eastAsia="Times New Roman" w:hAnsi="Arial" w:cs="Arial"/>
                <w:b/>
                <w:bCs/>
                <w:kern w:val="0"/>
                <w:lang w:eastAsia="en-GB"/>
                <w14:ligatures w14:val="none"/>
              </w:rPr>
              <w:t>implications</w:t>
            </w:r>
          </w:p>
        </w:tc>
      </w:tr>
      <w:tr w:rsidR="00075B5D" w:rsidRPr="0072626D" w14:paraId="25CE4685" w14:textId="77777777" w:rsidTr="00075B5D">
        <w:tc>
          <w:tcPr>
            <w:tcW w:w="1271" w:type="dxa"/>
            <w:hideMark/>
          </w:tcPr>
          <w:p w14:paraId="6FD2EA78" w14:textId="77777777" w:rsidR="00075B5D" w:rsidRPr="0072626D" w:rsidRDefault="00075B5D" w:rsidP="005B6B19">
            <w:pPr>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Structure</w:t>
            </w:r>
          </w:p>
        </w:tc>
        <w:tc>
          <w:tcPr>
            <w:tcW w:w="7745" w:type="dxa"/>
            <w:hideMark/>
          </w:tcPr>
          <w:p w14:paraId="0979EEE4" w14:textId="77777777" w:rsidR="00075B5D" w:rsidRPr="0072626D" w:rsidRDefault="00075B5D" w:rsidP="005B6B19">
            <w:pPr>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Ockenden (2022) identified weaknesses in staffing, leadership, governance, training and oversight. These conditions reduced organisational capacity to consistently deliver safe maternity care, indicating that improvement requires adequate workforce resources, competency development and accountable governance.</w:t>
            </w:r>
          </w:p>
        </w:tc>
      </w:tr>
      <w:tr w:rsidR="00075B5D" w:rsidRPr="0072626D" w14:paraId="0A822BE5" w14:textId="77777777" w:rsidTr="00075B5D">
        <w:tc>
          <w:tcPr>
            <w:tcW w:w="1271" w:type="dxa"/>
            <w:hideMark/>
          </w:tcPr>
          <w:p w14:paraId="75741DCD" w14:textId="77777777" w:rsidR="00075B5D" w:rsidRPr="0072626D" w:rsidRDefault="00075B5D" w:rsidP="005B6B19">
            <w:pPr>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Process</w:t>
            </w:r>
          </w:p>
        </w:tc>
        <w:tc>
          <w:tcPr>
            <w:tcW w:w="7745" w:type="dxa"/>
            <w:hideMark/>
          </w:tcPr>
          <w:p w14:paraId="02A8383D" w14:textId="77777777" w:rsidR="00075B5D" w:rsidRPr="0072626D" w:rsidRDefault="00075B5D" w:rsidP="005B6B19">
            <w:pPr>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Structural weaknesses contributed to inconsistent CTG interpretation, delayed escalation, ineffective multidisciplinary working and failure to listen to women and families (Ockenden, 2022). Therefore, increasing resources alone is insufficient unless it produces measurable improvement in how care is delivered.</w:t>
            </w:r>
          </w:p>
        </w:tc>
      </w:tr>
      <w:tr w:rsidR="00075B5D" w:rsidRPr="0072626D" w14:paraId="05D2F3EF" w14:textId="77777777" w:rsidTr="00075B5D">
        <w:tc>
          <w:tcPr>
            <w:tcW w:w="1271" w:type="dxa"/>
            <w:hideMark/>
          </w:tcPr>
          <w:p w14:paraId="3EDA985B" w14:textId="77777777" w:rsidR="00075B5D" w:rsidRPr="0072626D" w:rsidRDefault="00075B5D" w:rsidP="005B6B19">
            <w:pPr>
              <w:jc w:val="both"/>
              <w:rPr>
                <w:rFonts w:ascii="Arial" w:eastAsia="Times New Roman" w:hAnsi="Arial" w:cs="Arial"/>
                <w:kern w:val="0"/>
                <w:lang w:eastAsia="en-GB"/>
                <w14:ligatures w14:val="none"/>
              </w:rPr>
            </w:pPr>
            <w:r w:rsidRPr="0072626D">
              <w:rPr>
                <w:rFonts w:ascii="Arial" w:eastAsia="Times New Roman" w:hAnsi="Arial" w:cs="Arial"/>
                <w:b/>
                <w:bCs/>
                <w:kern w:val="0"/>
                <w:lang w:eastAsia="en-GB"/>
                <w14:ligatures w14:val="none"/>
              </w:rPr>
              <w:t>Outcome</w:t>
            </w:r>
          </w:p>
        </w:tc>
        <w:tc>
          <w:tcPr>
            <w:tcW w:w="7745" w:type="dxa"/>
            <w:hideMark/>
          </w:tcPr>
          <w:p w14:paraId="6313B350" w14:textId="77777777" w:rsidR="00075B5D" w:rsidRPr="0072626D" w:rsidRDefault="00075B5D" w:rsidP="005B6B19">
            <w:pPr>
              <w:jc w:val="both"/>
              <w:rPr>
                <w:rFonts w:ascii="Arial" w:eastAsia="Times New Roman" w:hAnsi="Arial" w:cs="Arial"/>
                <w:kern w:val="0"/>
                <w:lang w:eastAsia="en-GB"/>
                <w14:ligatures w14:val="none"/>
              </w:rPr>
            </w:pPr>
            <w:r w:rsidRPr="0072626D">
              <w:rPr>
                <w:rFonts w:ascii="Arial" w:eastAsia="Times New Roman" w:hAnsi="Arial" w:cs="Arial"/>
                <w:kern w:val="0"/>
                <w:lang w:eastAsia="en-GB"/>
                <w14:ligatures w14:val="none"/>
              </w:rPr>
              <w:t xml:space="preserve">Ockenden examined </w:t>
            </w:r>
            <w:r w:rsidRPr="0072626D">
              <w:rPr>
                <w:rFonts w:ascii="Arial" w:eastAsia="Times New Roman" w:hAnsi="Arial" w:cs="Arial"/>
                <w:b/>
                <w:bCs/>
                <w:kern w:val="0"/>
                <w:lang w:eastAsia="en-GB"/>
                <w14:ligatures w14:val="none"/>
              </w:rPr>
              <w:t>1,592 incidents involving 1,486 families</w:t>
            </w:r>
            <w:r w:rsidRPr="0072626D">
              <w:rPr>
                <w:rFonts w:ascii="Arial" w:eastAsia="Times New Roman" w:hAnsi="Arial" w:cs="Arial"/>
                <w:kern w:val="0"/>
                <w:lang w:eastAsia="en-GB"/>
                <w14:ligatures w14:val="none"/>
              </w:rPr>
              <w:t xml:space="preserve"> and concluded that different care might or would reasonably have prevented death or serious outcomes for </w:t>
            </w:r>
            <w:r w:rsidRPr="0072626D">
              <w:rPr>
                <w:rFonts w:ascii="Arial" w:eastAsia="Times New Roman" w:hAnsi="Arial" w:cs="Arial"/>
                <w:b/>
                <w:bCs/>
                <w:kern w:val="0"/>
                <w:lang w:eastAsia="en-GB"/>
                <w14:ligatures w14:val="none"/>
              </w:rPr>
              <w:t>201 babies</w:t>
            </w:r>
            <w:r w:rsidRPr="0072626D">
              <w:rPr>
                <w:rFonts w:ascii="Arial" w:eastAsia="Times New Roman" w:hAnsi="Arial" w:cs="Arial"/>
                <w:kern w:val="0"/>
                <w:lang w:eastAsia="en-GB"/>
                <w14:ligatures w14:val="none"/>
              </w:rPr>
              <w:t xml:space="preserve">, with significant or major concerns identified in </w:t>
            </w:r>
            <w:r w:rsidRPr="0072626D">
              <w:rPr>
                <w:rFonts w:ascii="Arial" w:eastAsia="Times New Roman" w:hAnsi="Arial" w:cs="Arial"/>
                <w:b/>
                <w:bCs/>
                <w:kern w:val="0"/>
                <w:lang w:eastAsia="en-GB"/>
                <w14:ligatures w14:val="none"/>
              </w:rPr>
              <w:t>9 of 12 maternal deaths</w:t>
            </w:r>
            <w:r w:rsidRPr="0072626D">
              <w:rPr>
                <w:rFonts w:ascii="Arial" w:eastAsia="Times New Roman" w:hAnsi="Arial" w:cs="Arial"/>
                <w:kern w:val="0"/>
                <w:lang w:eastAsia="en-GB"/>
                <w14:ligatures w14:val="none"/>
              </w:rPr>
              <w:t xml:space="preserve"> (Ockenden, 2022). These outcomes provide measurable evidence of the consequences of failures across structure and process.</w:t>
            </w:r>
          </w:p>
        </w:tc>
      </w:tr>
    </w:tbl>
    <w:p w14:paraId="2BC07E23" w14:textId="3C4DF457" w:rsidR="6FBCA6F1" w:rsidRPr="0072626D" w:rsidRDefault="6FBCA6F1" w:rsidP="005B6B19">
      <w:pPr>
        <w:jc w:val="both"/>
        <w:rPr>
          <w:rFonts w:ascii="Arial" w:hAnsi="Arial" w:cs="Arial"/>
          <w:b/>
          <w:bCs/>
        </w:rPr>
      </w:pPr>
    </w:p>
    <w:p w14:paraId="56658F20" w14:textId="576C4097" w:rsidR="00287350" w:rsidRPr="0072626D" w:rsidRDefault="5414ACC0" w:rsidP="005B6B19">
      <w:pPr>
        <w:pStyle w:val="Heading2"/>
        <w:jc w:val="both"/>
        <w:rPr>
          <w:rFonts w:ascii="Arial" w:hAnsi="Arial" w:cs="Arial"/>
          <w:sz w:val="24"/>
          <w:szCs w:val="24"/>
        </w:rPr>
      </w:pPr>
      <w:bookmarkStart w:id="7" w:name="_Toc238025923"/>
      <w:r w:rsidRPr="0072626D">
        <w:rPr>
          <w:rFonts w:ascii="Arial" w:hAnsi="Arial" w:cs="Arial"/>
          <w:sz w:val="24"/>
          <w:szCs w:val="24"/>
        </w:rPr>
        <w:t>2.</w:t>
      </w:r>
      <w:r w:rsidR="000D4D2C" w:rsidRPr="0072626D">
        <w:rPr>
          <w:rFonts w:ascii="Arial" w:hAnsi="Arial" w:cs="Arial"/>
          <w:sz w:val="24"/>
          <w:szCs w:val="24"/>
        </w:rPr>
        <w:t>4</w:t>
      </w:r>
      <w:r w:rsidRPr="0072626D">
        <w:rPr>
          <w:rFonts w:ascii="Arial" w:hAnsi="Arial" w:cs="Arial"/>
          <w:sz w:val="24"/>
          <w:szCs w:val="24"/>
        </w:rPr>
        <w:t xml:space="preserve"> SWOT</w:t>
      </w:r>
      <w:r w:rsidR="00BD69C7" w:rsidRPr="0072626D">
        <w:rPr>
          <w:rFonts w:ascii="Arial" w:hAnsi="Arial" w:cs="Arial"/>
          <w:sz w:val="24"/>
          <w:szCs w:val="24"/>
        </w:rPr>
        <w:t>:</w:t>
      </w:r>
      <w:r w:rsidR="00075B5D" w:rsidRPr="0072626D">
        <w:rPr>
          <w:rFonts w:ascii="Arial" w:hAnsi="Arial" w:cs="Arial"/>
          <w:sz w:val="24"/>
          <w:szCs w:val="24"/>
        </w:rPr>
        <w:t xml:space="preserve"> what strategic capacity exi</w:t>
      </w:r>
      <w:r w:rsidR="00BD69C7" w:rsidRPr="0072626D">
        <w:rPr>
          <w:rFonts w:ascii="Arial" w:hAnsi="Arial" w:cs="Arial"/>
          <w:sz w:val="24"/>
          <w:szCs w:val="24"/>
        </w:rPr>
        <w:t>sts for improvement</w:t>
      </w:r>
      <w:bookmarkEnd w:id="7"/>
      <w:r w:rsidR="00BD69C7" w:rsidRPr="0072626D">
        <w:rPr>
          <w:rFonts w:ascii="Arial" w:hAnsi="Arial" w:cs="Arial"/>
          <w:sz w:val="24"/>
          <w:szCs w:val="24"/>
        </w:rPr>
        <w:t xml:space="preserve"> </w:t>
      </w:r>
    </w:p>
    <w:p w14:paraId="7AD74149" w14:textId="0F211FB6" w:rsidR="00C43B95" w:rsidRPr="0072626D" w:rsidRDefault="00C43B95" w:rsidP="005B6B19">
      <w:pPr>
        <w:jc w:val="both"/>
        <w:rPr>
          <w:rFonts w:ascii="Arial" w:hAnsi="Arial" w:cs="Arial"/>
        </w:rPr>
      </w:pPr>
    </w:p>
    <w:tbl>
      <w:tblPr>
        <w:tblStyle w:val="TableGrid"/>
        <w:tblW w:w="0" w:type="auto"/>
        <w:tblLook w:val="04A0" w:firstRow="1" w:lastRow="0" w:firstColumn="1" w:lastColumn="0" w:noHBand="0" w:noVBand="1"/>
      </w:tblPr>
      <w:tblGrid>
        <w:gridCol w:w="4815"/>
        <w:gridCol w:w="4201"/>
      </w:tblGrid>
      <w:tr w:rsidR="00C43B95" w:rsidRPr="0072626D" w14:paraId="0E087138" w14:textId="77777777" w:rsidTr="00BD69C7">
        <w:tc>
          <w:tcPr>
            <w:tcW w:w="4815" w:type="dxa"/>
            <w:shd w:val="clear" w:color="auto" w:fill="D1D1D1" w:themeFill="background2" w:themeFillShade="E6"/>
          </w:tcPr>
          <w:p w14:paraId="66150FD6" w14:textId="4FE3B005" w:rsidR="00C43B95" w:rsidRPr="0072626D" w:rsidRDefault="00C43B95" w:rsidP="005B6B19">
            <w:pPr>
              <w:jc w:val="both"/>
              <w:rPr>
                <w:rFonts w:ascii="Arial" w:hAnsi="Arial" w:cs="Arial"/>
              </w:rPr>
            </w:pPr>
            <w:r w:rsidRPr="0072626D">
              <w:rPr>
                <w:rFonts w:ascii="Arial" w:hAnsi="Arial" w:cs="Arial"/>
              </w:rPr>
              <w:t>Strengths</w:t>
            </w:r>
          </w:p>
        </w:tc>
        <w:tc>
          <w:tcPr>
            <w:tcW w:w="4201" w:type="dxa"/>
            <w:shd w:val="clear" w:color="auto" w:fill="D1D1D1" w:themeFill="background2" w:themeFillShade="E6"/>
          </w:tcPr>
          <w:p w14:paraId="510D8086" w14:textId="503884D7" w:rsidR="00C43B95" w:rsidRPr="0072626D" w:rsidRDefault="00C43B95" w:rsidP="005B6B19">
            <w:pPr>
              <w:jc w:val="both"/>
              <w:rPr>
                <w:rFonts w:ascii="Arial" w:hAnsi="Arial" w:cs="Arial"/>
              </w:rPr>
            </w:pPr>
            <w:r w:rsidRPr="0072626D">
              <w:rPr>
                <w:rFonts w:ascii="Arial" w:hAnsi="Arial" w:cs="Arial"/>
              </w:rPr>
              <w:t>Weaknesses</w:t>
            </w:r>
          </w:p>
        </w:tc>
      </w:tr>
      <w:tr w:rsidR="00C43B95" w:rsidRPr="0072626D" w14:paraId="7D099392" w14:textId="77777777" w:rsidTr="00BD69C7">
        <w:tc>
          <w:tcPr>
            <w:tcW w:w="4815" w:type="dxa"/>
          </w:tcPr>
          <w:p w14:paraId="148BF106" w14:textId="6AF537D2" w:rsidR="00587591" w:rsidRPr="0072626D" w:rsidRDefault="7C5C96EA" w:rsidP="005B6B19">
            <w:pPr>
              <w:spacing w:line="360" w:lineRule="auto"/>
              <w:jc w:val="both"/>
              <w:rPr>
                <w:rFonts w:ascii="Arial" w:hAnsi="Arial" w:cs="Arial"/>
              </w:rPr>
            </w:pPr>
            <w:r w:rsidRPr="0072626D">
              <w:rPr>
                <w:rFonts w:ascii="Arial" w:hAnsi="Arial" w:cs="Arial"/>
              </w:rPr>
              <w:t>The NHS has established national safety infrastructure through PSIRF, CQC regulation and maternity benchmarking (NHS England, 202</w:t>
            </w:r>
            <w:r w:rsidR="00B80EB4" w:rsidRPr="0072626D">
              <w:rPr>
                <w:rFonts w:ascii="Arial" w:hAnsi="Arial" w:cs="Arial"/>
              </w:rPr>
              <w:t>2</w:t>
            </w:r>
            <w:r w:rsidRPr="0072626D">
              <w:rPr>
                <w:rFonts w:ascii="Arial" w:hAnsi="Arial" w:cs="Arial"/>
              </w:rPr>
              <w:t xml:space="preserve">; NMPA, 2024). Importantly, some interventions demonstrate measurable improvement: implementation of the Saving Babies' Lives Care Bundle across 19 early-adopter maternity units was associated with a 20% reduction in stillbirths, equivalent to 161 fewer stillbirths, although concurrent initiatives prevent attributing the reduction solely to the bundle (NHS England, 2018). Nationally, stillbirth rates were 19% lower in 2021 than </w:t>
            </w:r>
            <w:r w:rsidR="00015645">
              <w:rPr>
                <w:rFonts w:ascii="Arial" w:hAnsi="Arial" w:cs="Arial"/>
              </w:rPr>
              <w:t xml:space="preserve">in </w:t>
            </w:r>
            <w:r w:rsidRPr="0072626D">
              <w:rPr>
                <w:rFonts w:ascii="Arial" w:hAnsi="Arial" w:cs="Arial"/>
              </w:rPr>
              <w:t>2010, while neonatal mortality was 30% lower, demonstrating progress but not complete achievement of national ambitions (NHS England, 2023</w:t>
            </w:r>
            <w:r w:rsidR="00B80EB4" w:rsidRPr="0072626D">
              <w:rPr>
                <w:rFonts w:ascii="Arial" w:hAnsi="Arial" w:cs="Arial"/>
              </w:rPr>
              <w:t>b</w:t>
            </w:r>
            <w:r w:rsidRPr="0072626D">
              <w:rPr>
                <w:rFonts w:ascii="Arial" w:hAnsi="Arial" w:cs="Arial"/>
              </w:rPr>
              <w:t>).</w:t>
            </w:r>
          </w:p>
          <w:p w14:paraId="74EC3154" w14:textId="77777777" w:rsidR="00020E18" w:rsidRPr="0072626D" w:rsidRDefault="00020E18" w:rsidP="005B6B19">
            <w:pPr>
              <w:spacing w:line="360" w:lineRule="auto"/>
              <w:jc w:val="both"/>
              <w:rPr>
                <w:rFonts w:ascii="Arial" w:hAnsi="Arial" w:cs="Arial"/>
              </w:rPr>
            </w:pPr>
          </w:p>
        </w:tc>
        <w:tc>
          <w:tcPr>
            <w:tcW w:w="4201" w:type="dxa"/>
          </w:tcPr>
          <w:p w14:paraId="242D685E" w14:textId="32F4DED9" w:rsidR="00C43B95" w:rsidRPr="0072626D" w:rsidRDefault="5A331252" w:rsidP="005B6B19">
            <w:pPr>
              <w:spacing w:line="360" w:lineRule="auto"/>
              <w:jc w:val="both"/>
              <w:rPr>
                <w:rFonts w:ascii="Arial" w:hAnsi="Arial" w:cs="Arial"/>
              </w:rPr>
            </w:pPr>
            <w:r w:rsidRPr="0072626D">
              <w:rPr>
                <w:rFonts w:ascii="Arial" w:hAnsi="Arial" w:cs="Arial"/>
              </w:rPr>
              <w:t xml:space="preserve">Progress has </w:t>
            </w:r>
            <w:r w:rsidR="7C5C96EA" w:rsidRPr="0072626D">
              <w:rPr>
                <w:rFonts w:ascii="Arial" w:hAnsi="Arial" w:cs="Arial"/>
              </w:rPr>
              <w:t xml:space="preserve">not </w:t>
            </w:r>
            <w:r w:rsidRPr="0072626D">
              <w:rPr>
                <w:rFonts w:ascii="Arial" w:hAnsi="Arial" w:cs="Arial"/>
              </w:rPr>
              <w:t xml:space="preserve">been </w:t>
            </w:r>
            <w:r w:rsidR="7C5C96EA" w:rsidRPr="0072626D">
              <w:rPr>
                <w:rFonts w:ascii="Arial" w:hAnsi="Arial" w:cs="Arial"/>
              </w:rPr>
              <w:t>consistent</w:t>
            </w:r>
            <w:r w:rsidRPr="0072626D">
              <w:rPr>
                <w:rFonts w:ascii="Arial" w:hAnsi="Arial" w:cs="Arial"/>
              </w:rPr>
              <w:t xml:space="preserve"> across </w:t>
            </w:r>
            <w:r w:rsidR="7C5C96EA" w:rsidRPr="0072626D">
              <w:rPr>
                <w:rFonts w:ascii="Arial" w:hAnsi="Arial" w:cs="Arial"/>
              </w:rPr>
              <w:t xml:space="preserve">all </w:t>
            </w:r>
            <w:r w:rsidRPr="0072626D">
              <w:rPr>
                <w:rFonts w:ascii="Arial" w:hAnsi="Arial" w:cs="Arial"/>
              </w:rPr>
              <w:t xml:space="preserve">outcomes. </w:t>
            </w:r>
            <w:r w:rsidR="7C5C96EA" w:rsidRPr="0072626D">
              <w:rPr>
                <w:rFonts w:ascii="Arial" w:hAnsi="Arial" w:cs="Arial"/>
              </w:rPr>
              <w:t>Ockenden (2022) demonstrates that established standards did not reliably translate into safe routine practice, exposing an implementation gap between national policy and local delivery. This is particularly important because</w:t>
            </w:r>
            <w:r w:rsidRPr="0072626D">
              <w:rPr>
                <w:rFonts w:ascii="Arial" w:hAnsi="Arial" w:cs="Arial"/>
              </w:rPr>
              <w:t xml:space="preserve"> maternal mortality in 2021–2023 </w:t>
            </w:r>
            <w:r w:rsidR="7C5C96EA" w:rsidRPr="0072626D">
              <w:rPr>
                <w:rFonts w:ascii="Arial" w:hAnsi="Arial" w:cs="Arial"/>
              </w:rPr>
              <w:t>remained</w:t>
            </w:r>
            <w:r w:rsidRPr="0072626D">
              <w:rPr>
                <w:rFonts w:ascii="Arial" w:hAnsi="Arial" w:cs="Arial"/>
              </w:rPr>
              <w:t xml:space="preserve"> 21% higher than in 2009–2011</w:t>
            </w:r>
            <w:r w:rsidR="7C5C96EA" w:rsidRPr="0072626D">
              <w:rPr>
                <w:rFonts w:ascii="Arial" w:hAnsi="Arial" w:cs="Arial"/>
              </w:rPr>
              <w:t xml:space="preserve">, or </w:t>
            </w:r>
            <w:r w:rsidRPr="0072626D">
              <w:rPr>
                <w:rFonts w:ascii="Arial" w:hAnsi="Arial" w:cs="Arial"/>
              </w:rPr>
              <w:t xml:space="preserve">7% higher when COVID-19 deaths </w:t>
            </w:r>
            <w:r w:rsidR="7C5C96EA" w:rsidRPr="0072626D">
              <w:rPr>
                <w:rFonts w:ascii="Arial" w:hAnsi="Arial" w:cs="Arial"/>
              </w:rPr>
              <w:t>were</w:t>
            </w:r>
            <w:r w:rsidRPr="0072626D">
              <w:rPr>
                <w:rFonts w:ascii="Arial" w:hAnsi="Arial" w:cs="Arial"/>
              </w:rPr>
              <w:t xml:space="preserve"> excluded</w:t>
            </w:r>
            <w:r w:rsidR="7C5C96EA" w:rsidRPr="0072626D">
              <w:rPr>
                <w:rFonts w:ascii="Arial" w:hAnsi="Arial" w:cs="Arial"/>
              </w:rPr>
              <w:t xml:space="preserve"> (NHS England, 202</w:t>
            </w:r>
            <w:r w:rsidR="00B80EB4" w:rsidRPr="0072626D">
              <w:rPr>
                <w:rFonts w:ascii="Arial" w:hAnsi="Arial" w:cs="Arial"/>
              </w:rPr>
              <w:t>6</w:t>
            </w:r>
            <w:r w:rsidR="7C5C96EA" w:rsidRPr="0072626D">
              <w:rPr>
                <w:rFonts w:ascii="Arial" w:hAnsi="Arial" w:cs="Arial"/>
              </w:rPr>
              <w:t>). Therefore, improvements in stillbirth and neonatal mortality should not be interpreted as evidence that wider maternity safety problems have been resolved.</w:t>
            </w:r>
          </w:p>
        </w:tc>
      </w:tr>
      <w:tr w:rsidR="00C43B95" w:rsidRPr="0072626D" w14:paraId="1DC23913" w14:textId="77777777" w:rsidTr="00BD69C7">
        <w:tc>
          <w:tcPr>
            <w:tcW w:w="4815" w:type="dxa"/>
            <w:shd w:val="clear" w:color="auto" w:fill="D1D1D1" w:themeFill="background2" w:themeFillShade="E6"/>
          </w:tcPr>
          <w:p w14:paraId="736F356E" w14:textId="5D097D93" w:rsidR="00C43B95" w:rsidRPr="0072626D" w:rsidRDefault="00C43B95" w:rsidP="005B6B19">
            <w:pPr>
              <w:jc w:val="both"/>
              <w:rPr>
                <w:rFonts w:ascii="Arial" w:hAnsi="Arial" w:cs="Arial"/>
              </w:rPr>
            </w:pPr>
            <w:r w:rsidRPr="0072626D">
              <w:rPr>
                <w:rFonts w:ascii="Arial" w:hAnsi="Arial" w:cs="Arial"/>
              </w:rPr>
              <w:t>Opportunities</w:t>
            </w:r>
          </w:p>
        </w:tc>
        <w:tc>
          <w:tcPr>
            <w:tcW w:w="4201" w:type="dxa"/>
            <w:shd w:val="clear" w:color="auto" w:fill="D1D1D1" w:themeFill="background2" w:themeFillShade="E6"/>
          </w:tcPr>
          <w:p w14:paraId="0C61C4A9" w14:textId="69A96DC2" w:rsidR="00C43B95" w:rsidRPr="0072626D" w:rsidRDefault="00020E18" w:rsidP="005B6B19">
            <w:pPr>
              <w:jc w:val="both"/>
              <w:rPr>
                <w:rFonts w:ascii="Arial" w:hAnsi="Arial" w:cs="Arial"/>
              </w:rPr>
            </w:pPr>
            <w:r w:rsidRPr="0072626D">
              <w:rPr>
                <w:rFonts w:ascii="Arial" w:hAnsi="Arial" w:cs="Arial"/>
              </w:rPr>
              <w:t>Threats</w:t>
            </w:r>
          </w:p>
        </w:tc>
      </w:tr>
      <w:tr w:rsidR="00C43B95" w:rsidRPr="0072626D" w14:paraId="539C1517" w14:textId="77777777" w:rsidTr="00BD69C7">
        <w:tc>
          <w:tcPr>
            <w:tcW w:w="4815" w:type="dxa"/>
          </w:tcPr>
          <w:p w14:paraId="7213DCC4" w14:textId="77777777" w:rsidR="00C43B95" w:rsidRPr="0072626D" w:rsidRDefault="00C43B95" w:rsidP="005B6B19">
            <w:pPr>
              <w:jc w:val="both"/>
              <w:rPr>
                <w:rFonts w:ascii="Arial" w:hAnsi="Arial" w:cs="Arial"/>
              </w:rPr>
            </w:pPr>
          </w:p>
          <w:p w14:paraId="220AB18C" w14:textId="5556F3D9" w:rsidR="32329358" w:rsidRPr="0072626D" w:rsidRDefault="32329358" w:rsidP="005B6B19">
            <w:pPr>
              <w:spacing w:line="360" w:lineRule="auto"/>
              <w:jc w:val="both"/>
              <w:rPr>
                <w:rFonts w:ascii="Arial" w:hAnsi="Arial" w:cs="Arial"/>
              </w:rPr>
            </w:pPr>
            <w:r w:rsidRPr="0072626D">
              <w:rPr>
                <w:rFonts w:ascii="Arial" w:hAnsi="Arial" w:cs="Arial"/>
              </w:rPr>
              <w:t>The Three-Year Delivery Plan creates an opportunity to strengthen implementation through SBLCBv3, national maternal and newborn early-warning systems, digital maternity standards and routine monitoring of outcomes by ethnicity and deprivation (NHS England, 2023a). The newer Maternal Care Bundle also targets maternal mortality, morbidity and inequalities across five priority clinical areas, potentially addressing areas where improvement has been slower.</w:t>
            </w:r>
          </w:p>
          <w:p w14:paraId="28252D98" w14:textId="77777777" w:rsidR="00020E18" w:rsidRPr="0072626D" w:rsidRDefault="00020E18" w:rsidP="005B6B19">
            <w:pPr>
              <w:jc w:val="both"/>
              <w:rPr>
                <w:rFonts w:ascii="Arial" w:hAnsi="Arial" w:cs="Arial"/>
              </w:rPr>
            </w:pPr>
          </w:p>
          <w:p w14:paraId="3428C199" w14:textId="77777777" w:rsidR="00020E18" w:rsidRPr="0072626D" w:rsidRDefault="00020E18" w:rsidP="005B6B19">
            <w:pPr>
              <w:jc w:val="both"/>
              <w:rPr>
                <w:rFonts w:ascii="Arial" w:hAnsi="Arial" w:cs="Arial"/>
              </w:rPr>
            </w:pPr>
          </w:p>
          <w:p w14:paraId="3F1451CA" w14:textId="77777777" w:rsidR="00020E18" w:rsidRPr="0072626D" w:rsidRDefault="00020E18" w:rsidP="005B6B19">
            <w:pPr>
              <w:jc w:val="both"/>
              <w:rPr>
                <w:rFonts w:ascii="Arial" w:hAnsi="Arial" w:cs="Arial"/>
              </w:rPr>
            </w:pPr>
          </w:p>
        </w:tc>
        <w:tc>
          <w:tcPr>
            <w:tcW w:w="4201" w:type="dxa"/>
          </w:tcPr>
          <w:p w14:paraId="45C8C04F" w14:textId="77777777" w:rsidR="00C43B95" w:rsidRPr="0072626D" w:rsidRDefault="00C43B95" w:rsidP="005B6B19">
            <w:pPr>
              <w:jc w:val="both"/>
              <w:rPr>
                <w:rFonts w:ascii="Arial" w:hAnsi="Arial" w:cs="Arial"/>
              </w:rPr>
            </w:pPr>
          </w:p>
          <w:p w14:paraId="09927B97" w14:textId="1F2ED528" w:rsidR="007F7D51" w:rsidRPr="0072626D" w:rsidRDefault="361F4A51" w:rsidP="005B6B19">
            <w:pPr>
              <w:spacing w:line="360" w:lineRule="auto"/>
              <w:jc w:val="both"/>
              <w:rPr>
                <w:rFonts w:ascii="Arial" w:hAnsi="Arial" w:cs="Arial"/>
              </w:rPr>
            </w:pPr>
            <w:r w:rsidRPr="0072626D">
              <w:rPr>
                <w:rFonts w:ascii="Arial" w:hAnsi="Arial" w:cs="Arial"/>
              </w:rPr>
              <w:t xml:space="preserve">NHS Resolution (2024) demonstrates the substantial financial consequences </w:t>
            </w:r>
            <w:r w:rsidR="00B80EB4" w:rsidRPr="0072626D">
              <w:rPr>
                <w:rFonts w:ascii="Arial" w:hAnsi="Arial" w:cs="Arial"/>
              </w:rPr>
              <w:t>of maternity-related clinical negligence, while the Royal College of Midwives (2024) identifies ongoing</w:t>
            </w:r>
            <w:r w:rsidRPr="0072626D">
              <w:rPr>
                <w:rFonts w:ascii="Arial" w:hAnsi="Arial" w:cs="Arial"/>
              </w:rPr>
              <w:t xml:space="preserve"> workforce pressures. Together, these risks may create a reinforcing cycle in which workforce instability compromises safety, adverse outcomes increase financial and regulatory pressures, and organisational capacity for improvement becomes further constrained.</w:t>
            </w:r>
          </w:p>
        </w:tc>
      </w:tr>
    </w:tbl>
    <w:p w14:paraId="36BB059E" w14:textId="25364292" w:rsidR="4FF3BDB9" w:rsidRPr="0072626D" w:rsidRDefault="3CA277C7" w:rsidP="005B6B19">
      <w:pPr>
        <w:jc w:val="both"/>
        <w:rPr>
          <w:rFonts w:ascii="Arial" w:hAnsi="Arial" w:cs="Arial"/>
        </w:rPr>
      </w:pPr>
      <w:r w:rsidRPr="0072626D">
        <w:rPr>
          <w:rFonts w:ascii="Arial" w:hAnsi="Arial" w:cs="Arial"/>
        </w:rPr>
        <w:t xml:space="preserve">Critical evaluation: SWOT provides strategic clarity but remains subjective, descriptive and relatively static; factors may also overlap between categories (Gürel and Tat, 2017). It should therefore prioritise improvement rather than </w:t>
      </w:r>
      <w:r w:rsidR="00511398">
        <w:rPr>
          <w:rFonts w:ascii="Arial" w:hAnsi="Arial" w:cs="Arial"/>
        </w:rPr>
        <w:t xml:space="preserve">establishing </w:t>
      </w:r>
      <w:r w:rsidRPr="0072626D">
        <w:rPr>
          <w:rFonts w:ascii="Arial" w:hAnsi="Arial" w:cs="Arial"/>
        </w:rPr>
        <w:t>causality, which has already been addressed through Fishbone, Five Whys and Donabedian analysis.</w:t>
      </w:r>
    </w:p>
    <w:p w14:paraId="51D8AC17" w14:textId="5C27A090" w:rsidR="00C43B95" w:rsidRPr="0072626D" w:rsidRDefault="00C43B95" w:rsidP="005B6B19">
      <w:pPr>
        <w:jc w:val="both"/>
        <w:rPr>
          <w:rFonts w:ascii="Arial" w:hAnsi="Arial" w:cs="Arial"/>
        </w:rPr>
      </w:pPr>
    </w:p>
    <w:p w14:paraId="6764C36E" w14:textId="5834BBE1" w:rsidR="4B66F0C6" w:rsidRPr="0072626D" w:rsidRDefault="47022161" w:rsidP="005B6B19">
      <w:pPr>
        <w:pStyle w:val="Heading2"/>
        <w:jc w:val="both"/>
        <w:rPr>
          <w:rFonts w:ascii="Arial" w:hAnsi="Arial" w:cs="Arial"/>
          <w:sz w:val="24"/>
          <w:szCs w:val="24"/>
        </w:rPr>
      </w:pPr>
      <w:bookmarkStart w:id="8" w:name="_Toc238025924"/>
      <w:r w:rsidRPr="0072626D">
        <w:rPr>
          <w:rFonts w:ascii="Arial" w:hAnsi="Arial" w:cs="Arial"/>
          <w:sz w:val="24"/>
          <w:szCs w:val="24"/>
        </w:rPr>
        <w:t>2.</w:t>
      </w:r>
      <w:r w:rsidR="000D4D2C" w:rsidRPr="0072626D">
        <w:rPr>
          <w:rFonts w:ascii="Arial" w:hAnsi="Arial" w:cs="Arial"/>
          <w:sz w:val="24"/>
          <w:szCs w:val="24"/>
        </w:rPr>
        <w:t>5</w:t>
      </w:r>
      <w:r w:rsidRPr="0072626D">
        <w:rPr>
          <w:rFonts w:ascii="Arial" w:hAnsi="Arial" w:cs="Arial"/>
          <w:sz w:val="24"/>
          <w:szCs w:val="24"/>
        </w:rPr>
        <w:t xml:space="preserve"> Implementation Science</w:t>
      </w:r>
      <w:bookmarkEnd w:id="8"/>
      <w:r w:rsidR="00511398">
        <w:rPr>
          <w:rFonts w:ascii="Arial" w:hAnsi="Arial" w:cs="Arial"/>
          <w:sz w:val="24"/>
          <w:szCs w:val="24"/>
        </w:rPr>
        <w:t xml:space="preserve"> Frameworks</w:t>
      </w:r>
    </w:p>
    <w:p w14:paraId="1CD6E7A3" w14:textId="59CC68A6" w:rsidR="2B07BF1D" w:rsidRPr="0072626D" w:rsidRDefault="2B07BF1D" w:rsidP="005B6B19">
      <w:pPr>
        <w:spacing w:line="360" w:lineRule="auto"/>
        <w:jc w:val="both"/>
        <w:rPr>
          <w:rFonts w:ascii="Arial" w:hAnsi="Arial" w:cs="Arial"/>
        </w:rPr>
      </w:pPr>
      <w:r w:rsidRPr="0072626D">
        <w:rPr>
          <w:rFonts w:ascii="Arial" w:hAnsi="Arial" w:cs="Arial"/>
        </w:rPr>
        <w:t>Implementation science is relevant to Ockenden because established maternity standards and previous recommendations did not consistently translate into routine safe practice (Ockenden, 2022). The issue was therefore not only identifying appropriate care, but understanding why evidence was not reliably implemented and sustained.</w:t>
      </w:r>
    </w:p>
    <w:p w14:paraId="32139303" w14:textId="465A6D52" w:rsidR="2B07BF1D" w:rsidRPr="0072626D" w:rsidRDefault="2B07BF1D" w:rsidP="005B6B19">
      <w:pPr>
        <w:spacing w:line="360" w:lineRule="auto"/>
        <w:jc w:val="both"/>
        <w:rPr>
          <w:rFonts w:ascii="Arial" w:hAnsi="Arial" w:cs="Arial"/>
        </w:rPr>
      </w:pPr>
      <w:r w:rsidRPr="0072626D">
        <w:rPr>
          <w:rFonts w:ascii="Arial" w:hAnsi="Arial" w:cs="Arial"/>
        </w:rPr>
        <w:t xml:space="preserve">CFIR – Organisational Readiness. CFIR examines implementation across the intervention, inner and outer settings, individuals and implementation processes (Damschroder </w:t>
      </w:r>
      <w:r w:rsidRPr="0072626D">
        <w:rPr>
          <w:rFonts w:ascii="Arial" w:hAnsi="Arial" w:cs="Arial"/>
          <w:i/>
          <w:iCs/>
        </w:rPr>
        <w:t>et al.,</w:t>
      </w:r>
      <w:r w:rsidRPr="0072626D">
        <w:rPr>
          <w:rFonts w:ascii="Arial" w:hAnsi="Arial" w:cs="Arial"/>
        </w:rPr>
        <w:t xml:space="preserve"> 2022). Ockenden (2022) identified weaknesses in leadership, workforce capacity and organisational learning, indicating limited organisational readiness for sustained implementation. CFIR therefore suggests that additional guidance alone is unlikely to improve safety without sufficient leadership, resources and implementation capability.</w:t>
      </w:r>
    </w:p>
    <w:p w14:paraId="41ACBC10" w14:textId="55A3A93A" w:rsidR="2B07BF1D" w:rsidRPr="0072626D" w:rsidRDefault="2B07BF1D" w:rsidP="005B6B19">
      <w:pPr>
        <w:spacing w:line="360" w:lineRule="auto"/>
        <w:jc w:val="both"/>
        <w:rPr>
          <w:rFonts w:ascii="Arial" w:hAnsi="Arial" w:cs="Arial"/>
        </w:rPr>
      </w:pPr>
      <w:r w:rsidRPr="0072626D">
        <w:rPr>
          <w:rFonts w:ascii="Arial" w:hAnsi="Arial" w:cs="Arial"/>
        </w:rPr>
        <w:t xml:space="preserve">NPT – Embedding Change. NPT explains how practices become routine through coherence, cognitive participation, collective action and reflexive monitoring (May and Finch, 2009). Ockenden (2022) identified fragmented multidisciplinary communication and joint working, while CQC (2024) highlighted a “them and us” culture between midwifery and obstetric staff. May </w:t>
      </w:r>
      <w:r w:rsidRPr="0072626D">
        <w:rPr>
          <w:rFonts w:ascii="Arial" w:hAnsi="Arial" w:cs="Arial"/>
          <w:i/>
          <w:iCs/>
        </w:rPr>
        <w:t>et al.</w:t>
      </w:r>
      <w:r w:rsidRPr="0072626D">
        <w:rPr>
          <w:rFonts w:ascii="Arial" w:hAnsi="Arial" w:cs="Arial"/>
        </w:rPr>
        <w:t xml:space="preserve"> (2018) emphasise that implementation requires collective professional work. Therefore, professional silos may have prevented safer practices from becoming normalised, demonstrating why training alone is insufficient without shared multidisciplinary responsibility for implementing and reviewing change.</w:t>
      </w:r>
    </w:p>
    <w:p w14:paraId="2C582170" w14:textId="5C6B657A" w:rsidR="2B07BF1D" w:rsidRPr="0072626D" w:rsidRDefault="2B07BF1D" w:rsidP="005B6B19">
      <w:pPr>
        <w:spacing w:line="360" w:lineRule="auto"/>
        <w:jc w:val="both"/>
        <w:rPr>
          <w:rFonts w:ascii="Arial" w:hAnsi="Arial" w:cs="Arial"/>
        </w:rPr>
      </w:pPr>
      <w:r w:rsidRPr="0072626D">
        <w:rPr>
          <w:rFonts w:ascii="Arial" w:hAnsi="Arial" w:cs="Arial"/>
        </w:rPr>
        <w:t xml:space="preserve">PARIHS – Evidence, Context and Facilitation. PARIHS proposes that implementation depends on evidence, context and facilitation (Harvey and Kitson, 2016). Ockenden (2022) demonstrates that evidence-based standards existed, but organisational context limited their consistent application. The implementation deficit was therefore not simply </w:t>
      </w:r>
      <w:r w:rsidR="00015645">
        <w:rPr>
          <w:rFonts w:ascii="Arial" w:hAnsi="Arial" w:cs="Arial"/>
        </w:rPr>
        <w:t xml:space="preserve">a </w:t>
      </w:r>
      <w:r w:rsidRPr="0072626D">
        <w:rPr>
          <w:rFonts w:ascii="Arial" w:hAnsi="Arial" w:cs="Arial"/>
        </w:rPr>
        <w:t>lack of evidence, but insufficient conditions for evidence to influence routine practice, supporting stronger clinical leadership, feedback and protected multidisciplinary learning.</w:t>
      </w:r>
    </w:p>
    <w:p w14:paraId="7DA85BD0" w14:textId="2CED67BE" w:rsidR="2B07BF1D" w:rsidRPr="0072626D" w:rsidRDefault="2B07BF1D" w:rsidP="005B6B19">
      <w:pPr>
        <w:spacing w:line="360" w:lineRule="auto"/>
        <w:jc w:val="both"/>
        <w:rPr>
          <w:rFonts w:ascii="Arial" w:hAnsi="Arial" w:cs="Arial"/>
        </w:rPr>
      </w:pPr>
      <w:r w:rsidRPr="0072626D">
        <w:rPr>
          <w:rFonts w:ascii="Arial" w:hAnsi="Arial" w:cs="Arial"/>
        </w:rPr>
        <w:t>Critical synthesis. The frameworks are complementary but overlap: CFIR identifies implementation barriers, NPT explains whether change becomes routine, and PARIHS highlights the role of context and facilitation. Their combined implication is that sustainable maternity improvement requires organisational readiness, collective professional participation, supportive leadership and continuous evaluation—not simply further policies or recommendations.</w:t>
      </w:r>
    </w:p>
    <w:p w14:paraId="06335AE5" w14:textId="6D57EF86" w:rsidR="6FBCA6F1" w:rsidRPr="0072626D" w:rsidRDefault="6FBCA6F1" w:rsidP="005B6B19">
      <w:pPr>
        <w:spacing w:line="360" w:lineRule="auto"/>
        <w:jc w:val="both"/>
        <w:rPr>
          <w:rFonts w:ascii="Arial" w:hAnsi="Arial" w:cs="Arial"/>
        </w:rPr>
      </w:pPr>
    </w:p>
    <w:p w14:paraId="3C6636CD" w14:textId="77777777" w:rsidR="00EA0BB7" w:rsidRPr="0072626D" w:rsidRDefault="00EA0BB7" w:rsidP="005B6B19">
      <w:pPr>
        <w:spacing w:line="360" w:lineRule="auto"/>
        <w:jc w:val="both"/>
        <w:rPr>
          <w:rFonts w:ascii="Arial" w:hAnsi="Arial" w:cs="Arial"/>
        </w:rPr>
      </w:pPr>
    </w:p>
    <w:p w14:paraId="556599D9" w14:textId="77777777" w:rsidR="00EA0BB7" w:rsidRPr="0072626D" w:rsidRDefault="00EA0BB7" w:rsidP="005B6B19">
      <w:pPr>
        <w:spacing w:line="360" w:lineRule="auto"/>
        <w:jc w:val="both"/>
        <w:rPr>
          <w:rFonts w:ascii="Arial" w:hAnsi="Arial" w:cs="Arial"/>
        </w:rPr>
      </w:pPr>
    </w:p>
    <w:p w14:paraId="2EC2D2C3" w14:textId="78735F87" w:rsidR="6FBCA6F1" w:rsidRPr="0072626D" w:rsidRDefault="6FBCA6F1" w:rsidP="005B6B19">
      <w:pPr>
        <w:pStyle w:val="Heading2"/>
        <w:jc w:val="both"/>
        <w:rPr>
          <w:rFonts w:ascii="Arial" w:hAnsi="Arial" w:cs="Arial"/>
          <w:sz w:val="24"/>
          <w:szCs w:val="24"/>
        </w:rPr>
      </w:pPr>
    </w:p>
    <w:p w14:paraId="6631B775" w14:textId="5809099D" w:rsidR="2ACD289B" w:rsidRPr="0072626D" w:rsidRDefault="2E03B014" w:rsidP="005B6B19">
      <w:pPr>
        <w:pStyle w:val="Heading2"/>
        <w:jc w:val="both"/>
        <w:rPr>
          <w:rFonts w:ascii="Arial" w:hAnsi="Arial" w:cs="Arial"/>
          <w:b/>
          <w:bCs/>
          <w:sz w:val="24"/>
          <w:szCs w:val="24"/>
        </w:rPr>
      </w:pPr>
      <w:bookmarkStart w:id="9" w:name="_Toc238025925"/>
      <w:r w:rsidRPr="0072626D">
        <w:rPr>
          <w:rFonts w:ascii="Arial" w:hAnsi="Arial" w:cs="Arial"/>
          <w:b/>
          <w:bCs/>
          <w:sz w:val="24"/>
          <w:szCs w:val="24"/>
        </w:rPr>
        <w:t xml:space="preserve">3.0 Evidence-based </w:t>
      </w:r>
      <w:bookmarkEnd w:id="9"/>
      <w:r w:rsidR="00511398">
        <w:rPr>
          <w:rFonts w:ascii="Arial" w:hAnsi="Arial" w:cs="Arial"/>
          <w:b/>
          <w:bCs/>
          <w:sz w:val="24"/>
          <w:szCs w:val="24"/>
        </w:rPr>
        <w:t xml:space="preserve">Recommendation’s </w:t>
      </w:r>
    </w:p>
    <w:p w14:paraId="6A60FA8B" w14:textId="17DEFB13" w:rsidR="55D2959E" w:rsidRPr="0072626D" w:rsidRDefault="55D2959E" w:rsidP="005B6B19">
      <w:pPr>
        <w:pStyle w:val="Heading2"/>
        <w:jc w:val="both"/>
        <w:rPr>
          <w:rFonts w:ascii="Arial" w:hAnsi="Arial" w:cs="Arial"/>
          <w:sz w:val="24"/>
          <w:szCs w:val="24"/>
        </w:rPr>
      </w:pPr>
      <w:bookmarkStart w:id="10" w:name="_Toc238025926"/>
      <w:r w:rsidRPr="0072626D">
        <w:rPr>
          <w:rFonts w:ascii="Arial" w:hAnsi="Arial" w:cs="Arial"/>
          <w:sz w:val="24"/>
          <w:szCs w:val="24"/>
        </w:rPr>
        <w:t>3.1 Strengthen Clinical Governance and Accountability</w:t>
      </w:r>
      <w:bookmarkEnd w:id="10"/>
    </w:p>
    <w:p w14:paraId="15F23DC3" w14:textId="61F37A35" w:rsidR="55D2959E" w:rsidRPr="0072626D" w:rsidRDefault="55D2959E" w:rsidP="005B6B19">
      <w:pPr>
        <w:spacing w:line="360" w:lineRule="auto"/>
        <w:jc w:val="both"/>
        <w:rPr>
          <w:rFonts w:ascii="Arial" w:hAnsi="Arial" w:cs="Arial"/>
        </w:rPr>
      </w:pPr>
      <w:r w:rsidRPr="0072626D">
        <w:rPr>
          <w:rFonts w:ascii="Arial" w:hAnsi="Arial" w:cs="Arial"/>
        </w:rPr>
        <w:t xml:space="preserve">Clinical governance provides the organisational framework through which NHS services remain accountable for continuously improving quality and safeguarding standards of care (Scally and Donaldson, 1998). Ockenden (2022) identified inadequate oversight, ineffective incident investigation and failures to learn from recurring safety concerns, demonstrating that governance mechanisms were insufficient to prevent repeated harm. NHS </w:t>
      </w:r>
      <w:r w:rsidR="00511398">
        <w:rPr>
          <w:rFonts w:ascii="Arial" w:hAnsi="Arial" w:cs="Arial"/>
        </w:rPr>
        <w:t>England</w:t>
      </w:r>
      <w:r w:rsidRPr="0072626D">
        <w:rPr>
          <w:rFonts w:ascii="Arial" w:hAnsi="Arial" w:cs="Arial"/>
        </w:rPr>
        <w:t xml:space="preserve"> promotes systems-based learning from patient-safety incidents rather than disproportionate emphasis on individual blame (NHS England, 202</w:t>
      </w:r>
      <w:r w:rsidR="00511398">
        <w:rPr>
          <w:rFonts w:ascii="Arial" w:hAnsi="Arial" w:cs="Arial"/>
        </w:rPr>
        <w:t>2</w:t>
      </w:r>
      <w:r w:rsidRPr="0072626D">
        <w:rPr>
          <w:rFonts w:ascii="Arial" w:hAnsi="Arial" w:cs="Arial"/>
        </w:rPr>
        <w:t>). Therefore, maternity governance should move beyond retrospective incident review towards proactive risk surveillance, using board-level maternity dashboards, regular multidisciplinary safety reviews and clearly defined accountability for implementing recommendations. This would enable emerging patterns to be identified before they develop into repeated harm.</w:t>
      </w:r>
    </w:p>
    <w:p w14:paraId="4EC07673" w14:textId="492F3CBA" w:rsidR="55D2959E" w:rsidRPr="0072626D" w:rsidRDefault="79F7DEDB" w:rsidP="005B6B19">
      <w:pPr>
        <w:pStyle w:val="Heading2"/>
        <w:jc w:val="both"/>
        <w:rPr>
          <w:rFonts w:ascii="Arial" w:hAnsi="Arial" w:cs="Arial"/>
          <w:sz w:val="24"/>
          <w:szCs w:val="24"/>
        </w:rPr>
      </w:pPr>
      <w:bookmarkStart w:id="11" w:name="_Toc238025927"/>
      <w:r w:rsidRPr="0072626D">
        <w:rPr>
          <w:rFonts w:ascii="Arial" w:hAnsi="Arial" w:cs="Arial"/>
          <w:sz w:val="24"/>
          <w:szCs w:val="24"/>
        </w:rPr>
        <w:t>3.2 Leadership and Safety Culture</w:t>
      </w:r>
      <w:bookmarkEnd w:id="11"/>
    </w:p>
    <w:p w14:paraId="651C8DE6" w14:textId="612D1D46" w:rsidR="2F0F254D" w:rsidRPr="0072626D" w:rsidRDefault="2F0F254D" w:rsidP="005B6B19">
      <w:pPr>
        <w:spacing w:line="360" w:lineRule="auto"/>
        <w:jc w:val="both"/>
        <w:rPr>
          <w:rFonts w:ascii="Arial" w:hAnsi="Arial" w:cs="Arial"/>
        </w:rPr>
      </w:pPr>
      <w:r w:rsidRPr="0072626D">
        <w:rPr>
          <w:rFonts w:ascii="Arial" w:hAnsi="Arial" w:cs="Arial"/>
        </w:rPr>
        <w:t xml:space="preserve">Leadership development is important because leadership influences safety culture, staff engagement and the willingness of professionals to raise concerns. Boamah et </w:t>
      </w:r>
      <w:r w:rsidRPr="0072626D">
        <w:rPr>
          <w:rFonts w:ascii="Arial" w:hAnsi="Arial" w:cs="Arial"/>
          <w:i/>
          <w:iCs/>
        </w:rPr>
        <w:t>al.</w:t>
      </w:r>
      <w:r w:rsidRPr="0072626D">
        <w:rPr>
          <w:rFonts w:ascii="Arial" w:hAnsi="Arial" w:cs="Arial"/>
        </w:rPr>
        <w:t xml:space="preserve"> (2018) found that transformational leadership was associated with improved workplace conditions and patient-safety outcomes, supporting leadership development as a potential quality-improvement intervention. Similarly, Edmondson (1999) demonstrated that psychological safety encourages staff to speak openly about concerns and mistakes, which is particularly relevant to maternity services where timely escalation can prevent harm.</w:t>
      </w:r>
    </w:p>
    <w:p w14:paraId="6E312436" w14:textId="6934B974" w:rsidR="2F0F254D" w:rsidRPr="0072626D" w:rsidRDefault="2F0F254D" w:rsidP="005B6B19">
      <w:pPr>
        <w:spacing w:line="360" w:lineRule="auto"/>
        <w:jc w:val="both"/>
        <w:rPr>
          <w:rFonts w:ascii="Arial" w:hAnsi="Arial" w:cs="Arial"/>
        </w:rPr>
      </w:pPr>
      <w:r w:rsidRPr="0072626D">
        <w:rPr>
          <w:rFonts w:ascii="Arial" w:hAnsi="Arial" w:cs="Arial"/>
        </w:rPr>
        <w:t xml:space="preserve">However, leadership development alone cannot guarantee meaningful organisational change. Ockenden (2022) identified failures extending beyond leadership behaviour to governance, workforce capacity, multidisciplinary working and organisational learning. This suggests that training managers in transformational or compassionate leadership may have limited impact if staff remain understaffed, escalation systems are ineffective, or concerns raised by frontline professionals do not result in organisational action. Furthermore, West </w:t>
      </w:r>
      <w:r w:rsidRPr="0072626D">
        <w:rPr>
          <w:rFonts w:ascii="Arial" w:hAnsi="Arial" w:cs="Arial"/>
          <w:i/>
          <w:iCs/>
        </w:rPr>
        <w:t>et al.</w:t>
      </w:r>
      <w:r w:rsidRPr="0072626D">
        <w:rPr>
          <w:rFonts w:ascii="Arial" w:hAnsi="Arial" w:cs="Arial"/>
        </w:rPr>
        <w:t xml:space="preserve"> (2015) argue that compassionate leadership requires supportive organisational conditions rather than simply individual leadership competencies.</w:t>
      </w:r>
    </w:p>
    <w:p w14:paraId="13D3E5A9" w14:textId="59E07E33" w:rsidR="2F0F254D" w:rsidRPr="0072626D" w:rsidRDefault="2F0F254D" w:rsidP="005B6B19">
      <w:pPr>
        <w:spacing w:line="360" w:lineRule="auto"/>
        <w:jc w:val="both"/>
        <w:rPr>
          <w:rFonts w:ascii="Arial" w:hAnsi="Arial" w:cs="Arial"/>
        </w:rPr>
      </w:pPr>
      <w:r w:rsidRPr="0072626D">
        <w:rPr>
          <w:rFonts w:ascii="Arial" w:hAnsi="Arial" w:cs="Arial"/>
        </w:rPr>
        <w:t>Therefore, leadership development should be treated as one component of systems improvement rather than a standalone solution. NHS maternity services should combine multidisciplinary leadership development with protected speaking-up mechanisms, adequate workforce capacity, executive safety walk-rounds and measurable board-level accountability. This approach is more likely to translate improved leadership behaviours into sustained changes in safety culture and patient outcomes.</w:t>
      </w:r>
    </w:p>
    <w:p w14:paraId="69DDB73E" w14:textId="7C7BD6B1" w:rsidR="6FBCA6F1" w:rsidRPr="0072626D" w:rsidRDefault="6FBCA6F1" w:rsidP="005B6B19">
      <w:pPr>
        <w:spacing w:line="360" w:lineRule="auto"/>
        <w:jc w:val="both"/>
        <w:rPr>
          <w:rFonts w:ascii="Arial" w:hAnsi="Arial" w:cs="Arial"/>
        </w:rPr>
      </w:pPr>
    </w:p>
    <w:p w14:paraId="5C37DC2B" w14:textId="72C64753" w:rsidR="55D2959E" w:rsidRPr="0072626D" w:rsidRDefault="55D2959E" w:rsidP="005B6B19">
      <w:pPr>
        <w:spacing w:line="360" w:lineRule="auto"/>
        <w:jc w:val="both"/>
        <w:rPr>
          <w:rStyle w:val="Heading2Char"/>
          <w:rFonts w:ascii="Arial" w:hAnsi="Arial" w:cs="Arial"/>
          <w:sz w:val="24"/>
          <w:szCs w:val="24"/>
        </w:rPr>
      </w:pPr>
      <w:bookmarkStart w:id="12" w:name="_Toc238025928"/>
      <w:r w:rsidRPr="0072626D">
        <w:rPr>
          <w:rStyle w:val="Heading2Char"/>
          <w:rFonts w:ascii="Arial" w:hAnsi="Arial" w:cs="Arial"/>
          <w:sz w:val="24"/>
          <w:szCs w:val="24"/>
        </w:rPr>
        <w:t>3.3 Workforce Capability and Human Factors</w:t>
      </w:r>
      <w:bookmarkEnd w:id="12"/>
    </w:p>
    <w:p w14:paraId="19D7ABAA" w14:textId="77777777" w:rsidR="00367253" w:rsidRPr="0072626D" w:rsidRDefault="00367253" w:rsidP="00367253">
      <w:pPr>
        <w:spacing w:line="360" w:lineRule="auto"/>
        <w:jc w:val="both"/>
        <w:rPr>
          <w:rFonts w:ascii="Arial" w:hAnsi="Arial" w:cs="Arial"/>
        </w:rPr>
      </w:pPr>
      <w:r w:rsidRPr="0072626D">
        <w:rPr>
          <w:rFonts w:ascii="Arial" w:hAnsi="Arial" w:cs="Arial"/>
        </w:rPr>
        <w:t xml:space="preserve">Workforce improvement should address </w:t>
      </w:r>
      <w:r w:rsidRPr="0072626D">
        <w:rPr>
          <w:rFonts w:ascii="Arial" w:hAnsi="Arial" w:cs="Arial"/>
          <w:b/>
          <w:bCs/>
        </w:rPr>
        <w:t>capacity, competence and working conditions simultaneously</w:t>
      </w:r>
      <w:r w:rsidRPr="0072626D">
        <w:rPr>
          <w:rFonts w:ascii="Arial" w:hAnsi="Arial" w:cs="Arial"/>
        </w:rPr>
        <w:t xml:space="preserve">. Ockenden (2022) identified staffing pressures, inconsistent competency assessment and problems with </w:t>
      </w:r>
      <w:proofErr w:type="spellStart"/>
      <w:r w:rsidRPr="0072626D">
        <w:rPr>
          <w:rFonts w:ascii="Arial" w:hAnsi="Arial" w:cs="Arial"/>
        </w:rPr>
        <w:t>fetal</w:t>
      </w:r>
      <w:proofErr w:type="spellEnd"/>
      <w:r w:rsidRPr="0072626D">
        <w:rPr>
          <w:rFonts w:ascii="Arial" w:hAnsi="Arial" w:cs="Arial"/>
        </w:rPr>
        <w:t xml:space="preserve"> monitoring and escalation. Human-factors evidence demonstrates that clinical performance is shaped by interactions between professionals, tasks, technologies and organisational conditions rather than knowledge alone (</w:t>
      </w:r>
      <w:proofErr w:type="spellStart"/>
      <w:r w:rsidRPr="0072626D">
        <w:rPr>
          <w:rFonts w:ascii="Arial" w:hAnsi="Arial" w:cs="Arial"/>
        </w:rPr>
        <w:t>Carayon</w:t>
      </w:r>
      <w:proofErr w:type="spellEnd"/>
      <w:r w:rsidRPr="0072626D">
        <w:rPr>
          <w:rFonts w:ascii="Arial" w:hAnsi="Arial" w:cs="Arial"/>
        </w:rPr>
        <w:t xml:space="preserve"> </w:t>
      </w:r>
      <w:r w:rsidRPr="0072626D">
        <w:rPr>
          <w:rFonts w:ascii="Arial" w:hAnsi="Arial" w:cs="Arial"/>
          <w:i/>
          <w:iCs/>
        </w:rPr>
        <w:t>et al.</w:t>
      </w:r>
      <w:r w:rsidRPr="0072626D">
        <w:rPr>
          <w:rFonts w:ascii="Arial" w:hAnsi="Arial" w:cs="Arial"/>
        </w:rPr>
        <w:t>, 2020). Safer maternity care therefore requires adequate staffing alongside protected multidisciplinary simulation, standardised CTG competency assessment, escalation training and regular reassessment of clinical skills.</w:t>
      </w:r>
    </w:p>
    <w:p w14:paraId="01E160B1" w14:textId="0ED09AF6" w:rsidR="00367253" w:rsidRPr="0072626D" w:rsidRDefault="00367253" w:rsidP="00367253">
      <w:pPr>
        <w:spacing w:line="360" w:lineRule="auto"/>
        <w:jc w:val="both"/>
        <w:rPr>
          <w:rFonts w:ascii="Arial" w:hAnsi="Arial" w:cs="Arial"/>
        </w:rPr>
      </w:pPr>
      <w:r w:rsidRPr="0072626D">
        <w:rPr>
          <w:rFonts w:ascii="Arial" w:hAnsi="Arial" w:cs="Arial"/>
          <w:b/>
          <w:bCs/>
        </w:rPr>
        <w:t>Critically, however, additional training cannot guarantee safer care if understaffing, excessive workload, fatigue or weak organisational systems prevent professionals from consistently applying their knowledge in practice.</w:t>
      </w:r>
      <w:r w:rsidRPr="0072626D">
        <w:rPr>
          <w:rFonts w:ascii="Arial" w:hAnsi="Arial" w:cs="Arial"/>
        </w:rPr>
        <w:t xml:space="preserve"> Workforce development should therefore not become another individual-focused response to a systemic problem; improvement must address </w:t>
      </w:r>
      <w:r w:rsidRPr="0072626D">
        <w:rPr>
          <w:rFonts w:ascii="Arial" w:hAnsi="Arial" w:cs="Arial"/>
          <w:b/>
          <w:bCs/>
        </w:rPr>
        <w:t>staffing capacity, working conditions and system design alongside professional competence</w:t>
      </w:r>
      <w:r w:rsidRPr="0072626D">
        <w:rPr>
          <w:rFonts w:ascii="Arial" w:hAnsi="Arial" w:cs="Arial"/>
        </w:rPr>
        <w:t xml:space="preserve">. This is particularly important because the NHS Long Term Workforce Plan identifies workforce shortages as a continuing constraint on service sustainability (NHS England, 2023c), </w:t>
      </w:r>
      <w:r w:rsidR="00F21571" w:rsidRPr="0072626D">
        <w:rPr>
          <w:rFonts w:ascii="Arial" w:hAnsi="Arial" w:cs="Arial"/>
        </w:rPr>
        <w:t xml:space="preserve">and </w:t>
      </w:r>
      <w:r w:rsidRPr="0072626D">
        <w:rPr>
          <w:rFonts w:ascii="Arial" w:hAnsi="Arial" w:cs="Arial"/>
        </w:rPr>
        <w:t>the Royal College of Midwives (2024) highlights ongoing recruitment, retention and workload pressures.</w:t>
      </w:r>
    </w:p>
    <w:p w14:paraId="2515A6FB" w14:textId="2051B38C" w:rsidR="55D2959E" w:rsidRPr="0072626D" w:rsidRDefault="55D2959E" w:rsidP="005B6B19">
      <w:pPr>
        <w:pStyle w:val="Heading2"/>
        <w:jc w:val="both"/>
        <w:rPr>
          <w:rFonts w:ascii="Arial" w:hAnsi="Arial" w:cs="Arial"/>
          <w:sz w:val="24"/>
          <w:szCs w:val="24"/>
        </w:rPr>
      </w:pPr>
      <w:bookmarkStart w:id="13" w:name="_Toc238025929"/>
      <w:r w:rsidRPr="0072626D">
        <w:rPr>
          <w:rFonts w:ascii="Arial" w:hAnsi="Arial" w:cs="Arial"/>
          <w:sz w:val="24"/>
          <w:szCs w:val="24"/>
        </w:rPr>
        <w:t>3.4 Digital Quality Surveillance and Organisational Learning</w:t>
      </w:r>
      <w:bookmarkEnd w:id="13"/>
    </w:p>
    <w:p w14:paraId="1245B5F2" w14:textId="18851597" w:rsidR="55D2959E" w:rsidRPr="0072626D" w:rsidRDefault="55D2959E" w:rsidP="005B6B19">
      <w:pPr>
        <w:spacing w:line="360" w:lineRule="auto"/>
        <w:jc w:val="both"/>
        <w:rPr>
          <w:rFonts w:ascii="Arial" w:hAnsi="Arial" w:cs="Arial"/>
        </w:rPr>
      </w:pPr>
      <w:r w:rsidRPr="0072626D">
        <w:rPr>
          <w:rFonts w:ascii="Arial" w:hAnsi="Arial" w:cs="Arial"/>
        </w:rPr>
        <w:t>Digital technology provides an opportunity to shift maternity quality assurance from retrospective investigation towards earlier identification of risk. Topol (2019) highlights the potential for digitally enabled healthcare systems to strengthen decision-making and workforce capability. Applied to Ockenden, interoperable maternity records and real-time dashboards could monitor indicators such as delayed escalation, staffing pressures, incident patterns and clinical outcomes. However, digitalisation is an enabler rather than a solution in itself; poor-quality data or weak organisational responses could simply digitise existing failures. Digital surveillance should therefore be combined with multidisciplinary review, accountable leadership and continuous organisational learning.</w:t>
      </w:r>
    </w:p>
    <w:p w14:paraId="4392410B" w14:textId="53FA83C6" w:rsidR="55D2959E" w:rsidRPr="0072626D" w:rsidRDefault="79F7DEDB" w:rsidP="005B6B19">
      <w:pPr>
        <w:pStyle w:val="Heading2"/>
        <w:jc w:val="both"/>
        <w:rPr>
          <w:rFonts w:ascii="Arial" w:hAnsi="Arial" w:cs="Arial"/>
          <w:sz w:val="24"/>
          <w:szCs w:val="24"/>
        </w:rPr>
      </w:pPr>
      <w:bookmarkStart w:id="14" w:name="_Toc238025930"/>
      <w:r w:rsidRPr="0072626D">
        <w:rPr>
          <w:rFonts w:ascii="Arial" w:hAnsi="Arial" w:cs="Arial"/>
          <w:sz w:val="24"/>
          <w:szCs w:val="24"/>
        </w:rPr>
        <w:t>3.5 Reducing Maternity Inequalities</w:t>
      </w:r>
      <w:bookmarkEnd w:id="14"/>
    </w:p>
    <w:p w14:paraId="152F471F" w14:textId="5408E581" w:rsidR="02098B9F" w:rsidRPr="0072626D" w:rsidRDefault="02098B9F" w:rsidP="005B6B19">
      <w:pPr>
        <w:spacing w:line="360" w:lineRule="auto"/>
        <w:jc w:val="both"/>
        <w:rPr>
          <w:rFonts w:ascii="Arial" w:hAnsi="Arial" w:cs="Arial"/>
        </w:rPr>
      </w:pPr>
      <w:r w:rsidRPr="0072626D">
        <w:rPr>
          <w:rFonts w:ascii="Arial" w:hAnsi="Arial" w:cs="Arial"/>
        </w:rPr>
        <w:t>Quality improvement cannot be considered successful if improvements are not equitable. Persistent inequalities in maternal outcomes identified by MBRRACE-UK (2025) demonstrate that maternity safety must address differences in access, communication and experience rather than relying solely on overall outcome averages. These inequalities are particularly evident across ethnicity and socioeconomic deprivation, with Black women experiencing approximately three times the risk of maternal death and Asian women approximately twice the risk compared with White women; women living in the most deprived areas also experience substantially greater maternal mortality risk (MBRRACE-UK, 2025).</w:t>
      </w:r>
    </w:p>
    <w:p w14:paraId="3A7C7042" w14:textId="5D73FCBB" w:rsidR="02098B9F" w:rsidRPr="0072626D" w:rsidRDefault="02098B9F" w:rsidP="005B6B19">
      <w:pPr>
        <w:spacing w:line="360" w:lineRule="auto"/>
        <w:jc w:val="both"/>
        <w:rPr>
          <w:rFonts w:ascii="Arial" w:hAnsi="Arial" w:cs="Arial"/>
        </w:rPr>
      </w:pPr>
      <w:r w:rsidRPr="0072626D">
        <w:rPr>
          <w:rFonts w:ascii="Arial" w:hAnsi="Arial" w:cs="Arial"/>
        </w:rPr>
        <w:t>NHS England's Core20PLUS5 framework provides a mechanism for targeting populations experiencing healthcare inequalities and prioritising maternity care within population-health improvement (NHS England, 2024). Maternity dashboards should therefore stratify safety and experience outcomes by ethnicity and deprivation, supported by interpreter access, culturally responsive communication and co-production with women and families.</w:t>
      </w:r>
    </w:p>
    <w:p w14:paraId="0FA0BCCE" w14:textId="4CD6A592" w:rsidR="02098B9F" w:rsidRPr="0072626D" w:rsidRDefault="02098B9F" w:rsidP="005B6B19">
      <w:pPr>
        <w:spacing w:line="360" w:lineRule="auto"/>
        <w:jc w:val="both"/>
        <w:rPr>
          <w:rFonts w:ascii="Arial" w:hAnsi="Arial" w:cs="Arial"/>
        </w:rPr>
      </w:pPr>
      <w:r w:rsidRPr="0072626D">
        <w:rPr>
          <w:rFonts w:ascii="Arial" w:hAnsi="Arial" w:cs="Arial"/>
        </w:rPr>
        <w:t>Critically, monitoring inequalities alone will not reduce them unless identified disparities trigger targeted organisational action. Therefore, equity indicators should be incorporated into clinical governance, quality assurance and improvement planning, with leaders accountable for addressing unequal outcomes. This ensures that improvements in overall maternity performance do not conceal poorer outcomes within population subgroups.</w:t>
      </w:r>
    </w:p>
    <w:p w14:paraId="09FCBF26" w14:textId="2D339453" w:rsidR="6FBCA6F1" w:rsidRPr="0072626D" w:rsidRDefault="6FBCA6F1" w:rsidP="005B6B19">
      <w:pPr>
        <w:spacing w:line="360" w:lineRule="auto"/>
        <w:jc w:val="both"/>
        <w:rPr>
          <w:rFonts w:ascii="Arial" w:hAnsi="Arial" w:cs="Arial"/>
        </w:rPr>
      </w:pPr>
    </w:p>
    <w:p w14:paraId="66ADB735" w14:textId="48849E70" w:rsidR="55D2959E" w:rsidRPr="0072626D" w:rsidRDefault="55D2959E" w:rsidP="005B6B19">
      <w:pPr>
        <w:pStyle w:val="Heading2"/>
        <w:jc w:val="both"/>
        <w:rPr>
          <w:rFonts w:ascii="Arial" w:hAnsi="Arial" w:cs="Arial"/>
          <w:sz w:val="24"/>
          <w:szCs w:val="24"/>
        </w:rPr>
      </w:pPr>
      <w:bookmarkStart w:id="15" w:name="_Toc238025931"/>
      <w:r w:rsidRPr="0072626D">
        <w:rPr>
          <w:rFonts w:ascii="Arial" w:hAnsi="Arial" w:cs="Arial"/>
          <w:sz w:val="24"/>
          <w:szCs w:val="24"/>
        </w:rPr>
        <w:t>3.6 Implementation Through PDSA</w:t>
      </w:r>
      <w:bookmarkEnd w:id="15"/>
    </w:p>
    <w:p w14:paraId="71D32457" w14:textId="4EFF5ACC" w:rsidR="55D2959E" w:rsidRPr="0072626D" w:rsidRDefault="55D2959E" w:rsidP="005B6B19">
      <w:pPr>
        <w:spacing w:line="360" w:lineRule="auto"/>
        <w:jc w:val="both"/>
        <w:rPr>
          <w:rFonts w:ascii="Arial" w:hAnsi="Arial" w:cs="Arial"/>
        </w:rPr>
      </w:pPr>
      <w:r w:rsidRPr="0072626D">
        <w:rPr>
          <w:rFonts w:ascii="Arial" w:hAnsi="Arial" w:cs="Arial"/>
        </w:rPr>
        <w:t xml:space="preserve">The Plan–Do–Study–Act (PDSA) cycle provides a practical mechanism for translating these recommendations into measurable service improvement. Rather than implementing large-scale interventions without evaluation, changes can be tested on a smaller scale, outcomes assessed and interventions refined before wider adoption (Langley </w:t>
      </w:r>
      <w:r w:rsidRPr="0072626D">
        <w:rPr>
          <w:rFonts w:ascii="Arial" w:hAnsi="Arial" w:cs="Arial"/>
          <w:i/>
          <w:iCs/>
        </w:rPr>
        <w:t>et al</w:t>
      </w:r>
      <w:r w:rsidRPr="0072626D">
        <w:rPr>
          <w:rFonts w:ascii="Arial" w:hAnsi="Arial" w:cs="Arial"/>
        </w:rPr>
        <w:t xml:space="preserve">., 2009; Taylor </w:t>
      </w:r>
      <w:r w:rsidRPr="0072626D">
        <w:rPr>
          <w:rFonts w:ascii="Arial" w:hAnsi="Arial" w:cs="Arial"/>
          <w:i/>
          <w:iCs/>
        </w:rPr>
        <w:t>et al</w:t>
      </w:r>
      <w:r w:rsidRPr="0072626D">
        <w:rPr>
          <w:rFonts w:ascii="Arial" w:hAnsi="Arial" w:cs="Arial"/>
        </w:rPr>
        <w:t>., 2014).</w:t>
      </w:r>
    </w:p>
    <w:p w14:paraId="4DD65741" w14:textId="35D11199" w:rsidR="55D2959E" w:rsidRPr="0072626D" w:rsidRDefault="55D2959E" w:rsidP="005B6B19">
      <w:pPr>
        <w:spacing w:line="360" w:lineRule="auto"/>
        <w:jc w:val="both"/>
        <w:rPr>
          <w:rFonts w:ascii="Arial" w:hAnsi="Arial" w:cs="Arial"/>
        </w:rPr>
      </w:pPr>
      <w:r w:rsidRPr="0072626D">
        <w:rPr>
          <w:rFonts w:ascii="Arial" w:hAnsi="Arial" w:cs="Arial"/>
          <w:b/>
          <w:bCs/>
        </w:rPr>
        <w:t>Plan:</w:t>
      </w:r>
      <w:r w:rsidRPr="0072626D">
        <w:rPr>
          <w:rFonts w:ascii="Arial" w:hAnsi="Arial" w:cs="Arial"/>
        </w:rPr>
        <w:t xml:space="preserve"> identify a measurable maternity safety priority, such as delayed escalation or inconsistent</w:t>
      </w:r>
      <w:r w:rsidR="004459D6" w:rsidRPr="0072626D">
        <w:rPr>
          <w:rFonts w:ascii="Arial" w:hAnsi="Arial" w:cs="Arial"/>
        </w:rPr>
        <w:t xml:space="preserve"> </w:t>
      </w:r>
      <w:r w:rsidRPr="0072626D">
        <w:rPr>
          <w:rFonts w:ascii="Arial" w:hAnsi="Arial" w:cs="Arial"/>
        </w:rPr>
        <w:t>CTG competency.</w:t>
      </w:r>
      <w:r w:rsidRPr="0072626D">
        <w:rPr>
          <w:rFonts w:ascii="Arial" w:hAnsi="Arial" w:cs="Arial"/>
        </w:rPr>
        <w:br/>
      </w:r>
      <w:r w:rsidRPr="0072626D">
        <w:rPr>
          <w:rFonts w:ascii="Arial" w:hAnsi="Arial" w:cs="Arial"/>
          <w:b/>
          <w:bCs/>
        </w:rPr>
        <w:t>Do:</w:t>
      </w:r>
      <w:r w:rsidRPr="0072626D">
        <w:rPr>
          <w:rFonts w:ascii="Arial" w:hAnsi="Arial" w:cs="Arial"/>
        </w:rPr>
        <w:t xml:space="preserve"> test the intervention within one maternity unit or multidisciplinary team.</w:t>
      </w:r>
      <w:r w:rsidRPr="0072626D">
        <w:rPr>
          <w:rFonts w:ascii="Arial" w:hAnsi="Arial" w:cs="Arial"/>
        </w:rPr>
        <w:br/>
      </w:r>
      <w:r w:rsidRPr="0072626D">
        <w:rPr>
          <w:rFonts w:ascii="Arial" w:hAnsi="Arial" w:cs="Arial"/>
          <w:b/>
          <w:bCs/>
        </w:rPr>
        <w:t>Study:</w:t>
      </w:r>
      <w:r w:rsidRPr="0072626D">
        <w:rPr>
          <w:rFonts w:ascii="Arial" w:hAnsi="Arial" w:cs="Arial"/>
        </w:rPr>
        <w:t xml:space="preserve"> evaluate process and outcome measures, including escalation compliance, incidents, staff feedback and patient experience.</w:t>
      </w:r>
      <w:r w:rsidRPr="0072626D">
        <w:rPr>
          <w:rFonts w:ascii="Arial" w:hAnsi="Arial" w:cs="Arial"/>
        </w:rPr>
        <w:br/>
      </w:r>
      <w:r w:rsidRPr="0072626D">
        <w:rPr>
          <w:rFonts w:ascii="Arial" w:hAnsi="Arial" w:cs="Arial"/>
          <w:b/>
          <w:bCs/>
        </w:rPr>
        <w:t>Act:</w:t>
      </w:r>
      <w:r w:rsidRPr="0072626D">
        <w:rPr>
          <w:rFonts w:ascii="Arial" w:hAnsi="Arial" w:cs="Arial"/>
        </w:rPr>
        <w:t xml:space="preserve"> adapt ineffective elements and standardise successful changes before wider implementation.</w:t>
      </w:r>
    </w:p>
    <w:p w14:paraId="096CFE28" w14:textId="66B9E623" w:rsidR="55D2959E" w:rsidRPr="0072626D" w:rsidRDefault="55D2959E" w:rsidP="005B6B19">
      <w:pPr>
        <w:spacing w:line="360" w:lineRule="auto"/>
        <w:jc w:val="both"/>
        <w:rPr>
          <w:rFonts w:ascii="Arial" w:hAnsi="Arial" w:cs="Arial"/>
        </w:rPr>
      </w:pPr>
      <w:r w:rsidRPr="0072626D">
        <w:rPr>
          <w:rFonts w:ascii="Arial" w:hAnsi="Arial" w:cs="Arial"/>
        </w:rPr>
        <w:t xml:space="preserve">Critically, Taylor </w:t>
      </w:r>
      <w:r w:rsidRPr="0072626D">
        <w:rPr>
          <w:rFonts w:ascii="Arial" w:hAnsi="Arial" w:cs="Arial"/>
          <w:i/>
          <w:iCs/>
        </w:rPr>
        <w:t>et al.</w:t>
      </w:r>
      <w:r w:rsidRPr="0072626D">
        <w:rPr>
          <w:rFonts w:ascii="Arial" w:hAnsi="Arial" w:cs="Arial"/>
        </w:rPr>
        <w:t xml:space="preserve"> (2014) found considerable variation in how PDSA has been applied in healthcare, demonstrating that merely labelling an intervention “PDSA” does not guarantee rigorous improvement. PDSA should therefore be supported by governance oversight, reliable measurement and repeated cycles rather than used as a one-off implementation exercise.</w:t>
      </w:r>
    </w:p>
    <w:p w14:paraId="540D9713" w14:textId="61E74BE9" w:rsidR="6B3D8644" w:rsidRPr="0072626D" w:rsidRDefault="6B3D8644" w:rsidP="005B6B19">
      <w:pPr>
        <w:jc w:val="both"/>
        <w:rPr>
          <w:rFonts w:ascii="Arial" w:hAnsi="Arial" w:cs="Arial"/>
        </w:rPr>
      </w:pPr>
    </w:p>
    <w:p w14:paraId="01B0B33F" w14:textId="77777777" w:rsidR="000C2722" w:rsidRPr="0072626D" w:rsidRDefault="000C2722" w:rsidP="005B6B19">
      <w:pPr>
        <w:jc w:val="both"/>
        <w:rPr>
          <w:rFonts w:ascii="Arial" w:hAnsi="Arial" w:cs="Arial"/>
        </w:rPr>
      </w:pPr>
    </w:p>
    <w:p w14:paraId="4F15FB66" w14:textId="77777777" w:rsidR="00492C16" w:rsidRPr="0072626D" w:rsidRDefault="00492C16" w:rsidP="005B6B19">
      <w:pPr>
        <w:jc w:val="both"/>
        <w:rPr>
          <w:rFonts w:ascii="Arial" w:hAnsi="Arial" w:cs="Arial"/>
        </w:rPr>
      </w:pPr>
    </w:p>
    <w:p w14:paraId="3A40C1A3" w14:textId="77777777" w:rsidR="00492C16" w:rsidRPr="0072626D" w:rsidRDefault="00492C16" w:rsidP="005B6B19">
      <w:pPr>
        <w:jc w:val="both"/>
        <w:rPr>
          <w:rFonts w:ascii="Arial" w:hAnsi="Arial" w:cs="Arial"/>
        </w:rPr>
      </w:pPr>
    </w:p>
    <w:p w14:paraId="5E9366A4" w14:textId="77777777" w:rsidR="00997140" w:rsidRPr="0072626D" w:rsidRDefault="00997140" w:rsidP="005B6B19">
      <w:pPr>
        <w:jc w:val="both"/>
        <w:rPr>
          <w:rFonts w:ascii="Arial" w:hAnsi="Arial" w:cs="Arial"/>
        </w:rPr>
      </w:pPr>
    </w:p>
    <w:p w14:paraId="3442C5AA" w14:textId="77777777" w:rsidR="00997140" w:rsidRPr="0072626D" w:rsidRDefault="00997140" w:rsidP="005B6B19">
      <w:pPr>
        <w:jc w:val="both"/>
        <w:rPr>
          <w:rFonts w:ascii="Arial" w:hAnsi="Arial" w:cs="Arial"/>
        </w:rPr>
      </w:pPr>
    </w:p>
    <w:p w14:paraId="75E6A2C5" w14:textId="77777777" w:rsidR="00997140" w:rsidRPr="0072626D" w:rsidRDefault="00997140" w:rsidP="005B6B19">
      <w:pPr>
        <w:jc w:val="both"/>
        <w:rPr>
          <w:rFonts w:ascii="Arial" w:hAnsi="Arial" w:cs="Arial"/>
        </w:rPr>
      </w:pPr>
    </w:p>
    <w:p w14:paraId="7E57ADDE" w14:textId="77777777" w:rsidR="00997140" w:rsidRPr="0072626D" w:rsidRDefault="00997140" w:rsidP="005B6B19">
      <w:pPr>
        <w:jc w:val="both"/>
        <w:rPr>
          <w:rFonts w:ascii="Arial" w:hAnsi="Arial" w:cs="Arial"/>
        </w:rPr>
      </w:pPr>
    </w:p>
    <w:p w14:paraId="75AC1A86" w14:textId="11F11A33" w:rsidR="6FBCA6F1" w:rsidRPr="0072626D" w:rsidRDefault="6FBCA6F1" w:rsidP="005B6B19">
      <w:pPr>
        <w:jc w:val="both"/>
        <w:rPr>
          <w:rFonts w:ascii="Arial" w:hAnsi="Arial" w:cs="Arial"/>
        </w:rPr>
      </w:pPr>
    </w:p>
    <w:p w14:paraId="1D120206" w14:textId="0B119CC9" w:rsidR="6FBCA6F1" w:rsidRPr="0072626D" w:rsidRDefault="6FBCA6F1" w:rsidP="005B6B19">
      <w:pPr>
        <w:jc w:val="both"/>
        <w:rPr>
          <w:rFonts w:ascii="Arial" w:hAnsi="Arial" w:cs="Arial"/>
        </w:rPr>
      </w:pPr>
    </w:p>
    <w:p w14:paraId="3520D8A6" w14:textId="77777777" w:rsidR="00EA0BB7" w:rsidRPr="0072626D" w:rsidRDefault="00EA0BB7" w:rsidP="005B6B19">
      <w:pPr>
        <w:jc w:val="both"/>
        <w:rPr>
          <w:rFonts w:ascii="Arial" w:hAnsi="Arial" w:cs="Arial"/>
        </w:rPr>
      </w:pPr>
    </w:p>
    <w:p w14:paraId="2BB4F224" w14:textId="7482B098" w:rsidR="525371C2" w:rsidRPr="0072626D" w:rsidRDefault="525371C2" w:rsidP="005B6B19">
      <w:pPr>
        <w:jc w:val="both"/>
        <w:rPr>
          <w:rFonts w:ascii="Arial" w:hAnsi="Arial" w:cs="Arial"/>
        </w:rPr>
      </w:pPr>
    </w:p>
    <w:p w14:paraId="0B753361" w14:textId="77777777" w:rsidR="00492C16" w:rsidRPr="0072626D" w:rsidRDefault="00492C16" w:rsidP="005B6B19">
      <w:pPr>
        <w:jc w:val="both"/>
        <w:rPr>
          <w:rFonts w:ascii="Arial" w:hAnsi="Arial" w:cs="Arial"/>
        </w:rPr>
      </w:pPr>
    </w:p>
    <w:p w14:paraId="7C497CD2" w14:textId="6813E08D" w:rsidR="000652AE" w:rsidRPr="0072626D" w:rsidRDefault="5AFDCFA4" w:rsidP="005B6B19">
      <w:pPr>
        <w:pStyle w:val="Heading2"/>
        <w:jc w:val="both"/>
        <w:rPr>
          <w:rFonts w:ascii="Arial" w:hAnsi="Arial" w:cs="Arial"/>
          <w:sz w:val="24"/>
          <w:szCs w:val="24"/>
        </w:rPr>
      </w:pPr>
      <w:bookmarkStart w:id="16" w:name="_Toc238025932"/>
      <w:r w:rsidRPr="0072626D">
        <w:rPr>
          <w:rFonts w:ascii="Arial" w:hAnsi="Arial" w:cs="Arial"/>
          <w:sz w:val="24"/>
          <w:szCs w:val="24"/>
        </w:rPr>
        <w:t>4.0 Conclusion</w:t>
      </w:r>
      <w:bookmarkEnd w:id="16"/>
      <w:r w:rsidRPr="0072626D">
        <w:rPr>
          <w:rFonts w:ascii="Arial" w:hAnsi="Arial" w:cs="Arial"/>
          <w:sz w:val="24"/>
          <w:szCs w:val="24"/>
        </w:rPr>
        <w:t xml:space="preserve"> </w:t>
      </w:r>
    </w:p>
    <w:p w14:paraId="4C17E0EE" w14:textId="33BEEA2C" w:rsidR="738611F6" w:rsidRPr="0072626D" w:rsidRDefault="738611F6" w:rsidP="005B6B19">
      <w:pPr>
        <w:spacing w:line="360" w:lineRule="auto"/>
        <w:jc w:val="both"/>
        <w:rPr>
          <w:rFonts w:ascii="Arial" w:hAnsi="Arial" w:cs="Arial"/>
        </w:rPr>
      </w:pPr>
      <w:r w:rsidRPr="0072626D">
        <w:rPr>
          <w:rFonts w:ascii="Arial" w:hAnsi="Arial" w:cs="Arial"/>
        </w:rPr>
        <w:t xml:space="preserve">The frameworks generated complementary recommendations for improving NHS maternity safety. Fishbone analysis identified the need to address interacting organisational factors rather than isolated clinical errors, supporting multidisciplinary approaches to governance, workforce, communication and safety culture. The Five Whys traced these problems to deeper weaknesses in leadership, governance and organisational learning, indicating that corrective action must address underlying systems rather than repeatedly treating immediate failures. This is consistent with Ockenden's recommendation for stronger board oversight, multidisciplinary investigation and timely implementation of learning from incidents (Ockenden, 2022). </w:t>
      </w:r>
    </w:p>
    <w:p w14:paraId="766AD2CF" w14:textId="16DE52AE" w:rsidR="738611F6" w:rsidRPr="0072626D" w:rsidRDefault="738611F6" w:rsidP="005B6B19">
      <w:pPr>
        <w:spacing w:line="360" w:lineRule="auto"/>
        <w:jc w:val="both"/>
        <w:rPr>
          <w:rFonts w:ascii="Arial" w:hAnsi="Arial" w:cs="Arial"/>
        </w:rPr>
      </w:pPr>
      <w:r w:rsidRPr="0072626D">
        <w:rPr>
          <w:rFonts w:ascii="Arial" w:hAnsi="Arial" w:cs="Arial"/>
        </w:rPr>
        <w:t>The Donabedian model demonstrated that strengthening structures—including staffing, leadership, training and governance—should improve care processes such as CTG interpretation, escalation and multidisciplinary working, thereby improving maternal and neonatal outcomes. This supports Ockenden's recommendations for a sustainably funded workforce, protected training and minimum staffing arrangements (Ockenden, 2022). SWOT analysis further showed that existing national quality infrastructure provides a foundation for improvement, but implementation capacity and continuing workforce pressures remain weaknesses; digital surveillance and equity-focused improvement provide opportunities for more preventative quality management.</w:t>
      </w:r>
    </w:p>
    <w:p w14:paraId="3BCD92D3" w14:textId="6703F71D" w:rsidR="738611F6" w:rsidRPr="0072626D" w:rsidRDefault="738611F6" w:rsidP="005B6B19">
      <w:pPr>
        <w:spacing w:line="360" w:lineRule="auto"/>
        <w:jc w:val="both"/>
        <w:rPr>
          <w:rFonts w:ascii="Arial" w:hAnsi="Arial" w:cs="Arial"/>
        </w:rPr>
      </w:pPr>
      <w:r w:rsidRPr="0072626D">
        <w:rPr>
          <w:rFonts w:ascii="Arial" w:hAnsi="Arial" w:cs="Arial"/>
        </w:rPr>
        <w:t xml:space="preserve">Finally, CFIR highlighted the importance of organisational readiness and resources; NPT demonstrated that safer practices must become normalised through collective multidisciplinary working; and PARIHS showed that evidence requires supportive context and facilitation to become routine practice. This is particularly relevant because Ockenden found failures to work collaboratively across disciplines and specifically recommended that staff who work together should train together (Ockenden, 2022). </w:t>
      </w:r>
    </w:p>
    <w:p w14:paraId="52D6C794" w14:textId="224323B7" w:rsidR="005B6B19" w:rsidRPr="0072626D" w:rsidRDefault="738611F6" w:rsidP="00EA0BB7">
      <w:pPr>
        <w:spacing w:line="360" w:lineRule="auto"/>
        <w:jc w:val="both"/>
        <w:rPr>
          <w:rFonts w:ascii="Arial" w:hAnsi="Arial" w:cs="Arial"/>
        </w:rPr>
      </w:pPr>
      <w:r w:rsidRPr="0072626D">
        <w:rPr>
          <w:rFonts w:ascii="Arial" w:hAnsi="Arial" w:cs="Arial"/>
        </w:rPr>
        <w:t>Collectively, the main recommendation is therefore not simply to introduce more policies or training, but to create an organisational system capable of implementing and sustaining them through accountable governance, adequate staffing, multidisciplinary working, psychological safety, continuous learning, digital monitoring and equitable care.</w:t>
      </w:r>
    </w:p>
    <w:p w14:paraId="3EEFAAFD" w14:textId="2CDCC983" w:rsidR="00174AD9" w:rsidRDefault="00511398" w:rsidP="00EA0BB7">
      <w:pPr>
        <w:pStyle w:val="Heading2"/>
      </w:pPr>
      <w:bookmarkStart w:id="17" w:name="_Toc238025933"/>
      <w:r>
        <w:t xml:space="preserve">5.0  </w:t>
      </w:r>
      <w:r w:rsidR="00174AD9" w:rsidRPr="00174AD9">
        <w:t>References</w:t>
      </w:r>
      <w:bookmarkEnd w:id="17"/>
    </w:p>
    <w:p w14:paraId="24EB93F1" w14:textId="77777777" w:rsidR="00B80EB4" w:rsidRPr="00B80EB4" w:rsidRDefault="00B80EB4" w:rsidP="00B80EB4">
      <w:pPr>
        <w:rPr>
          <w:rFonts w:ascii="Arial" w:hAnsi="Arial" w:cs="Arial"/>
        </w:rPr>
      </w:pPr>
      <w:r w:rsidRPr="00B80EB4">
        <w:rPr>
          <w:rFonts w:ascii="Arial" w:hAnsi="Arial" w:cs="Arial"/>
        </w:rPr>
        <w:t xml:space="preserve">Boamah, S.A., Laschinger, H.K.S., Wong, C. and Clarke, S. (2018) ‘Effect of transformational leadership on job satisfaction and patient safety outcomes’, </w:t>
      </w:r>
      <w:r w:rsidRPr="00B80EB4">
        <w:rPr>
          <w:rFonts w:ascii="Arial" w:hAnsi="Arial" w:cs="Arial"/>
          <w:i/>
          <w:iCs/>
        </w:rPr>
        <w:t>Nursing Outlook</w:t>
      </w:r>
      <w:r w:rsidRPr="00B80EB4">
        <w:rPr>
          <w:rFonts w:ascii="Arial" w:hAnsi="Arial" w:cs="Arial"/>
        </w:rPr>
        <w:t xml:space="preserve">, 66(2), pp. 180–189. Available at: </w:t>
      </w:r>
      <w:hyperlink r:id="rId9" w:tgtFrame="_new" w:history="1">
        <w:r w:rsidRPr="00B80EB4">
          <w:rPr>
            <w:rStyle w:val="Hyperlink"/>
            <w:rFonts w:ascii="Arial" w:hAnsi="Arial" w:cs="Arial"/>
          </w:rPr>
          <w:t>https://doi.org/10.1016/j.outlook.2017.10.004</w:t>
        </w:r>
      </w:hyperlink>
      <w:r w:rsidRPr="00B80EB4">
        <w:rPr>
          <w:rFonts w:ascii="Arial" w:hAnsi="Arial" w:cs="Arial"/>
        </w:rPr>
        <w:t xml:space="preserve"> (Accessed: 19 August 2026). </w:t>
      </w:r>
    </w:p>
    <w:p w14:paraId="7C975C97" w14:textId="77777777" w:rsidR="00B80EB4" w:rsidRPr="00B80EB4" w:rsidRDefault="00B80EB4" w:rsidP="00B80EB4">
      <w:pPr>
        <w:rPr>
          <w:rFonts w:ascii="Arial" w:hAnsi="Arial" w:cs="Arial"/>
        </w:rPr>
      </w:pPr>
      <w:r w:rsidRPr="00B80EB4">
        <w:rPr>
          <w:rFonts w:ascii="Arial" w:hAnsi="Arial" w:cs="Arial"/>
        </w:rPr>
        <w:t xml:space="preserve">Braithwaite, J., </w:t>
      </w:r>
      <w:proofErr w:type="spellStart"/>
      <w:r w:rsidRPr="00B80EB4">
        <w:rPr>
          <w:rFonts w:ascii="Arial" w:hAnsi="Arial" w:cs="Arial"/>
        </w:rPr>
        <w:t>Churruca</w:t>
      </w:r>
      <w:proofErr w:type="spellEnd"/>
      <w:r w:rsidRPr="00B80EB4">
        <w:rPr>
          <w:rFonts w:ascii="Arial" w:hAnsi="Arial" w:cs="Arial"/>
        </w:rPr>
        <w:t xml:space="preserve">, K., Ellis, L.A. and Long, J.C. (2018) </w:t>
      </w:r>
      <w:r w:rsidRPr="00B80EB4">
        <w:rPr>
          <w:rFonts w:ascii="Arial" w:hAnsi="Arial" w:cs="Arial"/>
          <w:i/>
          <w:iCs/>
        </w:rPr>
        <w:t>Complexity Science in Healthcare: Aspirations, Approaches, Applications and Accomplishments</w:t>
      </w:r>
      <w:r w:rsidRPr="00B80EB4">
        <w:rPr>
          <w:rFonts w:ascii="Arial" w:hAnsi="Arial" w:cs="Arial"/>
        </w:rPr>
        <w:t xml:space="preserve">. Sydney: Australian Institute of Health Innovation, Macquarie University. Available at: </w:t>
      </w:r>
      <w:hyperlink r:id="rId10" w:tgtFrame="_new" w:history="1">
        <w:r w:rsidRPr="00B80EB4">
          <w:rPr>
            <w:rStyle w:val="Hyperlink"/>
            <w:rFonts w:ascii="Arial" w:hAnsi="Arial" w:cs="Arial"/>
          </w:rPr>
          <w:t>https://www.health.org.uk/publications/complexity-science-in-healthcare</w:t>
        </w:r>
      </w:hyperlink>
      <w:r w:rsidRPr="00B80EB4">
        <w:rPr>
          <w:rFonts w:ascii="Arial" w:hAnsi="Arial" w:cs="Arial"/>
        </w:rPr>
        <w:t xml:space="preserve"> (Accessed: 19 August 2026).</w:t>
      </w:r>
    </w:p>
    <w:p w14:paraId="55C7F71A" w14:textId="77777777" w:rsidR="00B80EB4" w:rsidRPr="00B80EB4" w:rsidRDefault="00B80EB4" w:rsidP="00B80EB4">
      <w:pPr>
        <w:rPr>
          <w:rFonts w:ascii="Arial" w:hAnsi="Arial" w:cs="Arial"/>
        </w:rPr>
      </w:pPr>
      <w:proofErr w:type="spellStart"/>
      <w:r w:rsidRPr="00B80EB4">
        <w:rPr>
          <w:rFonts w:ascii="Arial" w:hAnsi="Arial" w:cs="Arial"/>
        </w:rPr>
        <w:t>Carayon</w:t>
      </w:r>
      <w:proofErr w:type="spellEnd"/>
      <w:r w:rsidRPr="00B80EB4">
        <w:rPr>
          <w:rFonts w:ascii="Arial" w:hAnsi="Arial" w:cs="Arial"/>
        </w:rPr>
        <w:t xml:space="preserve">, P., Wooldridge, A., Hose, B.Z., Salwei, M.E. and Benneyan, J.C. (2020) ‘Challenges and opportunities for improving patient safety through human factors and systems engineering’, </w:t>
      </w:r>
      <w:r w:rsidRPr="00B80EB4">
        <w:rPr>
          <w:rFonts w:ascii="Arial" w:hAnsi="Arial" w:cs="Arial"/>
          <w:i/>
          <w:iCs/>
        </w:rPr>
        <w:t>Health Affairs</w:t>
      </w:r>
      <w:r w:rsidRPr="00B80EB4">
        <w:rPr>
          <w:rFonts w:ascii="Arial" w:hAnsi="Arial" w:cs="Arial"/>
        </w:rPr>
        <w:t xml:space="preserve">, 39(11), pp. 1862–1869. Available at: </w:t>
      </w:r>
      <w:hyperlink r:id="rId11" w:tgtFrame="_new" w:history="1">
        <w:r w:rsidRPr="00B80EB4">
          <w:rPr>
            <w:rStyle w:val="Hyperlink"/>
            <w:rFonts w:ascii="Arial" w:hAnsi="Arial" w:cs="Arial"/>
          </w:rPr>
          <w:t>https://doi.org/10.1377/hlthaff.2020.00593</w:t>
        </w:r>
      </w:hyperlink>
      <w:r w:rsidRPr="00B80EB4">
        <w:rPr>
          <w:rFonts w:ascii="Arial" w:hAnsi="Arial" w:cs="Arial"/>
        </w:rPr>
        <w:t xml:space="preserve"> (Accessed: 19 August 2026).</w:t>
      </w:r>
    </w:p>
    <w:p w14:paraId="735F9029" w14:textId="77777777" w:rsidR="00B80EB4" w:rsidRPr="00B80EB4" w:rsidRDefault="00B80EB4" w:rsidP="00B80EB4">
      <w:pPr>
        <w:rPr>
          <w:rFonts w:ascii="Arial" w:hAnsi="Arial" w:cs="Arial"/>
        </w:rPr>
      </w:pPr>
      <w:r w:rsidRPr="00B80EB4">
        <w:rPr>
          <w:rFonts w:ascii="Arial" w:hAnsi="Arial" w:cs="Arial"/>
        </w:rPr>
        <w:t xml:space="preserve">Care Quality Commission (CQC) (2024) </w:t>
      </w:r>
      <w:r w:rsidRPr="00B80EB4">
        <w:rPr>
          <w:rFonts w:ascii="Arial" w:hAnsi="Arial" w:cs="Arial"/>
          <w:i/>
          <w:iCs/>
        </w:rPr>
        <w:t>National Review of Maternity Services in England 2022 to 2024</w:t>
      </w:r>
      <w:r w:rsidRPr="00B80EB4">
        <w:rPr>
          <w:rFonts w:ascii="Arial" w:hAnsi="Arial" w:cs="Arial"/>
        </w:rPr>
        <w:t xml:space="preserve">. Newcastle upon Tyne: Care Quality Commission. Available at: </w:t>
      </w:r>
      <w:hyperlink r:id="rId12" w:tgtFrame="_new" w:history="1">
        <w:r w:rsidRPr="00B80EB4">
          <w:rPr>
            <w:rStyle w:val="Hyperlink"/>
            <w:rFonts w:ascii="Arial" w:hAnsi="Arial" w:cs="Arial"/>
          </w:rPr>
          <w:t>https://www.cqc.org.uk/publications/maternity-services-2022-2024</w:t>
        </w:r>
      </w:hyperlink>
      <w:r w:rsidRPr="00B80EB4">
        <w:rPr>
          <w:rFonts w:ascii="Arial" w:hAnsi="Arial" w:cs="Arial"/>
        </w:rPr>
        <w:t xml:space="preserve"> (Accessed: 19 August 2026). </w:t>
      </w:r>
    </w:p>
    <w:p w14:paraId="342A6E6E" w14:textId="77777777" w:rsidR="00B80EB4" w:rsidRPr="00B80EB4" w:rsidRDefault="00B80EB4" w:rsidP="00B80EB4">
      <w:pPr>
        <w:rPr>
          <w:rFonts w:ascii="Arial" w:hAnsi="Arial" w:cs="Arial"/>
        </w:rPr>
      </w:pPr>
      <w:proofErr w:type="spellStart"/>
      <w:r w:rsidRPr="00B80EB4">
        <w:rPr>
          <w:rFonts w:ascii="Arial" w:hAnsi="Arial" w:cs="Arial"/>
        </w:rPr>
        <w:t>ConceptDraw</w:t>
      </w:r>
      <w:proofErr w:type="spellEnd"/>
      <w:r w:rsidRPr="00B80EB4">
        <w:rPr>
          <w:rFonts w:ascii="Arial" w:hAnsi="Arial" w:cs="Arial"/>
        </w:rPr>
        <w:t xml:space="preserve"> (n.d.) </w:t>
      </w:r>
      <w:r w:rsidRPr="00B80EB4">
        <w:rPr>
          <w:rFonts w:ascii="Arial" w:hAnsi="Arial" w:cs="Arial"/>
          <w:i/>
          <w:iCs/>
        </w:rPr>
        <w:t>Fishbone Diagram – Factors Reducing Competitiveness</w:t>
      </w:r>
      <w:r w:rsidRPr="00B80EB4">
        <w:rPr>
          <w:rFonts w:ascii="Arial" w:hAnsi="Arial" w:cs="Arial"/>
        </w:rPr>
        <w:t xml:space="preserve">. Available at: </w:t>
      </w:r>
      <w:hyperlink r:id="rId13" w:tgtFrame="_new" w:history="1">
        <w:r w:rsidRPr="00B80EB4">
          <w:rPr>
            <w:rStyle w:val="Hyperlink"/>
            <w:rFonts w:ascii="Arial" w:hAnsi="Arial" w:cs="Arial"/>
          </w:rPr>
          <w:t>https://www.conceptdraw.com/How-To-Guide/picture/MANAGEMENT-Fishbone-Diagram-Ishikawa-diagram-Factors-reducing-competitiveness.png</w:t>
        </w:r>
      </w:hyperlink>
      <w:r w:rsidRPr="00B80EB4">
        <w:rPr>
          <w:rFonts w:ascii="Arial" w:hAnsi="Arial" w:cs="Arial"/>
        </w:rPr>
        <w:t xml:space="preserve"> (Accessed: 19 August 2026). The </w:t>
      </w:r>
      <w:proofErr w:type="spellStart"/>
      <w:r w:rsidRPr="00B80EB4">
        <w:rPr>
          <w:rFonts w:ascii="Arial" w:hAnsi="Arial" w:cs="Arial"/>
        </w:rPr>
        <w:t>ConceptDraw</w:t>
      </w:r>
      <w:proofErr w:type="spellEnd"/>
      <w:r w:rsidRPr="00B80EB4">
        <w:rPr>
          <w:rFonts w:ascii="Arial" w:hAnsi="Arial" w:cs="Arial"/>
        </w:rPr>
        <w:t xml:space="preserve"> site identifies this as its ‘Factors Reducing Competitiveness’ fishbone example. </w:t>
      </w:r>
    </w:p>
    <w:p w14:paraId="5ADB3D6A" w14:textId="77777777" w:rsidR="00B80EB4" w:rsidRPr="00B80EB4" w:rsidRDefault="00B80EB4" w:rsidP="00B80EB4">
      <w:pPr>
        <w:rPr>
          <w:rFonts w:ascii="Arial" w:hAnsi="Arial" w:cs="Arial"/>
        </w:rPr>
      </w:pPr>
      <w:r w:rsidRPr="00B80EB4">
        <w:rPr>
          <w:rFonts w:ascii="Arial" w:hAnsi="Arial" w:cs="Arial"/>
        </w:rPr>
        <w:t xml:space="preserve">Damschroder, L.J., Reardon, C.M., </w:t>
      </w:r>
      <w:proofErr w:type="spellStart"/>
      <w:r w:rsidRPr="00B80EB4">
        <w:rPr>
          <w:rFonts w:ascii="Arial" w:hAnsi="Arial" w:cs="Arial"/>
        </w:rPr>
        <w:t>Widerquist</w:t>
      </w:r>
      <w:proofErr w:type="spellEnd"/>
      <w:r w:rsidRPr="00B80EB4">
        <w:rPr>
          <w:rFonts w:ascii="Arial" w:hAnsi="Arial" w:cs="Arial"/>
        </w:rPr>
        <w:t xml:space="preserve">, M.A.O. and Lowery, J. (2022) ‘The updated Consolidated Framework for Implementation Research based on user feedback’, </w:t>
      </w:r>
      <w:r w:rsidRPr="00B80EB4">
        <w:rPr>
          <w:rFonts w:ascii="Arial" w:hAnsi="Arial" w:cs="Arial"/>
          <w:i/>
          <w:iCs/>
        </w:rPr>
        <w:t>Implementation Science</w:t>
      </w:r>
      <w:r w:rsidRPr="00B80EB4">
        <w:rPr>
          <w:rFonts w:ascii="Arial" w:hAnsi="Arial" w:cs="Arial"/>
        </w:rPr>
        <w:t xml:space="preserve">, 17, 75. Available at: </w:t>
      </w:r>
      <w:hyperlink r:id="rId14" w:tgtFrame="_new" w:history="1">
        <w:r w:rsidRPr="00B80EB4">
          <w:rPr>
            <w:rStyle w:val="Hyperlink"/>
            <w:rFonts w:ascii="Arial" w:hAnsi="Arial" w:cs="Arial"/>
          </w:rPr>
          <w:t>https://doi.org/10.1186/s13012-022-01245-0</w:t>
        </w:r>
      </w:hyperlink>
      <w:r w:rsidRPr="00B80EB4">
        <w:rPr>
          <w:rFonts w:ascii="Arial" w:hAnsi="Arial" w:cs="Arial"/>
        </w:rPr>
        <w:t xml:space="preserve"> (Accessed: 19 August 2026).</w:t>
      </w:r>
    </w:p>
    <w:p w14:paraId="27CFE1FA" w14:textId="77777777" w:rsidR="00B80EB4" w:rsidRPr="00B80EB4" w:rsidRDefault="00B80EB4" w:rsidP="00B80EB4">
      <w:pPr>
        <w:rPr>
          <w:rFonts w:ascii="Arial" w:hAnsi="Arial" w:cs="Arial"/>
        </w:rPr>
      </w:pPr>
      <w:r w:rsidRPr="00B80EB4">
        <w:rPr>
          <w:rFonts w:ascii="Arial" w:hAnsi="Arial" w:cs="Arial"/>
        </w:rPr>
        <w:t xml:space="preserve">Donabedian, A. (1988) ‘The quality of care: How can it be assessed?’, </w:t>
      </w:r>
      <w:r w:rsidRPr="00B80EB4">
        <w:rPr>
          <w:rFonts w:ascii="Arial" w:hAnsi="Arial" w:cs="Arial"/>
          <w:i/>
          <w:iCs/>
        </w:rPr>
        <w:t>JAMA</w:t>
      </w:r>
      <w:r w:rsidRPr="00B80EB4">
        <w:rPr>
          <w:rFonts w:ascii="Arial" w:hAnsi="Arial" w:cs="Arial"/>
        </w:rPr>
        <w:t xml:space="preserve">, 260(12), pp. 1743–1748. Available at: </w:t>
      </w:r>
      <w:hyperlink r:id="rId15" w:tgtFrame="_new" w:history="1">
        <w:r w:rsidRPr="00B80EB4">
          <w:rPr>
            <w:rStyle w:val="Hyperlink"/>
            <w:rFonts w:ascii="Arial" w:hAnsi="Arial" w:cs="Arial"/>
          </w:rPr>
          <w:t>https://doi.org/10.1001/jama.260.12.1743</w:t>
        </w:r>
      </w:hyperlink>
      <w:r w:rsidRPr="00B80EB4">
        <w:rPr>
          <w:rFonts w:ascii="Arial" w:hAnsi="Arial" w:cs="Arial"/>
        </w:rPr>
        <w:t xml:space="preserve"> (Accessed: 19 August 2026). </w:t>
      </w:r>
    </w:p>
    <w:p w14:paraId="6D1CFED2" w14:textId="4E08E740" w:rsidR="00B80EB4" w:rsidRPr="00B80EB4" w:rsidRDefault="00B80EB4" w:rsidP="00B80EB4">
      <w:pPr>
        <w:rPr>
          <w:rFonts w:ascii="Arial" w:hAnsi="Arial" w:cs="Arial"/>
        </w:rPr>
      </w:pPr>
      <w:r w:rsidRPr="00B80EB4">
        <w:rPr>
          <w:rFonts w:ascii="Arial" w:hAnsi="Arial" w:cs="Arial"/>
        </w:rPr>
        <w:t xml:space="preserve">Edmondson, A.C. (1999) ‘Psychological safety and learning </w:t>
      </w:r>
      <w:r w:rsidR="00015645">
        <w:rPr>
          <w:rFonts w:ascii="Arial" w:hAnsi="Arial" w:cs="Arial"/>
        </w:rPr>
        <w:t>behaviour</w:t>
      </w:r>
      <w:r w:rsidRPr="00B80EB4">
        <w:rPr>
          <w:rFonts w:ascii="Arial" w:hAnsi="Arial" w:cs="Arial"/>
        </w:rPr>
        <w:t xml:space="preserve"> in work teams’, </w:t>
      </w:r>
      <w:r w:rsidRPr="00B80EB4">
        <w:rPr>
          <w:rFonts w:ascii="Arial" w:hAnsi="Arial" w:cs="Arial"/>
          <w:i/>
          <w:iCs/>
        </w:rPr>
        <w:t>Administrative Science Quarterly</w:t>
      </w:r>
      <w:r w:rsidRPr="00B80EB4">
        <w:rPr>
          <w:rFonts w:ascii="Arial" w:hAnsi="Arial" w:cs="Arial"/>
        </w:rPr>
        <w:t xml:space="preserve">, 44(2), pp. 350–383. Available at: </w:t>
      </w:r>
      <w:hyperlink r:id="rId16" w:tgtFrame="_new" w:history="1">
        <w:r w:rsidRPr="00B80EB4">
          <w:rPr>
            <w:rStyle w:val="Hyperlink"/>
            <w:rFonts w:ascii="Arial" w:hAnsi="Arial" w:cs="Arial"/>
          </w:rPr>
          <w:t>https://doi.org/10.2307/2666999</w:t>
        </w:r>
      </w:hyperlink>
      <w:r w:rsidRPr="00B80EB4">
        <w:rPr>
          <w:rFonts w:ascii="Arial" w:hAnsi="Arial" w:cs="Arial"/>
        </w:rPr>
        <w:t xml:space="preserve"> (Accessed: 19 August 2026).</w:t>
      </w:r>
    </w:p>
    <w:p w14:paraId="0C68B7AD" w14:textId="77777777" w:rsidR="00B80EB4" w:rsidRPr="00B80EB4" w:rsidRDefault="00B80EB4" w:rsidP="00B80EB4">
      <w:pPr>
        <w:rPr>
          <w:rFonts w:ascii="Arial" w:hAnsi="Arial" w:cs="Arial"/>
        </w:rPr>
      </w:pPr>
      <w:r w:rsidRPr="00B80EB4">
        <w:rPr>
          <w:rFonts w:ascii="Arial" w:hAnsi="Arial" w:cs="Arial"/>
        </w:rPr>
        <w:t xml:space="preserve">Francis, R. (2013) </w:t>
      </w:r>
      <w:r w:rsidRPr="00B80EB4">
        <w:rPr>
          <w:rFonts w:ascii="Arial" w:hAnsi="Arial" w:cs="Arial"/>
          <w:i/>
          <w:iCs/>
        </w:rPr>
        <w:t>Report of the Mid Staffordshire NHS Foundation Trust Public Inquiry</w:t>
      </w:r>
      <w:r w:rsidRPr="00B80EB4">
        <w:rPr>
          <w:rFonts w:ascii="Arial" w:hAnsi="Arial" w:cs="Arial"/>
        </w:rPr>
        <w:t xml:space="preserve">. London: The Stationery Office. Available at: </w:t>
      </w:r>
      <w:hyperlink r:id="rId17" w:tgtFrame="_new" w:history="1">
        <w:r w:rsidRPr="00B80EB4">
          <w:rPr>
            <w:rStyle w:val="Hyperlink"/>
            <w:rFonts w:ascii="Arial" w:hAnsi="Arial" w:cs="Arial"/>
          </w:rPr>
          <w:t>https://www.gov.uk/government/publications/report-of-the-mid-staffordshire-nhs-foundation-trust-public-inquiry</w:t>
        </w:r>
      </w:hyperlink>
      <w:r w:rsidRPr="00B80EB4">
        <w:rPr>
          <w:rFonts w:ascii="Arial" w:hAnsi="Arial" w:cs="Arial"/>
        </w:rPr>
        <w:t xml:space="preserve"> (Accessed: 19 August 2026).</w:t>
      </w:r>
    </w:p>
    <w:p w14:paraId="285B2537" w14:textId="77777777" w:rsidR="00B80EB4" w:rsidRPr="00B80EB4" w:rsidRDefault="00B80EB4" w:rsidP="00B80EB4">
      <w:pPr>
        <w:rPr>
          <w:rFonts w:ascii="Arial" w:hAnsi="Arial" w:cs="Arial"/>
        </w:rPr>
      </w:pPr>
      <w:r w:rsidRPr="00B80EB4">
        <w:rPr>
          <w:rFonts w:ascii="Arial" w:hAnsi="Arial" w:cs="Arial"/>
        </w:rPr>
        <w:t xml:space="preserve">Gürel, E. and Tat, M. (2017) ‘SWOT analysis: A theoretical review’, </w:t>
      </w:r>
      <w:r w:rsidRPr="00B80EB4">
        <w:rPr>
          <w:rFonts w:ascii="Arial" w:hAnsi="Arial" w:cs="Arial"/>
          <w:i/>
          <w:iCs/>
        </w:rPr>
        <w:t>Journal of International Social Research</w:t>
      </w:r>
      <w:r w:rsidRPr="00B80EB4">
        <w:rPr>
          <w:rFonts w:ascii="Arial" w:hAnsi="Arial" w:cs="Arial"/>
        </w:rPr>
        <w:t xml:space="preserve">, 10(51), pp. 994–1006. Available at: </w:t>
      </w:r>
      <w:hyperlink r:id="rId18" w:tgtFrame="_new" w:history="1">
        <w:r w:rsidRPr="00B80EB4">
          <w:rPr>
            <w:rStyle w:val="Hyperlink"/>
            <w:rFonts w:ascii="Arial" w:hAnsi="Arial" w:cs="Arial"/>
          </w:rPr>
          <w:t>https://doi.org/10.17719/jisr.2017.1832</w:t>
        </w:r>
      </w:hyperlink>
      <w:r w:rsidRPr="00B80EB4">
        <w:rPr>
          <w:rFonts w:ascii="Arial" w:hAnsi="Arial" w:cs="Arial"/>
        </w:rPr>
        <w:t xml:space="preserve"> (Accessed: 19 August 2026).</w:t>
      </w:r>
    </w:p>
    <w:p w14:paraId="4BAF7FC1" w14:textId="77777777" w:rsidR="00B80EB4" w:rsidRPr="00B80EB4" w:rsidRDefault="00B80EB4" w:rsidP="00B80EB4">
      <w:pPr>
        <w:rPr>
          <w:rFonts w:ascii="Arial" w:hAnsi="Arial" w:cs="Arial"/>
        </w:rPr>
      </w:pPr>
      <w:r w:rsidRPr="00B80EB4">
        <w:rPr>
          <w:rFonts w:ascii="Arial" w:hAnsi="Arial" w:cs="Arial"/>
        </w:rPr>
        <w:t xml:space="preserve">Harvey, G. and Kitson, A. (2016) ‘PARIHS revisited: from heuristic to integrated framework for the successful implementation of knowledge into practice’, </w:t>
      </w:r>
      <w:r w:rsidRPr="00B80EB4">
        <w:rPr>
          <w:rFonts w:ascii="Arial" w:hAnsi="Arial" w:cs="Arial"/>
          <w:i/>
          <w:iCs/>
        </w:rPr>
        <w:t>Implementation Science</w:t>
      </w:r>
      <w:r w:rsidRPr="00B80EB4">
        <w:rPr>
          <w:rFonts w:ascii="Arial" w:hAnsi="Arial" w:cs="Arial"/>
        </w:rPr>
        <w:t xml:space="preserve">, 11, 33. Available at: </w:t>
      </w:r>
      <w:hyperlink r:id="rId19" w:tgtFrame="_new" w:history="1">
        <w:r w:rsidRPr="00B80EB4">
          <w:rPr>
            <w:rStyle w:val="Hyperlink"/>
            <w:rFonts w:ascii="Arial" w:hAnsi="Arial" w:cs="Arial"/>
          </w:rPr>
          <w:t>https://doi.org/10.1186/s13012-016-0398-2</w:t>
        </w:r>
      </w:hyperlink>
      <w:r w:rsidRPr="00B80EB4">
        <w:rPr>
          <w:rFonts w:ascii="Arial" w:hAnsi="Arial" w:cs="Arial"/>
        </w:rPr>
        <w:t xml:space="preserve"> (Accessed: 19 August 2026). </w:t>
      </w:r>
    </w:p>
    <w:p w14:paraId="26C4E19C" w14:textId="77777777" w:rsidR="00B80EB4" w:rsidRPr="00B80EB4" w:rsidRDefault="00B80EB4" w:rsidP="00B80EB4">
      <w:pPr>
        <w:rPr>
          <w:rFonts w:ascii="Arial" w:hAnsi="Arial" w:cs="Arial"/>
        </w:rPr>
      </w:pPr>
      <w:r w:rsidRPr="00B80EB4">
        <w:rPr>
          <w:rFonts w:ascii="Arial" w:hAnsi="Arial" w:cs="Arial"/>
        </w:rPr>
        <w:t xml:space="preserve">Hollnagel, E. (2014) </w:t>
      </w:r>
      <w:r w:rsidRPr="00B80EB4">
        <w:rPr>
          <w:rFonts w:ascii="Arial" w:hAnsi="Arial" w:cs="Arial"/>
          <w:i/>
          <w:iCs/>
        </w:rPr>
        <w:t>Safety-I and Safety-II: The Past and Future of Safety Management</w:t>
      </w:r>
      <w:r w:rsidRPr="00B80EB4">
        <w:rPr>
          <w:rFonts w:ascii="Arial" w:hAnsi="Arial" w:cs="Arial"/>
        </w:rPr>
        <w:t xml:space="preserve">. Farnham: Ashgate. Available at: </w:t>
      </w:r>
      <w:hyperlink r:id="rId20" w:tgtFrame="_new" w:history="1">
        <w:r w:rsidRPr="00B80EB4">
          <w:rPr>
            <w:rStyle w:val="Hyperlink"/>
            <w:rFonts w:ascii="Arial" w:hAnsi="Arial" w:cs="Arial"/>
          </w:rPr>
          <w:t>https://www.routledge.com/Safety-I-and-Safety-II-The-Past-and-Future-of-Safety-Management/Hollnagel/p/book/9781472423085</w:t>
        </w:r>
      </w:hyperlink>
      <w:r w:rsidRPr="00B80EB4">
        <w:rPr>
          <w:rFonts w:ascii="Arial" w:hAnsi="Arial" w:cs="Arial"/>
        </w:rPr>
        <w:t xml:space="preserve"> (Accessed: 19 August 2026). </w:t>
      </w:r>
    </w:p>
    <w:p w14:paraId="6A0FF6FC" w14:textId="77777777" w:rsidR="00B80EB4" w:rsidRPr="00B80EB4" w:rsidRDefault="00B80EB4" w:rsidP="00B80EB4">
      <w:pPr>
        <w:rPr>
          <w:rFonts w:ascii="Arial" w:hAnsi="Arial" w:cs="Arial"/>
        </w:rPr>
      </w:pPr>
      <w:r w:rsidRPr="00B80EB4">
        <w:rPr>
          <w:rFonts w:ascii="Arial" w:hAnsi="Arial" w:cs="Arial"/>
        </w:rPr>
        <w:t xml:space="preserve">Institute of Medicine (2001) </w:t>
      </w:r>
      <w:r w:rsidRPr="00B80EB4">
        <w:rPr>
          <w:rFonts w:ascii="Arial" w:hAnsi="Arial" w:cs="Arial"/>
          <w:i/>
          <w:iCs/>
        </w:rPr>
        <w:t>Crossing the Quality Chasm: A New Health System for the 21st Century</w:t>
      </w:r>
      <w:r w:rsidRPr="00B80EB4">
        <w:rPr>
          <w:rFonts w:ascii="Arial" w:hAnsi="Arial" w:cs="Arial"/>
        </w:rPr>
        <w:t xml:space="preserve">. Washington, DC: National Academies Press. Available at: </w:t>
      </w:r>
      <w:hyperlink r:id="rId21" w:tgtFrame="_new" w:history="1">
        <w:r w:rsidRPr="00B80EB4">
          <w:rPr>
            <w:rStyle w:val="Hyperlink"/>
            <w:rFonts w:ascii="Arial" w:hAnsi="Arial" w:cs="Arial"/>
          </w:rPr>
          <w:t>https://nap.nationalacademies.org/catalog/10027/crossing-the-quality-chasm-a-new-health-system-for-the</w:t>
        </w:r>
      </w:hyperlink>
      <w:r w:rsidRPr="00B80EB4">
        <w:rPr>
          <w:rFonts w:ascii="Arial" w:hAnsi="Arial" w:cs="Arial"/>
        </w:rPr>
        <w:t xml:space="preserve"> (Accessed: 19 August 2026). </w:t>
      </w:r>
    </w:p>
    <w:p w14:paraId="01830F2C" w14:textId="76C7F88F" w:rsidR="00B80EB4" w:rsidRPr="00B80EB4" w:rsidRDefault="00B80EB4" w:rsidP="00B80EB4">
      <w:pPr>
        <w:rPr>
          <w:rFonts w:ascii="Arial" w:hAnsi="Arial" w:cs="Arial"/>
        </w:rPr>
      </w:pPr>
      <w:r w:rsidRPr="00B80EB4">
        <w:rPr>
          <w:rFonts w:ascii="Arial" w:hAnsi="Arial" w:cs="Arial"/>
        </w:rPr>
        <w:t xml:space="preserve">Ishikawa, K. (1986) </w:t>
      </w:r>
      <w:r w:rsidRPr="00B80EB4">
        <w:rPr>
          <w:rFonts w:ascii="Arial" w:hAnsi="Arial" w:cs="Arial"/>
          <w:i/>
          <w:iCs/>
        </w:rPr>
        <w:t>Guide to Quality Control</w:t>
      </w:r>
      <w:r w:rsidRPr="00B80EB4">
        <w:rPr>
          <w:rFonts w:ascii="Arial" w:hAnsi="Arial" w:cs="Arial"/>
        </w:rPr>
        <w:t xml:space="preserve">. 2nd rev. </w:t>
      </w:r>
      <w:proofErr w:type="spellStart"/>
      <w:r w:rsidRPr="00B80EB4">
        <w:rPr>
          <w:rFonts w:ascii="Arial" w:hAnsi="Arial" w:cs="Arial"/>
        </w:rPr>
        <w:t>edn</w:t>
      </w:r>
      <w:proofErr w:type="spellEnd"/>
      <w:r w:rsidRPr="00B80EB4">
        <w:rPr>
          <w:rFonts w:ascii="Arial" w:hAnsi="Arial" w:cs="Arial"/>
        </w:rPr>
        <w:t xml:space="preserve">. Tokyo: Asian Productivity </w:t>
      </w:r>
      <w:r w:rsidR="00015645">
        <w:rPr>
          <w:rFonts w:ascii="Arial" w:hAnsi="Arial" w:cs="Arial"/>
        </w:rPr>
        <w:t>Organisation</w:t>
      </w:r>
      <w:r w:rsidRPr="00B80EB4">
        <w:rPr>
          <w:rFonts w:ascii="Arial" w:hAnsi="Arial" w:cs="Arial"/>
        </w:rPr>
        <w:t xml:space="preserve">. Available at: </w:t>
      </w:r>
      <w:hyperlink r:id="rId22" w:tgtFrame="_new" w:history="1">
        <w:r w:rsidRPr="00B80EB4">
          <w:rPr>
            <w:rStyle w:val="Hyperlink"/>
            <w:rFonts w:ascii="Arial" w:hAnsi="Arial" w:cs="Arial"/>
          </w:rPr>
          <w:t>https://books.google.com/books/about/Guide_to_Quality_Control.html?id=POEeAQAAIAAJ</w:t>
        </w:r>
      </w:hyperlink>
      <w:r w:rsidRPr="00B80EB4">
        <w:rPr>
          <w:rFonts w:ascii="Arial" w:hAnsi="Arial" w:cs="Arial"/>
        </w:rPr>
        <w:t xml:space="preserve"> (Accessed: 19 August 2026). </w:t>
      </w:r>
    </w:p>
    <w:p w14:paraId="1BE9B47F" w14:textId="77777777" w:rsidR="00B80EB4" w:rsidRPr="00B80EB4" w:rsidRDefault="00B80EB4" w:rsidP="00B80EB4">
      <w:pPr>
        <w:rPr>
          <w:rFonts w:ascii="Arial" w:hAnsi="Arial" w:cs="Arial"/>
        </w:rPr>
      </w:pPr>
      <w:r w:rsidRPr="00B80EB4">
        <w:rPr>
          <w:rFonts w:ascii="Arial" w:hAnsi="Arial" w:cs="Arial"/>
        </w:rPr>
        <w:t xml:space="preserve">Kirkup, B. (2015) </w:t>
      </w:r>
      <w:r w:rsidRPr="00B80EB4">
        <w:rPr>
          <w:rFonts w:ascii="Arial" w:hAnsi="Arial" w:cs="Arial"/>
          <w:i/>
          <w:iCs/>
        </w:rPr>
        <w:t>The Report of the Morecambe Bay Investigation</w:t>
      </w:r>
      <w:r w:rsidRPr="00B80EB4">
        <w:rPr>
          <w:rFonts w:ascii="Arial" w:hAnsi="Arial" w:cs="Arial"/>
        </w:rPr>
        <w:t xml:space="preserve">. London: The Stationery Office. Available at: </w:t>
      </w:r>
      <w:hyperlink r:id="rId23" w:tgtFrame="_new" w:history="1">
        <w:r w:rsidRPr="00B80EB4">
          <w:rPr>
            <w:rStyle w:val="Hyperlink"/>
            <w:rFonts w:ascii="Arial" w:hAnsi="Arial" w:cs="Arial"/>
          </w:rPr>
          <w:t>https://www.gov.uk/government/publications/morecambe-bay-investigation-report</w:t>
        </w:r>
      </w:hyperlink>
      <w:r w:rsidRPr="00B80EB4">
        <w:rPr>
          <w:rFonts w:ascii="Arial" w:hAnsi="Arial" w:cs="Arial"/>
        </w:rPr>
        <w:t xml:space="preserve"> (Accessed: 19 August 2026).</w:t>
      </w:r>
    </w:p>
    <w:p w14:paraId="6FBE37BD" w14:textId="77777777" w:rsidR="00B80EB4" w:rsidRPr="00B80EB4" w:rsidRDefault="00B80EB4" w:rsidP="00B80EB4">
      <w:pPr>
        <w:rPr>
          <w:rFonts w:ascii="Arial" w:hAnsi="Arial" w:cs="Arial"/>
        </w:rPr>
      </w:pPr>
      <w:r w:rsidRPr="00B80EB4">
        <w:rPr>
          <w:rFonts w:ascii="Arial" w:hAnsi="Arial" w:cs="Arial"/>
        </w:rPr>
        <w:t xml:space="preserve">Kirkup, B. (2022) </w:t>
      </w:r>
      <w:r w:rsidRPr="00B80EB4">
        <w:rPr>
          <w:rFonts w:ascii="Arial" w:hAnsi="Arial" w:cs="Arial"/>
          <w:i/>
          <w:iCs/>
        </w:rPr>
        <w:t>Reading the Signals: Maternity and Neonatal Services in East Kent – The Report of the Independent Investigation</w:t>
      </w:r>
      <w:r w:rsidRPr="00B80EB4">
        <w:rPr>
          <w:rFonts w:ascii="Arial" w:hAnsi="Arial" w:cs="Arial"/>
        </w:rPr>
        <w:t xml:space="preserve">. London: The Stationery Office. Available at: </w:t>
      </w:r>
      <w:hyperlink r:id="rId24" w:tgtFrame="_new" w:history="1">
        <w:r w:rsidRPr="00B80EB4">
          <w:rPr>
            <w:rStyle w:val="Hyperlink"/>
            <w:rFonts w:ascii="Arial" w:hAnsi="Arial" w:cs="Arial"/>
          </w:rPr>
          <w:t>https://www.gov.uk/government/publications/maternity-and-neonatal-services-in-east-kent-reading-the-signals-report</w:t>
        </w:r>
      </w:hyperlink>
      <w:r w:rsidRPr="00B80EB4">
        <w:rPr>
          <w:rFonts w:ascii="Arial" w:hAnsi="Arial" w:cs="Arial"/>
        </w:rPr>
        <w:t xml:space="preserve"> (Accessed: 19 August 2026).</w:t>
      </w:r>
    </w:p>
    <w:p w14:paraId="6F6D3D90" w14:textId="007552BF" w:rsidR="00B80EB4" w:rsidRPr="00B80EB4" w:rsidRDefault="00B80EB4" w:rsidP="00B80EB4">
      <w:pPr>
        <w:rPr>
          <w:rFonts w:ascii="Arial" w:hAnsi="Arial" w:cs="Arial"/>
        </w:rPr>
      </w:pPr>
      <w:r w:rsidRPr="00B80EB4">
        <w:rPr>
          <w:rFonts w:ascii="Arial" w:hAnsi="Arial" w:cs="Arial"/>
        </w:rPr>
        <w:t xml:space="preserve">Langley, G.J., Moen, R.D., Nolan, K.M., Nolan, T.W., Norman, C.L. and Provost, L.P. (2009) </w:t>
      </w:r>
      <w:r w:rsidRPr="00B80EB4">
        <w:rPr>
          <w:rFonts w:ascii="Arial" w:hAnsi="Arial" w:cs="Arial"/>
          <w:i/>
          <w:iCs/>
        </w:rPr>
        <w:t xml:space="preserve">The Improvement Guide: A Practical Approach to Enhancing </w:t>
      </w:r>
      <w:r w:rsidR="00015645">
        <w:rPr>
          <w:rFonts w:ascii="Arial" w:hAnsi="Arial" w:cs="Arial"/>
          <w:i/>
          <w:iCs/>
        </w:rPr>
        <w:t>Organisational</w:t>
      </w:r>
      <w:r w:rsidRPr="00B80EB4">
        <w:rPr>
          <w:rFonts w:ascii="Arial" w:hAnsi="Arial" w:cs="Arial"/>
          <w:i/>
          <w:iCs/>
        </w:rPr>
        <w:t xml:space="preserve"> Performance</w:t>
      </w:r>
      <w:r w:rsidRPr="00B80EB4">
        <w:rPr>
          <w:rFonts w:ascii="Arial" w:hAnsi="Arial" w:cs="Arial"/>
        </w:rPr>
        <w:t xml:space="preserve">. 2nd </w:t>
      </w:r>
      <w:proofErr w:type="spellStart"/>
      <w:r w:rsidRPr="00B80EB4">
        <w:rPr>
          <w:rFonts w:ascii="Arial" w:hAnsi="Arial" w:cs="Arial"/>
        </w:rPr>
        <w:t>edn</w:t>
      </w:r>
      <w:proofErr w:type="spellEnd"/>
      <w:r w:rsidRPr="00B80EB4">
        <w:rPr>
          <w:rFonts w:ascii="Arial" w:hAnsi="Arial" w:cs="Arial"/>
        </w:rPr>
        <w:t xml:space="preserve">. San Francisco: Jossey-Bass. Available at: </w:t>
      </w:r>
      <w:hyperlink r:id="rId25" w:tgtFrame="_new" w:history="1">
        <w:r w:rsidRPr="00B80EB4">
          <w:rPr>
            <w:rStyle w:val="Hyperlink"/>
            <w:rFonts w:ascii="Arial" w:hAnsi="Arial" w:cs="Arial"/>
          </w:rPr>
          <w:t>https://www.ihi.org/library/publications/improvement-guide-practical-approach-enhancing-organizational-performance</w:t>
        </w:r>
      </w:hyperlink>
      <w:r w:rsidRPr="00B80EB4">
        <w:rPr>
          <w:rFonts w:ascii="Arial" w:hAnsi="Arial" w:cs="Arial"/>
        </w:rPr>
        <w:t xml:space="preserve"> (Accessed: 19 August 2026). </w:t>
      </w:r>
    </w:p>
    <w:p w14:paraId="4CDFB51F" w14:textId="77777777" w:rsidR="00B80EB4" w:rsidRPr="00B80EB4" w:rsidRDefault="00B80EB4" w:rsidP="00B80EB4">
      <w:pPr>
        <w:rPr>
          <w:rFonts w:ascii="Arial" w:hAnsi="Arial" w:cs="Arial"/>
        </w:rPr>
      </w:pPr>
      <w:r w:rsidRPr="00B80EB4">
        <w:rPr>
          <w:rFonts w:ascii="Arial" w:hAnsi="Arial" w:cs="Arial"/>
        </w:rPr>
        <w:t xml:space="preserve">May, C. and Finch, T. (2009) ‘Implementing, embedding and integrating practices: An outline of Normalization Process Theory’, </w:t>
      </w:r>
      <w:r w:rsidRPr="00B80EB4">
        <w:rPr>
          <w:rFonts w:ascii="Arial" w:hAnsi="Arial" w:cs="Arial"/>
          <w:i/>
          <w:iCs/>
        </w:rPr>
        <w:t>Sociology</w:t>
      </w:r>
      <w:r w:rsidRPr="00B80EB4">
        <w:rPr>
          <w:rFonts w:ascii="Arial" w:hAnsi="Arial" w:cs="Arial"/>
        </w:rPr>
        <w:t xml:space="preserve">, 43(3), pp. 535–554. Available at: </w:t>
      </w:r>
      <w:hyperlink r:id="rId26" w:tgtFrame="_new" w:history="1">
        <w:r w:rsidRPr="00B80EB4">
          <w:rPr>
            <w:rStyle w:val="Hyperlink"/>
            <w:rFonts w:ascii="Arial" w:hAnsi="Arial" w:cs="Arial"/>
          </w:rPr>
          <w:t>https://doi.org/10.1177/0038038509103208</w:t>
        </w:r>
      </w:hyperlink>
      <w:r w:rsidRPr="00B80EB4">
        <w:rPr>
          <w:rFonts w:ascii="Arial" w:hAnsi="Arial" w:cs="Arial"/>
        </w:rPr>
        <w:t xml:space="preserve"> (Accessed: 19 August 2026).</w:t>
      </w:r>
    </w:p>
    <w:p w14:paraId="3D34512F" w14:textId="77777777" w:rsidR="00B80EB4" w:rsidRPr="00B80EB4" w:rsidRDefault="00B80EB4" w:rsidP="00B80EB4">
      <w:pPr>
        <w:rPr>
          <w:rFonts w:ascii="Arial" w:hAnsi="Arial" w:cs="Arial"/>
        </w:rPr>
      </w:pPr>
      <w:r w:rsidRPr="00B80EB4">
        <w:rPr>
          <w:rFonts w:ascii="Arial" w:hAnsi="Arial" w:cs="Arial"/>
        </w:rPr>
        <w:t xml:space="preserve">May, C.R., Cummings, A., Girling, M., Bracher, M., Mair, F.S., May, C.M., Murray, E., Myall, M., Rapley, T. and Finch, T. (2018) ‘Using Normalization Process Theory in feasibility studies and process evaluations of complex healthcare interventions: a systematic review’, </w:t>
      </w:r>
      <w:r w:rsidRPr="00B80EB4">
        <w:rPr>
          <w:rFonts w:ascii="Arial" w:hAnsi="Arial" w:cs="Arial"/>
          <w:i/>
          <w:iCs/>
        </w:rPr>
        <w:t>Implementation Science</w:t>
      </w:r>
      <w:r w:rsidRPr="00B80EB4">
        <w:rPr>
          <w:rFonts w:ascii="Arial" w:hAnsi="Arial" w:cs="Arial"/>
        </w:rPr>
        <w:t xml:space="preserve">, 13, 80. Available at: </w:t>
      </w:r>
      <w:hyperlink r:id="rId27" w:tgtFrame="_new" w:history="1">
        <w:r w:rsidRPr="00B80EB4">
          <w:rPr>
            <w:rStyle w:val="Hyperlink"/>
            <w:rFonts w:ascii="Arial" w:hAnsi="Arial" w:cs="Arial"/>
          </w:rPr>
          <w:t>https://doi.org/10.1186/s13012-018-0758-1</w:t>
        </w:r>
      </w:hyperlink>
      <w:r w:rsidRPr="00B80EB4">
        <w:rPr>
          <w:rFonts w:ascii="Arial" w:hAnsi="Arial" w:cs="Arial"/>
        </w:rPr>
        <w:t xml:space="preserve"> (Accessed: 19 August 2026). </w:t>
      </w:r>
    </w:p>
    <w:p w14:paraId="1B1B59A2" w14:textId="77777777" w:rsidR="00B80EB4" w:rsidRPr="00B80EB4" w:rsidRDefault="00B80EB4" w:rsidP="00B80EB4">
      <w:pPr>
        <w:rPr>
          <w:rFonts w:ascii="Arial" w:hAnsi="Arial" w:cs="Arial"/>
        </w:rPr>
      </w:pPr>
      <w:r w:rsidRPr="00B80EB4">
        <w:rPr>
          <w:rFonts w:ascii="Arial" w:hAnsi="Arial" w:cs="Arial"/>
        </w:rPr>
        <w:t xml:space="preserve">MBRRACE-UK (2025) </w:t>
      </w:r>
      <w:r w:rsidRPr="00B80EB4">
        <w:rPr>
          <w:rFonts w:ascii="Arial" w:hAnsi="Arial" w:cs="Arial"/>
          <w:i/>
          <w:iCs/>
        </w:rPr>
        <w:t>Saving Lives, Improving Mothers’ Care 2025: Lessons Learned to Inform Maternity Care from the UK and Ireland Confidential Enquiries into Maternal Deaths and Morbidity 2021–2023</w:t>
      </w:r>
      <w:r w:rsidRPr="00B80EB4">
        <w:rPr>
          <w:rFonts w:ascii="Arial" w:hAnsi="Arial" w:cs="Arial"/>
        </w:rPr>
        <w:t xml:space="preserve">. Oxford: National Perinatal Epidemiology Unit, University of Oxford. Available at: </w:t>
      </w:r>
      <w:hyperlink r:id="rId28" w:tgtFrame="_new" w:history="1">
        <w:r w:rsidRPr="00B80EB4">
          <w:rPr>
            <w:rStyle w:val="Hyperlink"/>
            <w:rFonts w:ascii="Arial" w:hAnsi="Arial" w:cs="Arial"/>
          </w:rPr>
          <w:t>https://www.npeu.ox.ac.uk/mbrrace-uk/reports/maternal-reports/maternal-report-2021-2023</w:t>
        </w:r>
      </w:hyperlink>
      <w:r w:rsidRPr="00B80EB4">
        <w:rPr>
          <w:rFonts w:ascii="Arial" w:hAnsi="Arial" w:cs="Arial"/>
        </w:rPr>
        <w:t xml:space="preserve"> (Accessed: 19 August 2026). </w:t>
      </w:r>
    </w:p>
    <w:p w14:paraId="034A625D" w14:textId="77777777" w:rsidR="00B80EB4" w:rsidRPr="00B80EB4" w:rsidRDefault="00B80EB4" w:rsidP="00B80EB4">
      <w:pPr>
        <w:rPr>
          <w:rFonts w:ascii="Arial" w:hAnsi="Arial" w:cs="Arial"/>
        </w:rPr>
      </w:pPr>
      <w:r w:rsidRPr="00B80EB4">
        <w:rPr>
          <w:rFonts w:ascii="Arial" w:hAnsi="Arial" w:cs="Arial"/>
        </w:rPr>
        <w:t xml:space="preserve">National Maternity and Perinatal Audit (NMPA) (2024) </w:t>
      </w:r>
      <w:r w:rsidRPr="00B80EB4">
        <w:rPr>
          <w:rFonts w:ascii="Arial" w:hAnsi="Arial" w:cs="Arial"/>
          <w:i/>
          <w:iCs/>
        </w:rPr>
        <w:t>National Maternity and Perinatal Audit</w:t>
      </w:r>
      <w:r w:rsidRPr="00B80EB4">
        <w:rPr>
          <w:rFonts w:ascii="Arial" w:hAnsi="Arial" w:cs="Arial"/>
        </w:rPr>
        <w:t xml:space="preserve">. London: Royal College of Obstetricians and Gynaecologists. Available at: </w:t>
      </w:r>
      <w:hyperlink r:id="rId29" w:tgtFrame="_new" w:history="1">
        <w:r w:rsidRPr="00B80EB4">
          <w:rPr>
            <w:rStyle w:val="Hyperlink"/>
            <w:rFonts w:ascii="Arial" w:hAnsi="Arial" w:cs="Arial"/>
          </w:rPr>
          <w:t>https://maternityaudit.org.uk</w:t>
        </w:r>
      </w:hyperlink>
      <w:r w:rsidRPr="00B80EB4">
        <w:rPr>
          <w:rFonts w:ascii="Arial" w:hAnsi="Arial" w:cs="Arial"/>
        </w:rPr>
        <w:t xml:space="preserve"> (Accessed: 19 August 2026).</w:t>
      </w:r>
    </w:p>
    <w:p w14:paraId="57AC3A56" w14:textId="54A42C14" w:rsidR="00B80EB4" w:rsidRPr="00B80EB4" w:rsidRDefault="00B80EB4" w:rsidP="00B80EB4">
      <w:pPr>
        <w:rPr>
          <w:rFonts w:ascii="Arial" w:hAnsi="Arial" w:cs="Arial"/>
        </w:rPr>
      </w:pPr>
      <w:r w:rsidRPr="00B80EB4">
        <w:rPr>
          <w:rFonts w:ascii="Arial" w:hAnsi="Arial" w:cs="Arial"/>
        </w:rPr>
        <w:t xml:space="preserve">NHS England (2018) </w:t>
      </w:r>
      <w:r w:rsidRPr="00B80EB4">
        <w:rPr>
          <w:rFonts w:ascii="Arial" w:hAnsi="Arial" w:cs="Arial"/>
          <w:i/>
          <w:iCs/>
        </w:rPr>
        <w:t xml:space="preserve">NHS Action Plan Can Prevent Over 600 </w:t>
      </w:r>
      <w:r w:rsidR="001E3B5D">
        <w:rPr>
          <w:rFonts w:ascii="Arial" w:hAnsi="Arial" w:cs="Arial"/>
          <w:i/>
          <w:iCs/>
        </w:rPr>
        <w:t>Stillbirths</w:t>
      </w:r>
      <w:r w:rsidRPr="00B80EB4">
        <w:rPr>
          <w:rFonts w:ascii="Arial" w:hAnsi="Arial" w:cs="Arial"/>
          <w:i/>
          <w:iCs/>
        </w:rPr>
        <w:t xml:space="preserve"> a Year Says NHS England</w:t>
      </w:r>
      <w:r w:rsidRPr="00B80EB4">
        <w:rPr>
          <w:rFonts w:ascii="Arial" w:hAnsi="Arial" w:cs="Arial"/>
        </w:rPr>
        <w:t xml:space="preserve">. London: NHS England. Available at: </w:t>
      </w:r>
      <w:hyperlink r:id="rId30" w:tgtFrame="_new" w:history="1">
        <w:r w:rsidRPr="00B80EB4">
          <w:rPr>
            <w:rStyle w:val="Hyperlink"/>
            <w:rFonts w:ascii="Arial" w:hAnsi="Arial" w:cs="Arial"/>
          </w:rPr>
          <w:t>https://www.england.nhs.uk/2018/07/nhs-action-plan-can-prevent-over-600-still-births-a-year-says-nhs-england/</w:t>
        </w:r>
      </w:hyperlink>
      <w:r w:rsidRPr="00B80EB4">
        <w:rPr>
          <w:rFonts w:ascii="Arial" w:hAnsi="Arial" w:cs="Arial"/>
        </w:rPr>
        <w:t xml:space="preserve"> (Accessed: 19 August 2026). </w:t>
      </w:r>
    </w:p>
    <w:p w14:paraId="0546EA10" w14:textId="77777777" w:rsidR="00B80EB4" w:rsidRPr="00B80EB4" w:rsidRDefault="00B80EB4" w:rsidP="00B80EB4">
      <w:pPr>
        <w:rPr>
          <w:rFonts w:ascii="Arial" w:hAnsi="Arial" w:cs="Arial"/>
        </w:rPr>
      </w:pPr>
      <w:r w:rsidRPr="00B80EB4">
        <w:rPr>
          <w:rFonts w:ascii="Arial" w:hAnsi="Arial" w:cs="Arial"/>
        </w:rPr>
        <w:t xml:space="preserve">NHS England (2022) </w:t>
      </w:r>
      <w:r w:rsidRPr="00B80EB4">
        <w:rPr>
          <w:rFonts w:ascii="Arial" w:hAnsi="Arial" w:cs="Arial"/>
          <w:i/>
          <w:iCs/>
        </w:rPr>
        <w:t>Patient Safety Incident Response Framework</w:t>
      </w:r>
      <w:r w:rsidRPr="00B80EB4">
        <w:rPr>
          <w:rFonts w:ascii="Arial" w:hAnsi="Arial" w:cs="Arial"/>
        </w:rPr>
        <w:t xml:space="preserve">. London: NHS England. Available at: </w:t>
      </w:r>
      <w:hyperlink r:id="rId31" w:tgtFrame="_new" w:history="1">
        <w:r w:rsidRPr="00B80EB4">
          <w:rPr>
            <w:rStyle w:val="Hyperlink"/>
            <w:rFonts w:ascii="Arial" w:hAnsi="Arial" w:cs="Arial"/>
          </w:rPr>
          <w:t>https://www.england.nhs.uk/long-read/patient-safety-incident-response-framework/</w:t>
        </w:r>
      </w:hyperlink>
      <w:r w:rsidRPr="00B80EB4">
        <w:rPr>
          <w:rFonts w:ascii="Arial" w:hAnsi="Arial" w:cs="Arial"/>
        </w:rPr>
        <w:t xml:space="preserve"> (Accessed: 19 August 2026). </w:t>
      </w:r>
    </w:p>
    <w:p w14:paraId="0C8E12C0" w14:textId="77777777" w:rsidR="00B80EB4" w:rsidRPr="00B80EB4" w:rsidRDefault="00B80EB4" w:rsidP="00B80EB4">
      <w:pPr>
        <w:rPr>
          <w:rFonts w:ascii="Arial" w:hAnsi="Arial" w:cs="Arial"/>
        </w:rPr>
      </w:pPr>
      <w:r w:rsidRPr="00B80EB4">
        <w:rPr>
          <w:rFonts w:ascii="Arial" w:hAnsi="Arial" w:cs="Arial"/>
        </w:rPr>
        <w:t xml:space="preserve">NHS England (2023a) </w:t>
      </w:r>
      <w:proofErr w:type="gramStart"/>
      <w:r w:rsidRPr="00B80EB4">
        <w:rPr>
          <w:rFonts w:ascii="Arial" w:hAnsi="Arial" w:cs="Arial"/>
          <w:i/>
          <w:iCs/>
        </w:rPr>
        <w:t>Three Year</w:t>
      </w:r>
      <w:proofErr w:type="gramEnd"/>
      <w:r w:rsidRPr="00B80EB4">
        <w:rPr>
          <w:rFonts w:ascii="Arial" w:hAnsi="Arial" w:cs="Arial"/>
          <w:i/>
          <w:iCs/>
        </w:rPr>
        <w:t xml:space="preserve"> Delivery Plan for Maternity and Neonatal Services</w:t>
      </w:r>
      <w:r w:rsidRPr="00B80EB4">
        <w:rPr>
          <w:rFonts w:ascii="Arial" w:hAnsi="Arial" w:cs="Arial"/>
        </w:rPr>
        <w:t xml:space="preserve">. London: NHS England. Available at: </w:t>
      </w:r>
      <w:hyperlink r:id="rId32" w:tgtFrame="_new" w:history="1">
        <w:r w:rsidRPr="00B80EB4">
          <w:rPr>
            <w:rStyle w:val="Hyperlink"/>
            <w:rFonts w:ascii="Arial" w:hAnsi="Arial" w:cs="Arial"/>
          </w:rPr>
          <w:t>https://www.england.nhs.uk/publication/three-year-delivery-plan-for-maternity-and-neonatal-services/</w:t>
        </w:r>
      </w:hyperlink>
      <w:r w:rsidRPr="00B80EB4">
        <w:rPr>
          <w:rFonts w:ascii="Arial" w:hAnsi="Arial" w:cs="Arial"/>
        </w:rPr>
        <w:t xml:space="preserve"> (Accessed: 19 August 2026). </w:t>
      </w:r>
    </w:p>
    <w:p w14:paraId="4172064C" w14:textId="77777777" w:rsidR="00B80EB4" w:rsidRPr="00B80EB4" w:rsidRDefault="00B80EB4" w:rsidP="00B80EB4">
      <w:pPr>
        <w:rPr>
          <w:rFonts w:ascii="Arial" w:hAnsi="Arial" w:cs="Arial"/>
        </w:rPr>
      </w:pPr>
      <w:r w:rsidRPr="00B80EB4">
        <w:rPr>
          <w:rFonts w:ascii="Arial" w:hAnsi="Arial" w:cs="Arial"/>
        </w:rPr>
        <w:t xml:space="preserve">NHS England (2023b) </w:t>
      </w:r>
      <w:r w:rsidRPr="00B80EB4">
        <w:rPr>
          <w:rFonts w:ascii="Arial" w:hAnsi="Arial" w:cs="Arial"/>
          <w:i/>
          <w:iCs/>
        </w:rPr>
        <w:t>Saving Babies’ Lives Version 3: A Care Bundle for Reducing Perinatal Mortality</w:t>
      </w:r>
      <w:r w:rsidRPr="00B80EB4">
        <w:rPr>
          <w:rFonts w:ascii="Arial" w:hAnsi="Arial" w:cs="Arial"/>
        </w:rPr>
        <w:t xml:space="preserve">. London: NHS England. Available at: </w:t>
      </w:r>
      <w:hyperlink r:id="rId33" w:tgtFrame="_new" w:history="1">
        <w:r w:rsidRPr="00B80EB4">
          <w:rPr>
            <w:rStyle w:val="Hyperlink"/>
            <w:rFonts w:ascii="Arial" w:hAnsi="Arial" w:cs="Arial"/>
          </w:rPr>
          <w:t>https://www.england.nhs.uk/long-read/saving-babies-lives-version-3/</w:t>
        </w:r>
      </w:hyperlink>
      <w:r w:rsidRPr="00B80EB4">
        <w:rPr>
          <w:rFonts w:ascii="Arial" w:hAnsi="Arial" w:cs="Arial"/>
        </w:rPr>
        <w:t xml:space="preserve"> (Accessed: 19 August 2026).</w:t>
      </w:r>
    </w:p>
    <w:p w14:paraId="4E687470" w14:textId="77777777" w:rsidR="00B80EB4" w:rsidRPr="00B80EB4" w:rsidRDefault="00B80EB4" w:rsidP="00B80EB4">
      <w:pPr>
        <w:rPr>
          <w:rFonts w:ascii="Arial" w:hAnsi="Arial" w:cs="Arial"/>
        </w:rPr>
      </w:pPr>
      <w:r w:rsidRPr="00B80EB4">
        <w:rPr>
          <w:rFonts w:ascii="Arial" w:hAnsi="Arial" w:cs="Arial"/>
        </w:rPr>
        <w:t xml:space="preserve">NHS England (2023c) </w:t>
      </w:r>
      <w:r w:rsidRPr="00B80EB4">
        <w:rPr>
          <w:rFonts w:ascii="Arial" w:hAnsi="Arial" w:cs="Arial"/>
          <w:i/>
          <w:iCs/>
        </w:rPr>
        <w:t>NHS Long Term Workforce Plan</w:t>
      </w:r>
      <w:r w:rsidRPr="00B80EB4">
        <w:rPr>
          <w:rFonts w:ascii="Arial" w:hAnsi="Arial" w:cs="Arial"/>
        </w:rPr>
        <w:t xml:space="preserve">. London: NHS England. Available at: </w:t>
      </w:r>
      <w:hyperlink r:id="rId34" w:tgtFrame="_new" w:history="1">
        <w:r w:rsidRPr="00B80EB4">
          <w:rPr>
            <w:rStyle w:val="Hyperlink"/>
            <w:rFonts w:ascii="Arial" w:hAnsi="Arial" w:cs="Arial"/>
          </w:rPr>
          <w:t>https://www.england.nhs.uk/publication/nhs-long-term-workforce-plan/</w:t>
        </w:r>
      </w:hyperlink>
      <w:r w:rsidRPr="00B80EB4">
        <w:rPr>
          <w:rFonts w:ascii="Arial" w:hAnsi="Arial" w:cs="Arial"/>
        </w:rPr>
        <w:t xml:space="preserve"> (Accessed: 19 August 2026). </w:t>
      </w:r>
    </w:p>
    <w:p w14:paraId="1847DCEF" w14:textId="77777777" w:rsidR="00B80EB4" w:rsidRPr="00B80EB4" w:rsidRDefault="00B80EB4" w:rsidP="00B80EB4">
      <w:pPr>
        <w:rPr>
          <w:rFonts w:ascii="Arial" w:hAnsi="Arial" w:cs="Arial"/>
        </w:rPr>
      </w:pPr>
      <w:r w:rsidRPr="00B80EB4">
        <w:rPr>
          <w:rFonts w:ascii="Arial" w:hAnsi="Arial" w:cs="Arial"/>
        </w:rPr>
        <w:t xml:space="preserve">NHS England (2024) </w:t>
      </w:r>
      <w:r w:rsidRPr="00B80EB4">
        <w:rPr>
          <w:rFonts w:ascii="Arial" w:hAnsi="Arial" w:cs="Arial"/>
          <w:i/>
          <w:iCs/>
        </w:rPr>
        <w:t>Core20PLUS5 (Adults): An Approach to Reducing Healthcare Inequalities</w:t>
      </w:r>
      <w:r w:rsidRPr="00B80EB4">
        <w:rPr>
          <w:rFonts w:ascii="Arial" w:hAnsi="Arial" w:cs="Arial"/>
        </w:rPr>
        <w:t xml:space="preserve">. London: NHS England. Available at: </w:t>
      </w:r>
      <w:hyperlink r:id="rId35" w:tgtFrame="_new" w:history="1">
        <w:r w:rsidRPr="00B80EB4">
          <w:rPr>
            <w:rStyle w:val="Hyperlink"/>
            <w:rFonts w:ascii="Arial" w:hAnsi="Arial" w:cs="Arial"/>
          </w:rPr>
          <w:t>https://www.england.nhs.uk/about/equality/equality-hub/national-healthcare-inequalities-improvement-programme/core20plus5/</w:t>
        </w:r>
      </w:hyperlink>
      <w:r w:rsidRPr="00B80EB4">
        <w:rPr>
          <w:rFonts w:ascii="Arial" w:hAnsi="Arial" w:cs="Arial"/>
        </w:rPr>
        <w:t xml:space="preserve"> (Accessed: 19 August 2026). </w:t>
      </w:r>
    </w:p>
    <w:p w14:paraId="17F3740D" w14:textId="77777777" w:rsidR="00B80EB4" w:rsidRPr="00B80EB4" w:rsidRDefault="00B80EB4" w:rsidP="00B80EB4">
      <w:pPr>
        <w:rPr>
          <w:rFonts w:ascii="Arial" w:hAnsi="Arial" w:cs="Arial"/>
        </w:rPr>
      </w:pPr>
      <w:r w:rsidRPr="00B80EB4">
        <w:rPr>
          <w:rFonts w:ascii="Arial" w:hAnsi="Arial" w:cs="Arial"/>
        </w:rPr>
        <w:t xml:space="preserve">NHS England (2026) </w:t>
      </w:r>
      <w:r w:rsidRPr="00B80EB4">
        <w:rPr>
          <w:rFonts w:ascii="Arial" w:hAnsi="Arial" w:cs="Arial"/>
          <w:i/>
          <w:iCs/>
        </w:rPr>
        <w:t>The Maternal Care Bundle: A Care Bundle for Reducing Maternal Mortality and Morbidity</w:t>
      </w:r>
      <w:r w:rsidRPr="00B80EB4">
        <w:rPr>
          <w:rFonts w:ascii="Arial" w:hAnsi="Arial" w:cs="Arial"/>
        </w:rPr>
        <w:t xml:space="preserve">. London: NHS England. Available at: </w:t>
      </w:r>
      <w:hyperlink r:id="rId36" w:tgtFrame="_new" w:history="1">
        <w:r w:rsidRPr="00B80EB4">
          <w:rPr>
            <w:rStyle w:val="Hyperlink"/>
            <w:rFonts w:ascii="Arial" w:hAnsi="Arial" w:cs="Arial"/>
          </w:rPr>
          <w:t>https://www.england.nhs.uk/long-read/the-maternal-care-bundle/</w:t>
        </w:r>
      </w:hyperlink>
      <w:r w:rsidRPr="00B80EB4">
        <w:rPr>
          <w:rFonts w:ascii="Arial" w:hAnsi="Arial" w:cs="Arial"/>
        </w:rPr>
        <w:t xml:space="preserve"> (Accessed: 19 August 2026). </w:t>
      </w:r>
    </w:p>
    <w:p w14:paraId="71B7C52D" w14:textId="77777777" w:rsidR="00B80EB4" w:rsidRPr="00B80EB4" w:rsidRDefault="00B80EB4" w:rsidP="00B80EB4">
      <w:pPr>
        <w:rPr>
          <w:rFonts w:ascii="Arial" w:hAnsi="Arial" w:cs="Arial"/>
        </w:rPr>
      </w:pPr>
      <w:r w:rsidRPr="00B80EB4">
        <w:rPr>
          <w:rFonts w:ascii="Arial" w:hAnsi="Arial" w:cs="Arial"/>
        </w:rPr>
        <w:t xml:space="preserve">NHS Resolution (2024) </w:t>
      </w:r>
      <w:r w:rsidRPr="00B80EB4">
        <w:rPr>
          <w:rFonts w:ascii="Arial" w:hAnsi="Arial" w:cs="Arial"/>
          <w:i/>
          <w:iCs/>
        </w:rPr>
        <w:t>Annual Report and Accounts 2023/24</w:t>
      </w:r>
      <w:r w:rsidRPr="00B80EB4">
        <w:rPr>
          <w:rFonts w:ascii="Arial" w:hAnsi="Arial" w:cs="Arial"/>
        </w:rPr>
        <w:t xml:space="preserve">. London: NHS Resolution. Available at: </w:t>
      </w:r>
      <w:hyperlink r:id="rId37" w:tgtFrame="_new" w:history="1">
        <w:r w:rsidRPr="00B80EB4">
          <w:rPr>
            <w:rStyle w:val="Hyperlink"/>
            <w:rFonts w:ascii="Arial" w:hAnsi="Arial" w:cs="Arial"/>
          </w:rPr>
          <w:t>https://resolution.nhs.uk/resources/annual-report-and-accounts-2023-24/</w:t>
        </w:r>
      </w:hyperlink>
      <w:r w:rsidRPr="00B80EB4">
        <w:rPr>
          <w:rFonts w:ascii="Arial" w:hAnsi="Arial" w:cs="Arial"/>
        </w:rPr>
        <w:t xml:space="preserve"> (Accessed: 19 August 2026).</w:t>
      </w:r>
    </w:p>
    <w:p w14:paraId="321440DD" w14:textId="77777777" w:rsidR="00B80EB4" w:rsidRPr="00B80EB4" w:rsidRDefault="00B80EB4" w:rsidP="00B80EB4">
      <w:pPr>
        <w:rPr>
          <w:rFonts w:ascii="Arial" w:hAnsi="Arial" w:cs="Arial"/>
        </w:rPr>
      </w:pPr>
      <w:r w:rsidRPr="00B80EB4">
        <w:rPr>
          <w:rFonts w:ascii="Arial" w:hAnsi="Arial" w:cs="Arial"/>
        </w:rPr>
        <w:t xml:space="preserve">Ockenden, D. (2022) </w:t>
      </w:r>
      <w:r w:rsidRPr="00B80EB4">
        <w:rPr>
          <w:rFonts w:ascii="Arial" w:hAnsi="Arial" w:cs="Arial"/>
          <w:i/>
          <w:iCs/>
        </w:rPr>
        <w:t>Final Report of the Independent Review of Maternity Services at the Shrewsbury and Telford Hospital NHS Trust</w:t>
      </w:r>
      <w:r w:rsidRPr="00B80EB4">
        <w:rPr>
          <w:rFonts w:ascii="Arial" w:hAnsi="Arial" w:cs="Arial"/>
        </w:rPr>
        <w:t xml:space="preserve">. London: Department of Health and Social Care. Available at: </w:t>
      </w:r>
      <w:hyperlink r:id="rId38" w:tgtFrame="_new" w:history="1">
        <w:r w:rsidRPr="00B80EB4">
          <w:rPr>
            <w:rStyle w:val="Hyperlink"/>
            <w:rFonts w:ascii="Arial" w:hAnsi="Arial" w:cs="Arial"/>
          </w:rPr>
          <w:t>https://www.gov.uk/government/publications/final-report-of-the-ockenden-review</w:t>
        </w:r>
      </w:hyperlink>
      <w:r w:rsidRPr="00B80EB4">
        <w:rPr>
          <w:rFonts w:ascii="Arial" w:hAnsi="Arial" w:cs="Arial"/>
        </w:rPr>
        <w:t xml:space="preserve"> (Accessed: 19 August 2026). </w:t>
      </w:r>
    </w:p>
    <w:p w14:paraId="4E093F51" w14:textId="77777777" w:rsidR="00B80EB4" w:rsidRPr="00B80EB4" w:rsidRDefault="00B80EB4" w:rsidP="00B80EB4">
      <w:pPr>
        <w:rPr>
          <w:rFonts w:ascii="Arial" w:hAnsi="Arial" w:cs="Arial"/>
        </w:rPr>
      </w:pPr>
      <w:r w:rsidRPr="00B80EB4">
        <w:rPr>
          <w:rFonts w:ascii="Arial" w:hAnsi="Arial" w:cs="Arial"/>
        </w:rPr>
        <w:t xml:space="preserve">Ohno, T. (1988) </w:t>
      </w:r>
      <w:r w:rsidRPr="00B80EB4">
        <w:rPr>
          <w:rFonts w:ascii="Arial" w:hAnsi="Arial" w:cs="Arial"/>
          <w:i/>
          <w:iCs/>
        </w:rPr>
        <w:t>Toyota Production System: Beyond Large-Scale Production</w:t>
      </w:r>
      <w:r w:rsidRPr="00B80EB4">
        <w:rPr>
          <w:rFonts w:ascii="Arial" w:hAnsi="Arial" w:cs="Arial"/>
        </w:rPr>
        <w:t xml:space="preserve">. Portland, OR: Productivity Press. Available at: </w:t>
      </w:r>
      <w:hyperlink r:id="rId39" w:tgtFrame="_new" w:history="1">
        <w:r w:rsidRPr="00B80EB4">
          <w:rPr>
            <w:rStyle w:val="Hyperlink"/>
            <w:rFonts w:ascii="Arial" w:hAnsi="Arial" w:cs="Arial"/>
          </w:rPr>
          <w:t>https://books.google.com/books/about/Toyota_Production_System.html?id=7_-67SshOy8C</w:t>
        </w:r>
      </w:hyperlink>
      <w:r w:rsidRPr="00B80EB4">
        <w:rPr>
          <w:rFonts w:ascii="Arial" w:hAnsi="Arial" w:cs="Arial"/>
        </w:rPr>
        <w:t xml:space="preserve"> (Accessed: 19 August 2026). </w:t>
      </w:r>
    </w:p>
    <w:p w14:paraId="53CEE8E1" w14:textId="77777777" w:rsidR="00B80EB4" w:rsidRPr="00B80EB4" w:rsidRDefault="00B80EB4" w:rsidP="00B80EB4">
      <w:pPr>
        <w:rPr>
          <w:rFonts w:ascii="Arial" w:hAnsi="Arial" w:cs="Arial"/>
        </w:rPr>
      </w:pPr>
      <w:r w:rsidRPr="00B80EB4">
        <w:rPr>
          <w:rFonts w:ascii="Arial" w:hAnsi="Arial" w:cs="Arial"/>
        </w:rPr>
        <w:t xml:space="preserve">Reason, J. (2000) ‘Human error: Models and management’, </w:t>
      </w:r>
      <w:r w:rsidRPr="00B80EB4">
        <w:rPr>
          <w:rFonts w:ascii="Arial" w:hAnsi="Arial" w:cs="Arial"/>
          <w:i/>
          <w:iCs/>
        </w:rPr>
        <w:t>BMJ</w:t>
      </w:r>
      <w:r w:rsidRPr="00B80EB4">
        <w:rPr>
          <w:rFonts w:ascii="Arial" w:hAnsi="Arial" w:cs="Arial"/>
        </w:rPr>
        <w:t xml:space="preserve">, 320(7237), pp. 768–770. Available at: </w:t>
      </w:r>
      <w:hyperlink r:id="rId40" w:tgtFrame="_new" w:history="1">
        <w:r w:rsidRPr="00B80EB4">
          <w:rPr>
            <w:rStyle w:val="Hyperlink"/>
            <w:rFonts w:ascii="Arial" w:hAnsi="Arial" w:cs="Arial"/>
          </w:rPr>
          <w:t>https://doi.org/10.1136/bmj.320.7237.768</w:t>
        </w:r>
      </w:hyperlink>
      <w:r w:rsidRPr="00B80EB4">
        <w:rPr>
          <w:rFonts w:ascii="Arial" w:hAnsi="Arial" w:cs="Arial"/>
        </w:rPr>
        <w:t xml:space="preserve"> (Accessed: 19 August 2026).</w:t>
      </w:r>
    </w:p>
    <w:p w14:paraId="43C8F381" w14:textId="77777777" w:rsidR="00B80EB4" w:rsidRPr="00B80EB4" w:rsidRDefault="00B80EB4" w:rsidP="00B80EB4">
      <w:pPr>
        <w:rPr>
          <w:rFonts w:ascii="Arial" w:hAnsi="Arial" w:cs="Arial"/>
        </w:rPr>
      </w:pPr>
      <w:r w:rsidRPr="00B80EB4">
        <w:rPr>
          <w:rFonts w:ascii="Arial" w:hAnsi="Arial" w:cs="Arial"/>
        </w:rPr>
        <w:t xml:space="preserve">Royal College of Midwives (2024) ‘Midwives give 100,000 hours of free labour to the NHS per week to keep England’s maternity services safe, says RCM’, 11 June. Available at: </w:t>
      </w:r>
      <w:hyperlink r:id="rId41" w:tgtFrame="_new" w:history="1">
        <w:r w:rsidRPr="00B80EB4">
          <w:rPr>
            <w:rStyle w:val="Hyperlink"/>
            <w:rFonts w:ascii="Arial" w:hAnsi="Arial" w:cs="Arial"/>
          </w:rPr>
          <w:t>https://rcm.org.uk/media-releases/2024/06/midwives-give-100000-hours-of-free-labour-to-the-nhs-per-week-to-keep-englands-maternity-services-safe-says-rcm/</w:t>
        </w:r>
      </w:hyperlink>
      <w:r w:rsidRPr="00B80EB4">
        <w:rPr>
          <w:rFonts w:ascii="Arial" w:hAnsi="Arial" w:cs="Arial"/>
        </w:rPr>
        <w:t xml:space="preserve"> (Accessed: 19 August 2026). This is a better verified 2024 source for the workload and staffing-pressure point than the earlier generic ‘State of Maternity Services Report 2024’ citation. </w:t>
      </w:r>
    </w:p>
    <w:p w14:paraId="0F3267B2" w14:textId="77777777" w:rsidR="00B80EB4" w:rsidRPr="00B80EB4" w:rsidRDefault="00B80EB4" w:rsidP="00B80EB4">
      <w:pPr>
        <w:rPr>
          <w:rFonts w:ascii="Arial" w:hAnsi="Arial" w:cs="Arial"/>
        </w:rPr>
      </w:pPr>
      <w:r w:rsidRPr="00B80EB4">
        <w:rPr>
          <w:rFonts w:ascii="Arial" w:hAnsi="Arial" w:cs="Arial"/>
        </w:rPr>
        <w:t xml:space="preserve">Scally, G. and Donaldson, L.J. (1998) ‘Clinical governance and the drive for quality improvement in the new NHS in England’, </w:t>
      </w:r>
      <w:r w:rsidRPr="00B80EB4">
        <w:rPr>
          <w:rFonts w:ascii="Arial" w:hAnsi="Arial" w:cs="Arial"/>
          <w:i/>
          <w:iCs/>
        </w:rPr>
        <w:t>BMJ</w:t>
      </w:r>
      <w:r w:rsidRPr="00B80EB4">
        <w:rPr>
          <w:rFonts w:ascii="Arial" w:hAnsi="Arial" w:cs="Arial"/>
        </w:rPr>
        <w:t xml:space="preserve">, 317(7150), pp. 61–65. Available at: </w:t>
      </w:r>
      <w:hyperlink r:id="rId42" w:tgtFrame="_new" w:history="1">
        <w:r w:rsidRPr="00B80EB4">
          <w:rPr>
            <w:rStyle w:val="Hyperlink"/>
            <w:rFonts w:ascii="Arial" w:hAnsi="Arial" w:cs="Arial"/>
          </w:rPr>
          <w:t>https://doi.org/10.1136/bmj.317.7150.61</w:t>
        </w:r>
      </w:hyperlink>
      <w:r w:rsidRPr="00B80EB4">
        <w:rPr>
          <w:rFonts w:ascii="Arial" w:hAnsi="Arial" w:cs="Arial"/>
        </w:rPr>
        <w:t xml:space="preserve"> (Accessed: 19 August 2026).</w:t>
      </w:r>
    </w:p>
    <w:p w14:paraId="1BC0C440" w14:textId="77777777" w:rsidR="00B80EB4" w:rsidRPr="00B80EB4" w:rsidRDefault="00B80EB4" w:rsidP="00B80EB4">
      <w:pPr>
        <w:rPr>
          <w:rFonts w:ascii="Arial" w:hAnsi="Arial" w:cs="Arial"/>
        </w:rPr>
      </w:pPr>
      <w:r w:rsidRPr="00B80EB4">
        <w:rPr>
          <w:rFonts w:ascii="Arial" w:hAnsi="Arial" w:cs="Arial"/>
        </w:rPr>
        <w:t xml:space="preserve">Taylor, M.J., McNicholas, C., Nicolay, C., Darzi, A., Bell, D. and Reed, J.E. (2014) ‘Systematic review of the application of the Plan–Do–Study–Act method to improve quality in healthcare’, </w:t>
      </w:r>
      <w:r w:rsidRPr="00B80EB4">
        <w:rPr>
          <w:rFonts w:ascii="Arial" w:hAnsi="Arial" w:cs="Arial"/>
          <w:i/>
          <w:iCs/>
        </w:rPr>
        <w:t>BMJ Quality &amp; Safety</w:t>
      </w:r>
      <w:r w:rsidRPr="00B80EB4">
        <w:rPr>
          <w:rFonts w:ascii="Arial" w:hAnsi="Arial" w:cs="Arial"/>
        </w:rPr>
        <w:t xml:space="preserve">, 23(4), pp. 290–298. Available at: </w:t>
      </w:r>
      <w:hyperlink r:id="rId43" w:tgtFrame="_new" w:history="1">
        <w:r w:rsidRPr="00B80EB4">
          <w:rPr>
            <w:rStyle w:val="Hyperlink"/>
            <w:rFonts w:ascii="Arial" w:hAnsi="Arial" w:cs="Arial"/>
          </w:rPr>
          <w:t>https://doi.org/10.1136/bmjqs-2013-001862</w:t>
        </w:r>
      </w:hyperlink>
      <w:r w:rsidRPr="00B80EB4">
        <w:rPr>
          <w:rFonts w:ascii="Arial" w:hAnsi="Arial" w:cs="Arial"/>
        </w:rPr>
        <w:t xml:space="preserve"> (Accessed: 19 August 2026). </w:t>
      </w:r>
    </w:p>
    <w:p w14:paraId="4D3581A6" w14:textId="77777777" w:rsidR="00B80EB4" w:rsidRPr="00B80EB4" w:rsidRDefault="00B80EB4" w:rsidP="00B80EB4">
      <w:pPr>
        <w:rPr>
          <w:rFonts w:ascii="Arial" w:hAnsi="Arial" w:cs="Arial"/>
        </w:rPr>
      </w:pPr>
      <w:r w:rsidRPr="00B80EB4">
        <w:rPr>
          <w:rFonts w:ascii="Arial" w:hAnsi="Arial" w:cs="Arial"/>
        </w:rPr>
        <w:t xml:space="preserve">Topol, E. (2019) </w:t>
      </w:r>
      <w:r w:rsidRPr="00B80EB4">
        <w:rPr>
          <w:rFonts w:ascii="Arial" w:hAnsi="Arial" w:cs="Arial"/>
          <w:i/>
          <w:iCs/>
        </w:rPr>
        <w:t>The Topol Review: Preparing the Healthcare Workforce to Deliver the Digital Future</w:t>
      </w:r>
      <w:r w:rsidRPr="00B80EB4">
        <w:rPr>
          <w:rFonts w:ascii="Arial" w:hAnsi="Arial" w:cs="Arial"/>
        </w:rPr>
        <w:t xml:space="preserve">. London: Health Education England. Available at: </w:t>
      </w:r>
      <w:hyperlink r:id="rId44" w:tgtFrame="_new" w:history="1">
        <w:r w:rsidRPr="00B80EB4">
          <w:rPr>
            <w:rStyle w:val="Hyperlink"/>
            <w:rFonts w:ascii="Arial" w:hAnsi="Arial" w:cs="Arial"/>
          </w:rPr>
          <w:t>https://topol.hee.nhs.uk</w:t>
        </w:r>
      </w:hyperlink>
      <w:r w:rsidRPr="00B80EB4">
        <w:rPr>
          <w:rFonts w:ascii="Arial" w:hAnsi="Arial" w:cs="Arial"/>
        </w:rPr>
        <w:t xml:space="preserve"> (Accessed: 19 August 2026).</w:t>
      </w:r>
    </w:p>
    <w:p w14:paraId="18BB9233" w14:textId="77777777" w:rsidR="00B80EB4" w:rsidRPr="00B80EB4" w:rsidRDefault="00B80EB4" w:rsidP="00B80EB4">
      <w:pPr>
        <w:rPr>
          <w:rFonts w:ascii="Arial" w:hAnsi="Arial" w:cs="Arial"/>
        </w:rPr>
      </w:pPr>
      <w:r w:rsidRPr="00B80EB4">
        <w:rPr>
          <w:rFonts w:ascii="Arial" w:hAnsi="Arial" w:cs="Arial"/>
        </w:rPr>
        <w:t xml:space="preserve">West, M., Armit, K., Loewenthal, L., Eckert, R., West, T. and Lee, A. (2015) </w:t>
      </w:r>
      <w:r w:rsidRPr="00B80EB4">
        <w:rPr>
          <w:rFonts w:ascii="Arial" w:hAnsi="Arial" w:cs="Arial"/>
          <w:i/>
          <w:iCs/>
        </w:rPr>
        <w:t>Leadership and Leadership Development in Health Care: The Evidence Base</w:t>
      </w:r>
      <w:r w:rsidRPr="00B80EB4">
        <w:rPr>
          <w:rFonts w:ascii="Arial" w:hAnsi="Arial" w:cs="Arial"/>
        </w:rPr>
        <w:t xml:space="preserve">. London: The King’s Fund. Available at: </w:t>
      </w:r>
      <w:hyperlink r:id="rId45" w:tgtFrame="_new" w:history="1">
        <w:r w:rsidRPr="00B80EB4">
          <w:rPr>
            <w:rStyle w:val="Hyperlink"/>
            <w:rFonts w:ascii="Arial" w:hAnsi="Arial" w:cs="Arial"/>
          </w:rPr>
          <w:t>https://www.kingsfund.org.uk/insight-and-analysis/reports/leadership-development-health-care</w:t>
        </w:r>
      </w:hyperlink>
      <w:r w:rsidRPr="00B80EB4">
        <w:rPr>
          <w:rFonts w:ascii="Arial" w:hAnsi="Arial" w:cs="Arial"/>
        </w:rPr>
        <w:t xml:space="preserve"> (Accessed: 19 August 2026). </w:t>
      </w:r>
    </w:p>
    <w:p w14:paraId="1B566F98" w14:textId="633DF236" w:rsidR="00B7603E" w:rsidRDefault="00B80EB4" w:rsidP="00174AD9">
      <w:pPr>
        <w:rPr>
          <w:b/>
          <w:bCs/>
        </w:rPr>
      </w:pPr>
      <w:r w:rsidRPr="00B80EB4">
        <w:rPr>
          <w:rFonts w:ascii="Arial" w:hAnsi="Arial" w:cs="Arial"/>
        </w:rPr>
        <w:t xml:space="preserve">World Health Organization (WHO) (2023) ‘Health service quality must be a priority, not an afterthought: New collection on quality of care’, 11 December. Available at: </w:t>
      </w:r>
      <w:hyperlink r:id="rId46" w:tgtFrame="_new" w:history="1">
        <w:r w:rsidRPr="00B80EB4">
          <w:rPr>
            <w:rStyle w:val="Hyperlink"/>
            <w:rFonts w:ascii="Arial" w:hAnsi="Arial" w:cs="Arial"/>
          </w:rPr>
          <w:t>https://www.who.int/news/item/11-12-2023-health-service-quality-must-be-a-priority--not-an-afterthought--new-collection-on-quality-of-care/</w:t>
        </w:r>
      </w:hyperlink>
      <w:r w:rsidRPr="00B80EB4">
        <w:rPr>
          <w:rFonts w:ascii="Arial" w:hAnsi="Arial" w:cs="Arial"/>
        </w:rPr>
        <w:t xml:space="preserve"> (Accessed: 19 August 2026). </w:t>
      </w:r>
    </w:p>
    <w:sectPr w:rsidR="00B7603E" w:rsidSect="00244A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3DEE4" w14:textId="77777777" w:rsidR="00E54B40" w:rsidRDefault="00E54B40" w:rsidP="003C2000">
      <w:pPr>
        <w:spacing w:after="0" w:line="240" w:lineRule="auto"/>
      </w:pPr>
      <w:r>
        <w:separator/>
      </w:r>
    </w:p>
  </w:endnote>
  <w:endnote w:type="continuationSeparator" w:id="0">
    <w:p w14:paraId="65E38DF9" w14:textId="77777777" w:rsidR="00E54B40" w:rsidRDefault="00E54B40" w:rsidP="003C2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197DA" w14:textId="77777777" w:rsidR="00E54B40" w:rsidRDefault="00E54B40" w:rsidP="003C2000">
      <w:pPr>
        <w:spacing w:after="0" w:line="240" w:lineRule="auto"/>
      </w:pPr>
      <w:r>
        <w:separator/>
      </w:r>
    </w:p>
  </w:footnote>
  <w:footnote w:type="continuationSeparator" w:id="0">
    <w:p w14:paraId="0BC7F844" w14:textId="77777777" w:rsidR="00E54B40" w:rsidRDefault="00E54B40" w:rsidP="003C20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47966"/>
    <w:multiLevelType w:val="hybridMultilevel"/>
    <w:tmpl w:val="381E6002"/>
    <w:lvl w:ilvl="0" w:tplc="AEAEC202">
      <w:start w:val="2"/>
      <w:numFmt w:val="decimal"/>
      <w:lvlText w:val="%1"/>
      <w:lvlJc w:val="left"/>
      <w:pPr>
        <w:ind w:left="-360" w:hanging="360"/>
      </w:pPr>
      <w:rPr>
        <w:rFonts w:hint="default"/>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1" w15:restartNumberingAfterBreak="0">
    <w:nsid w:val="06081B3E"/>
    <w:multiLevelType w:val="hybridMultilevel"/>
    <w:tmpl w:val="B0ECE3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81199C"/>
    <w:multiLevelType w:val="multilevel"/>
    <w:tmpl w:val="727EE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FA1CBB"/>
    <w:multiLevelType w:val="multilevel"/>
    <w:tmpl w:val="CA6E87F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A816AA9"/>
    <w:multiLevelType w:val="multilevel"/>
    <w:tmpl w:val="538A3D80"/>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5" w15:restartNumberingAfterBreak="0">
    <w:nsid w:val="21D34ED8"/>
    <w:multiLevelType w:val="hybridMultilevel"/>
    <w:tmpl w:val="FA38F00A"/>
    <w:lvl w:ilvl="0" w:tplc="F6500A1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3DF4E94"/>
    <w:multiLevelType w:val="multilevel"/>
    <w:tmpl w:val="7F320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914319"/>
    <w:multiLevelType w:val="hybridMultilevel"/>
    <w:tmpl w:val="D9E4B4DE"/>
    <w:lvl w:ilvl="0" w:tplc="90EE88C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CD1F87"/>
    <w:multiLevelType w:val="multilevel"/>
    <w:tmpl w:val="72D4CEC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9AA5D69"/>
    <w:multiLevelType w:val="multilevel"/>
    <w:tmpl w:val="97844144"/>
    <w:lvl w:ilvl="0">
      <w:start w:val="1"/>
      <w:numFmt w:val="decimal"/>
      <w:lvlText w:val="%1.0"/>
      <w:lvlJc w:val="left"/>
      <w:pPr>
        <w:ind w:left="420" w:hanging="420"/>
      </w:pPr>
      <w:rPr>
        <w:rFonts w:asciiTheme="majorHAnsi" w:eastAsiaTheme="majorEastAsia" w:hAnsiTheme="majorHAnsi" w:cstheme="majorBidi" w:hint="default"/>
        <w:b w:val="0"/>
        <w:color w:val="0F4761" w:themeColor="accent1" w:themeShade="BF"/>
        <w:sz w:val="32"/>
      </w:rPr>
    </w:lvl>
    <w:lvl w:ilvl="1">
      <w:start w:val="1"/>
      <w:numFmt w:val="decimal"/>
      <w:lvlText w:val="%1.%2"/>
      <w:lvlJc w:val="left"/>
      <w:pPr>
        <w:ind w:left="1140" w:hanging="420"/>
      </w:pPr>
      <w:rPr>
        <w:rFonts w:asciiTheme="majorHAnsi" w:eastAsiaTheme="majorEastAsia" w:hAnsiTheme="majorHAnsi" w:cstheme="majorBidi" w:hint="default"/>
        <w:b w:val="0"/>
        <w:color w:val="0F4761" w:themeColor="accent1" w:themeShade="BF"/>
        <w:sz w:val="32"/>
      </w:rPr>
    </w:lvl>
    <w:lvl w:ilvl="2">
      <w:start w:val="1"/>
      <w:numFmt w:val="decimal"/>
      <w:lvlText w:val="%1.%2.%3"/>
      <w:lvlJc w:val="left"/>
      <w:pPr>
        <w:ind w:left="2160" w:hanging="720"/>
      </w:pPr>
      <w:rPr>
        <w:rFonts w:asciiTheme="majorHAnsi" w:eastAsiaTheme="majorEastAsia" w:hAnsiTheme="majorHAnsi" w:cstheme="majorBidi" w:hint="default"/>
        <w:b w:val="0"/>
        <w:color w:val="0F4761" w:themeColor="accent1" w:themeShade="BF"/>
        <w:sz w:val="32"/>
      </w:rPr>
    </w:lvl>
    <w:lvl w:ilvl="3">
      <w:start w:val="1"/>
      <w:numFmt w:val="decimal"/>
      <w:lvlText w:val="%1.%2.%3.%4"/>
      <w:lvlJc w:val="left"/>
      <w:pPr>
        <w:ind w:left="3240" w:hanging="1080"/>
      </w:pPr>
      <w:rPr>
        <w:rFonts w:asciiTheme="majorHAnsi" w:eastAsiaTheme="majorEastAsia" w:hAnsiTheme="majorHAnsi" w:cstheme="majorBidi" w:hint="default"/>
        <w:b w:val="0"/>
        <w:color w:val="0F4761" w:themeColor="accent1" w:themeShade="BF"/>
        <w:sz w:val="32"/>
      </w:rPr>
    </w:lvl>
    <w:lvl w:ilvl="4">
      <w:start w:val="1"/>
      <w:numFmt w:val="decimal"/>
      <w:lvlText w:val="%1.%2.%3.%4.%5"/>
      <w:lvlJc w:val="left"/>
      <w:pPr>
        <w:ind w:left="3960" w:hanging="1080"/>
      </w:pPr>
      <w:rPr>
        <w:rFonts w:asciiTheme="majorHAnsi" w:eastAsiaTheme="majorEastAsia" w:hAnsiTheme="majorHAnsi" w:cstheme="majorBidi" w:hint="default"/>
        <w:b w:val="0"/>
        <w:color w:val="0F4761" w:themeColor="accent1" w:themeShade="BF"/>
        <w:sz w:val="32"/>
      </w:rPr>
    </w:lvl>
    <w:lvl w:ilvl="5">
      <w:start w:val="1"/>
      <w:numFmt w:val="decimal"/>
      <w:lvlText w:val="%1.%2.%3.%4.%5.%6"/>
      <w:lvlJc w:val="left"/>
      <w:pPr>
        <w:ind w:left="5040" w:hanging="1440"/>
      </w:pPr>
      <w:rPr>
        <w:rFonts w:asciiTheme="majorHAnsi" w:eastAsiaTheme="majorEastAsia" w:hAnsiTheme="majorHAnsi" w:cstheme="majorBidi" w:hint="default"/>
        <w:b w:val="0"/>
        <w:color w:val="0F4761" w:themeColor="accent1" w:themeShade="BF"/>
        <w:sz w:val="32"/>
      </w:rPr>
    </w:lvl>
    <w:lvl w:ilvl="6">
      <w:start w:val="1"/>
      <w:numFmt w:val="decimal"/>
      <w:lvlText w:val="%1.%2.%3.%4.%5.%6.%7"/>
      <w:lvlJc w:val="left"/>
      <w:pPr>
        <w:ind w:left="5760" w:hanging="1440"/>
      </w:pPr>
      <w:rPr>
        <w:rFonts w:asciiTheme="majorHAnsi" w:eastAsiaTheme="majorEastAsia" w:hAnsiTheme="majorHAnsi" w:cstheme="majorBidi" w:hint="default"/>
        <w:b w:val="0"/>
        <w:color w:val="0F4761" w:themeColor="accent1" w:themeShade="BF"/>
        <w:sz w:val="32"/>
      </w:rPr>
    </w:lvl>
    <w:lvl w:ilvl="7">
      <w:start w:val="1"/>
      <w:numFmt w:val="decimal"/>
      <w:lvlText w:val="%1.%2.%3.%4.%5.%6.%7.%8"/>
      <w:lvlJc w:val="left"/>
      <w:pPr>
        <w:ind w:left="6840" w:hanging="1800"/>
      </w:pPr>
      <w:rPr>
        <w:rFonts w:asciiTheme="majorHAnsi" w:eastAsiaTheme="majorEastAsia" w:hAnsiTheme="majorHAnsi" w:cstheme="majorBidi" w:hint="default"/>
        <w:b w:val="0"/>
        <w:color w:val="0F4761" w:themeColor="accent1" w:themeShade="BF"/>
        <w:sz w:val="32"/>
      </w:rPr>
    </w:lvl>
    <w:lvl w:ilvl="8">
      <w:start w:val="1"/>
      <w:numFmt w:val="decimal"/>
      <w:lvlText w:val="%1.%2.%3.%4.%5.%6.%7.%8.%9"/>
      <w:lvlJc w:val="left"/>
      <w:pPr>
        <w:ind w:left="7560" w:hanging="1800"/>
      </w:pPr>
      <w:rPr>
        <w:rFonts w:asciiTheme="majorHAnsi" w:eastAsiaTheme="majorEastAsia" w:hAnsiTheme="majorHAnsi" w:cstheme="majorBidi" w:hint="default"/>
        <w:b w:val="0"/>
        <w:color w:val="0F4761" w:themeColor="accent1" w:themeShade="BF"/>
        <w:sz w:val="32"/>
      </w:rPr>
    </w:lvl>
  </w:abstractNum>
  <w:abstractNum w:abstractNumId="10" w15:restartNumberingAfterBreak="0">
    <w:nsid w:val="3D4F3BBC"/>
    <w:multiLevelType w:val="multilevel"/>
    <w:tmpl w:val="B2947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1142A5"/>
    <w:multiLevelType w:val="hybridMultilevel"/>
    <w:tmpl w:val="300212EE"/>
    <w:lvl w:ilvl="0" w:tplc="6082C432">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A06544C"/>
    <w:multiLevelType w:val="multilevel"/>
    <w:tmpl w:val="7022576A"/>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2F470DB"/>
    <w:multiLevelType w:val="multilevel"/>
    <w:tmpl w:val="C2549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725E2C"/>
    <w:multiLevelType w:val="multilevel"/>
    <w:tmpl w:val="132E4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1538EB"/>
    <w:multiLevelType w:val="multilevel"/>
    <w:tmpl w:val="A4142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017244"/>
    <w:multiLevelType w:val="multilevel"/>
    <w:tmpl w:val="C97AE58A"/>
    <w:lvl w:ilvl="0">
      <w:start w:val="3"/>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17" w15:restartNumberingAfterBreak="0">
    <w:nsid w:val="780A603C"/>
    <w:multiLevelType w:val="multilevel"/>
    <w:tmpl w:val="76028B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7B7F0293"/>
    <w:multiLevelType w:val="hybridMultilevel"/>
    <w:tmpl w:val="55B6892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7236725">
    <w:abstractNumId w:val="6"/>
  </w:num>
  <w:num w:numId="2" w16cid:durableId="1962608415">
    <w:abstractNumId w:val="0"/>
  </w:num>
  <w:num w:numId="3" w16cid:durableId="824853325">
    <w:abstractNumId w:val="11"/>
  </w:num>
  <w:num w:numId="4" w16cid:durableId="1858813568">
    <w:abstractNumId w:val="2"/>
  </w:num>
  <w:num w:numId="5" w16cid:durableId="1670982476">
    <w:abstractNumId w:val="4"/>
  </w:num>
  <w:num w:numId="6" w16cid:durableId="2145350239">
    <w:abstractNumId w:val="14"/>
  </w:num>
  <w:num w:numId="7" w16cid:durableId="964434738">
    <w:abstractNumId w:val="5"/>
  </w:num>
  <w:num w:numId="8" w16cid:durableId="2104256289">
    <w:abstractNumId w:val="12"/>
  </w:num>
  <w:num w:numId="9" w16cid:durableId="1388066267">
    <w:abstractNumId w:val="15"/>
  </w:num>
  <w:num w:numId="10" w16cid:durableId="723796892">
    <w:abstractNumId w:val="8"/>
  </w:num>
  <w:num w:numId="11" w16cid:durableId="2021203146">
    <w:abstractNumId w:val="3"/>
  </w:num>
  <w:num w:numId="12" w16cid:durableId="683480542">
    <w:abstractNumId w:val="18"/>
  </w:num>
  <w:num w:numId="13" w16cid:durableId="1638410214">
    <w:abstractNumId w:val="10"/>
  </w:num>
  <w:num w:numId="14" w16cid:durableId="1229803788">
    <w:abstractNumId w:val="16"/>
  </w:num>
  <w:num w:numId="15" w16cid:durableId="825780313">
    <w:abstractNumId w:val="13"/>
  </w:num>
  <w:num w:numId="16" w16cid:durableId="530995541">
    <w:abstractNumId w:val="7"/>
  </w:num>
  <w:num w:numId="17" w16cid:durableId="699744484">
    <w:abstractNumId w:val="17"/>
  </w:num>
  <w:num w:numId="18" w16cid:durableId="1157762899">
    <w:abstractNumId w:val="1"/>
  </w:num>
  <w:num w:numId="19" w16cid:durableId="2531702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C86"/>
    <w:rsid w:val="00002CE3"/>
    <w:rsid w:val="00015645"/>
    <w:rsid w:val="00020E18"/>
    <w:rsid w:val="00036A89"/>
    <w:rsid w:val="0004177F"/>
    <w:rsid w:val="000447AE"/>
    <w:rsid w:val="00050868"/>
    <w:rsid w:val="00057571"/>
    <w:rsid w:val="00061724"/>
    <w:rsid w:val="000652AE"/>
    <w:rsid w:val="00072417"/>
    <w:rsid w:val="00075B5D"/>
    <w:rsid w:val="000829C3"/>
    <w:rsid w:val="000844BA"/>
    <w:rsid w:val="00086232"/>
    <w:rsid w:val="000921CD"/>
    <w:rsid w:val="000A07A1"/>
    <w:rsid w:val="000A2377"/>
    <w:rsid w:val="000A592C"/>
    <w:rsid w:val="000B0377"/>
    <w:rsid w:val="000B2C36"/>
    <w:rsid w:val="000B344B"/>
    <w:rsid w:val="000C0D1E"/>
    <w:rsid w:val="000C2722"/>
    <w:rsid w:val="000D22A0"/>
    <w:rsid w:val="000D48B4"/>
    <w:rsid w:val="000D4D2C"/>
    <w:rsid w:val="000D631D"/>
    <w:rsid w:val="000E1723"/>
    <w:rsid w:val="000E7630"/>
    <w:rsid w:val="000F51CD"/>
    <w:rsid w:val="000F7F6D"/>
    <w:rsid w:val="001000C9"/>
    <w:rsid w:val="001105F3"/>
    <w:rsid w:val="00112088"/>
    <w:rsid w:val="00113D91"/>
    <w:rsid w:val="001146D5"/>
    <w:rsid w:val="001202D8"/>
    <w:rsid w:val="00120D18"/>
    <w:rsid w:val="001249BA"/>
    <w:rsid w:val="001342C3"/>
    <w:rsid w:val="00134B8F"/>
    <w:rsid w:val="00140382"/>
    <w:rsid w:val="0014591F"/>
    <w:rsid w:val="00151E25"/>
    <w:rsid w:val="00155C71"/>
    <w:rsid w:val="00164B70"/>
    <w:rsid w:val="00167A59"/>
    <w:rsid w:val="00174AD9"/>
    <w:rsid w:val="00184CDA"/>
    <w:rsid w:val="00186C9D"/>
    <w:rsid w:val="00193746"/>
    <w:rsid w:val="001A475B"/>
    <w:rsid w:val="001B13D5"/>
    <w:rsid w:val="001B56BC"/>
    <w:rsid w:val="001B6800"/>
    <w:rsid w:val="001C61CE"/>
    <w:rsid w:val="001E0E1C"/>
    <w:rsid w:val="001E3B5D"/>
    <w:rsid w:val="001F04AD"/>
    <w:rsid w:val="001F73FB"/>
    <w:rsid w:val="00212945"/>
    <w:rsid w:val="00212F36"/>
    <w:rsid w:val="0021498A"/>
    <w:rsid w:val="0021757E"/>
    <w:rsid w:val="00220ABD"/>
    <w:rsid w:val="00221A58"/>
    <w:rsid w:val="00224250"/>
    <w:rsid w:val="00243CC7"/>
    <w:rsid w:val="00244A62"/>
    <w:rsid w:val="00245301"/>
    <w:rsid w:val="0027278D"/>
    <w:rsid w:val="002744E3"/>
    <w:rsid w:val="002817BF"/>
    <w:rsid w:val="00287350"/>
    <w:rsid w:val="00287DDD"/>
    <w:rsid w:val="00292071"/>
    <w:rsid w:val="00294AC3"/>
    <w:rsid w:val="00295FBE"/>
    <w:rsid w:val="002A039B"/>
    <w:rsid w:val="002B1D99"/>
    <w:rsid w:val="002C5377"/>
    <w:rsid w:val="002E2C8D"/>
    <w:rsid w:val="002E5F21"/>
    <w:rsid w:val="002E6EB0"/>
    <w:rsid w:val="002F5D4F"/>
    <w:rsid w:val="00300DE1"/>
    <w:rsid w:val="0030639A"/>
    <w:rsid w:val="00310709"/>
    <w:rsid w:val="0031375B"/>
    <w:rsid w:val="00322B1E"/>
    <w:rsid w:val="003262C9"/>
    <w:rsid w:val="00334C66"/>
    <w:rsid w:val="0034093F"/>
    <w:rsid w:val="003424B1"/>
    <w:rsid w:val="00346A77"/>
    <w:rsid w:val="0035018B"/>
    <w:rsid w:val="00351FD6"/>
    <w:rsid w:val="00352D0F"/>
    <w:rsid w:val="00355B15"/>
    <w:rsid w:val="003630CE"/>
    <w:rsid w:val="00364CC2"/>
    <w:rsid w:val="003658F4"/>
    <w:rsid w:val="00367253"/>
    <w:rsid w:val="0037503B"/>
    <w:rsid w:val="003830FA"/>
    <w:rsid w:val="003A13F1"/>
    <w:rsid w:val="003A42C3"/>
    <w:rsid w:val="003A4B9D"/>
    <w:rsid w:val="003B692A"/>
    <w:rsid w:val="003C00CD"/>
    <w:rsid w:val="003C0A23"/>
    <w:rsid w:val="003C2000"/>
    <w:rsid w:val="003D0A00"/>
    <w:rsid w:val="003D1BE7"/>
    <w:rsid w:val="003D40EF"/>
    <w:rsid w:val="003D7374"/>
    <w:rsid w:val="003E28C5"/>
    <w:rsid w:val="003E50E3"/>
    <w:rsid w:val="003F6586"/>
    <w:rsid w:val="003F77C0"/>
    <w:rsid w:val="00400C93"/>
    <w:rsid w:val="00406AC7"/>
    <w:rsid w:val="0043129D"/>
    <w:rsid w:val="00434476"/>
    <w:rsid w:val="004344C4"/>
    <w:rsid w:val="004459D6"/>
    <w:rsid w:val="0045065B"/>
    <w:rsid w:val="00455898"/>
    <w:rsid w:val="004576FC"/>
    <w:rsid w:val="00460511"/>
    <w:rsid w:val="00463A66"/>
    <w:rsid w:val="004713D6"/>
    <w:rsid w:val="0047202C"/>
    <w:rsid w:val="004736F9"/>
    <w:rsid w:val="00476177"/>
    <w:rsid w:val="00481351"/>
    <w:rsid w:val="0048563B"/>
    <w:rsid w:val="00485F10"/>
    <w:rsid w:val="00487A0E"/>
    <w:rsid w:val="00491CD6"/>
    <w:rsid w:val="00492C16"/>
    <w:rsid w:val="00493218"/>
    <w:rsid w:val="004A07B1"/>
    <w:rsid w:val="004A57F4"/>
    <w:rsid w:val="004A667B"/>
    <w:rsid w:val="004A6C4C"/>
    <w:rsid w:val="004B3BB2"/>
    <w:rsid w:val="004B42C5"/>
    <w:rsid w:val="004C40EC"/>
    <w:rsid w:val="004D000A"/>
    <w:rsid w:val="004E08AC"/>
    <w:rsid w:val="004E712D"/>
    <w:rsid w:val="004F070C"/>
    <w:rsid w:val="005003D6"/>
    <w:rsid w:val="00503002"/>
    <w:rsid w:val="00511398"/>
    <w:rsid w:val="00535157"/>
    <w:rsid w:val="005440A2"/>
    <w:rsid w:val="005573AF"/>
    <w:rsid w:val="005575A6"/>
    <w:rsid w:val="00577900"/>
    <w:rsid w:val="00577AEE"/>
    <w:rsid w:val="005851A2"/>
    <w:rsid w:val="00587591"/>
    <w:rsid w:val="00594291"/>
    <w:rsid w:val="00594C83"/>
    <w:rsid w:val="005A092B"/>
    <w:rsid w:val="005A2CC1"/>
    <w:rsid w:val="005A3550"/>
    <w:rsid w:val="005A775B"/>
    <w:rsid w:val="005B40FD"/>
    <w:rsid w:val="005B4DB4"/>
    <w:rsid w:val="005B6B19"/>
    <w:rsid w:val="005C3CC8"/>
    <w:rsid w:val="005C6C27"/>
    <w:rsid w:val="005D32CF"/>
    <w:rsid w:val="005D52C1"/>
    <w:rsid w:val="005D7670"/>
    <w:rsid w:val="005E4C2D"/>
    <w:rsid w:val="00601E56"/>
    <w:rsid w:val="006102AD"/>
    <w:rsid w:val="00611645"/>
    <w:rsid w:val="0061383D"/>
    <w:rsid w:val="0062427B"/>
    <w:rsid w:val="00632F56"/>
    <w:rsid w:val="006340A2"/>
    <w:rsid w:val="0066225C"/>
    <w:rsid w:val="006674FE"/>
    <w:rsid w:val="00674DC3"/>
    <w:rsid w:val="006776DE"/>
    <w:rsid w:val="006810FF"/>
    <w:rsid w:val="00686668"/>
    <w:rsid w:val="00693913"/>
    <w:rsid w:val="00694A89"/>
    <w:rsid w:val="006953B7"/>
    <w:rsid w:val="006A0758"/>
    <w:rsid w:val="006A1741"/>
    <w:rsid w:val="006A3BFF"/>
    <w:rsid w:val="006C3C5F"/>
    <w:rsid w:val="006C62D0"/>
    <w:rsid w:val="006D0402"/>
    <w:rsid w:val="006D07A0"/>
    <w:rsid w:val="006D10A3"/>
    <w:rsid w:val="006E07E1"/>
    <w:rsid w:val="006E1073"/>
    <w:rsid w:val="006E6314"/>
    <w:rsid w:val="006F3761"/>
    <w:rsid w:val="006F6C42"/>
    <w:rsid w:val="007038C4"/>
    <w:rsid w:val="0071272F"/>
    <w:rsid w:val="0072626D"/>
    <w:rsid w:val="00727D15"/>
    <w:rsid w:val="00734EAB"/>
    <w:rsid w:val="007405F8"/>
    <w:rsid w:val="00747099"/>
    <w:rsid w:val="00762F96"/>
    <w:rsid w:val="00767E23"/>
    <w:rsid w:val="00771863"/>
    <w:rsid w:val="00771C08"/>
    <w:rsid w:val="00787FD8"/>
    <w:rsid w:val="00792689"/>
    <w:rsid w:val="00795ACE"/>
    <w:rsid w:val="007A6824"/>
    <w:rsid w:val="007A7BD9"/>
    <w:rsid w:val="007B401A"/>
    <w:rsid w:val="007C340F"/>
    <w:rsid w:val="007C6F7A"/>
    <w:rsid w:val="007D20A6"/>
    <w:rsid w:val="007D5E4C"/>
    <w:rsid w:val="007E0AC5"/>
    <w:rsid w:val="007E3B68"/>
    <w:rsid w:val="007F2C7E"/>
    <w:rsid w:val="007F5E26"/>
    <w:rsid w:val="007F63B4"/>
    <w:rsid w:val="007F7D51"/>
    <w:rsid w:val="00802719"/>
    <w:rsid w:val="00804619"/>
    <w:rsid w:val="00804AC7"/>
    <w:rsid w:val="00821C91"/>
    <w:rsid w:val="00831DA5"/>
    <w:rsid w:val="00832557"/>
    <w:rsid w:val="008336C4"/>
    <w:rsid w:val="008578AA"/>
    <w:rsid w:val="00860151"/>
    <w:rsid w:val="008637F9"/>
    <w:rsid w:val="00866C7E"/>
    <w:rsid w:val="0087662C"/>
    <w:rsid w:val="00881524"/>
    <w:rsid w:val="00887EA5"/>
    <w:rsid w:val="008909AD"/>
    <w:rsid w:val="008A3CD7"/>
    <w:rsid w:val="008A7A11"/>
    <w:rsid w:val="008C1284"/>
    <w:rsid w:val="008C589C"/>
    <w:rsid w:val="008C6A73"/>
    <w:rsid w:val="008E67B8"/>
    <w:rsid w:val="008E7E07"/>
    <w:rsid w:val="00913165"/>
    <w:rsid w:val="00916827"/>
    <w:rsid w:val="00927B1A"/>
    <w:rsid w:val="0093641E"/>
    <w:rsid w:val="00937FF5"/>
    <w:rsid w:val="00943846"/>
    <w:rsid w:val="0095429A"/>
    <w:rsid w:val="00972322"/>
    <w:rsid w:val="009727C8"/>
    <w:rsid w:val="009801C4"/>
    <w:rsid w:val="00982593"/>
    <w:rsid w:val="00987BDA"/>
    <w:rsid w:val="0099110F"/>
    <w:rsid w:val="009912F8"/>
    <w:rsid w:val="00994640"/>
    <w:rsid w:val="00994836"/>
    <w:rsid w:val="00994AC7"/>
    <w:rsid w:val="00997140"/>
    <w:rsid w:val="009A4757"/>
    <w:rsid w:val="009B37A6"/>
    <w:rsid w:val="009C0A03"/>
    <w:rsid w:val="009C2A0D"/>
    <w:rsid w:val="009F566D"/>
    <w:rsid w:val="00A00069"/>
    <w:rsid w:val="00A044F5"/>
    <w:rsid w:val="00A07EEE"/>
    <w:rsid w:val="00A2175D"/>
    <w:rsid w:val="00A3206D"/>
    <w:rsid w:val="00A34146"/>
    <w:rsid w:val="00A60418"/>
    <w:rsid w:val="00A6110B"/>
    <w:rsid w:val="00A7325B"/>
    <w:rsid w:val="00A819C4"/>
    <w:rsid w:val="00A834F3"/>
    <w:rsid w:val="00A9058E"/>
    <w:rsid w:val="00A966BF"/>
    <w:rsid w:val="00A96CF4"/>
    <w:rsid w:val="00AA20C1"/>
    <w:rsid w:val="00AA4486"/>
    <w:rsid w:val="00AB029C"/>
    <w:rsid w:val="00AB03DC"/>
    <w:rsid w:val="00AB0CB7"/>
    <w:rsid w:val="00AB3C00"/>
    <w:rsid w:val="00AC0143"/>
    <w:rsid w:val="00AC2C8F"/>
    <w:rsid w:val="00AC6934"/>
    <w:rsid w:val="00AD4A2B"/>
    <w:rsid w:val="00AD6393"/>
    <w:rsid w:val="00AE0BE4"/>
    <w:rsid w:val="00AE773E"/>
    <w:rsid w:val="00AE7B22"/>
    <w:rsid w:val="00AF2218"/>
    <w:rsid w:val="00AF3A16"/>
    <w:rsid w:val="00AF5DA4"/>
    <w:rsid w:val="00B04DE4"/>
    <w:rsid w:val="00B1202A"/>
    <w:rsid w:val="00B14C4C"/>
    <w:rsid w:val="00B202DB"/>
    <w:rsid w:val="00B22C86"/>
    <w:rsid w:val="00B25CE6"/>
    <w:rsid w:val="00B26852"/>
    <w:rsid w:val="00B34F48"/>
    <w:rsid w:val="00B40F75"/>
    <w:rsid w:val="00B43A99"/>
    <w:rsid w:val="00B44FFA"/>
    <w:rsid w:val="00B57F7B"/>
    <w:rsid w:val="00B72D3C"/>
    <w:rsid w:val="00B733DD"/>
    <w:rsid w:val="00B7387B"/>
    <w:rsid w:val="00B7603E"/>
    <w:rsid w:val="00B8030F"/>
    <w:rsid w:val="00B80EB4"/>
    <w:rsid w:val="00B870B1"/>
    <w:rsid w:val="00B96855"/>
    <w:rsid w:val="00B97A36"/>
    <w:rsid w:val="00BA484B"/>
    <w:rsid w:val="00BB5C17"/>
    <w:rsid w:val="00BB6A7A"/>
    <w:rsid w:val="00BC40C3"/>
    <w:rsid w:val="00BD63B8"/>
    <w:rsid w:val="00BD69C7"/>
    <w:rsid w:val="00BE0E06"/>
    <w:rsid w:val="00BF0AEF"/>
    <w:rsid w:val="00C00D4A"/>
    <w:rsid w:val="00C0256C"/>
    <w:rsid w:val="00C05B2E"/>
    <w:rsid w:val="00C23FEA"/>
    <w:rsid w:val="00C25A54"/>
    <w:rsid w:val="00C35875"/>
    <w:rsid w:val="00C43B95"/>
    <w:rsid w:val="00C504CC"/>
    <w:rsid w:val="00C5463A"/>
    <w:rsid w:val="00C54F64"/>
    <w:rsid w:val="00C6034B"/>
    <w:rsid w:val="00C60B80"/>
    <w:rsid w:val="00C61735"/>
    <w:rsid w:val="00C66D47"/>
    <w:rsid w:val="00C726E4"/>
    <w:rsid w:val="00C82753"/>
    <w:rsid w:val="00C90263"/>
    <w:rsid w:val="00C922F8"/>
    <w:rsid w:val="00C930E2"/>
    <w:rsid w:val="00CB0E99"/>
    <w:rsid w:val="00CB73D7"/>
    <w:rsid w:val="00CC300C"/>
    <w:rsid w:val="00CE1F8D"/>
    <w:rsid w:val="00CE50FF"/>
    <w:rsid w:val="00CF0E09"/>
    <w:rsid w:val="00CF3D1E"/>
    <w:rsid w:val="00D00201"/>
    <w:rsid w:val="00D01632"/>
    <w:rsid w:val="00D21FC6"/>
    <w:rsid w:val="00D2452D"/>
    <w:rsid w:val="00D36FB8"/>
    <w:rsid w:val="00D41C6E"/>
    <w:rsid w:val="00D4380E"/>
    <w:rsid w:val="00D52ECF"/>
    <w:rsid w:val="00D573A5"/>
    <w:rsid w:val="00D63322"/>
    <w:rsid w:val="00D6413B"/>
    <w:rsid w:val="00D71557"/>
    <w:rsid w:val="00D76DE7"/>
    <w:rsid w:val="00D8137A"/>
    <w:rsid w:val="00D83939"/>
    <w:rsid w:val="00D84DD1"/>
    <w:rsid w:val="00D87DC6"/>
    <w:rsid w:val="00D90F34"/>
    <w:rsid w:val="00D9199B"/>
    <w:rsid w:val="00D92ECC"/>
    <w:rsid w:val="00D93C81"/>
    <w:rsid w:val="00D966DB"/>
    <w:rsid w:val="00D97FAA"/>
    <w:rsid w:val="00DA0309"/>
    <w:rsid w:val="00DB1F8D"/>
    <w:rsid w:val="00DC0102"/>
    <w:rsid w:val="00DC0E94"/>
    <w:rsid w:val="00DC0FC0"/>
    <w:rsid w:val="00DC3583"/>
    <w:rsid w:val="00DC58B7"/>
    <w:rsid w:val="00DC6AE9"/>
    <w:rsid w:val="00DD1D7A"/>
    <w:rsid w:val="00DD6BF3"/>
    <w:rsid w:val="00DE0063"/>
    <w:rsid w:val="00DE0AE8"/>
    <w:rsid w:val="00DE0DF3"/>
    <w:rsid w:val="00DE0FB5"/>
    <w:rsid w:val="00DE5BAC"/>
    <w:rsid w:val="00DE72B8"/>
    <w:rsid w:val="00DF672D"/>
    <w:rsid w:val="00E02F3B"/>
    <w:rsid w:val="00E20D83"/>
    <w:rsid w:val="00E21B4D"/>
    <w:rsid w:val="00E23CF0"/>
    <w:rsid w:val="00E27E49"/>
    <w:rsid w:val="00E37648"/>
    <w:rsid w:val="00E54B40"/>
    <w:rsid w:val="00E55965"/>
    <w:rsid w:val="00E567FB"/>
    <w:rsid w:val="00E62E62"/>
    <w:rsid w:val="00E757BC"/>
    <w:rsid w:val="00E77625"/>
    <w:rsid w:val="00E82557"/>
    <w:rsid w:val="00E82985"/>
    <w:rsid w:val="00E93E95"/>
    <w:rsid w:val="00E96694"/>
    <w:rsid w:val="00EA0BB7"/>
    <w:rsid w:val="00EA1072"/>
    <w:rsid w:val="00EA15FB"/>
    <w:rsid w:val="00EA37DD"/>
    <w:rsid w:val="00EC5EA8"/>
    <w:rsid w:val="00EE6E04"/>
    <w:rsid w:val="00EF5FFB"/>
    <w:rsid w:val="00EF773B"/>
    <w:rsid w:val="00F0091C"/>
    <w:rsid w:val="00F02895"/>
    <w:rsid w:val="00F1211B"/>
    <w:rsid w:val="00F1511E"/>
    <w:rsid w:val="00F171F4"/>
    <w:rsid w:val="00F21571"/>
    <w:rsid w:val="00F2197C"/>
    <w:rsid w:val="00F254B9"/>
    <w:rsid w:val="00F33A0A"/>
    <w:rsid w:val="00F368BD"/>
    <w:rsid w:val="00F40671"/>
    <w:rsid w:val="00F4439C"/>
    <w:rsid w:val="00F44767"/>
    <w:rsid w:val="00F45150"/>
    <w:rsid w:val="00F45DDE"/>
    <w:rsid w:val="00F45F6F"/>
    <w:rsid w:val="00F515D2"/>
    <w:rsid w:val="00F52B2D"/>
    <w:rsid w:val="00F57A14"/>
    <w:rsid w:val="00F61CD9"/>
    <w:rsid w:val="00F7091E"/>
    <w:rsid w:val="00F71DF4"/>
    <w:rsid w:val="00F737C3"/>
    <w:rsid w:val="00F86CE0"/>
    <w:rsid w:val="00F95B38"/>
    <w:rsid w:val="00F95F08"/>
    <w:rsid w:val="00F977AA"/>
    <w:rsid w:val="00FB2DE8"/>
    <w:rsid w:val="00FB3AC4"/>
    <w:rsid w:val="00FC3139"/>
    <w:rsid w:val="00FD301B"/>
    <w:rsid w:val="00FF32DD"/>
    <w:rsid w:val="00FF4A5F"/>
    <w:rsid w:val="00FF7B10"/>
    <w:rsid w:val="02098B9F"/>
    <w:rsid w:val="0229EDD0"/>
    <w:rsid w:val="024780B5"/>
    <w:rsid w:val="03FAC540"/>
    <w:rsid w:val="04F890F1"/>
    <w:rsid w:val="0623B39B"/>
    <w:rsid w:val="06C5E550"/>
    <w:rsid w:val="0704CFE9"/>
    <w:rsid w:val="09E81C5F"/>
    <w:rsid w:val="0A297C9A"/>
    <w:rsid w:val="0B6D0EDC"/>
    <w:rsid w:val="0C394CB0"/>
    <w:rsid w:val="0C9D3D80"/>
    <w:rsid w:val="0D24F5A8"/>
    <w:rsid w:val="0F43A625"/>
    <w:rsid w:val="115ED32F"/>
    <w:rsid w:val="1456210B"/>
    <w:rsid w:val="17B813E4"/>
    <w:rsid w:val="19A07E64"/>
    <w:rsid w:val="1AB2487B"/>
    <w:rsid w:val="1B4E5669"/>
    <w:rsid w:val="1DAD563E"/>
    <w:rsid w:val="1E114884"/>
    <w:rsid w:val="20CCD04B"/>
    <w:rsid w:val="2239392B"/>
    <w:rsid w:val="239A1E5A"/>
    <w:rsid w:val="23E61178"/>
    <w:rsid w:val="264C70ED"/>
    <w:rsid w:val="26AF6968"/>
    <w:rsid w:val="29016B83"/>
    <w:rsid w:val="2A094BEC"/>
    <w:rsid w:val="2A77A8AB"/>
    <w:rsid w:val="2ACA5CBB"/>
    <w:rsid w:val="2ACD289B"/>
    <w:rsid w:val="2B07BF1D"/>
    <w:rsid w:val="2BD9ADFE"/>
    <w:rsid w:val="2E03B014"/>
    <w:rsid w:val="2F0F254D"/>
    <w:rsid w:val="306FD31F"/>
    <w:rsid w:val="32329358"/>
    <w:rsid w:val="361F4A51"/>
    <w:rsid w:val="3CA277C7"/>
    <w:rsid w:val="3EEBD73D"/>
    <w:rsid w:val="3FED612D"/>
    <w:rsid w:val="40054BA3"/>
    <w:rsid w:val="4042EEA2"/>
    <w:rsid w:val="42CEA751"/>
    <w:rsid w:val="46A1FB65"/>
    <w:rsid w:val="47022161"/>
    <w:rsid w:val="497C18DB"/>
    <w:rsid w:val="499B667A"/>
    <w:rsid w:val="4B66F0C6"/>
    <w:rsid w:val="4E9D8BBD"/>
    <w:rsid w:val="4FF3BDB9"/>
    <w:rsid w:val="525371C2"/>
    <w:rsid w:val="5414ACC0"/>
    <w:rsid w:val="55D2959E"/>
    <w:rsid w:val="5A331252"/>
    <w:rsid w:val="5AF12AA3"/>
    <w:rsid w:val="5AFDCFA4"/>
    <w:rsid w:val="5BB5E104"/>
    <w:rsid w:val="5C5F22F5"/>
    <w:rsid w:val="5D552F71"/>
    <w:rsid w:val="5F4AAEFD"/>
    <w:rsid w:val="5F6AE681"/>
    <w:rsid w:val="5F82E445"/>
    <w:rsid w:val="60332C34"/>
    <w:rsid w:val="60A1F9C2"/>
    <w:rsid w:val="614F8C49"/>
    <w:rsid w:val="636C3CC2"/>
    <w:rsid w:val="66C76083"/>
    <w:rsid w:val="67D69A55"/>
    <w:rsid w:val="68556627"/>
    <w:rsid w:val="685B0C8A"/>
    <w:rsid w:val="6A223028"/>
    <w:rsid w:val="6B3D8644"/>
    <w:rsid w:val="6D8CC714"/>
    <w:rsid w:val="6E4F4D74"/>
    <w:rsid w:val="6FBCA6F1"/>
    <w:rsid w:val="713E9F15"/>
    <w:rsid w:val="72E1CFD0"/>
    <w:rsid w:val="730896B2"/>
    <w:rsid w:val="732238BC"/>
    <w:rsid w:val="738611F6"/>
    <w:rsid w:val="74CD3E40"/>
    <w:rsid w:val="755683E7"/>
    <w:rsid w:val="75B05DF3"/>
    <w:rsid w:val="79F7DEDB"/>
    <w:rsid w:val="7A0F63B8"/>
    <w:rsid w:val="7B65C183"/>
    <w:rsid w:val="7B6E452F"/>
    <w:rsid w:val="7C039A68"/>
    <w:rsid w:val="7C5C96EA"/>
    <w:rsid w:val="7F9EC1C6"/>
    <w:rsid w:val="7FC68936"/>
    <w:rsid w:val="7FDF18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C1C900"/>
  <w15:chartTrackingRefBased/>
  <w15:docId w15:val="{ADE73A3D-D1B0-4582-9BF5-E020FA570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2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C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C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C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C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TOC 1.1"/>
    <w:next w:val="Heading1"/>
    <w:link w:val="TOC1Char"/>
    <w:autoRedefine/>
    <w:uiPriority w:val="39"/>
    <w:unhideWhenUsed/>
    <w:qFormat/>
    <w:rsid w:val="005440A2"/>
    <w:pPr>
      <w:tabs>
        <w:tab w:val="right" w:leader="dot" w:pos="9016"/>
      </w:tabs>
      <w:spacing w:before="120" w:after="0"/>
    </w:pPr>
    <w:rPr>
      <w:rFonts w:ascii="Arial" w:hAnsi="Arial"/>
      <w:bCs/>
      <w:iCs/>
      <w:noProof/>
      <w:color w:val="000000" w:themeColor="text1"/>
    </w:rPr>
  </w:style>
  <w:style w:type="character" w:customStyle="1" w:styleId="TOC1Char">
    <w:name w:val="TOC 1 Char"/>
    <w:aliases w:val="TOC 1.1 Char"/>
    <w:basedOn w:val="DefaultParagraphFont"/>
    <w:link w:val="TOC1"/>
    <w:uiPriority w:val="39"/>
    <w:rsid w:val="005440A2"/>
    <w:rPr>
      <w:rFonts w:ascii="Arial" w:hAnsi="Arial"/>
      <w:bCs/>
      <w:iCs/>
      <w:noProof/>
      <w:color w:val="000000" w:themeColor="text1"/>
    </w:rPr>
  </w:style>
  <w:style w:type="character" w:customStyle="1" w:styleId="Heading1Char">
    <w:name w:val="Heading 1 Char"/>
    <w:basedOn w:val="DefaultParagraphFont"/>
    <w:link w:val="Heading1"/>
    <w:uiPriority w:val="9"/>
    <w:rsid w:val="00544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2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2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2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2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C86"/>
    <w:rPr>
      <w:rFonts w:eastAsiaTheme="majorEastAsia" w:cstheme="majorBidi"/>
      <w:color w:val="272727" w:themeColor="text1" w:themeTint="D8"/>
    </w:rPr>
  </w:style>
  <w:style w:type="paragraph" w:styleId="Title">
    <w:name w:val="Title"/>
    <w:basedOn w:val="Normal"/>
    <w:next w:val="Normal"/>
    <w:link w:val="TitleChar"/>
    <w:uiPriority w:val="10"/>
    <w:qFormat/>
    <w:rsid w:val="00B22C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C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C86"/>
    <w:pPr>
      <w:spacing w:before="160"/>
      <w:jc w:val="center"/>
    </w:pPr>
    <w:rPr>
      <w:i/>
      <w:iCs/>
      <w:color w:val="404040" w:themeColor="text1" w:themeTint="BF"/>
    </w:rPr>
  </w:style>
  <w:style w:type="character" w:customStyle="1" w:styleId="QuoteChar">
    <w:name w:val="Quote Char"/>
    <w:basedOn w:val="DefaultParagraphFont"/>
    <w:link w:val="Quote"/>
    <w:uiPriority w:val="29"/>
    <w:rsid w:val="00B22C86"/>
    <w:rPr>
      <w:i/>
      <w:iCs/>
      <w:color w:val="404040" w:themeColor="text1" w:themeTint="BF"/>
    </w:rPr>
  </w:style>
  <w:style w:type="paragraph" w:styleId="ListParagraph">
    <w:name w:val="List Paragraph"/>
    <w:basedOn w:val="Normal"/>
    <w:uiPriority w:val="34"/>
    <w:qFormat/>
    <w:rsid w:val="00B22C86"/>
    <w:pPr>
      <w:ind w:left="720"/>
      <w:contextualSpacing/>
    </w:pPr>
  </w:style>
  <w:style w:type="character" w:styleId="IntenseEmphasis">
    <w:name w:val="Intense Emphasis"/>
    <w:basedOn w:val="DefaultParagraphFont"/>
    <w:uiPriority w:val="21"/>
    <w:qFormat/>
    <w:rsid w:val="00B22C86"/>
    <w:rPr>
      <w:i/>
      <w:iCs/>
      <w:color w:val="0F4761" w:themeColor="accent1" w:themeShade="BF"/>
    </w:rPr>
  </w:style>
  <w:style w:type="paragraph" w:styleId="IntenseQuote">
    <w:name w:val="Intense Quote"/>
    <w:basedOn w:val="Normal"/>
    <w:next w:val="Normal"/>
    <w:link w:val="IntenseQuoteChar"/>
    <w:uiPriority w:val="30"/>
    <w:qFormat/>
    <w:rsid w:val="00B22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C86"/>
    <w:rPr>
      <w:i/>
      <w:iCs/>
      <w:color w:val="0F4761" w:themeColor="accent1" w:themeShade="BF"/>
    </w:rPr>
  </w:style>
  <w:style w:type="character" w:styleId="IntenseReference">
    <w:name w:val="Intense Reference"/>
    <w:basedOn w:val="DefaultParagraphFont"/>
    <w:uiPriority w:val="32"/>
    <w:qFormat/>
    <w:rsid w:val="00B22C86"/>
    <w:rPr>
      <w:b/>
      <w:bCs/>
      <w:smallCaps/>
      <w:color w:val="0F4761" w:themeColor="accent1" w:themeShade="BF"/>
      <w:spacing w:val="5"/>
    </w:rPr>
  </w:style>
  <w:style w:type="paragraph" w:styleId="Header">
    <w:name w:val="header"/>
    <w:basedOn w:val="Normal"/>
    <w:link w:val="HeaderChar"/>
    <w:uiPriority w:val="99"/>
    <w:unhideWhenUsed/>
    <w:rsid w:val="003C2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000"/>
  </w:style>
  <w:style w:type="paragraph" w:styleId="Footer">
    <w:name w:val="footer"/>
    <w:basedOn w:val="Normal"/>
    <w:link w:val="FooterChar"/>
    <w:uiPriority w:val="99"/>
    <w:unhideWhenUsed/>
    <w:rsid w:val="003C2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000"/>
  </w:style>
  <w:style w:type="character" w:styleId="Hyperlink">
    <w:name w:val="Hyperlink"/>
    <w:basedOn w:val="DefaultParagraphFont"/>
    <w:uiPriority w:val="99"/>
    <w:unhideWhenUsed/>
    <w:rsid w:val="00174AD9"/>
    <w:rPr>
      <w:color w:val="467886" w:themeColor="hyperlink"/>
      <w:u w:val="single"/>
    </w:rPr>
  </w:style>
  <w:style w:type="character" w:styleId="UnresolvedMention">
    <w:name w:val="Unresolved Mention"/>
    <w:basedOn w:val="DefaultParagraphFont"/>
    <w:uiPriority w:val="99"/>
    <w:semiHidden/>
    <w:unhideWhenUsed/>
    <w:rsid w:val="00174AD9"/>
    <w:rPr>
      <w:color w:val="605E5C"/>
      <w:shd w:val="clear" w:color="auto" w:fill="E1DFDD"/>
    </w:rPr>
  </w:style>
  <w:style w:type="paragraph" w:styleId="NoSpacing">
    <w:name w:val="No Spacing"/>
    <w:link w:val="NoSpacingChar"/>
    <w:uiPriority w:val="1"/>
    <w:qFormat/>
    <w:rsid w:val="00244A6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44A62"/>
    <w:rPr>
      <w:rFonts w:eastAsiaTheme="minorEastAsia"/>
      <w:kern w:val="0"/>
      <w:sz w:val="22"/>
      <w:szCs w:val="22"/>
      <w:lang w:val="en-US"/>
      <w14:ligatures w14:val="none"/>
    </w:rPr>
  </w:style>
  <w:style w:type="paragraph" w:customStyle="1" w:styleId="w7sjnrxzl6krnffuzhqe">
    <w:name w:val="w7sjnrxzl6krnffuzhqe"/>
    <w:basedOn w:val="Normal"/>
    <w:rsid w:val="00D715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DA0309"/>
    <w:rPr>
      <w:sz w:val="16"/>
      <w:szCs w:val="16"/>
    </w:rPr>
  </w:style>
  <w:style w:type="paragraph" w:styleId="CommentText">
    <w:name w:val="annotation text"/>
    <w:basedOn w:val="Normal"/>
    <w:link w:val="CommentTextChar"/>
    <w:uiPriority w:val="99"/>
    <w:unhideWhenUsed/>
    <w:rsid w:val="00DA0309"/>
    <w:pPr>
      <w:spacing w:line="240" w:lineRule="auto"/>
    </w:pPr>
    <w:rPr>
      <w:sz w:val="20"/>
      <w:szCs w:val="20"/>
    </w:rPr>
  </w:style>
  <w:style w:type="character" w:customStyle="1" w:styleId="CommentTextChar">
    <w:name w:val="Comment Text Char"/>
    <w:basedOn w:val="DefaultParagraphFont"/>
    <w:link w:val="CommentText"/>
    <w:uiPriority w:val="99"/>
    <w:rsid w:val="00DA0309"/>
    <w:rPr>
      <w:sz w:val="20"/>
      <w:szCs w:val="20"/>
    </w:rPr>
  </w:style>
  <w:style w:type="paragraph" w:styleId="CommentSubject">
    <w:name w:val="annotation subject"/>
    <w:basedOn w:val="CommentText"/>
    <w:next w:val="CommentText"/>
    <w:link w:val="CommentSubjectChar"/>
    <w:uiPriority w:val="99"/>
    <w:semiHidden/>
    <w:unhideWhenUsed/>
    <w:rsid w:val="00DA0309"/>
    <w:rPr>
      <w:b/>
      <w:bCs/>
    </w:rPr>
  </w:style>
  <w:style w:type="character" w:customStyle="1" w:styleId="CommentSubjectChar">
    <w:name w:val="Comment Subject Char"/>
    <w:basedOn w:val="CommentTextChar"/>
    <w:link w:val="CommentSubject"/>
    <w:uiPriority w:val="99"/>
    <w:semiHidden/>
    <w:rsid w:val="00DA0309"/>
    <w:rPr>
      <w:b/>
      <w:bCs/>
      <w:sz w:val="20"/>
      <w:szCs w:val="20"/>
    </w:rPr>
  </w:style>
  <w:style w:type="table" w:styleId="TableGrid">
    <w:name w:val="Table Grid"/>
    <w:basedOn w:val="TableNormal"/>
    <w:uiPriority w:val="39"/>
    <w:rsid w:val="00C43B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75B5D"/>
    <w:rPr>
      <w:b/>
      <w:bCs/>
    </w:rPr>
  </w:style>
  <w:style w:type="paragraph" w:styleId="TOCHeading">
    <w:name w:val="TOC Heading"/>
    <w:basedOn w:val="Heading1"/>
    <w:next w:val="Normal"/>
    <w:uiPriority w:val="39"/>
    <w:unhideWhenUsed/>
    <w:qFormat/>
    <w:rsid w:val="005B6B1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B6B1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ceptdraw.com/How-To-Guide/picture/MANAGEMENT-Fishbone-Diagram-Ishikawa-diagram-Factors-reducing-competitiveness.png" TargetMode="External"/><Relationship Id="rId18" Type="http://schemas.openxmlformats.org/officeDocument/2006/relationships/hyperlink" Target="https://doi.org/10.17719/jisr.2017.1832" TargetMode="External"/><Relationship Id="rId26" Type="http://schemas.openxmlformats.org/officeDocument/2006/relationships/hyperlink" Target="https://doi.org/10.1177/0038038509103208" TargetMode="External"/><Relationship Id="rId39" Type="http://schemas.openxmlformats.org/officeDocument/2006/relationships/hyperlink" Target="https://books.google.com/books/about/Toyota_Production_System.html?id=7_-67SshOy8C" TargetMode="External"/><Relationship Id="rId21" Type="http://schemas.openxmlformats.org/officeDocument/2006/relationships/hyperlink" Target="https://nap.nationalacademies.org/catalog/10027/crossing-the-quality-chasm-a-new-health-system-for-the" TargetMode="External"/><Relationship Id="rId34" Type="http://schemas.openxmlformats.org/officeDocument/2006/relationships/hyperlink" Target="https://www.england.nhs.uk/publication/nhs-long-term-workforce-plan/" TargetMode="External"/><Relationship Id="rId42" Type="http://schemas.openxmlformats.org/officeDocument/2006/relationships/hyperlink" Target="https://doi.org/10.1136/bmj.317.7150.61"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307/2666999" TargetMode="External"/><Relationship Id="rId29" Type="http://schemas.openxmlformats.org/officeDocument/2006/relationships/hyperlink" Target="https://maternityaudit.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7/hlthaff.2020.00593" TargetMode="External"/><Relationship Id="rId24" Type="http://schemas.openxmlformats.org/officeDocument/2006/relationships/hyperlink" Target="https://www.gov.uk/government/publications/maternity-and-neonatal-services-in-east-kent-reading-the-signals-report?utm_source=chatgpt.com" TargetMode="External"/><Relationship Id="rId32" Type="http://schemas.openxmlformats.org/officeDocument/2006/relationships/hyperlink" Target="https://www.england.nhs.uk/publication/three-year-delivery-plan-for-maternity-and-neonatal-services/" TargetMode="External"/><Relationship Id="rId37" Type="http://schemas.openxmlformats.org/officeDocument/2006/relationships/hyperlink" Target="https://resolution.nhs.uk/resources/annual-report-and-accounts-2023-24/" TargetMode="External"/><Relationship Id="rId40" Type="http://schemas.openxmlformats.org/officeDocument/2006/relationships/hyperlink" Target="https://doi.org/10.1136/bmj.320.7237.768" TargetMode="External"/><Relationship Id="rId45" Type="http://schemas.openxmlformats.org/officeDocument/2006/relationships/hyperlink" Target="https://www.kingsfund.org.uk/insight-and-analysis/reports/leadership-development-health-care" TargetMode="External"/><Relationship Id="rId5" Type="http://schemas.openxmlformats.org/officeDocument/2006/relationships/webSettings" Target="webSettings.xml"/><Relationship Id="rId15" Type="http://schemas.openxmlformats.org/officeDocument/2006/relationships/hyperlink" Target="https://doi.org/10.1001/jama.260.12.1743" TargetMode="External"/><Relationship Id="rId23" Type="http://schemas.openxmlformats.org/officeDocument/2006/relationships/hyperlink" Target="https://www.gov.uk/government/publications/morecambe-bay-investigation-report?utm_source=chatgpt.com" TargetMode="External"/><Relationship Id="rId28" Type="http://schemas.openxmlformats.org/officeDocument/2006/relationships/hyperlink" Target="https://www.npeu.ox.ac.uk/mbrrace-uk/reports/maternal-reports/maternal-report-2021-2023?utm_source=chatgpt.com" TargetMode="External"/><Relationship Id="rId36" Type="http://schemas.openxmlformats.org/officeDocument/2006/relationships/hyperlink" Target="https://www.england.nhs.uk/long-read/the-maternal-care-bundle/?utm_source=chatgpt.com" TargetMode="External"/><Relationship Id="rId10" Type="http://schemas.openxmlformats.org/officeDocument/2006/relationships/hyperlink" Target="https://www.health.org.uk/publications/complexity-science-in-healthcare" TargetMode="External"/><Relationship Id="rId19" Type="http://schemas.openxmlformats.org/officeDocument/2006/relationships/hyperlink" Target="https://doi.org/10.1186/s13012-016-0398-2" TargetMode="External"/><Relationship Id="rId31" Type="http://schemas.openxmlformats.org/officeDocument/2006/relationships/hyperlink" Target="https://www.england.nhs.uk/long-read/patient-safety-incident-response-framework/?utm_source=chatgpt.com" TargetMode="External"/><Relationship Id="rId44" Type="http://schemas.openxmlformats.org/officeDocument/2006/relationships/hyperlink" Target="https://topol.hee.nhs.uk" TargetMode="External"/><Relationship Id="rId4" Type="http://schemas.openxmlformats.org/officeDocument/2006/relationships/settings" Target="settings.xml"/><Relationship Id="rId9" Type="http://schemas.openxmlformats.org/officeDocument/2006/relationships/hyperlink" Target="https://doi.org/10.1016/j.outlook.2017.10.004" TargetMode="External"/><Relationship Id="rId14" Type="http://schemas.openxmlformats.org/officeDocument/2006/relationships/hyperlink" Target="https://doi.org/10.1186/s13012-022-01245-0" TargetMode="External"/><Relationship Id="rId22" Type="http://schemas.openxmlformats.org/officeDocument/2006/relationships/hyperlink" Target="https://books.google.com/books/about/Guide_to_Quality_Control.html?id=POEeAQAAIAAJ" TargetMode="External"/><Relationship Id="rId27" Type="http://schemas.openxmlformats.org/officeDocument/2006/relationships/hyperlink" Target="https://doi.org/10.1186/s13012-018-0758-1" TargetMode="External"/><Relationship Id="rId30" Type="http://schemas.openxmlformats.org/officeDocument/2006/relationships/hyperlink" Target="https://www.england.nhs.uk/2018/07/nhs-action-plan-can-prevent-over-600-still-births-a-year-says-nhs-england/?utm_source=chatgpt.com" TargetMode="External"/><Relationship Id="rId35" Type="http://schemas.openxmlformats.org/officeDocument/2006/relationships/hyperlink" Target="https://www.england.nhs.uk/about/equality/equality-hub/national-healthcare-inequalities-improvement-programme/core20plus5/" TargetMode="External"/><Relationship Id="rId43" Type="http://schemas.openxmlformats.org/officeDocument/2006/relationships/hyperlink" Target="https://doi.org/10.1136/bmjqs-2013-001862"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qc.org.uk/publications/maternity-services-2022-2024?utm_source=chatgpt.com" TargetMode="External"/><Relationship Id="rId17" Type="http://schemas.openxmlformats.org/officeDocument/2006/relationships/hyperlink" Target="https://www.gov.uk/government/publications/report-of-the-mid-staffordshire-nhs-foundation-trust-public-inquiry" TargetMode="External"/><Relationship Id="rId25" Type="http://schemas.openxmlformats.org/officeDocument/2006/relationships/hyperlink" Target="https://www.ihi.org/library/publications/improvement-guide-practical-approach-enhancing-organizational-performance?utm_source=chatgpt.com" TargetMode="External"/><Relationship Id="rId33" Type="http://schemas.openxmlformats.org/officeDocument/2006/relationships/hyperlink" Target="https://www.england.nhs.uk/long-read/saving-babies-lives-version-3/?utm_source=chatgpt.com" TargetMode="External"/><Relationship Id="rId38" Type="http://schemas.openxmlformats.org/officeDocument/2006/relationships/hyperlink" Target="https://www.gov.uk/government/publications/final-report-of-the-ockenden-review?utm_source=chatgpt.com" TargetMode="External"/><Relationship Id="rId46" Type="http://schemas.openxmlformats.org/officeDocument/2006/relationships/hyperlink" Target="https://www.who.int/news/item/11-12-2023-health-service-quality-must-be-a-priority--not-an-afterthought--new-collection-on-quality-of-care/" TargetMode="External"/><Relationship Id="rId20" Type="http://schemas.openxmlformats.org/officeDocument/2006/relationships/hyperlink" Target="https://www.routledge.com/Safety-I-and-Safety-II-The-Past-and-Future-of-Safety-Management/Hollnagel/p/book/9781472423085" TargetMode="External"/><Relationship Id="rId41" Type="http://schemas.openxmlformats.org/officeDocument/2006/relationships/hyperlink" Target="https://rcm.org.uk/media-releases/2024/06/midwives-give-100000-hours-of-free-labour-to-the-nhs-per-week-to-keep-englands-maternity-services-safe-says-rc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5544</Words>
  <Characters>39812</Characters>
  <Application>Microsoft Office Word</Application>
  <DocSecurity>0</DocSecurity>
  <Lines>865</Lines>
  <Paragraphs>196</Paragraphs>
  <ScaleCrop>false</ScaleCrop>
  <HeadingPairs>
    <vt:vector size="2" baseType="variant">
      <vt:variant>
        <vt:lpstr>Title</vt:lpstr>
      </vt:variant>
      <vt:variant>
        <vt:i4>1</vt:i4>
      </vt:variant>
    </vt:vector>
  </HeadingPairs>
  <TitlesOfParts>
    <vt:vector size="1" baseType="lpstr">
      <vt:lpstr>A c</vt:lpstr>
    </vt:vector>
  </TitlesOfParts>
  <Company>UWTSD</Company>
  <LinksUpToDate>false</LinksUpToDate>
  <CharactersWithSpaces>45160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dc:title>
  <dc:subject>MSc Public Health and Social Care in Practice Module: Quality Assurance and Service Improvements  Module code: LCHS7006   Lecturer: Dilhara Mampitiya Christopher Mafuva Component 2  Service Improvement Report Word count (or equivalent): 3,000 words (+/- 10%)</dc:subject>
  <dc:creator>Patience Edo</dc:creator>
  <cp:keywords/>
  <dc:description/>
  <cp:lastModifiedBy>Patience Edo</cp:lastModifiedBy>
  <cp:revision>3</cp:revision>
  <dcterms:created xsi:type="dcterms:W3CDTF">2026-08-19T09:43:00Z</dcterms:created>
  <dcterms:modified xsi:type="dcterms:W3CDTF">2026-08-19T09:45:00Z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4e91935a-ecc9-4742-be37-bf978790c512</vt:lpwstr>
  </property>
</Properties>
</file>