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99013" w14:textId="77777777" w:rsidR="00CE121B" w:rsidRDefault="00CE121B" w:rsidP="00FF3125">
      <w:pPr>
        <w:spacing w:line="360" w:lineRule="auto"/>
        <w:contextualSpacing/>
        <w:rPr>
          <w:rFonts w:ascii="Times New Roman" w:hAnsi="Times New Roman"/>
          <w:noProof/>
          <w:kern w:val="0"/>
          <w:sz w:val="44"/>
          <w:szCs w:val="44"/>
        </w:rPr>
      </w:pPr>
    </w:p>
    <w:p w14:paraId="5EEC4052" w14:textId="77777777" w:rsidR="00FF3125" w:rsidRDefault="00CE121B" w:rsidP="00033D80">
      <w:pPr>
        <w:spacing w:line="360" w:lineRule="auto"/>
        <w:ind w:firstLine="720"/>
        <w:contextualSpacing/>
        <w:jc w:val="center"/>
        <w:rPr>
          <w:rFonts w:ascii="Times New Roman" w:hAnsi="Times New Roman"/>
          <w:kern w:val="0"/>
          <w:sz w:val="44"/>
          <w:szCs w:val="44"/>
          <w14:ligatures w14:val="none"/>
        </w:rPr>
      </w:pPr>
      <w:r>
        <w:rPr>
          <w:rFonts w:ascii="Times New Roman" w:hAnsi="Times New Roman"/>
          <w:noProof/>
          <w:kern w:val="0"/>
          <w:sz w:val="44"/>
          <w:szCs w:val="44"/>
        </w:rPr>
        <w:drawing>
          <wp:inline distT="0" distB="0" distL="0" distR="0" wp14:anchorId="62DD637B" wp14:editId="37E9ADC1">
            <wp:extent cx="2775857" cy="1637665"/>
            <wp:effectExtent l="0" t="0" r="5715" b="635"/>
            <wp:docPr id="1194398669" name="Picture 2" descr="A black and yellow shield with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398669" name="Picture 2" descr="A black and yellow shield with yellow flowers&#10;&#10;Description automatically generated"/>
                    <pic:cNvPicPr/>
                  </pic:nvPicPr>
                  <pic:blipFill rotWithShape="1">
                    <a:blip r:embed="rId8">
                      <a:extLst>
                        <a:ext uri="{28A0092B-C50C-407E-A947-70E740481C1C}">
                          <a14:useLocalDpi xmlns:a14="http://schemas.microsoft.com/office/drawing/2010/main" val="0"/>
                        </a:ext>
                      </a:extLst>
                    </a:blip>
                    <a:srcRect t="4630" b="8277"/>
                    <a:stretch/>
                  </pic:blipFill>
                  <pic:spPr bwMode="auto">
                    <a:xfrm>
                      <a:off x="0" y="0"/>
                      <a:ext cx="2799218" cy="1651447"/>
                    </a:xfrm>
                    <a:prstGeom prst="rect">
                      <a:avLst/>
                    </a:prstGeom>
                    <a:ln>
                      <a:noFill/>
                    </a:ln>
                    <a:extLst>
                      <a:ext uri="{53640926-AAD7-44D8-BBD7-CCE9431645EC}">
                        <a14:shadowObscured xmlns:a14="http://schemas.microsoft.com/office/drawing/2010/main"/>
                      </a:ext>
                    </a:extLst>
                  </pic:spPr>
                </pic:pic>
              </a:graphicData>
            </a:graphic>
          </wp:inline>
        </w:drawing>
      </w:r>
    </w:p>
    <w:p w14:paraId="2E7FEBD9" w14:textId="06895E1D" w:rsidR="00AB513B" w:rsidRPr="00BD7E3A" w:rsidRDefault="00033D80" w:rsidP="00033D80">
      <w:pPr>
        <w:spacing w:line="360" w:lineRule="auto"/>
        <w:ind w:firstLine="720"/>
        <w:contextualSpacing/>
        <w:jc w:val="center"/>
        <w:rPr>
          <w:rFonts w:ascii="Times New Roman" w:hAnsi="Times New Roman"/>
          <w:b/>
          <w:bCs/>
          <w:kern w:val="0"/>
          <w:sz w:val="44"/>
          <w:szCs w:val="44"/>
          <w14:ligatures w14:val="none"/>
        </w:rPr>
      </w:pPr>
      <w:r w:rsidRPr="00033D80">
        <w:rPr>
          <w:rFonts w:ascii="Times New Roman" w:hAnsi="Times New Roman"/>
          <w:b/>
          <w:bCs/>
          <w:kern w:val="0"/>
          <w:sz w:val="44"/>
          <w:szCs w:val="44"/>
          <w14:ligatures w14:val="none"/>
        </w:rPr>
        <w:t>I</w:t>
      </w:r>
      <w:r w:rsidR="00BD5589" w:rsidRPr="00BD7E3A">
        <w:rPr>
          <w:rFonts w:ascii="Times New Roman" w:hAnsi="Times New Roman"/>
          <w:b/>
          <w:bCs/>
          <w:kern w:val="0"/>
          <w:sz w:val="44"/>
          <w:szCs w:val="44"/>
          <w14:ligatures w14:val="none"/>
        </w:rPr>
        <w:t xml:space="preserve">nternational </w:t>
      </w:r>
      <w:r w:rsidRPr="00033D80">
        <w:rPr>
          <w:rFonts w:ascii="Times New Roman" w:hAnsi="Times New Roman"/>
          <w:b/>
          <w:bCs/>
          <w:kern w:val="0"/>
          <w:sz w:val="44"/>
          <w:szCs w:val="44"/>
          <w14:ligatures w14:val="none"/>
        </w:rPr>
        <w:t>F</w:t>
      </w:r>
      <w:r w:rsidR="00BD5589" w:rsidRPr="00BD7E3A">
        <w:rPr>
          <w:rFonts w:ascii="Times New Roman" w:hAnsi="Times New Roman"/>
          <w:b/>
          <w:bCs/>
          <w:kern w:val="0"/>
          <w:sz w:val="44"/>
          <w:szCs w:val="44"/>
          <w14:ligatures w14:val="none"/>
        </w:rPr>
        <w:t xml:space="preserve">inancial </w:t>
      </w:r>
      <w:r w:rsidR="00AB513B" w:rsidRPr="00BD7E3A">
        <w:rPr>
          <w:rFonts w:ascii="Times New Roman" w:hAnsi="Times New Roman"/>
          <w:b/>
          <w:bCs/>
          <w:kern w:val="0"/>
          <w:sz w:val="44"/>
          <w:szCs w:val="44"/>
          <w14:ligatures w14:val="none"/>
        </w:rPr>
        <w:t>Management</w:t>
      </w:r>
    </w:p>
    <w:p w14:paraId="7ADB2B50" w14:textId="14CE7524" w:rsidR="00AB513B" w:rsidRPr="00F10EE6" w:rsidRDefault="00AA784A" w:rsidP="00AA784A">
      <w:pPr>
        <w:spacing w:line="360" w:lineRule="auto"/>
        <w:ind w:firstLine="720"/>
        <w:contextualSpacing/>
        <w:jc w:val="center"/>
        <w:rPr>
          <w:rFonts w:ascii="Times New Roman" w:hAnsi="Times New Roman"/>
          <w:b/>
          <w:bCs/>
          <w:kern w:val="0"/>
          <w:sz w:val="44"/>
          <w:szCs w:val="44"/>
          <w14:ligatures w14:val="none"/>
        </w:rPr>
      </w:pPr>
      <w:r w:rsidRPr="00AA784A">
        <w:rPr>
          <w:rFonts w:ascii="Times New Roman" w:hAnsi="Times New Roman"/>
          <w:b/>
          <w:bCs/>
          <w:kern w:val="0"/>
          <w:sz w:val="44"/>
          <w:szCs w:val="44"/>
          <w14:ligatures w14:val="none"/>
        </w:rPr>
        <w:t>Module</w:t>
      </w:r>
      <w:r w:rsidRPr="00BD7E3A">
        <w:rPr>
          <w:rFonts w:ascii="Times New Roman" w:hAnsi="Times New Roman"/>
          <w:b/>
          <w:bCs/>
          <w:kern w:val="0"/>
          <w:sz w:val="44"/>
          <w:szCs w:val="44"/>
          <w14:ligatures w14:val="none"/>
        </w:rPr>
        <w:t>:</w:t>
      </w:r>
      <w:r>
        <w:rPr>
          <w:rFonts w:ascii="Times New Roman" w:hAnsi="Times New Roman"/>
          <w:kern w:val="0"/>
          <w:sz w:val="44"/>
          <w:szCs w:val="44"/>
          <w14:ligatures w14:val="none"/>
        </w:rPr>
        <w:t xml:space="preserve"> </w:t>
      </w:r>
      <w:r w:rsidR="00AB513B" w:rsidRPr="00F10EE6">
        <w:rPr>
          <w:rFonts w:ascii="Times New Roman" w:hAnsi="Times New Roman"/>
          <w:b/>
          <w:bCs/>
          <w:kern w:val="0"/>
          <w:sz w:val="44"/>
          <w:szCs w:val="44"/>
          <w14:ligatures w14:val="none"/>
        </w:rPr>
        <w:t>LCBB</w:t>
      </w:r>
      <w:r w:rsidR="004352C7">
        <w:rPr>
          <w:rFonts w:ascii="Times New Roman" w:hAnsi="Times New Roman"/>
          <w:b/>
          <w:bCs/>
          <w:kern w:val="0"/>
          <w:sz w:val="44"/>
          <w:szCs w:val="44"/>
          <w14:ligatures w14:val="none"/>
        </w:rPr>
        <w:t xml:space="preserve"> </w:t>
      </w:r>
      <w:r w:rsidR="00AB513B" w:rsidRPr="00F10EE6">
        <w:rPr>
          <w:rFonts w:ascii="Times New Roman" w:hAnsi="Times New Roman"/>
          <w:b/>
          <w:bCs/>
          <w:kern w:val="0"/>
          <w:sz w:val="44"/>
          <w:szCs w:val="44"/>
          <w14:ligatures w14:val="none"/>
        </w:rPr>
        <w:t>6002</w:t>
      </w:r>
    </w:p>
    <w:p w14:paraId="288EE22E" w14:textId="225FEBA8" w:rsidR="00BD7E3A" w:rsidRPr="00F10EE6" w:rsidRDefault="00BD7E3A" w:rsidP="00AA784A">
      <w:pPr>
        <w:spacing w:line="360" w:lineRule="auto"/>
        <w:ind w:firstLine="720"/>
        <w:contextualSpacing/>
        <w:jc w:val="center"/>
        <w:rPr>
          <w:rFonts w:ascii="Times New Roman" w:hAnsi="Times New Roman"/>
          <w:b/>
          <w:bCs/>
          <w:i/>
          <w:iCs/>
          <w:kern w:val="0"/>
          <w:sz w:val="48"/>
          <w:szCs w:val="48"/>
          <w14:ligatures w14:val="none"/>
        </w:rPr>
      </w:pPr>
      <w:r w:rsidRPr="00F10EE6">
        <w:rPr>
          <w:rFonts w:ascii="Times New Roman" w:hAnsi="Times New Roman"/>
          <w:b/>
          <w:bCs/>
          <w:i/>
          <w:iCs/>
          <w:kern w:val="0"/>
          <w:sz w:val="48"/>
          <w:szCs w:val="48"/>
          <w14:ligatures w14:val="none"/>
        </w:rPr>
        <w:t>Lecturer:</w:t>
      </w:r>
      <w:r w:rsidR="003070D7">
        <w:rPr>
          <w:rFonts w:ascii="Times New Roman" w:hAnsi="Times New Roman"/>
          <w:b/>
          <w:bCs/>
          <w:i/>
          <w:iCs/>
          <w:kern w:val="0"/>
          <w:sz w:val="48"/>
          <w:szCs w:val="48"/>
          <w14:ligatures w14:val="none"/>
        </w:rPr>
        <w:t xml:space="preserve"> Ms.</w:t>
      </w:r>
      <w:r w:rsidRPr="00F10EE6">
        <w:rPr>
          <w:rFonts w:ascii="Times New Roman" w:hAnsi="Times New Roman"/>
          <w:b/>
          <w:bCs/>
          <w:i/>
          <w:iCs/>
          <w:kern w:val="0"/>
          <w:sz w:val="48"/>
          <w:szCs w:val="48"/>
          <w14:ligatures w14:val="none"/>
        </w:rPr>
        <w:t xml:space="preserve"> Zainab Atta</w:t>
      </w:r>
    </w:p>
    <w:p w14:paraId="074DA1F9" w14:textId="7BB6CA68" w:rsidR="00033D80" w:rsidRPr="00BD7E3A" w:rsidRDefault="00033D80" w:rsidP="00033D80">
      <w:pPr>
        <w:spacing w:line="360" w:lineRule="auto"/>
        <w:ind w:firstLine="720"/>
        <w:contextualSpacing/>
        <w:jc w:val="center"/>
        <w:rPr>
          <w:rFonts w:ascii="Times New Roman" w:hAnsi="Times New Roman"/>
          <w:b/>
          <w:bCs/>
          <w:kern w:val="0"/>
          <w:sz w:val="44"/>
          <w:szCs w:val="44"/>
          <w14:ligatures w14:val="none"/>
        </w:rPr>
      </w:pPr>
      <w:r w:rsidRPr="00033D80">
        <w:rPr>
          <w:rFonts w:ascii="Times New Roman" w:hAnsi="Times New Roman"/>
          <w:kern w:val="0"/>
          <w:sz w:val="44"/>
          <w:szCs w:val="44"/>
          <w14:ligatures w14:val="none"/>
        </w:rPr>
        <w:t xml:space="preserve"> </w:t>
      </w:r>
      <w:r w:rsidRPr="00033D80">
        <w:rPr>
          <w:rFonts w:ascii="Times New Roman" w:hAnsi="Times New Roman"/>
          <w:b/>
          <w:bCs/>
          <w:kern w:val="0"/>
          <w:sz w:val="44"/>
          <w:szCs w:val="44"/>
          <w14:ligatures w14:val="none"/>
        </w:rPr>
        <w:t xml:space="preserve">Assessment 1 </w:t>
      </w:r>
    </w:p>
    <w:p w14:paraId="16283BBA" w14:textId="77777777" w:rsidR="00FB3935" w:rsidRDefault="00AA784A" w:rsidP="00033D80">
      <w:pPr>
        <w:spacing w:line="360" w:lineRule="auto"/>
        <w:ind w:firstLine="720"/>
        <w:contextualSpacing/>
        <w:jc w:val="center"/>
        <w:rPr>
          <w:rFonts w:ascii="Times New Roman" w:hAnsi="Times New Roman"/>
          <w:b/>
          <w:bCs/>
          <w:kern w:val="0"/>
          <w:sz w:val="40"/>
          <w:szCs w:val="40"/>
          <w14:ligatures w14:val="none"/>
        </w:rPr>
      </w:pPr>
      <w:r w:rsidRPr="00FB3935">
        <w:rPr>
          <w:rFonts w:ascii="Times New Roman" w:hAnsi="Times New Roman"/>
          <w:b/>
          <w:bCs/>
          <w:kern w:val="0"/>
          <w:sz w:val="40"/>
          <w:szCs w:val="40"/>
          <w14:ligatures w14:val="none"/>
        </w:rPr>
        <w:t>Managing Foreign Exchange Risks:</w:t>
      </w:r>
    </w:p>
    <w:p w14:paraId="12841292" w14:textId="057FE2B0" w:rsidR="00325B75" w:rsidRDefault="00AA784A" w:rsidP="00033D80">
      <w:pPr>
        <w:spacing w:line="360" w:lineRule="auto"/>
        <w:ind w:firstLine="720"/>
        <w:contextualSpacing/>
        <w:jc w:val="center"/>
        <w:rPr>
          <w:rFonts w:ascii="Times New Roman" w:hAnsi="Times New Roman"/>
          <w:b/>
          <w:bCs/>
          <w:kern w:val="0"/>
          <w:sz w:val="40"/>
          <w:szCs w:val="40"/>
          <w14:ligatures w14:val="none"/>
        </w:rPr>
      </w:pPr>
      <w:r w:rsidRPr="00FB3935">
        <w:rPr>
          <w:rFonts w:ascii="Times New Roman" w:hAnsi="Times New Roman"/>
          <w:b/>
          <w:bCs/>
          <w:kern w:val="0"/>
          <w:sz w:val="40"/>
          <w:szCs w:val="40"/>
          <w14:ligatures w14:val="none"/>
        </w:rPr>
        <w:t xml:space="preserve"> Strategies for Multinational Corporations</w:t>
      </w:r>
    </w:p>
    <w:p w14:paraId="31B846C6" w14:textId="77777777" w:rsidR="00FB3935" w:rsidRPr="00033D80" w:rsidRDefault="00FB3935" w:rsidP="00033D80">
      <w:pPr>
        <w:spacing w:line="360" w:lineRule="auto"/>
        <w:ind w:firstLine="720"/>
        <w:contextualSpacing/>
        <w:jc w:val="center"/>
        <w:rPr>
          <w:rFonts w:ascii="Times New Roman" w:hAnsi="Times New Roman"/>
          <w:b/>
          <w:bCs/>
          <w:kern w:val="0"/>
          <w:sz w:val="40"/>
          <w:szCs w:val="40"/>
          <w14:ligatures w14:val="none"/>
        </w:rPr>
      </w:pPr>
    </w:p>
    <w:p w14:paraId="5075FAD1" w14:textId="77777777" w:rsidR="00CE121B" w:rsidRPr="00FB3935" w:rsidRDefault="00033D80" w:rsidP="00033D80">
      <w:pPr>
        <w:spacing w:line="360" w:lineRule="auto"/>
        <w:ind w:firstLine="720"/>
        <w:contextualSpacing/>
        <w:jc w:val="center"/>
        <w:rPr>
          <w:rFonts w:ascii="Times New Roman" w:hAnsi="Times New Roman"/>
          <w:b/>
          <w:bCs/>
          <w:kern w:val="0"/>
          <w:sz w:val="40"/>
          <w:szCs w:val="40"/>
          <w14:ligatures w14:val="none"/>
        </w:rPr>
      </w:pPr>
      <w:r w:rsidRPr="00033D80">
        <w:rPr>
          <w:rFonts w:ascii="Times New Roman" w:hAnsi="Times New Roman"/>
          <w:b/>
          <w:bCs/>
          <w:kern w:val="0"/>
          <w:sz w:val="40"/>
          <w:szCs w:val="40"/>
          <w14:ligatures w14:val="none"/>
        </w:rPr>
        <w:t>Student</w:t>
      </w:r>
      <w:r w:rsidR="00CE121B" w:rsidRPr="00FB3935">
        <w:rPr>
          <w:rFonts w:ascii="Times New Roman" w:hAnsi="Times New Roman"/>
          <w:b/>
          <w:bCs/>
          <w:kern w:val="0"/>
          <w:sz w:val="40"/>
          <w:szCs w:val="40"/>
          <w14:ligatures w14:val="none"/>
        </w:rPr>
        <w:t>: Cristina Anton</w:t>
      </w:r>
    </w:p>
    <w:p w14:paraId="484B759E" w14:textId="7DF302A0" w:rsidR="00033D80" w:rsidRPr="00033D80" w:rsidRDefault="00CE121B" w:rsidP="00033D80">
      <w:pPr>
        <w:spacing w:line="360" w:lineRule="auto"/>
        <w:ind w:firstLine="720"/>
        <w:contextualSpacing/>
        <w:jc w:val="center"/>
        <w:rPr>
          <w:rFonts w:ascii="Times New Roman" w:hAnsi="Times New Roman"/>
          <w:b/>
          <w:bCs/>
          <w:kern w:val="0"/>
          <w:sz w:val="40"/>
          <w:szCs w:val="40"/>
          <w14:ligatures w14:val="none"/>
        </w:rPr>
      </w:pPr>
      <w:r w:rsidRPr="00FB3935">
        <w:rPr>
          <w:rFonts w:ascii="Times New Roman" w:hAnsi="Times New Roman"/>
          <w:b/>
          <w:bCs/>
          <w:kern w:val="0"/>
          <w:sz w:val="40"/>
          <w:szCs w:val="40"/>
          <w14:ligatures w14:val="none"/>
        </w:rPr>
        <w:t>ID</w:t>
      </w:r>
      <w:r w:rsidR="00033D80" w:rsidRPr="00033D80">
        <w:rPr>
          <w:rFonts w:ascii="Times New Roman" w:hAnsi="Times New Roman"/>
          <w:b/>
          <w:bCs/>
          <w:kern w:val="0"/>
          <w:sz w:val="40"/>
          <w:szCs w:val="40"/>
          <w14:ligatures w14:val="none"/>
        </w:rPr>
        <w:t xml:space="preserve"> Number</w:t>
      </w:r>
      <w:r w:rsidRPr="00FB3935">
        <w:rPr>
          <w:rFonts w:ascii="Times New Roman" w:hAnsi="Times New Roman"/>
          <w:b/>
          <w:bCs/>
          <w:kern w:val="0"/>
          <w:sz w:val="40"/>
          <w:szCs w:val="40"/>
          <w14:ligatures w14:val="none"/>
        </w:rPr>
        <w:t>: 2112679</w:t>
      </w:r>
    </w:p>
    <w:p w14:paraId="2915C60A" w14:textId="77777777" w:rsidR="00033D80" w:rsidRPr="00033D80" w:rsidRDefault="00033D80" w:rsidP="00033D80">
      <w:pPr>
        <w:spacing w:line="360" w:lineRule="auto"/>
        <w:ind w:firstLine="720"/>
        <w:contextualSpacing/>
        <w:jc w:val="center"/>
        <w:rPr>
          <w:rFonts w:ascii="Times New Roman" w:hAnsi="Times New Roman"/>
          <w:kern w:val="0"/>
          <w:sz w:val="24"/>
          <w14:ligatures w14:val="none"/>
        </w:rPr>
      </w:pPr>
    </w:p>
    <w:p w14:paraId="1FE9F931" w14:textId="77777777" w:rsidR="00033D80" w:rsidRDefault="00033D80" w:rsidP="00033D80">
      <w:pPr>
        <w:keepNext/>
        <w:keepLines/>
        <w:spacing w:before="240" w:line="360" w:lineRule="auto"/>
        <w:contextualSpacing/>
        <w:jc w:val="both"/>
        <w:outlineLvl w:val="0"/>
        <w:rPr>
          <w:rFonts w:ascii="Times New Roman" w:eastAsiaTheme="majorEastAsia" w:hAnsi="Times New Roman"/>
          <w:kern w:val="0"/>
          <w:sz w:val="32"/>
          <w14:ligatures w14:val="none"/>
        </w:rPr>
      </w:pPr>
    </w:p>
    <w:p w14:paraId="7EE9A5AF" w14:textId="77777777" w:rsidR="00033D80" w:rsidRDefault="00033D80" w:rsidP="00033D80">
      <w:pPr>
        <w:keepNext/>
        <w:keepLines/>
        <w:spacing w:before="240" w:line="360" w:lineRule="auto"/>
        <w:contextualSpacing/>
        <w:jc w:val="both"/>
        <w:outlineLvl w:val="0"/>
        <w:rPr>
          <w:rFonts w:ascii="Times New Roman" w:eastAsiaTheme="majorEastAsia" w:hAnsi="Times New Roman"/>
          <w:kern w:val="0"/>
          <w:sz w:val="32"/>
          <w14:ligatures w14:val="none"/>
        </w:rPr>
      </w:pPr>
    </w:p>
    <w:p w14:paraId="4FF54AF9" w14:textId="77777777" w:rsidR="00B93CBE" w:rsidRDefault="00B93CBE" w:rsidP="00033D80">
      <w:pPr>
        <w:keepNext/>
        <w:keepLines/>
        <w:spacing w:before="240" w:line="360" w:lineRule="auto"/>
        <w:contextualSpacing/>
        <w:jc w:val="both"/>
        <w:outlineLvl w:val="0"/>
        <w:rPr>
          <w:rFonts w:ascii="Times New Roman" w:eastAsiaTheme="majorEastAsia" w:hAnsi="Times New Roman"/>
          <w:kern w:val="0"/>
          <w:sz w:val="32"/>
          <w14:ligatures w14:val="none"/>
        </w:rPr>
      </w:pPr>
    </w:p>
    <w:sdt>
      <w:sdtPr>
        <w:rPr>
          <w:rFonts w:asciiTheme="minorHAnsi" w:eastAsiaTheme="minorEastAsia" w:hAnsiTheme="minorHAnsi" w:cs="Times New Roman"/>
          <w:color w:val="auto"/>
          <w:sz w:val="22"/>
          <w:szCs w:val="22"/>
        </w:rPr>
        <w:id w:val="1481038769"/>
        <w:docPartObj>
          <w:docPartGallery w:val="Table of Contents"/>
          <w:docPartUnique/>
        </w:docPartObj>
      </w:sdtPr>
      <w:sdtEndPr/>
      <w:sdtContent>
        <w:p w14:paraId="4887DF30" w14:textId="16DCB54A" w:rsidR="00F43947" w:rsidRDefault="00F43947">
          <w:pPr>
            <w:pStyle w:val="TOCHeading"/>
          </w:pPr>
          <w:r>
            <w:t>Table of Contents</w:t>
          </w:r>
        </w:p>
        <w:p w14:paraId="3D7C65F8" w14:textId="09DF8FCD" w:rsidR="0000253C" w:rsidRDefault="00EB0E91">
          <w:pPr>
            <w:pStyle w:val="TOC1"/>
            <w:rPr>
              <w:b/>
              <w:bCs/>
            </w:rPr>
          </w:pPr>
          <w:r>
            <w:rPr>
              <w:b/>
              <w:bCs/>
            </w:rPr>
            <w:t xml:space="preserve"> </w:t>
          </w:r>
          <w:r w:rsidR="00F43947" w:rsidRPr="00F43947">
            <w:rPr>
              <w:b/>
              <w:bCs/>
            </w:rPr>
            <w:t>1. Introduction……………………………………………………………………………………………………</w:t>
          </w:r>
          <w:r w:rsidR="003739BD">
            <w:rPr>
              <w:b/>
              <w:bCs/>
            </w:rPr>
            <w:t>………………………….</w:t>
          </w:r>
          <w:r w:rsidR="00F43947" w:rsidRPr="00F43947">
            <w:rPr>
              <w:b/>
              <w:bCs/>
            </w:rPr>
            <w:t>3</w:t>
          </w:r>
          <w:r w:rsidR="00F43947">
            <w:rPr>
              <w:b/>
              <w:bCs/>
            </w:rPr>
            <w:t xml:space="preserve"> </w:t>
          </w:r>
        </w:p>
        <w:p w14:paraId="5E8EC313" w14:textId="7862C475" w:rsidR="0000253C" w:rsidRDefault="00EB0E91">
          <w:pPr>
            <w:pStyle w:val="TOC1"/>
            <w:rPr>
              <w:b/>
              <w:bCs/>
            </w:rPr>
          </w:pPr>
          <w:r>
            <w:rPr>
              <w:b/>
              <w:bCs/>
            </w:rPr>
            <w:t xml:space="preserve"> </w:t>
          </w:r>
          <w:r w:rsidR="00F43947" w:rsidRPr="00F43947">
            <w:rPr>
              <w:b/>
              <w:bCs/>
            </w:rPr>
            <w:t>2. MNCs' International Financial Management Roles…………………………………………………………………</w:t>
          </w:r>
          <w:r>
            <w:rPr>
              <w:b/>
              <w:bCs/>
            </w:rPr>
            <w:t>…</w:t>
          </w:r>
          <w:r w:rsidR="001A7B8A">
            <w:rPr>
              <w:b/>
              <w:bCs/>
            </w:rPr>
            <w:t>…</w:t>
          </w:r>
          <w:r w:rsidR="00D14AD2">
            <w:rPr>
              <w:b/>
              <w:bCs/>
            </w:rPr>
            <w:t>4</w:t>
          </w:r>
        </w:p>
        <w:p w14:paraId="69873F74" w14:textId="0017AA81" w:rsidR="0000253C" w:rsidRDefault="00F43947">
          <w:pPr>
            <w:pStyle w:val="TOC1"/>
            <w:rPr>
              <w:b/>
              <w:bCs/>
            </w:rPr>
          </w:pPr>
          <w:r>
            <w:rPr>
              <w:b/>
              <w:bCs/>
            </w:rPr>
            <w:t xml:space="preserve"> </w:t>
          </w:r>
          <w:r w:rsidRPr="00F43947">
            <w:rPr>
              <w:b/>
              <w:bCs/>
            </w:rPr>
            <w:t>3. Theoretical Framework………………………………………………………………………………………………</w:t>
          </w:r>
          <w:r w:rsidR="003739BD">
            <w:rPr>
              <w:b/>
              <w:bCs/>
            </w:rPr>
            <w:t>…………</w:t>
          </w:r>
          <w:r w:rsidR="00EB0E91">
            <w:rPr>
              <w:b/>
              <w:bCs/>
            </w:rPr>
            <w:t>…</w:t>
          </w:r>
          <w:r w:rsidR="001A7B8A">
            <w:rPr>
              <w:b/>
              <w:bCs/>
            </w:rPr>
            <w:t>….</w:t>
          </w:r>
          <w:r w:rsidR="00D14AD2">
            <w:rPr>
              <w:b/>
              <w:bCs/>
            </w:rPr>
            <w:t>4</w:t>
          </w:r>
        </w:p>
        <w:p w14:paraId="2CED37F2" w14:textId="410F254B" w:rsidR="0000253C" w:rsidRDefault="00EB0E91">
          <w:pPr>
            <w:pStyle w:val="TOC1"/>
            <w:rPr>
              <w:b/>
              <w:bCs/>
            </w:rPr>
          </w:pPr>
          <w:r>
            <w:rPr>
              <w:b/>
              <w:bCs/>
            </w:rPr>
            <w:t xml:space="preserve"> </w:t>
          </w:r>
          <w:r w:rsidR="00F43947" w:rsidRPr="00F43947">
            <w:rPr>
              <w:b/>
              <w:bCs/>
            </w:rPr>
            <w:t>4. Challenges in International Markets…………………………………………………………………………………</w:t>
          </w:r>
          <w:r w:rsidR="003739BD">
            <w:rPr>
              <w:b/>
              <w:bCs/>
            </w:rPr>
            <w:t>…………</w:t>
          </w:r>
          <w:r w:rsidR="00F43947" w:rsidRPr="00F43947">
            <w:rPr>
              <w:b/>
              <w:bCs/>
            </w:rPr>
            <w:t>4</w:t>
          </w:r>
        </w:p>
        <w:p w14:paraId="33AC7E02" w14:textId="7D167C18" w:rsidR="0000253C" w:rsidRDefault="00F43947">
          <w:pPr>
            <w:pStyle w:val="TOC1"/>
            <w:rPr>
              <w:b/>
              <w:bCs/>
            </w:rPr>
          </w:pPr>
          <w:r>
            <w:rPr>
              <w:b/>
              <w:bCs/>
            </w:rPr>
            <w:t xml:space="preserve"> </w:t>
          </w:r>
          <w:r w:rsidRPr="00F43947">
            <w:rPr>
              <w:b/>
              <w:bCs/>
            </w:rPr>
            <w:t>5. Strategies for Managing Foreign Exchange Risks…………………………………………………………………...</w:t>
          </w:r>
          <w:r w:rsidR="003739BD">
            <w:rPr>
              <w:b/>
              <w:bCs/>
            </w:rPr>
            <w:t>.....</w:t>
          </w:r>
          <w:r w:rsidR="001A7B8A">
            <w:rPr>
              <w:b/>
              <w:bCs/>
            </w:rPr>
            <w:t>.</w:t>
          </w:r>
          <w:r w:rsidRPr="00F43947">
            <w:rPr>
              <w:b/>
              <w:bCs/>
            </w:rPr>
            <w:t>5</w:t>
          </w:r>
          <w:r>
            <w:rPr>
              <w:b/>
              <w:bCs/>
            </w:rPr>
            <w:t xml:space="preserve"> </w:t>
          </w:r>
          <w:r w:rsidRPr="00F43947">
            <w:rPr>
              <w:b/>
              <w:bCs/>
            </w:rPr>
            <w:t xml:space="preserve"> </w:t>
          </w:r>
        </w:p>
        <w:p w14:paraId="7DD636E1" w14:textId="77777777" w:rsidR="003739BD" w:rsidRDefault="00F43947">
          <w:pPr>
            <w:pStyle w:val="TOC1"/>
            <w:rPr>
              <w:b/>
              <w:bCs/>
            </w:rPr>
          </w:pPr>
          <w:r w:rsidRPr="00F43947">
            <w:rPr>
              <w:b/>
              <w:bCs/>
            </w:rPr>
            <w:t xml:space="preserve"> </w:t>
          </w:r>
          <w:r w:rsidR="003739BD">
            <w:rPr>
              <w:b/>
              <w:bCs/>
            </w:rPr>
            <w:t xml:space="preserve">  </w:t>
          </w:r>
          <w:r w:rsidRPr="00F43947">
            <w:rPr>
              <w:b/>
              <w:bCs/>
            </w:rPr>
            <w:t>5.1. The Evaluation of Strategies for Managing Foreign Exchange Risks…………………………………………6</w:t>
          </w:r>
          <w:r>
            <w:rPr>
              <w:b/>
              <w:bCs/>
            </w:rPr>
            <w:t xml:space="preserve"> </w:t>
          </w:r>
        </w:p>
        <w:p w14:paraId="4C8A104F" w14:textId="396575CB" w:rsidR="0000253C" w:rsidRDefault="00EB0E91">
          <w:pPr>
            <w:pStyle w:val="TOC1"/>
            <w:rPr>
              <w:b/>
              <w:bCs/>
            </w:rPr>
          </w:pPr>
          <w:r>
            <w:rPr>
              <w:b/>
              <w:bCs/>
            </w:rPr>
            <w:t xml:space="preserve"> </w:t>
          </w:r>
          <w:r w:rsidR="0000253C">
            <w:rPr>
              <w:b/>
              <w:bCs/>
            </w:rPr>
            <w:t>6</w:t>
          </w:r>
          <w:r w:rsidR="00F43947" w:rsidRPr="00F43947">
            <w:rPr>
              <w:b/>
              <w:bCs/>
            </w:rPr>
            <w:t>. Integration of IFM Theories and Practical Applications……………………………………………………………</w:t>
          </w:r>
          <w:r w:rsidR="001A7B8A">
            <w:rPr>
              <w:b/>
              <w:bCs/>
            </w:rPr>
            <w:t>….</w:t>
          </w:r>
          <w:r w:rsidR="00F43947" w:rsidRPr="00F43947">
            <w:rPr>
              <w:b/>
              <w:bCs/>
            </w:rPr>
            <w:t>7</w:t>
          </w:r>
          <w:r w:rsidR="00F43947">
            <w:rPr>
              <w:b/>
              <w:bCs/>
            </w:rPr>
            <w:t xml:space="preserve"> </w:t>
          </w:r>
        </w:p>
        <w:p w14:paraId="147E33A7" w14:textId="691EAB84" w:rsidR="0000253C" w:rsidRDefault="00EB0E91">
          <w:pPr>
            <w:pStyle w:val="TOC1"/>
            <w:rPr>
              <w:b/>
              <w:bCs/>
            </w:rPr>
          </w:pPr>
          <w:r>
            <w:rPr>
              <w:b/>
              <w:bCs/>
            </w:rPr>
            <w:t xml:space="preserve"> 7</w:t>
          </w:r>
          <w:r w:rsidR="00F43947" w:rsidRPr="00F43947">
            <w:rPr>
              <w:b/>
              <w:bCs/>
            </w:rPr>
            <w:t>. Regulatory Considerations………………………………………………………………………………………......</w:t>
          </w:r>
          <w:r w:rsidR="003739BD">
            <w:rPr>
              <w:b/>
              <w:bCs/>
            </w:rPr>
            <w:t>..............</w:t>
          </w:r>
          <w:r w:rsidR="00F43947" w:rsidRPr="00F43947">
            <w:rPr>
              <w:b/>
              <w:bCs/>
            </w:rPr>
            <w:t>8</w:t>
          </w:r>
          <w:r w:rsidR="00F43947">
            <w:rPr>
              <w:b/>
              <w:bCs/>
            </w:rPr>
            <w:t xml:space="preserve"> </w:t>
          </w:r>
        </w:p>
        <w:p w14:paraId="607F015B" w14:textId="2F234DDF" w:rsidR="0000253C" w:rsidRDefault="00EB0E91">
          <w:pPr>
            <w:pStyle w:val="TOC1"/>
            <w:rPr>
              <w:b/>
              <w:bCs/>
            </w:rPr>
          </w:pPr>
          <w:r>
            <w:rPr>
              <w:b/>
              <w:bCs/>
            </w:rPr>
            <w:t xml:space="preserve"> 8</w:t>
          </w:r>
          <w:r w:rsidR="00F43947" w:rsidRPr="00F43947">
            <w:rPr>
              <w:b/>
              <w:bCs/>
            </w:rPr>
            <w:t>. Key Findings and Recommendations………………………………………………………………………………</w:t>
          </w:r>
          <w:r w:rsidR="003739BD">
            <w:rPr>
              <w:b/>
              <w:bCs/>
            </w:rPr>
            <w:t>……………</w:t>
          </w:r>
          <w:r w:rsidR="00003A03">
            <w:rPr>
              <w:b/>
              <w:bCs/>
            </w:rPr>
            <w:t>9</w:t>
          </w:r>
          <w:r w:rsidR="00F43947">
            <w:rPr>
              <w:b/>
              <w:bCs/>
            </w:rPr>
            <w:t xml:space="preserve"> </w:t>
          </w:r>
        </w:p>
        <w:p w14:paraId="28B0DDF8" w14:textId="15FDD48F" w:rsidR="0000253C" w:rsidRDefault="00EB0E91">
          <w:pPr>
            <w:pStyle w:val="TOC1"/>
            <w:rPr>
              <w:b/>
              <w:bCs/>
            </w:rPr>
          </w:pPr>
          <w:r>
            <w:rPr>
              <w:b/>
              <w:bCs/>
            </w:rPr>
            <w:t xml:space="preserve"> 9. </w:t>
          </w:r>
          <w:r w:rsidR="00F43947" w:rsidRPr="00F43947">
            <w:rPr>
              <w:b/>
              <w:bCs/>
            </w:rPr>
            <w:t>Conclusion………………………………………………………………………………………………………...</w:t>
          </w:r>
          <w:r w:rsidR="003739BD">
            <w:rPr>
              <w:b/>
              <w:bCs/>
            </w:rPr>
            <w:t>......................</w:t>
          </w:r>
          <w:r w:rsidR="001A7B8A">
            <w:rPr>
              <w:b/>
              <w:bCs/>
            </w:rPr>
            <w:t>..</w:t>
          </w:r>
          <w:r w:rsidR="00003A03">
            <w:rPr>
              <w:b/>
              <w:bCs/>
            </w:rPr>
            <w:t>10</w:t>
          </w:r>
          <w:r w:rsidR="00F43947">
            <w:rPr>
              <w:b/>
              <w:bCs/>
            </w:rPr>
            <w:t xml:space="preserve"> </w:t>
          </w:r>
        </w:p>
        <w:p w14:paraId="7B99B8AC" w14:textId="26407B67" w:rsidR="00372A1C" w:rsidRPr="001A7D9C" w:rsidRDefault="00F43947" w:rsidP="001A7D9C">
          <w:pPr>
            <w:pStyle w:val="TOC1"/>
            <w:rPr>
              <w:b/>
              <w:bCs/>
            </w:rPr>
          </w:pPr>
          <w:r w:rsidRPr="00F43947">
            <w:rPr>
              <w:b/>
              <w:bCs/>
            </w:rPr>
            <w:t>1</w:t>
          </w:r>
          <w:r w:rsidR="00EB0E91">
            <w:rPr>
              <w:b/>
              <w:bCs/>
            </w:rPr>
            <w:t>0</w:t>
          </w:r>
          <w:r w:rsidRPr="00F43947">
            <w:rPr>
              <w:b/>
              <w:bCs/>
            </w:rPr>
            <w:t>. References………………………………………………………………………………………………………</w:t>
          </w:r>
          <w:r w:rsidR="003739BD">
            <w:rPr>
              <w:b/>
              <w:bCs/>
            </w:rPr>
            <w:t>……………………</w:t>
          </w:r>
          <w:r w:rsidR="001A7B8A">
            <w:rPr>
              <w:b/>
              <w:bCs/>
            </w:rPr>
            <w:t>….</w:t>
          </w:r>
          <w:r w:rsidRPr="00F43947">
            <w:rPr>
              <w:b/>
              <w:bCs/>
            </w:rPr>
            <w:t>1</w:t>
          </w:r>
          <w:r w:rsidR="00003A03">
            <w:rPr>
              <w:b/>
              <w:bCs/>
            </w:rPr>
            <w:t>1</w:t>
          </w:r>
        </w:p>
      </w:sdtContent>
    </w:sdt>
    <w:p w14:paraId="2D1C3813" w14:textId="77777777" w:rsidR="00202469" w:rsidRDefault="00202469" w:rsidP="00202469">
      <w:pPr>
        <w:keepNext/>
        <w:keepLines/>
        <w:spacing w:before="240" w:line="360" w:lineRule="auto"/>
        <w:jc w:val="both"/>
        <w:outlineLvl w:val="0"/>
        <w:rPr>
          <w:rFonts w:ascii="Times New Roman" w:eastAsiaTheme="majorEastAsia" w:hAnsi="Times New Roman"/>
          <w:kern w:val="0"/>
          <w:sz w:val="32"/>
          <w14:ligatures w14:val="none"/>
        </w:rPr>
      </w:pPr>
      <w:bookmarkStart w:id="0" w:name="_Toc150778012"/>
    </w:p>
    <w:p w14:paraId="047E22CF" w14:textId="77777777" w:rsidR="00202469" w:rsidRDefault="00202469" w:rsidP="00202469">
      <w:pPr>
        <w:keepNext/>
        <w:keepLines/>
        <w:spacing w:before="240" w:line="360" w:lineRule="auto"/>
        <w:jc w:val="both"/>
        <w:outlineLvl w:val="0"/>
        <w:rPr>
          <w:rFonts w:ascii="Times New Roman" w:eastAsiaTheme="majorEastAsia" w:hAnsi="Times New Roman"/>
          <w:kern w:val="0"/>
          <w:sz w:val="32"/>
          <w14:ligatures w14:val="none"/>
        </w:rPr>
      </w:pPr>
    </w:p>
    <w:p w14:paraId="79170410" w14:textId="77777777" w:rsidR="00202469" w:rsidRDefault="00202469" w:rsidP="00202469">
      <w:pPr>
        <w:keepNext/>
        <w:keepLines/>
        <w:spacing w:before="240" w:line="360" w:lineRule="auto"/>
        <w:jc w:val="both"/>
        <w:outlineLvl w:val="0"/>
        <w:rPr>
          <w:rFonts w:ascii="Times New Roman" w:eastAsiaTheme="majorEastAsia" w:hAnsi="Times New Roman"/>
          <w:kern w:val="0"/>
          <w:sz w:val="32"/>
          <w14:ligatures w14:val="none"/>
        </w:rPr>
      </w:pPr>
    </w:p>
    <w:p w14:paraId="16F82A1D" w14:textId="77777777" w:rsidR="00202469" w:rsidRDefault="00202469" w:rsidP="00202469">
      <w:pPr>
        <w:keepNext/>
        <w:keepLines/>
        <w:spacing w:before="240" w:line="360" w:lineRule="auto"/>
        <w:jc w:val="both"/>
        <w:outlineLvl w:val="0"/>
        <w:rPr>
          <w:rFonts w:ascii="Times New Roman" w:eastAsiaTheme="majorEastAsia" w:hAnsi="Times New Roman"/>
          <w:kern w:val="0"/>
          <w:sz w:val="32"/>
          <w14:ligatures w14:val="none"/>
        </w:rPr>
      </w:pPr>
    </w:p>
    <w:p w14:paraId="48D7C44E" w14:textId="77777777" w:rsidR="00220EC8" w:rsidRDefault="00033D80" w:rsidP="00220EC8">
      <w:pPr>
        <w:pStyle w:val="ListParagraph"/>
        <w:keepNext/>
        <w:keepLines/>
        <w:numPr>
          <w:ilvl w:val="0"/>
          <w:numId w:val="17"/>
        </w:numPr>
        <w:spacing w:before="240" w:line="360" w:lineRule="auto"/>
        <w:jc w:val="both"/>
        <w:outlineLvl w:val="0"/>
        <w:rPr>
          <w:rFonts w:ascii="Times New Roman" w:eastAsiaTheme="majorEastAsia" w:hAnsi="Times New Roman"/>
          <w:b/>
          <w:bCs/>
          <w:kern w:val="0"/>
          <w:sz w:val="32"/>
          <w14:ligatures w14:val="none"/>
        </w:rPr>
      </w:pPr>
      <w:r w:rsidRPr="00220EC8">
        <w:rPr>
          <w:rFonts w:ascii="Times New Roman" w:eastAsiaTheme="majorEastAsia" w:hAnsi="Times New Roman"/>
          <w:b/>
          <w:bCs/>
          <w:kern w:val="0"/>
          <w:sz w:val="32"/>
          <w14:ligatures w14:val="none"/>
        </w:rPr>
        <w:t>Introduction</w:t>
      </w:r>
      <w:bookmarkEnd w:id="0"/>
    </w:p>
    <w:p w14:paraId="00369037" w14:textId="369DC8FE" w:rsidR="00D906BA" w:rsidRPr="00220EC8" w:rsidRDefault="00220EC8" w:rsidP="00220EC8">
      <w:pPr>
        <w:keepNext/>
        <w:keepLines/>
        <w:spacing w:before="240" w:line="360" w:lineRule="auto"/>
        <w:jc w:val="both"/>
        <w:outlineLvl w:val="0"/>
        <w:rPr>
          <w:rFonts w:ascii="Times New Roman" w:eastAsiaTheme="majorEastAsia" w:hAnsi="Times New Roman"/>
          <w:b/>
          <w:bCs/>
          <w:kern w:val="0"/>
          <w:sz w:val="32"/>
          <w14:ligatures w14:val="none"/>
        </w:rPr>
      </w:pPr>
      <w:r>
        <w:rPr>
          <w:rFonts w:ascii="Times New Roman" w:eastAsiaTheme="majorEastAsia" w:hAnsi="Times New Roman"/>
          <w:b/>
          <w:bCs/>
          <w:kern w:val="0"/>
          <w:sz w:val="32"/>
          <w14:ligatures w14:val="none"/>
        </w:rPr>
        <w:t xml:space="preserve">    </w:t>
      </w:r>
      <w:r w:rsidR="00033D80" w:rsidRPr="00220EC8">
        <w:rPr>
          <w:rFonts w:ascii="Times New Roman" w:eastAsiaTheme="majorEastAsia" w:hAnsi="Times New Roman"/>
          <w:b/>
          <w:bCs/>
          <w:kern w:val="0"/>
          <w:sz w:val="32"/>
          <w14:ligatures w14:val="none"/>
        </w:rPr>
        <w:t xml:space="preserve"> </w:t>
      </w:r>
      <w:r w:rsidR="00033D80" w:rsidRPr="00220EC8">
        <w:rPr>
          <w:rFonts w:ascii="Times New Roman" w:hAnsi="Times New Roman"/>
          <w:kern w:val="0"/>
          <w:sz w:val="24"/>
          <w14:ligatures w14:val="none"/>
        </w:rPr>
        <w:t>In the dynamic landscape of international business, managing foreign exchange risks is a crucial aspect for multinational corporations (MNCs). This report explores the various strategies MNCs adopt to mitigate exposure to foreign exchange risks, drawing on extensive literature and empirical evidence. The essay will also include the significance of International Financial Management for MNCs like Standard Chartered. Standard Chartered Plc, along with the evaluation of its Dividend Distribution Policy and methods of appraising projects used by Standard Chartered Plc.  (Standard Chartered Plc, 202</w:t>
      </w:r>
      <w:r w:rsidR="00511578" w:rsidRPr="00220EC8">
        <w:rPr>
          <w:rFonts w:ascii="Times New Roman" w:hAnsi="Times New Roman"/>
          <w:kern w:val="0"/>
          <w:sz w:val="24"/>
          <w14:ligatures w14:val="none"/>
        </w:rPr>
        <w:t>0</w:t>
      </w:r>
      <w:r w:rsidR="00033D80" w:rsidRPr="00220EC8">
        <w:rPr>
          <w:rFonts w:ascii="Times New Roman" w:hAnsi="Times New Roman"/>
          <w:kern w:val="0"/>
          <w:sz w:val="24"/>
          <w14:ligatures w14:val="none"/>
        </w:rPr>
        <w:t xml:space="preserve">). </w:t>
      </w:r>
    </w:p>
    <w:p w14:paraId="6E9EAE95" w14:textId="77777777" w:rsidR="00D906BA" w:rsidRDefault="00D906BA" w:rsidP="00D906BA">
      <w:pPr>
        <w:spacing w:line="276" w:lineRule="auto"/>
        <w:ind w:firstLine="720"/>
        <w:contextualSpacing/>
        <w:jc w:val="both"/>
        <w:rPr>
          <w:rFonts w:ascii="Times New Roman" w:hAnsi="Times New Roman"/>
          <w:kern w:val="0"/>
          <w:sz w:val="24"/>
          <w14:ligatures w14:val="none"/>
        </w:rPr>
      </w:pPr>
    </w:p>
    <w:p w14:paraId="3A5D4419"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553E7493"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3E137C4F"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43453275"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2C8C220A"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0DFB799A"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308CEB7C"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1BF4BBF1"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649A94F5"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6455646B"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2E143EA4"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662C9173"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3C630BC0"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644EBD92"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05C914A5"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71C17972"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564870F1"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0A1119A6"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3C8A0F8A" w14:textId="77777777" w:rsidR="00202469" w:rsidRDefault="00202469" w:rsidP="00D906BA">
      <w:pPr>
        <w:spacing w:line="276" w:lineRule="auto"/>
        <w:ind w:firstLine="720"/>
        <w:contextualSpacing/>
        <w:jc w:val="both"/>
        <w:rPr>
          <w:rFonts w:ascii="Times New Roman" w:hAnsi="Times New Roman"/>
          <w:kern w:val="0"/>
          <w:sz w:val="24"/>
          <w14:ligatures w14:val="none"/>
        </w:rPr>
      </w:pPr>
    </w:p>
    <w:p w14:paraId="2F1D0F35" w14:textId="6C87E7AD" w:rsidR="00D906BA" w:rsidRPr="00220EC8" w:rsidRDefault="00033D80" w:rsidP="00220EC8">
      <w:pPr>
        <w:pStyle w:val="ListParagraph"/>
        <w:numPr>
          <w:ilvl w:val="0"/>
          <w:numId w:val="17"/>
        </w:numPr>
        <w:spacing w:line="276" w:lineRule="auto"/>
        <w:jc w:val="both"/>
        <w:rPr>
          <w:rFonts w:ascii="Times New Roman" w:eastAsiaTheme="majorEastAsia" w:hAnsi="Times New Roman"/>
          <w:b/>
          <w:bCs/>
          <w:kern w:val="0"/>
          <w:sz w:val="32"/>
          <w14:ligatures w14:val="none"/>
        </w:rPr>
      </w:pPr>
      <w:r w:rsidRPr="00220EC8">
        <w:rPr>
          <w:rFonts w:ascii="Times New Roman" w:eastAsiaTheme="majorEastAsia" w:hAnsi="Times New Roman"/>
          <w:b/>
          <w:bCs/>
          <w:kern w:val="0"/>
          <w:sz w:val="32"/>
          <w14:ligatures w14:val="none"/>
        </w:rPr>
        <w:t>Multinationals' International Financial Management Roles</w:t>
      </w:r>
    </w:p>
    <w:p w14:paraId="3391B604" w14:textId="77777777" w:rsidR="00F10EE6" w:rsidRPr="00F10EE6" w:rsidRDefault="00F10EE6" w:rsidP="00F10EE6">
      <w:pPr>
        <w:pStyle w:val="ListParagraph"/>
        <w:spacing w:line="276" w:lineRule="auto"/>
        <w:jc w:val="both"/>
        <w:rPr>
          <w:rFonts w:ascii="Times New Roman" w:hAnsi="Times New Roman"/>
          <w:b/>
          <w:bCs/>
          <w:kern w:val="0"/>
          <w:sz w:val="24"/>
          <w14:ligatures w14:val="none"/>
        </w:rPr>
      </w:pPr>
    </w:p>
    <w:p w14:paraId="76CD457C" w14:textId="2D39421D" w:rsidR="00D906BA" w:rsidRDefault="00F10EE6" w:rsidP="00D906BA">
      <w:pPr>
        <w:spacing w:line="276" w:lineRule="auto"/>
        <w:jc w:val="both"/>
        <w:rPr>
          <w:rFonts w:ascii="Times New Roman" w:eastAsiaTheme="majorEastAsia" w:hAnsi="Times New Roman"/>
          <w:kern w:val="0"/>
          <w:sz w:val="24"/>
          <w:szCs w:val="24"/>
          <w14:ligatures w14:val="none"/>
        </w:rPr>
      </w:pPr>
      <w:r>
        <w:rPr>
          <w:rFonts w:ascii="Times New Roman" w:eastAsiaTheme="majorEastAsia" w:hAnsi="Times New Roman"/>
          <w:kern w:val="0"/>
          <w:sz w:val="24"/>
          <w:szCs w:val="24"/>
          <w14:ligatures w14:val="none"/>
        </w:rPr>
        <w:t xml:space="preserve">          </w:t>
      </w:r>
      <w:r w:rsidR="00033D80" w:rsidRPr="00D906BA">
        <w:rPr>
          <w:rFonts w:ascii="Times New Roman" w:eastAsiaTheme="majorEastAsia" w:hAnsi="Times New Roman"/>
          <w:kern w:val="0"/>
          <w:sz w:val="24"/>
          <w:szCs w:val="24"/>
          <w14:ligatures w14:val="none"/>
        </w:rPr>
        <w:t xml:space="preserve"> MNCs export and import products and services globally. British multinational bank Standard Chartered facilitates these transactions, boosting worldwide commerce. International Financial Management (IFM) manages dividend funding and allocation worldwide. Standard Chartered excels in financial obligations, cross-border dividend transfers, and global capital framework optimisation.</w:t>
      </w:r>
      <w:r w:rsidR="00033D80" w:rsidRPr="00033D80">
        <w:t xml:space="preserve"> </w:t>
      </w:r>
      <w:r w:rsidR="00033D80">
        <w:t>(</w:t>
      </w:r>
      <w:r w:rsidR="00033D80" w:rsidRPr="00D906BA">
        <w:rPr>
          <w:rFonts w:ascii="Times New Roman" w:eastAsiaTheme="majorEastAsia" w:hAnsi="Times New Roman"/>
          <w:kern w:val="0"/>
          <w:sz w:val="24"/>
          <w:szCs w:val="24"/>
          <w14:ligatures w14:val="none"/>
        </w:rPr>
        <w:t xml:space="preserve">Madura </w:t>
      </w:r>
      <w:r w:rsidR="00095B6B">
        <w:rPr>
          <w:rFonts w:ascii="Times New Roman" w:eastAsiaTheme="majorEastAsia" w:hAnsi="Times New Roman"/>
          <w:kern w:val="0"/>
          <w:sz w:val="24"/>
          <w:szCs w:val="24"/>
          <w14:ligatures w14:val="none"/>
        </w:rPr>
        <w:t>et al.</w:t>
      </w:r>
      <w:r w:rsidR="00033D80" w:rsidRPr="00D906BA">
        <w:rPr>
          <w:rFonts w:ascii="Times New Roman" w:eastAsiaTheme="majorEastAsia" w:hAnsi="Times New Roman"/>
          <w:kern w:val="0"/>
          <w:sz w:val="24"/>
          <w:szCs w:val="24"/>
          <w14:ligatures w14:val="none"/>
        </w:rPr>
        <w:t>, 2018</w:t>
      </w:r>
      <w:r w:rsidR="00511578">
        <w:rPr>
          <w:rFonts w:ascii="Times New Roman" w:eastAsiaTheme="majorEastAsia" w:hAnsi="Times New Roman"/>
          <w:kern w:val="0"/>
          <w:sz w:val="24"/>
          <w:szCs w:val="24"/>
          <w14:ligatures w14:val="none"/>
        </w:rPr>
        <w:t>,</w:t>
      </w:r>
      <w:r w:rsidR="00243DEF">
        <w:rPr>
          <w:rFonts w:ascii="Times New Roman" w:eastAsiaTheme="majorEastAsia" w:hAnsi="Times New Roman"/>
          <w:kern w:val="0"/>
          <w:sz w:val="24"/>
          <w:szCs w:val="24"/>
          <w14:ligatures w14:val="none"/>
        </w:rPr>
        <w:t xml:space="preserve"> </w:t>
      </w:r>
      <w:r w:rsidR="009C2A9C">
        <w:rPr>
          <w:rFonts w:ascii="Times New Roman" w:eastAsiaTheme="majorEastAsia" w:hAnsi="Times New Roman"/>
          <w:kern w:val="0"/>
          <w:sz w:val="24"/>
          <w:szCs w:val="24"/>
          <w14:ligatures w14:val="none"/>
        </w:rPr>
        <w:t>p</w:t>
      </w:r>
      <w:r w:rsidR="00243DEF">
        <w:rPr>
          <w:rFonts w:ascii="Times New Roman" w:eastAsiaTheme="majorEastAsia" w:hAnsi="Times New Roman"/>
          <w:kern w:val="0"/>
          <w:sz w:val="24"/>
          <w:szCs w:val="24"/>
          <w14:ligatures w14:val="none"/>
        </w:rPr>
        <w:t>.</w:t>
      </w:r>
      <w:r w:rsidR="009C2A9C">
        <w:rPr>
          <w:rFonts w:ascii="Times New Roman" w:eastAsiaTheme="majorEastAsia" w:hAnsi="Times New Roman"/>
          <w:kern w:val="0"/>
          <w:sz w:val="24"/>
          <w:szCs w:val="24"/>
          <w14:ligatures w14:val="none"/>
        </w:rPr>
        <w:t>1</w:t>
      </w:r>
      <w:r w:rsidR="00243DEF">
        <w:rPr>
          <w:rFonts w:ascii="Times New Roman" w:eastAsiaTheme="majorEastAsia" w:hAnsi="Times New Roman"/>
          <w:kern w:val="0"/>
          <w:sz w:val="24"/>
          <w:szCs w:val="24"/>
          <w14:ligatures w14:val="none"/>
        </w:rPr>
        <w:t>32-139</w:t>
      </w:r>
      <w:r w:rsidR="00D906BA" w:rsidRPr="00D906BA">
        <w:rPr>
          <w:rFonts w:ascii="Times New Roman" w:eastAsiaTheme="majorEastAsia" w:hAnsi="Times New Roman"/>
          <w:kern w:val="0"/>
          <w:sz w:val="24"/>
          <w:szCs w:val="24"/>
          <w14:ligatures w14:val="none"/>
        </w:rPr>
        <w:t>) Standard</w:t>
      </w:r>
      <w:r w:rsidR="00033D80" w:rsidRPr="00D906BA">
        <w:rPr>
          <w:rFonts w:ascii="Times New Roman" w:eastAsiaTheme="majorEastAsia" w:hAnsi="Times New Roman"/>
          <w:kern w:val="0"/>
          <w:sz w:val="24"/>
          <w:szCs w:val="24"/>
          <w14:ligatures w14:val="none"/>
        </w:rPr>
        <w:t xml:space="preserve"> Chartered invests and operates internationally according to market conditions. Multinational corporations (MNCs) actively engage in international financial management (IFM) standards, according to </w:t>
      </w:r>
      <w:r w:rsidR="00773022">
        <w:rPr>
          <w:rFonts w:ascii="Times New Roman" w:eastAsiaTheme="majorEastAsia" w:hAnsi="Times New Roman"/>
          <w:kern w:val="0"/>
          <w:sz w:val="24"/>
          <w:szCs w:val="24"/>
          <w14:ligatures w14:val="none"/>
        </w:rPr>
        <w:t>(</w:t>
      </w:r>
      <w:r w:rsidR="00033D80" w:rsidRPr="00D906BA">
        <w:rPr>
          <w:rFonts w:ascii="Times New Roman" w:eastAsiaTheme="majorEastAsia" w:hAnsi="Times New Roman"/>
          <w:kern w:val="0"/>
          <w:sz w:val="24"/>
          <w:szCs w:val="24"/>
          <w14:ligatures w14:val="none"/>
        </w:rPr>
        <w:t>Titman</w:t>
      </w:r>
      <w:r w:rsidR="00773022">
        <w:rPr>
          <w:rFonts w:ascii="Times New Roman" w:eastAsiaTheme="majorEastAsia" w:hAnsi="Times New Roman"/>
          <w:kern w:val="0"/>
          <w:sz w:val="24"/>
          <w:szCs w:val="24"/>
          <w14:ligatures w14:val="none"/>
        </w:rPr>
        <w:t xml:space="preserve"> et al.,</w:t>
      </w:r>
      <w:r w:rsidR="00033D80" w:rsidRPr="00D906BA">
        <w:rPr>
          <w:rFonts w:ascii="Times New Roman" w:eastAsiaTheme="majorEastAsia" w:hAnsi="Times New Roman"/>
          <w:kern w:val="0"/>
          <w:sz w:val="24"/>
          <w:szCs w:val="24"/>
          <w14:ligatures w14:val="none"/>
        </w:rPr>
        <w:t>2018</w:t>
      </w:r>
      <w:r w:rsidR="00773022">
        <w:rPr>
          <w:rFonts w:ascii="Times New Roman" w:eastAsiaTheme="majorEastAsia" w:hAnsi="Times New Roman"/>
          <w:kern w:val="0"/>
          <w:sz w:val="24"/>
          <w:szCs w:val="24"/>
          <w14:ligatures w14:val="none"/>
        </w:rPr>
        <w:t xml:space="preserve">, </w:t>
      </w:r>
      <w:r w:rsidR="00F43947">
        <w:rPr>
          <w:rFonts w:ascii="Times New Roman" w:eastAsiaTheme="majorEastAsia" w:hAnsi="Times New Roman"/>
          <w:kern w:val="0"/>
          <w:sz w:val="24"/>
          <w:szCs w:val="24"/>
          <w14:ligatures w14:val="none"/>
        </w:rPr>
        <w:t xml:space="preserve">pp. </w:t>
      </w:r>
      <w:r w:rsidR="00DF201A">
        <w:rPr>
          <w:rFonts w:ascii="Times New Roman" w:eastAsiaTheme="majorEastAsia" w:hAnsi="Times New Roman"/>
          <w:kern w:val="0"/>
          <w:sz w:val="24"/>
          <w:szCs w:val="24"/>
          <w14:ligatures w14:val="none"/>
        </w:rPr>
        <w:t>69-81</w:t>
      </w:r>
      <w:r w:rsidR="00DC57FC" w:rsidRPr="00D906BA">
        <w:rPr>
          <w:rFonts w:ascii="Times New Roman" w:eastAsiaTheme="majorEastAsia" w:hAnsi="Times New Roman"/>
          <w:kern w:val="0"/>
          <w:sz w:val="24"/>
          <w:szCs w:val="24"/>
          <w14:ligatures w14:val="none"/>
        </w:rPr>
        <w:t>). IFM</w:t>
      </w:r>
      <w:r w:rsidR="00033D80" w:rsidRPr="00D906BA">
        <w:rPr>
          <w:rFonts w:ascii="Times New Roman" w:eastAsiaTheme="majorEastAsia" w:hAnsi="Times New Roman"/>
          <w:kern w:val="0"/>
          <w:sz w:val="24"/>
          <w:szCs w:val="24"/>
          <w14:ligatures w14:val="none"/>
        </w:rPr>
        <w:t xml:space="preserve"> helps Standard Chartered obtain worldwide debt. Knowing global debt markets helps the bank finance, reduce risks, and strengthen its international capital structure. For educated decision-making, IFM measures inflation, currency, and interest rates, helping Standard Chartered examine global trade data. This experience helps discover growth opportunities and adapt to global corporate developments. Standard Chartered's Annual Reports and Market Analysis show IFM's practicality and value. Credible sources and the bank's reports show how Integrated Financial Management (IFM) may benefit a multinational financial institution's global operations</w:t>
      </w:r>
      <w:r w:rsidR="00F43947">
        <w:rPr>
          <w:rFonts w:ascii="Times New Roman" w:eastAsiaTheme="majorEastAsia" w:hAnsi="Times New Roman"/>
          <w:kern w:val="0"/>
          <w:sz w:val="24"/>
          <w:szCs w:val="24"/>
          <w14:ligatures w14:val="none"/>
        </w:rPr>
        <w:t>.</w:t>
      </w:r>
      <w:r w:rsidR="00033D80" w:rsidRPr="00D906BA">
        <w:rPr>
          <w:rFonts w:ascii="Times New Roman" w:eastAsiaTheme="majorEastAsia" w:hAnsi="Times New Roman"/>
          <w:kern w:val="0"/>
          <w:sz w:val="24"/>
          <w:szCs w:val="24"/>
          <w14:ligatures w14:val="none"/>
        </w:rPr>
        <w:t xml:space="preserve"> MNCs like Standard Chartered value International Financial Management, which the report will discuss and evaluate Standard Chartered Plc's Dividend Distribution Policy and project appraisal procedures.</w:t>
      </w:r>
    </w:p>
    <w:p w14:paraId="712A460F" w14:textId="77777777" w:rsidR="00F43947" w:rsidRDefault="00F43947" w:rsidP="00D906BA">
      <w:pPr>
        <w:spacing w:line="276" w:lineRule="auto"/>
        <w:jc w:val="both"/>
        <w:rPr>
          <w:rFonts w:ascii="Times New Roman" w:hAnsi="Times New Roman"/>
          <w:kern w:val="0"/>
          <w:sz w:val="24"/>
          <w14:ligatures w14:val="none"/>
        </w:rPr>
      </w:pPr>
    </w:p>
    <w:p w14:paraId="009B8E8C" w14:textId="12CFD1D5" w:rsidR="00F43947" w:rsidRPr="00F43947" w:rsidRDefault="00D906BA" w:rsidP="00220EC8">
      <w:pPr>
        <w:pStyle w:val="ListParagraph"/>
        <w:numPr>
          <w:ilvl w:val="0"/>
          <w:numId w:val="17"/>
        </w:numPr>
        <w:spacing w:line="276" w:lineRule="auto"/>
        <w:jc w:val="both"/>
        <w:rPr>
          <w:rFonts w:ascii="Times New Roman" w:hAnsi="Times New Roman"/>
          <w:b/>
          <w:bCs/>
          <w:kern w:val="0"/>
          <w:sz w:val="32"/>
          <w:szCs w:val="32"/>
          <w14:ligatures w14:val="none"/>
        </w:rPr>
      </w:pPr>
      <w:r w:rsidRPr="00F10EE6">
        <w:rPr>
          <w:rFonts w:ascii="Times New Roman" w:hAnsi="Times New Roman"/>
          <w:b/>
          <w:bCs/>
          <w:kern w:val="0"/>
          <w:sz w:val="32"/>
          <w:szCs w:val="32"/>
          <w14:ligatures w14:val="none"/>
        </w:rPr>
        <w:t>Theoretical Framework</w:t>
      </w:r>
    </w:p>
    <w:p w14:paraId="56454E39" w14:textId="2DBD6103" w:rsidR="00033D80" w:rsidRDefault="00024CB1" w:rsidP="00D906BA">
      <w:pPr>
        <w:spacing w:line="276" w:lineRule="auto"/>
        <w:jc w:val="both"/>
        <w:rPr>
          <w:rFonts w:ascii="Times New Roman" w:hAnsi="Times New Roman"/>
          <w:kern w:val="0"/>
          <w:sz w:val="24"/>
          <w14:ligatures w14:val="none"/>
        </w:rPr>
      </w:pPr>
      <w:r>
        <w:rPr>
          <w:rFonts w:ascii="Times New Roman" w:hAnsi="Times New Roman"/>
          <w:kern w:val="0"/>
          <w:sz w:val="24"/>
          <w14:ligatures w14:val="none"/>
        </w:rPr>
        <w:t xml:space="preserve">      </w:t>
      </w:r>
      <w:r w:rsidR="00D906BA" w:rsidRPr="00D906BA">
        <w:rPr>
          <w:rFonts w:ascii="Times New Roman" w:hAnsi="Times New Roman"/>
          <w:kern w:val="0"/>
          <w:sz w:val="24"/>
          <w14:ligatures w14:val="none"/>
        </w:rPr>
        <w:t xml:space="preserve">Assessing the relevance of international financial management (IFM) to Standard Chartered Plc involves critical concepts in IFM theories, identifying foreign exchange risks and MNCs' roles in managing them. The function of MNCs in international funding must be understood. MNCs like Standard Chartered Plc manage foreign currency markets. </w:t>
      </w:r>
      <w:r w:rsidR="00DF201A">
        <w:rPr>
          <w:rFonts w:ascii="Times New Roman" w:hAnsi="Times New Roman"/>
          <w:kern w:val="0"/>
          <w:sz w:val="24"/>
          <w14:ligatures w14:val="none"/>
        </w:rPr>
        <w:t>(</w:t>
      </w:r>
      <w:r w:rsidR="00D906BA" w:rsidRPr="00D906BA">
        <w:rPr>
          <w:rFonts w:ascii="Times New Roman" w:hAnsi="Times New Roman"/>
          <w:kern w:val="0"/>
          <w:sz w:val="24"/>
          <w14:ligatures w14:val="none"/>
        </w:rPr>
        <w:t>Titman, Keown, and Martin</w:t>
      </w:r>
      <w:r w:rsidR="00DF201A">
        <w:rPr>
          <w:rFonts w:ascii="Times New Roman" w:hAnsi="Times New Roman"/>
          <w:kern w:val="0"/>
          <w:sz w:val="24"/>
          <w14:ligatures w14:val="none"/>
        </w:rPr>
        <w:t>,</w:t>
      </w:r>
      <w:r w:rsidR="00D906BA" w:rsidRPr="00D906BA">
        <w:rPr>
          <w:rFonts w:ascii="Times New Roman" w:hAnsi="Times New Roman"/>
          <w:kern w:val="0"/>
          <w:sz w:val="24"/>
          <w14:ligatures w14:val="none"/>
        </w:rPr>
        <w:t>2018</w:t>
      </w:r>
      <w:r w:rsidR="00DF201A">
        <w:rPr>
          <w:rFonts w:ascii="Times New Roman" w:hAnsi="Times New Roman"/>
          <w:kern w:val="0"/>
          <w:sz w:val="24"/>
          <w14:ligatures w14:val="none"/>
        </w:rPr>
        <w:t>, p 182</w:t>
      </w:r>
      <w:r w:rsidR="00736CC0">
        <w:rPr>
          <w:rFonts w:ascii="Times New Roman" w:hAnsi="Times New Roman"/>
          <w:kern w:val="0"/>
          <w:sz w:val="24"/>
          <w14:ligatures w14:val="none"/>
        </w:rPr>
        <w:t>-186</w:t>
      </w:r>
      <w:r w:rsidR="00D906BA" w:rsidRPr="00D906BA">
        <w:rPr>
          <w:rFonts w:ascii="Times New Roman" w:hAnsi="Times New Roman"/>
          <w:kern w:val="0"/>
          <w:sz w:val="24"/>
          <w14:ligatures w14:val="none"/>
        </w:rPr>
        <w:t xml:space="preserve">) list MNCs' exporting, importing, dividend remittance, and money market investing operations. Additionally, </w:t>
      </w:r>
      <w:r w:rsidR="00736CC0">
        <w:rPr>
          <w:rFonts w:ascii="Times New Roman" w:hAnsi="Times New Roman"/>
          <w:kern w:val="0"/>
          <w:sz w:val="24"/>
          <w14:ligatures w14:val="none"/>
        </w:rPr>
        <w:t>(</w:t>
      </w:r>
      <w:r w:rsidR="00D906BA" w:rsidRPr="00D906BA">
        <w:rPr>
          <w:rFonts w:ascii="Times New Roman" w:hAnsi="Times New Roman"/>
          <w:kern w:val="0"/>
          <w:sz w:val="24"/>
          <w14:ligatures w14:val="none"/>
        </w:rPr>
        <w:t>Madura</w:t>
      </w:r>
      <w:r w:rsidR="00736CC0">
        <w:rPr>
          <w:rFonts w:ascii="Times New Roman" w:hAnsi="Times New Roman"/>
          <w:kern w:val="0"/>
          <w:sz w:val="24"/>
          <w14:ligatures w14:val="none"/>
        </w:rPr>
        <w:t xml:space="preserve"> et al..</w:t>
      </w:r>
      <w:r w:rsidR="00D906BA" w:rsidRPr="00D906BA">
        <w:rPr>
          <w:rFonts w:ascii="Times New Roman" w:hAnsi="Times New Roman"/>
          <w:kern w:val="0"/>
          <w:sz w:val="24"/>
          <w14:ligatures w14:val="none"/>
        </w:rPr>
        <w:t>2018</w:t>
      </w:r>
      <w:r w:rsidR="002B5BE4">
        <w:rPr>
          <w:rFonts w:ascii="Times New Roman" w:hAnsi="Times New Roman"/>
          <w:kern w:val="0"/>
          <w:sz w:val="24"/>
          <w14:ligatures w14:val="none"/>
        </w:rPr>
        <w:t>, p.81</w:t>
      </w:r>
      <w:r w:rsidR="007703DD">
        <w:rPr>
          <w:rFonts w:ascii="Times New Roman" w:hAnsi="Times New Roman"/>
          <w:kern w:val="0"/>
          <w:sz w:val="24"/>
          <w14:ligatures w14:val="none"/>
        </w:rPr>
        <w:t>-85</w:t>
      </w:r>
      <w:r w:rsidR="00D906BA" w:rsidRPr="00D906BA">
        <w:rPr>
          <w:rFonts w:ascii="Times New Roman" w:hAnsi="Times New Roman"/>
          <w:kern w:val="0"/>
          <w:sz w:val="24"/>
          <w14:ligatures w14:val="none"/>
        </w:rPr>
        <w:t xml:space="preserve">) found that international financial management guides the four managerial functions of planning, regulating, organising, and decision-making. Standard Chartered's involvement makes IFM comprehension crucial, particularly for international debt securities and country positions and economic variables like inflation, currency rate, and interest rates. According to </w:t>
      </w:r>
      <w:r w:rsidR="00515F31">
        <w:rPr>
          <w:rFonts w:ascii="Times New Roman" w:hAnsi="Times New Roman"/>
          <w:kern w:val="0"/>
          <w:sz w:val="24"/>
          <w14:ligatures w14:val="none"/>
        </w:rPr>
        <w:t>(</w:t>
      </w:r>
      <w:r w:rsidR="00D906BA" w:rsidRPr="00D906BA">
        <w:rPr>
          <w:rFonts w:ascii="Times New Roman" w:hAnsi="Times New Roman"/>
          <w:kern w:val="0"/>
          <w:sz w:val="24"/>
          <w14:ligatures w14:val="none"/>
        </w:rPr>
        <w:t>Eun</w:t>
      </w:r>
      <w:r w:rsidR="00515F31">
        <w:rPr>
          <w:rFonts w:ascii="Times New Roman" w:hAnsi="Times New Roman"/>
          <w:kern w:val="0"/>
          <w:sz w:val="24"/>
          <w14:ligatures w14:val="none"/>
        </w:rPr>
        <w:t xml:space="preserve"> et al., </w:t>
      </w:r>
      <w:r w:rsidR="00D906BA" w:rsidRPr="00D906BA">
        <w:rPr>
          <w:rFonts w:ascii="Times New Roman" w:hAnsi="Times New Roman"/>
          <w:kern w:val="0"/>
          <w:sz w:val="24"/>
          <w14:ligatures w14:val="none"/>
        </w:rPr>
        <w:t>2021</w:t>
      </w:r>
      <w:r w:rsidR="00515F31">
        <w:rPr>
          <w:rFonts w:ascii="Times New Roman" w:hAnsi="Times New Roman"/>
          <w:kern w:val="0"/>
          <w:sz w:val="24"/>
          <w14:ligatures w14:val="none"/>
        </w:rPr>
        <w:t xml:space="preserve">, </w:t>
      </w:r>
      <w:r w:rsidR="002B5BE4">
        <w:rPr>
          <w:rFonts w:ascii="Times New Roman" w:hAnsi="Times New Roman"/>
          <w:kern w:val="0"/>
          <w:sz w:val="24"/>
          <w14:ligatures w14:val="none"/>
        </w:rPr>
        <w:t>pp.</w:t>
      </w:r>
      <w:r w:rsidR="006F0CCF">
        <w:rPr>
          <w:rFonts w:ascii="Times New Roman" w:hAnsi="Times New Roman"/>
          <w:kern w:val="0"/>
          <w:sz w:val="24"/>
          <w14:ligatures w14:val="none"/>
        </w:rPr>
        <w:t xml:space="preserve"> 112-120</w:t>
      </w:r>
      <w:r w:rsidR="00D906BA" w:rsidRPr="00D906BA">
        <w:rPr>
          <w:rFonts w:ascii="Times New Roman" w:hAnsi="Times New Roman"/>
          <w:kern w:val="0"/>
          <w:sz w:val="24"/>
          <w14:ligatures w14:val="none"/>
        </w:rPr>
        <w:t xml:space="preserve">), these aspects most significantly evaluate international market trends to invest customers' money. Standard Chartered Plc may also use international financial management worldwide trade data to find new growth areas. </w:t>
      </w:r>
      <w:r w:rsidR="0025621F">
        <w:rPr>
          <w:rFonts w:ascii="Times New Roman" w:hAnsi="Times New Roman"/>
          <w:kern w:val="0"/>
          <w:sz w:val="24"/>
          <w14:ligatures w14:val="none"/>
        </w:rPr>
        <w:t>(</w:t>
      </w:r>
      <w:r w:rsidR="00D906BA" w:rsidRPr="00D906BA">
        <w:rPr>
          <w:rFonts w:ascii="Times New Roman" w:hAnsi="Times New Roman"/>
          <w:kern w:val="0"/>
          <w:sz w:val="24"/>
          <w14:ligatures w14:val="none"/>
        </w:rPr>
        <w:t>Agung</w:t>
      </w:r>
      <w:r w:rsidR="0025621F">
        <w:rPr>
          <w:rFonts w:ascii="Times New Roman" w:hAnsi="Times New Roman"/>
          <w:kern w:val="0"/>
          <w:sz w:val="24"/>
          <w14:ligatures w14:val="none"/>
        </w:rPr>
        <w:t xml:space="preserve"> et al., </w:t>
      </w:r>
      <w:r w:rsidR="00D906BA" w:rsidRPr="00D906BA">
        <w:rPr>
          <w:rFonts w:ascii="Times New Roman" w:hAnsi="Times New Roman"/>
          <w:kern w:val="0"/>
          <w:sz w:val="24"/>
          <w14:ligatures w14:val="none"/>
        </w:rPr>
        <w:t>2021</w:t>
      </w:r>
      <w:r w:rsidR="0025621F">
        <w:rPr>
          <w:rFonts w:ascii="Times New Roman" w:hAnsi="Times New Roman"/>
          <w:kern w:val="0"/>
          <w:sz w:val="24"/>
          <w14:ligatures w14:val="none"/>
        </w:rPr>
        <w:t>, p.</w:t>
      </w:r>
      <w:r w:rsidR="002B5BE4">
        <w:rPr>
          <w:rFonts w:ascii="Times New Roman" w:hAnsi="Times New Roman"/>
          <w:kern w:val="0"/>
          <w:sz w:val="24"/>
          <w14:ligatures w14:val="none"/>
        </w:rPr>
        <w:t xml:space="preserve"> 5</w:t>
      </w:r>
      <w:r w:rsidR="00D906BA" w:rsidRPr="00D906BA">
        <w:rPr>
          <w:rFonts w:ascii="Times New Roman" w:hAnsi="Times New Roman"/>
          <w:kern w:val="0"/>
          <w:sz w:val="24"/>
          <w14:ligatures w14:val="none"/>
        </w:rPr>
        <w:t xml:space="preserve">) contribute empirical evidence to the theoretical </w:t>
      </w:r>
      <w:r w:rsidR="00D906BA" w:rsidRPr="00D906BA">
        <w:rPr>
          <w:rFonts w:ascii="Times New Roman" w:hAnsi="Times New Roman"/>
          <w:kern w:val="0"/>
          <w:sz w:val="24"/>
          <w14:ligatures w14:val="none"/>
        </w:rPr>
        <w:lastRenderedPageBreak/>
        <w:t>discourse on dividends. Insights from these studies enrich the evaluation of how Standard Chartered aligns with or deviates from prevailing dividend theories.</w:t>
      </w:r>
    </w:p>
    <w:p w14:paraId="593B1DA2" w14:textId="77777777" w:rsidR="00F43947" w:rsidRDefault="00F43947" w:rsidP="00D906BA">
      <w:pPr>
        <w:spacing w:line="276" w:lineRule="auto"/>
        <w:jc w:val="both"/>
        <w:rPr>
          <w:rFonts w:ascii="Times New Roman" w:hAnsi="Times New Roman"/>
          <w:kern w:val="0"/>
          <w:sz w:val="24"/>
          <w14:ligatures w14:val="none"/>
        </w:rPr>
      </w:pPr>
    </w:p>
    <w:p w14:paraId="3BAFEC29" w14:textId="4EB40063" w:rsidR="00024CB1" w:rsidRPr="00CB106D" w:rsidRDefault="00D906BA" w:rsidP="00220EC8">
      <w:pPr>
        <w:pStyle w:val="ListParagraph"/>
        <w:numPr>
          <w:ilvl w:val="0"/>
          <w:numId w:val="17"/>
        </w:numPr>
        <w:spacing w:line="276" w:lineRule="auto"/>
        <w:jc w:val="both"/>
        <w:rPr>
          <w:rFonts w:ascii="Times New Roman" w:hAnsi="Times New Roman"/>
          <w:b/>
          <w:bCs/>
          <w:kern w:val="0"/>
          <w:sz w:val="32"/>
          <w:szCs w:val="32"/>
          <w14:ligatures w14:val="none"/>
        </w:rPr>
      </w:pPr>
      <w:r w:rsidRPr="00CB106D">
        <w:rPr>
          <w:rFonts w:ascii="Times New Roman" w:hAnsi="Times New Roman"/>
          <w:b/>
          <w:bCs/>
          <w:kern w:val="0"/>
          <w:sz w:val="32"/>
          <w:szCs w:val="32"/>
          <w14:ligatures w14:val="none"/>
        </w:rPr>
        <w:t>Challenges in International Markets</w:t>
      </w:r>
    </w:p>
    <w:p w14:paraId="4C395663" w14:textId="77777777" w:rsidR="00CB106D" w:rsidRPr="00CB106D" w:rsidRDefault="00CB106D" w:rsidP="00CB106D">
      <w:pPr>
        <w:pStyle w:val="ListParagraph"/>
        <w:spacing w:line="276" w:lineRule="auto"/>
        <w:jc w:val="both"/>
        <w:rPr>
          <w:rFonts w:ascii="Times New Roman" w:hAnsi="Times New Roman"/>
          <w:b/>
          <w:bCs/>
          <w:kern w:val="0"/>
          <w:sz w:val="32"/>
          <w:szCs w:val="32"/>
          <w14:ligatures w14:val="none"/>
        </w:rPr>
      </w:pPr>
    </w:p>
    <w:p w14:paraId="05965E27" w14:textId="7614E2E6" w:rsidR="00D906BA" w:rsidRPr="00D906BA" w:rsidRDefault="00024CB1" w:rsidP="00D906BA">
      <w:pPr>
        <w:spacing w:line="276" w:lineRule="auto"/>
        <w:jc w:val="both"/>
        <w:rPr>
          <w:rFonts w:ascii="Times New Roman" w:hAnsi="Times New Roman"/>
          <w:kern w:val="0"/>
          <w:sz w:val="24"/>
          <w14:ligatures w14:val="none"/>
        </w:rPr>
      </w:pPr>
      <w:r>
        <w:rPr>
          <w:rFonts w:ascii="Times New Roman" w:hAnsi="Times New Roman"/>
          <w:kern w:val="0"/>
          <w:sz w:val="24"/>
          <w14:ligatures w14:val="none"/>
        </w:rPr>
        <w:t xml:space="preserve">      </w:t>
      </w:r>
      <w:r w:rsidR="00D906BA" w:rsidRPr="00D906BA">
        <w:rPr>
          <w:rFonts w:ascii="Times New Roman" w:hAnsi="Times New Roman"/>
          <w:kern w:val="0"/>
          <w:sz w:val="24"/>
          <w14:ligatures w14:val="none"/>
        </w:rPr>
        <w:t>Standard Chartered and other worldwide corporations face cultural differences, regulatory issues, and agency issues in international countries. Since they include cultural adaptation, localising services, and political uncertainty, these issues need strategic solutions.</w:t>
      </w:r>
    </w:p>
    <w:p w14:paraId="3733D88F" w14:textId="000B57DE" w:rsidR="00D906BA" w:rsidRPr="00D906BA" w:rsidRDefault="00D906BA" w:rsidP="00D906BA">
      <w:pPr>
        <w:spacing w:line="276" w:lineRule="auto"/>
        <w:jc w:val="both"/>
        <w:rPr>
          <w:rFonts w:ascii="Times New Roman" w:hAnsi="Times New Roman"/>
          <w:kern w:val="0"/>
          <w:sz w:val="24"/>
          <w14:ligatures w14:val="none"/>
        </w:rPr>
      </w:pPr>
      <w:r w:rsidRPr="00D906BA">
        <w:rPr>
          <w:rFonts w:ascii="Times New Roman" w:hAnsi="Times New Roman"/>
          <w:kern w:val="0"/>
          <w:sz w:val="24"/>
          <w14:ligatures w14:val="none"/>
        </w:rPr>
        <w:t xml:space="preserve">The bank must tailor its approach to each region's culture to succeed in the market and with customers. In this process, cultural diversity is critical. Financial services must adapt to regional preferences for long-term success. </w:t>
      </w:r>
      <w:r w:rsidR="0025621F">
        <w:rPr>
          <w:rFonts w:ascii="Times New Roman" w:hAnsi="Times New Roman"/>
          <w:kern w:val="0"/>
          <w:sz w:val="24"/>
          <w14:ligatures w14:val="none"/>
        </w:rPr>
        <w:t>(</w:t>
      </w:r>
      <w:r w:rsidRPr="00D906BA">
        <w:rPr>
          <w:rFonts w:ascii="Times New Roman" w:hAnsi="Times New Roman"/>
          <w:kern w:val="0"/>
          <w:sz w:val="24"/>
          <w14:ligatures w14:val="none"/>
        </w:rPr>
        <w:t>Arnold, Lewis, and Lewis</w:t>
      </w:r>
      <w:r w:rsidR="0025621F">
        <w:rPr>
          <w:rFonts w:ascii="Times New Roman" w:hAnsi="Times New Roman"/>
          <w:kern w:val="0"/>
          <w:sz w:val="24"/>
          <w14:ligatures w14:val="none"/>
        </w:rPr>
        <w:t xml:space="preserve">, </w:t>
      </w:r>
      <w:r w:rsidRPr="00D906BA">
        <w:rPr>
          <w:rFonts w:ascii="Times New Roman" w:hAnsi="Times New Roman"/>
          <w:kern w:val="0"/>
          <w:sz w:val="24"/>
          <w14:ligatures w14:val="none"/>
        </w:rPr>
        <w:t>2019</w:t>
      </w:r>
      <w:r w:rsidR="0025621F">
        <w:rPr>
          <w:rFonts w:ascii="Times New Roman" w:hAnsi="Times New Roman"/>
          <w:kern w:val="0"/>
          <w:sz w:val="24"/>
          <w14:ligatures w14:val="none"/>
        </w:rPr>
        <w:t>, p. 264</w:t>
      </w:r>
      <w:r w:rsidRPr="00D906BA">
        <w:rPr>
          <w:rFonts w:ascii="Times New Roman" w:hAnsi="Times New Roman"/>
          <w:kern w:val="0"/>
          <w:sz w:val="24"/>
          <w14:ligatures w14:val="none"/>
        </w:rPr>
        <w:t xml:space="preserve">) </w:t>
      </w:r>
      <w:r w:rsidR="00F43947">
        <w:rPr>
          <w:rFonts w:ascii="Times New Roman" w:hAnsi="Times New Roman"/>
          <w:kern w:val="0"/>
          <w:sz w:val="24"/>
          <w14:ligatures w14:val="none"/>
        </w:rPr>
        <w:t>Furthermore,</w:t>
      </w:r>
      <w:r w:rsidRPr="00D906BA">
        <w:rPr>
          <w:rFonts w:ascii="Times New Roman" w:hAnsi="Times New Roman"/>
          <w:kern w:val="0"/>
          <w:sz w:val="24"/>
          <w14:ligatures w14:val="none"/>
        </w:rPr>
        <w:t xml:space="preserve"> Standard Chartered case studies may help explain the issues.</w:t>
      </w:r>
    </w:p>
    <w:p w14:paraId="5B07AD81" w14:textId="620970F5" w:rsidR="00D906BA" w:rsidRPr="00D906BA" w:rsidRDefault="00D906BA" w:rsidP="00D906BA">
      <w:pPr>
        <w:spacing w:line="276" w:lineRule="auto"/>
        <w:jc w:val="both"/>
        <w:rPr>
          <w:rFonts w:ascii="Times New Roman" w:hAnsi="Times New Roman"/>
          <w:kern w:val="0"/>
          <w:sz w:val="24"/>
          <w14:ligatures w14:val="none"/>
        </w:rPr>
      </w:pPr>
      <w:r w:rsidRPr="00D906BA">
        <w:rPr>
          <w:rFonts w:ascii="Times New Roman" w:hAnsi="Times New Roman"/>
          <w:kern w:val="0"/>
          <w:sz w:val="24"/>
          <w14:ligatures w14:val="none"/>
        </w:rPr>
        <w:t xml:space="preserve">Maintaining compliance with global legal and regulatory systems takes much work. The bank must navigate complex restrictions to satisfy ethical and regulatory requirements. Political </w:t>
      </w:r>
      <w:r w:rsidR="0028269D" w:rsidRPr="00D906BA">
        <w:rPr>
          <w:rFonts w:ascii="Times New Roman" w:hAnsi="Times New Roman"/>
          <w:kern w:val="0"/>
          <w:sz w:val="24"/>
          <w14:ligatures w14:val="none"/>
        </w:rPr>
        <w:t>risks, sustaining</w:t>
      </w:r>
      <w:r w:rsidRPr="00D906BA">
        <w:rPr>
          <w:rFonts w:ascii="Times New Roman" w:hAnsi="Times New Roman"/>
          <w:kern w:val="0"/>
          <w:sz w:val="24"/>
          <w14:ligatures w14:val="none"/>
        </w:rPr>
        <w:t xml:space="preserve"> political stability, adjusting to regulatory changes, and managing global events need careful consideration.</w:t>
      </w:r>
    </w:p>
    <w:p w14:paraId="5098199C" w14:textId="5D3EBD33" w:rsidR="00D906BA" w:rsidRPr="00D906BA" w:rsidRDefault="00D906BA" w:rsidP="00D906BA">
      <w:pPr>
        <w:spacing w:line="276" w:lineRule="auto"/>
        <w:jc w:val="both"/>
        <w:rPr>
          <w:rFonts w:ascii="Times New Roman" w:hAnsi="Times New Roman"/>
          <w:kern w:val="0"/>
          <w:sz w:val="24"/>
          <w14:ligatures w14:val="none"/>
        </w:rPr>
      </w:pPr>
      <w:r w:rsidRPr="00D906BA">
        <w:rPr>
          <w:rFonts w:ascii="Times New Roman" w:hAnsi="Times New Roman"/>
          <w:kern w:val="0"/>
          <w:sz w:val="24"/>
          <w14:ligatures w14:val="none"/>
        </w:rPr>
        <w:t>The agency problem, which emerges from management and stockholders having different goals, is exacerbated in MNCs like Standard Chartered. This situation is because managing numerous stakeholders' interests across several places takes time and effort</w:t>
      </w:r>
      <w:r w:rsidR="00334227">
        <w:rPr>
          <w:rFonts w:ascii="Times New Roman" w:hAnsi="Times New Roman"/>
          <w:kern w:val="0"/>
          <w:sz w:val="24"/>
          <w14:ligatures w14:val="none"/>
        </w:rPr>
        <w:t xml:space="preserve"> (</w:t>
      </w:r>
      <w:r w:rsidR="0028269D" w:rsidRPr="0028269D">
        <w:rPr>
          <w:rFonts w:ascii="Times New Roman" w:hAnsi="Times New Roman"/>
          <w:kern w:val="0"/>
          <w:sz w:val="24"/>
          <w14:ligatures w14:val="none"/>
        </w:rPr>
        <w:t>Arnold</w:t>
      </w:r>
      <w:r w:rsidR="00334227">
        <w:rPr>
          <w:rFonts w:ascii="Times New Roman" w:hAnsi="Times New Roman"/>
          <w:kern w:val="0"/>
          <w:sz w:val="24"/>
          <w14:ligatures w14:val="none"/>
        </w:rPr>
        <w:t xml:space="preserve">, </w:t>
      </w:r>
      <w:r w:rsidR="0028269D" w:rsidRPr="0028269D">
        <w:rPr>
          <w:rFonts w:ascii="Times New Roman" w:hAnsi="Times New Roman"/>
          <w:kern w:val="0"/>
          <w:sz w:val="24"/>
          <w14:ligatures w14:val="none"/>
        </w:rPr>
        <w:t>2007</w:t>
      </w:r>
      <w:r w:rsidR="00334227">
        <w:rPr>
          <w:rFonts w:ascii="Times New Roman" w:hAnsi="Times New Roman"/>
          <w:kern w:val="0"/>
          <w:sz w:val="24"/>
          <w14:ligatures w14:val="none"/>
        </w:rPr>
        <w:t xml:space="preserve">, </w:t>
      </w:r>
      <w:r w:rsidR="0025621F">
        <w:rPr>
          <w:rFonts w:ascii="Times New Roman" w:hAnsi="Times New Roman"/>
          <w:kern w:val="0"/>
          <w:sz w:val="24"/>
          <w14:ligatures w14:val="none"/>
        </w:rPr>
        <w:t>p. 121</w:t>
      </w:r>
      <w:r w:rsidR="0028269D" w:rsidRPr="0028269D">
        <w:rPr>
          <w:rFonts w:ascii="Times New Roman" w:hAnsi="Times New Roman"/>
          <w:kern w:val="0"/>
          <w:sz w:val="24"/>
          <w14:ligatures w14:val="none"/>
        </w:rPr>
        <w:t>)</w:t>
      </w:r>
      <w:r w:rsidR="0028269D">
        <w:rPr>
          <w:rFonts w:ascii="Times New Roman" w:hAnsi="Times New Roman"/>
          <w:kern w:val="0"/>
          <w:sz w:val="24"/>
          <w14:ligatures w14:val="none"/>
        </w:rPr>
        <w:t xml:space="preserve">. </w:t>
      </w:r>
      <w:r w:rsidRPr="00D906BA">
        <w:rPr>
          <w:rFonts w:ascii="Times New Roman" w:hAnsi="Times New Roman"/>
          <w:kern w:val="0"/>
          <w:sz w:val="24"/>
          <w14:ligatures w14:val="none"/>
        </w:rPr>
        <w:t>Global operations need coordination across a geographically dispersed network of subsidiaries. It requires a clear strategy and direction for the whole company while considering its diverse cultural and regulatory surroundings.</w:t>
      </w:r>
    </w:p>
    <w:p w14:paraId="3EC88BDD" w14:textId="77777777" w:rsidR="004C33E3" w:rsidRDefault="00D906BA" w:rsidP="004C33E3">
      <w:pPr>
        <w:spacing w:line="276" w:lineRule="auto"/>
        <w:jc w:val="both"/>
        <w:rPr>
          <w:rFonts w:ascii="Times New Roman" w:hAnsi="Times New Roman"/>
          <w:kern w:val="0"/>
          <w:sz w:val="24"/>
          <w14:ligatures w14:val="none"/>
        </w:rPr>
      </w:pPr>
      <w:r w:rsidRPr="00D906BA">
        <w:rPr>
          <w:rFonts w:ascii="Times New Roman" w:hAnsi="Times New Roman"/>
          <w:kern w:val="0"/>
          <w:sz w:val="24"/>
          <w14:ligatures w14:val="none"/>
        </w:rPr>
        <w:t>Standard Chartered faces cultural diversity, regulatory issues, and agency issues in worldwide markets. Effectively addressing these problems requires strategic solutions.</w:t>
      </w:r>
    </w:p>
    <w:p w14:paraId="6D593EC8" w14:textId="77777777" w:rsidR="00F43947" w:rsidRDefault="00F43947" w:rsidP="004C33E3">
      <w:pPr>
        <w:spacing w:line="276" w:lineRule="auto"/>
        <w:jc w:val="both"/>
        <w:rPr>
          <w:rFonts w:ascii="Times New Roman" w:hAnsi="Times New Roman"/>
          <w:kern w:val="0"/>
          <w:sz w:val="24"/>
          <w14:ligatures w14:val="none"/>
        </w:rPr>
      </w:pPr>
    </w:p>
    <w:p w14:paraId="381D8AD3" w14:textId="17A02512" w:rsidR="00BF2AD8" w:rsidRPr="00F703AA" w:rsidRDefault="00D906BA" w:rsidP="00F703AA">
      <w:pPr>
        <w:pStyle w:val="ListParagraph"/>
        <w:numPr>
          <w:ilvl w:val="0"/>
          <w:numId w:val="16"/>
        </w:numPr>
        <w:spacing w:line="276" w:lineRule="auto"/>
        <w:jc w:val="both"/>
        <w:rPr>
          <w:rFonts w:ascii="Times New Roman" w:hAnsi="Times New Roman"/>
          <w:b/>
          <w:bCs/>
          <w:kern w:val="0"/>
          <w:sz w:val="32"/>
          <w:szCs w:val="32"/>
          <w14:ligatures w14:val="none"/>
        </w:rPr>
      </w:pPr>
      <w:r w:rsidRPr="00F703AA">
        <w:rPr>
          <w:rFonts w:ascii="Times New Roman" w:hAnsi="Times New Roman"/>
          <w:b/>
          <w:bCs/>
          <w:kern w:val="0"/>
          <w:sz w:val="32"/>
          <w:szCs w:val="32"/>
          <w14:ligatures w14:val="none"/>
        </w:rPr>
        <w:t>Strategies for Managing Foreign Exchange Risks</w:t>
      </w:r>
    </w:p>
    <w:p w14:paraId="1DC8C935" w14:textId="77777777" w:rsidR="00024CB1" w:rsidRPr="00024CB1" w:rsidRDefault="00024CB1" w:rsidP="00024CB1">
      <w:pPr>
        <w:pStyle w:val="ListParagraph"/>
        <w:spacing w:line="276" w:lineRule="auto"/>
        <w:jc w:val="both"/>
        <w:rPr>
          <w:rFonts w:ascii="Times New Roman" w:hAnsi="Times New Roman"/>
          <w:kern w:val="0"/>
          <w:sz w:val="24"/>
          <w14:ligatures w14:val="none"/>
        </w:rPr>
      </w:pPr>
    </w:p>
    <w:p w14:paraId="5FC08601" w14:textId="1CABDBD7" w:rsidR="00D906BA" w:rsidRPr="00D906BA" w:rsidRDefault="00024CB1" w:rsidP="004C33E3">
      <w:pPr>
        <w:spacing w:line="276" w:lineRule="auto"/>
        <w:jc w:val="both"/>
        <w:rPr>
          <w:rFonts w:ascii="Times New Roman" w:hAnsi="Times New Roman"/>
          <w:kern w:val="0"/>
          <w:sz w:val="24"/>
          <w14:ligatures w14:val="none"/>
        </w:rPr>
      </w:pPr>
      <w:r>
        <w:rPr>
          <w:rFonts w:ascii="Times New Roman" w:hAnsi="Times New Roman"/>
          <w:kern w:val="0"/>
          <w:sz w:val="24"/>
          <w14:ligatures w14:val="none"/>
        </w:rPr>
        <w:t xml:space="preserve">     </w:t>
      </w:r>
      <w:r w:rsidR="00D906BA" w:rsidRPr="00D906BA">
        <w:rPr>
          <w:rFonts w:ascii="Times New Roman" w:hAnsi="Times New Roman"/>
          <w:kern w:val="0"/>
          <w:sz w:val="24"/>
          <w14:ligatures w14:val="none"/>
        </w:rPr>
        <w:t>Global financial stability requires multinational firms to manage foreign currency risk. Foreign currency trading encompasses financial market currency purchases and sales (Atril</w:t>
      </w:r>
      <w:r w:rsidR="00795F57">
        <w:rPr>
          <w:rFonts w:ascii="Times New Roman" w:hAnsi="Times New Roman"/>
          <w:kern w:val="0"/>
          <w:sz w:val="24"/>
          <w14:ligatures w14:val="none"/>
        </w:rPr>
        <w:t>l</w:t>
      </w:r>
      <w:r w:rsidR="00D906BA" w:rsidRPr="00D906BA">
        <w:rPr>
          <w:rFonts w:ascii="Times New Roman" w:hAnsi="Times New Roman"/>
          <w:kern w:val="0"/>
          <w:sz w:val="24"/>
          <w14:ligatures w14:val="none"/>
        </w:rPr>
        <w:t>, 20</w:t>
      </w:r>
      <w:r w:rsidR="00795F57">
        <w:rPr>
          <w:rFonts w:ascii="Times New Roman" w:hAnsi="Times New Roman"/>
          <w:kern w:val="0"/>
          <w:sz w:val="24"/>
          <w14:ligatures w14:val="none"/>
        </w:rPr>
        <w:t>1</w:t>
      </w:r>
      <w:r w:rsidR="00D906BA" w:rsidRPr="00D906BA">
        <w:rPr>
          <w:rFonts w:ascii="Times New Roman" w:hAnsi="Times New Roman"/>
          <w:kern w:val="0"/>
          <w:sz w:val="24"/>
          <w14:ligatures w14:val="none"/>
        </w:rPr>
        <w:t>7</w:t>
      </w:r>
      <w:r w:rsidR="00BC702F">
        <w:rPr>
          <w:rFonts w:ascii="Times New Roman" w:hAnsi="Times New Roman"/>
          <w:kern w:val="0"/>
          <w:sz w:val="24"/>
          <w14:ligatures w14:val="none"/>
        </w:rPr>
        <w:t xml:space="preserve">, </w:t>
      </w:r>
      <w:r w:rsidR="00F43947">
        <w:rPr>
          <w:rFonts w:ascii="Times New Roman" w:hAnsi="Times New Roman"/>
          <w:kern w:val="0"/>
          <w:sz w:val="24"/>
          <w14:ligatures w14:val="none"/>
        </w:rPr>
        <w:t>pp.</w:t>
      </w:r>
      <w:r w:rsidR="00BC702F">
        <w:rPr>
          <w:rFonts w:ascii="Times New Roman" w:hAnsi="Times New Roman"/>
          <w:kern w:val="0"/>
          <w:sz w:val="24"/>
          <w14:ligatures w14:val="none"/>
        </w:rPr>
        <w:t xml:space="preserve"> 91-94</w:t>
      </w:r>
      <w:r w:rsidR="00D906BA" w:rsidRPr="00D906BA">
        <w:rPr>
          <w:rFonts w:ascii="Times New Roman" w:hAnsi="Times New Roman"/>
          <w:kern w:val="0"/>
          <w:sz w:val="24"/>
          <w14:ligatures w14:val="none"/>
        </w:rPr>
        <w:t xml:space="preserve">). This section discusses how multinational businesses (MNCs) manage foreign currency risk. Multinational corporations (MNCs) face the complex task of managing foreign currency risk, which requires a careful balance of cost, complexity, and timeliness. They employ various strategies, including forward contracts, options contracts, money market hedges, natural hedging, diversification, leading and lagging, netting, cross-currency swaps, continuous monitoring and </w:t>
      </w:r>
      <w:r w:rsidR="00D906BA" w:rsidRPr="00D906BA">
        <w:rPr>
          <w:rFonts w:ascii="Times New Roman" w:hAnsi="Times New Roman"/>
          <w:kern w:val="0"/>
          <w:sz w:val="24"/>
          <w14:ligatures w14:val="none"/>
        </w:rPr>
        <w:lastRenderedPageBreak/>
        <w:t>analysis, and technology integration. These strategies aim to counterbalance potential losses, align income and expenditure in a single currency, mitigate currency exchange rate volatility, and spread business operations across multiple regions.</w:t>
      </w:r>
    </w:p>
    <w:p w14:paraId="77E1C19B" w14:textId="0B180F04" w:rsidR="00D906BA" w:rsidRPr="00D906BA" w:rsidRDefault="00D906BA" w:rsidP="00D906BA">
      <w:pPr>
        <w:keepNext/>
        <w:keepLines/>
        <w:spacing w:before="240" w:line="276" w:lineRule="auto"/>
        <w:contextualSpacing/>
        <w:jc w:val="both"/>
        <w:outlineLvl w:val="0"/>
        <w:rPr>
          <w:rFonts w:ascii="Times New Roman" w:hAnsi="Times New Roman"/>
          <w:kern w:val="0"/>
          <w:sz w:val="24"/>
          <w14:ligatures w14:val="none"/>
        </w:rPr>
      </w:pPr>
      <w:r>
        <w:rPr>
          <w:rFonts w:ascii="Times New Roman" w:hAnsi="Times New Roman"/>
          <w:kern w:val="0"/>
          <w:sz w:val="24"/>
          <w14:ligatures w14:val="none"/>
        </w:rPr>
        <w:t xml:space="preserve"> </w:t>
      </w:r>
      <w:r w:rsidRPr="00D906BA">
        <w:rPr>
          <w:rFonts w:ascii="Times New Roman" w:hAnsi="Times New Roman"/>
          <w:kern w:val="0"/>
          <w:sz w:val="24"/>
          <w14:ligatures w14:val="none"/>
        </w:rPr>
        <w:t>Money market hedges include borrowing or investing in foreign currency money markets to offset losses. Diversification spreads firm activity across many regions to reduce currency volatility.</w:t>
      </w:r>
    </w:p>
    <w:p w14:paraId="36BE5D33" w14:textId="7A13FA30" w:rsidR="00033D80" w:rsidRDefault="00D906BA" w:rsidP="00D906BA">
      <w:pPr>
        <w:keepNext/>
        <w:keepLines/>
        <w:spacing w:before="240" w:line="276" w:lineRule="auto"/>
        <w:contextualSpacing/>
        <w:jc w:val="both"/>
        <w:outlineLvl w:val="0"/>
        <w:rPr>
          <w:rFonts w:ascii="Times New Roman" w:hAnsi="Times New Roman"/>
          <w:kern w:val="0"/>
          <w:sz w:val="24"/>
          <w14:ligatures w14:val="none"/>
        </w:rPr>
      </w:pPr>
      <w:r w:rsidRPr="00D906BA">
        <w:rPr>
          <w:rFonts w:ascii="Times New Roman" w:hAnsi="Times New Roman"/>
          <w:kern w:val="0"/>
          <w:sz w:val="24"/>
          <w14:ligatures w14:val="none"/>
        </w:rPr>
        <w:t>Leading and lagging approaches, depending on currency swings, may help multinational companies (MNCs) strategically modify payment and receipt times.</w:t>
      </w:r>
      <w:r>
        <w:rPr>
          <w:rFonts w:ascii="Times New Roman" w:hAnsi="Times New Roman"/>
          <w:kern w:val="0"/>
          <w:sz w:val="24"/>
          <w14:ligatures w14:val="none"/>
        </w:rPr>
        <w:t xml:space="preserve">  </w:t>
      </w:r>
      <w:r w:rsidRPr="00D906BA">
        <w:rPr>
          <w:rFonts w:ascii="Times New Roman" w:hAnsi="Times New Roman"/>
          <w:kern w:val="0"/>
          <w:sz w:val="24"/>
          <w14:ligatures w14:val="none"/>
        </w:rPr>
        <w:t>Continuous monitoring and analysis enable adaptive responses to evolving market conditions, while technology integration automates procedures, enhancing decision-making but potentially posing cybersecurity issues and startup costs. Dynamic hedging tactics are increasingly adopted by MNCs, with frequent scenario analysis and stress testing refining methods and exposing vulnerabilities.</w:t>
      </w:r>
      <w:r w:rsidR="00EC27FD" w:rsidRPr="00EC27FD">
        <w:t xml:space="preserve"> </w:t>
      </w:r>
      <w:r w:rsidR="00EC27FD" w:rsidRPr="00EC27FD">
        <w:rPr>
          <w:rFonts w:ascii="Times New Roman" w:hAnsi="Times New Roman"/>
          <w:kern w:val="0"/>
          <w:sz w:val="24"/>
          <w14:ligatures w14:val="none"/>
        </w:rPr>
        <w:t xml:space="preserve">(Ying </w:t>
      </w:r>
      <w:r w:rsidR="00095B6B">
        <w:rPr>
          <w:rFonts w:ascii="Times New Roman" w:hAnsi="Times New Roman"/>
          <w:kern w:val="0"/>
          <w:sz w:val="24"/>
          <w14:ligatures w14:val="none"/>
        </w:rPr>
        <w:t>et al.</w:t>
      </w:r>
      <w:r w:rsidR="00EC27FD" w:rsidRPr="00EC27FD">
        <w:rPr>
          <w:rFonts w:ascii="Times New Roman" w:hAnsi="Times New Roman"/>
          <w:kern w:val="0"/>
          <w:sz w:val="24"/>
          <w14:ligatures w14:val="none"/>
        </w:rPr>
        <w:t>, 2019</w:t>
      </w:r>
      <w:r w:rsidR="004E6FB8">
        <w:rPr>
          <w:rFonts w:ascii="Times New Roman" w:hAnsi="Times New Roman"/>
          <w:kern w:val="0"/>
          <w:sz w:val="24"/>
          <w14:ligatures w14:val="none"/>
        </w:rPr>
        <w:t>, p 3-4</w:t>
      </w:r>
      <w:r w:rsidR="00EC27FD" w:rsidRPr="00EC27FD">
        <w:rPr>
          <w:rFonts w:ascii="Times New Roman" w:hAnsi="Times New Roman"/>
          <w:kern w:val="0"/>
          <w:sz w:val="24"/>
          <w14:ligatures w14:val="none"/>
        </w:rPr>
        <w:t xml:space="preserve">). </w:t>
      </w:r>
      <w:r w:rsidRPr="00D906BA">
        <w:rPr>
          <w:rFonts w:ascii="Times New Roman" w:hAnsi="Times New Roman"/>
          <w:kern w:val="0"/>
          <w:sz w:val="24"/>
          <w14:ligatures w14:val="none"/>
        </w:rPr>
        <w:t xml:space="preserve"> MNCs face a spectrum of choices for managing foreign currency risk, requiring a careful balance of cost, complexity, and timeliness.</w:t>
      </w:r>
    </w:p>
    <w:p w14:paraId="4A64BFA4" w14:textId="50043647" w:rsidR="00D906BA" w:rsidRPr="00E4315E" w:rsidRDefault="00220EC8" w:rsidP="0008127B">
      <w:pPr>
        <w:pStyle w:val="NormalWeb"/>
        <w:spacing w:after="0"/>
        <w:rPr>
          <w:b/>
          <w:bCs/>
          <w:color w:val="0E101A"/>
          <w:sz w:val="28"/>
          <w:szCs w:val="28"/>
        </w:rPr>
      </w:pPr>
      <w:r>
        <w:rPr>
          <w:b/>
          <w:bCs/>
          <w:color w:val="0E101A"/>
          <w:sz w:val="32"/>
          <w:szCs w:val="32"/>
        </w:rPr>
        <w:t xml:space="preserve">    </w:t>
      </w:r>
      <w:r w:rsidR="00E4315E">
        <w:rPr>
          <w:b/>
          <w:bCs/>
          <w:color w:val="0E101A"/>
          <w:sz w:val="32"/>
          <w:szCs w:val="32"/>
        </w:rPr>
        <w:t>5</w:t>
      </w:r>
      <w:r w:rsidR="00D906BA" w:rsidRPr="00BF2AD8">
        <w:rPr>
          <w:b/>
          <w:bCs/>
          <w:color w:val="0E101A"/>
          <w:sz w:val="32"/>
          <w:szCs w:val="32"/>
        </w:rPr>
        <w:t>.</w:t>
      </w:r>
      <w:r w:rsidR="00E4315E" w:rsidRPr="00E4315E">
        <w:rPr>
          <w:b/>
          <w:bCs/>
          <w:color w:val="0E101A"/>
          <w:sz w:val="28"/>
          <w:szCs w:val="28"/>
        </w:rPr>
        <w:t>1</w:t>
      </w:r>
      <w:r w:rsidR="00E4315E">
        <w:rPr>
          <w:b/>
          <w:bCs/>
          <w:color w:val="0E101A"/>
          <w:sz w:val="28"/>
          <w:szCs w:val="28"/>
        </w:rPr>
        <w:t xml:space="preserve"> </w:t>
      </w:r>
      <w:r w:rsidR="00D906BA" w:rsidRPr="00E4315E">
        <w:rPr>
          <w:b/>
          <w:bCs/>
          <w:color w:val="0E101A"/>
          <w:sz w:val="28"/>
          <w:szCs w:val="28"/>
        </w:rPr>
        <w:t>The Evaluation of Strategies</w:t>
      </w:r>
      <w:r w:rsidR="0008127B" w:rsidRPr="00E4315E">
        <w:rPr>
          <w:b/>
          <w:bCs/>
          <w:sz w:val="28"/>
          <w:szCs w:val="28"/>
        </w:rPr>
        <w:t xml:space="preserve"> </w:t>
      </w:r>
      <w:r w:rsidR="0008127B" w:rsidRPr="00E4315E">
        <w:rPr>
          <w:b/>
          <w:bCs/>
          <w:color w:val="0E101A"/>
          <w:sz w:val="28"/>
          <w:szCs w:val="28"/>
        </w:rPr>
        <w:t>for Managing Foreign Exchange Risks</w:t>
      </w:r>
    </w:p>
    <w:p w14:paraId="1618D9F0" w14:textId="6F447694" w:rsidR="00D906BA" w:rsidRDefault="00024CB1" w:rsidP="00D906BA">
      <w:pPr>
        <w:pStyle w:val="NormalWeb"/>
        <w:spacing w:before="0" w:beforeAutospacing="0" w:after="0" w:afterAutospacing="0" w:line="276" w:lineRule="auto"/>
        <w:rPr>
          <w:color w:val="0E101A"/>
        </w:rPr>
      </w:pPr>
      <w:r>
        <w:rPr>
          <w:color w:val="0E101A"/>
        </w:rPr>
        <w:t xml:space="preserve">    </w:t>
      </w:r>
      <w:r w:rsidR="00D906BA">
        <w:rPr>
          <w:color w:val="0E101A"/>
        </w:rPr>
        <w:t>Multinational company's (MNCs) foreign exchange risk management methods determine their worldwide financial resiliency. </w:t>
      </w:r>
      <w:r w:rsidR="0028269D">
        <w:rPr>
          <w:color w:val="0E101A"/>
        </w:rPr>
        <w:t>(</w:t>
      </w:r>
      <w:r w:rsidR="0028269D" w:rsidRPr="0028269D">
        <w:rPr>
          <w:color w:val="0E101A"/>
        </w:rPr>
        <w:t>Panda and Leepsa, 2017</w:t>
      </w:r>
      <w:r w:rsidR="00F32B6C">
        <w:rPr>
          <w:color w:val="0E101A"/>
        </w:rPr>
        <w:t>, p</w:t>
      </w:r>
      <w:r w:rsidR="00021A52">
        <w:rPr>
          <w:color w:val="0E101A"/>
        </w:rPr>
        <w:t xml:space="preserve"> 83=87</w:t>
      </w:r>
      <w:r w:rsidR="0028269D" w:rsidRPr="0028269D">
        <w:rPr>
          <w:color w:val="0E101A"/>
        </w:rPr>
        <w:t>).</w:t>
      </w:r>
    </w:p>
    <w:p w14:paraId="526D7A1E" w14:textId="77777777" w:rsidR="00D906BA" w:rsidRDefault="00D906BA" w:rsidP="00D906BA">
      <w:pPr>
        <w:pStyle w:val="NormalWeb"/>
        <w:spacing w:before="0" w:beforeAutospacing="0" w:after="0" w:afterAutospacing="0" w:line="276" w:lineRule="auto"/>
        <w:rPr>
          <w:color w:val="0E101A"/>
        </w:rPr>
      </w:pPr>
      <w:r>
        <w:rPr>
          <w:color w:val="0E101A"/>
        </w:rPr>
        <w:t>This section critically analyses multinational companies' (MNCs) foreign currency risk management techniques to strengthen their worldwide financial resilience. </w:t>
      </w:r>
    </w:p>
    <w:p w14:paraId="4CF2B800" w14:textId="77777777" w:rsidR="00D906BA" w:rsidRDefault="00D906BA" w:rsidP="00FA483B">
      <w:pPr>
        <w:pStyle w:val="NormalWeb"/>
        <w:numPr>
          <w:ilvl w:val="0"/>
          <w:numId w:val="2"/>
        </w:numPr>
        <w:spacing w:before="0" w:beforeAutospacing="0" w:after="0" w:afterAutospacing="0" w:line="276" w:lineRule="auto"/>
        <w:rPr>
          <w:color w:val="0E101A"/>
        </w:rPr>
      </w:pPr>
      <w:r w:rsidRPr="00FA483B">
        <w:rPr>
          <w:b/>
          <w:bCs/>
          <w:color w:val="0E101A"/>
        </w:rPr>
        <w:t>Forward contracts</w:t>
      </w:r>
      <w:r>
        <w:rPr>
          <w:color w:val="0E101A"/>
        </w:rPr>
        <w:t>: They provide certainty about future cash flows and help in hedging against potential adverse exchange rate movements. Forward contracts provide exchange rate certainty, enabling accurate financial planning and customising solutions for each company's risk profile. Forward contracts are legally binding and may not be adaptable, limiting the potential to capitalise on beneficial market swings.</w:t>
      </w:r>
    </w:p>
    <w:p w14:paraId="1689AF72" w14:textId="49C3F256" w:rsidR="00D906BA" w:rsidRDefault="00D906BA" w:rsidP="00FA483B">
      <w:pPr>
        <w:pStyle w:val="NormalWeb"/>
        <w:numPr>
          <w:ilvl w:val="0"/>
          <w:numId w:val="2"/>
        </w:numPr>
        <w:spacing w:before="0" w:beforeAutospacing="0" w:after="0" w:afterAutospacing="0" w:line="276" w:lineRule="auto"/>
        <w:rPr>
          <w:color w:val="0E101A"/>
        </w:rPr>
      </w:pPr>
      <w:r>
        <w:rPr>
          <w:rStyle w:val="Strong"/>
          <w:rFonts w:eastAsiaTheme="majorEastAsia"/>
          <w:color w:val="0E101A"/>
        </w:rPr>
        <w:t>Options contracts:</w:t>
      </w:r>
      <w:r>
        <w:rPr>
          <w:color w:val="0E101A"/>
        </w:rPr>
        <w:t> These offer flexibility but require the cost of purchasing options. Options involve premiums, which may cost more than other hedging strategies. Complexity makes alternatives harder to grasp and implement.</w:t>
      </w:r>
    </w:p>
    <w:p w14:paraId="3B1C5AEB" w14:textId="2DB5BAEC" w:rsidR="00D906BA" w:rsidRDefault="00D906BA" w:rsidP="00FA483B">
      <w:pPr>
        <w:pStyle w:val="NormalWeb"/>
        <w:numPr>
          <w:ilvl w:val="0"/>
          <w:numId w:val="2"/>
        </w:numPr>
        <w:spacing w:before="0" w:beforeAutospacing="0" w:after="0" w:afterAutospacing="0" w:line="276" w:lineRule="auto"/>
        <w:rPr>
          <w:color w:val="0E101A"/>
        </w:rPr>
      </w:pPr>
      <w:r>
        <w:rPr>
          <w:rStyle w:val="Strong"/>
          <w:rFonts w:eastAsiaTheme="majorEastAsia"/>
          <w:color w:val="0E101A"/>
        </w:rPr>
        <w:t>Future Contracts:</w:t>
      </w:r>
      <w:r>
        <w:rPr>
          <w:color w:val="0E101A"/>
        </w:rPr>
        <w:t> Investment entry and exit are straightforward with flexible futures contracts. Forward and futures contracts must match requirements, restricting flexibility.</w:t>
      </w:r>
    </w:p>
    <w:p w14:paraId="49D8AD2E" w14:textId="428C6A59" w:rsidR="00D906BA" w:rsidRPr="00FA483B" w:rsidRDefault="00024CB1" w:rsidP="00D906BA">
      <w:pPr>
        <w:pStyle w:val="NormalWeb"/>
        <w:spacing w:before="0" w:beforeAutospacing="0" w:after="0" w:afterAutospacing="0" w:line="276" w:lineRule="auto"/>
        <w:rPr>
          <w:b/>
          <w:bCs/>
          <w:color w:val="0E101A"/>
        </w:rPr>
      </w:pPr>
      <w:r>
        <w:rPr>
          <w:b/>
          <w:bCs/>
          <w:color w:val="0E101A"/>
        </w:rPr>
        <w:t xml:space="preserve">     </w:t>
      </w:r>
      <w:r w:rsidR="00D906BA" w:rsidRPr="00FA483B">
        <w:rPr>
          <w:b/>
          <w:bCs/>
          <w:color w:val="0E101A"/>
        </w:rPr>
        <w:t>Overall Assessment: </w:t>
      </w:r>
    </w:p>
    <w:p w14:paraId="1878A650" w14:textId="77777777" w:rsidR="00D906BA" w:rsidRDefault="00D906BA" w:rsidP="00D906BA">
      <w:pPr>
        <w:pStyle w:val="NormalWeb"/>
        <w:spacing w:before="0" w:beforeAutospacing="0" w:after="0" w:afterAutospacing="0" w:line="276" w:lineRule="auto"/>
        <w:rPr>
          <w:color w:val="0E101A"/>
        </w:rPr>
      </w:pPr>
      <w:r>
        <w:rPr>
          <w:color w:val="0E101A"/>
        </w:rPr>
        <w:t>MNCs must manage foreign currency risk, but it is challenging. Financial derivatives are complex and require specific skills to implement. Hedging costs may outweigh gains, emphasising the need for a thorough cost-benefit analysis. Futures are crucial to hedge foreign currency risks. However, the company's exposure profile, market circumstances, and economic climate affect its efficacy. </w:t>
      </w:r>
    </w:p>
    <w:p w14:paraId="6791146A" w14:textId="77777777" w:rsidR="00D906BA" w:rsidRDefault="00D906BA" w:rsidP="00D906BA">
      <w:pPr>
        <w:pStyle w:val="NormalWeb"/>
        <w:spacing w:before="0" w:beforeAutospacing="0" w:after="0" w:afterAutospacing="0" w:line="276" w:lineRule="auto"/>
        <w:rPr>
          <w:color w:val="0E101A"/>
        </w:rPr>
      </w:pPr>
    </w:p>
    <w:p w14:paraId="05900061" w14:textId="77777777" w:rsidR="00003A03" w:rsidRDefault="00003A03" w:rsidP="00D906BA">
      <w:pPr>
        <w:pStyle w:val="NormalWeb"/>
        <w:spacing w:before="0" w:beforeAutospacing="0" w:after="0" w:afterAutospacing="0" w:line="276" w:lineRule="auto"/>
        <w:rPr>
          <w:color w:val="0E101A"/>
        </w:rPr>
      </w:pPr>
    </w:p>
    <w:p w14:paraId="2EC575FB" w14:textId="77777777" w:rsidR="00003A03" w:rsidRDefault="00003A03" w:rsidP="00D906BA">
      <w:pPr>
        <w:pStyle w:val="NormalWeb"/>
        <w:spacing w:before="0" w:beforeAutospacing="0" w:after="0" w:afterAutospacing="0" w:line="276" w:lineRule="auto"/>
        <w:rPr>
          <w:color w:val="0E101A"/>
        </w:rPr>
      </w:pPr>
    </w:p>
    <w:p w14:paraId="410A4E4F" w14:textId="77777777" w:rsidR="00003A03" w:rsidRDefault="00003A03" w:rsidP="00D906BA">
      <w:pPr>
        <w:pStyle w:val="NormalWeb"/>
        <w:spacing w:before="0" w:beforeAutospacing="0" w:after="0" w:afterAutospacing="0" w:line="276" w:lineRule="auto"/>
        <w:rPr>
          <w:color w:val="0E101A"/>
        </w:rPr>
      </w:pPr>
    </w:p>
    <w:p w14:paraId="43C9200B" w14:textId="137721C9" w:rsidR="00D906BA" w:rsidRPr="00FA483B" w:rsidRDefault="00024CB1" w:rsidP="00D906BA">
      <w:pPr>
        <w:pStyle w:val="NormalWeb"/>
        <w:spacing w:before="0" w:beforeAutospacing="0" w:after="0" w:afterAutospacing="0" w:line="276" w:lineRule="auto"/>
        <w:rPr>
          <w:b/>
          <w:bCs/>
          <w:color w:val="0E101A"/>
        </w:rPr>
      </w:pPr>
      <w:r>
        <w:rPr>
          <w:color w:val="0E101A"/>
        </w:rPr>
        <w:lastRenderedPageBreak/>
        <w:t xml:space="preserve">   </w:t>
      </w:r>
      <w:r w:rsidR="00D906BA">
        <w:rPr>
          <w:color w:val="0E101A"/>
        </w:rPr>
        <w:t> </w:t>
      </w:r>
      <w:r w:rsidR="00D906BA" w:rsidRPr="00FA483B">
        <w:rPr>
          <w:b/>
          <w:bCs/>
          <w:color w:val="0E101A"/>
        </w:rPr>
        <w:t>Important Evaluation Factors:</w:t>
      </w:r>
    </w:p>
    <w:p w14:paraId="15DF114D" w14:textId="1C9446FB" w:rsidR="00D906BA" w:rsidRDefault="00D906BA" w:rsidP="00FA483B">
      <w:pPr>
        <w:pStyle w:val="NormalWeb"/>
        <w:numPr>
          <w:ilvl w:val="0"/>
          <w:numId w:val="3"/>
        </w:numPr>
        <w:spacing w:before="0" w:beforeAutospacing="0" w:after="0" w:afterAutospacing="0" w:line="276" w:lineRule="auto"/>
        <w:rPr>
          <w:color w:val="0E101A"/>
        </w:rPr>
      </w:pPr>
      <w:r>
        <w:rPr>
          <w:rStyle w:val="Strong"/>
          <w:rFonts w:eastAsiaTheme="majorEastAsia"/>
          <w:color w:val="0E101A"/>
        </w:rPr>
        <w:t>Cost-Benefit Analysis:</w:t>
      </w:r>
      <w:r>
        <w:rPr>
          <w:color w:val="0E101A"/>
        </w:rPr>
        <w:t>  There should be balanced risk management against insurance rates, profit margins, and other costs for MNCs.</w:t>
      </w:r>
      <w:r w:rsidR="009960F7">
        <w:rPr>
          <w:color w:val="0E101A"/>
        </w:rPr>
        <w:t xml:space="preserve"> </w:t>
      </w:r>
      <w:r>
        <w:rPr>
          <w:color w:val="0E101A"/>
        </w:rPr>
        <w:t>The critical analysis should analyse the benefits and drawbacks of each approach, including cost, simplicity, and protection.</w:t>
      </w:r>
    </w:p>
    <w:p w14:paraId="29A77F81" w14:textId="77777777" w:rsidR="00D906BA" w:rsidRDefault="00D906BA" w:rsidP="00FA483B">
      <w:pPr>
        <w:pStyle w:val="NormalWeb"/>
        <w:numPr>
          <w:ilvl w:val="0"/>
          <w:numId w:val="3"/>
        </w:numPr>
        <w:spacing w:before="0" w:beforeAutospacing="0" w:after="0" w:afterAutospacing="0" w:line="276" w:lineRule="auto"/>
        <w:rPr>
          <w:color w:val="0E101A"/>
        </w:rPr>
      </w:pPr>
      <w:r>
        <w:rPr>
          <w:rStyle w:val="Strong"/>
          <w:rFonts w:eastAsiaTheme="majorEastAsia"/>
          <w:color w:val="0E101A"/>
        </w:rPr>
        <w:t>Timing issues:</w:t>
      </w:r>
      <w:r>
        <w:rPr>
          <w:color w:val="0E101A"/>
        </w:rPr>
        <w:t> Hedging involves precise timing due to currency market volatility, and time limitations may impair performance, as proven by examples. Financial derivatives make foreign currency risk reduction difficult.</w:t>
      </w:r>
    </w:p>
    <w:p w14:paraId="19D34B1C" w14:textId="77777777" w:rsidR="00D906BA" w:rsidRDefault="00D906BA" w:rsidP="00D906BA">
      <w:pPr>
        <w:pStyle w:val="NormalWeb"/>
        <w:spacing w:before="0" w:beforeAutospacing="0" w:after="0" w:afterAutospacing="0" w:line="276" w:lineRule="auto"/>
        <w:rPr>
          <w:color w:val="0E101A"/>
        </w:rPr>
      </w:pPr>
      <w:r>
        <w:rPr>
          <w:color w:val="0E101A"/>
        </w:rPr>
        <w:t>Foreign currency risk management solutions are difficult to implement due to the complexity of financial derivatives, the requirement for specialist expertise, and the possibility of hedging costs outweighing the advantages. Due to currency market volatility, addressing the timing problems is crucial. Real-world case studies may show how implementation issues cause poor results.</w:t>
      </w:r>
    </w:p>
    <w:p w14:paraId="59F54371" w14:textId="77777777" w:rsidR="00D906BA" w:rsidRDefault="00D906BA" w:rsidP="00D906BA">
      <w:pPr>
        <w:pStyle w:val="NormalWeb"/>
        <w:spacing w:before="0" w:beforeAutospacing="0" w:after="0" w:afterAutospacing="0" w:line="276" w:lineRule="auto"/>
        <w:rPr>
          <w:color w:val="0E101A"/>
        </w:rPr>
      </w:pPr>
    </w:p>
    <w:p w14:paraId="312930D3" w14:textId="77777777" w:rsidR="00D906BA" w:rsidRPr="00BF2AD8" w:rsidRDefault="00D906BA" w:rsidP="00D906BA">
      <w:pPr>
        <w:pStyle w:val="NormalWeb"/>
        <w:spacing w:before="0" w:beforeAutospacing="0" w:after="0" w:afterAutospacing="0" w:line="276" w:lineRule="auto"/>
        <w:rPr>
          <w:b/>
          <w:bCs/>
          <w:color w:val="0E101A"/>
          <w:sz w:val="32"/>
          <w:szCs w:val="32"/>
        </w:rPr>
      </w:pPr>
      <w:r w:rsidRPr="00BF2AD8">
        <w:rPr>
          <w:b/>
          <w:bCs/>
          <w:color w:val="0E101A"/>
          <w:sz w:val="32"/>
          <w:szCs w:val="32"/>
        </w:rPr>
        <w:t>6. Integration of IFM Theories and Practical Applications</w:t>
      </w:r>
    </w:p>
    <w:p w14:paraId="1442E246" w14:textId="77777777" w:rsidR="00D906BA" w:rsidRPr="00BF2AD8" w:rsidRDefault="00D906BA" w:rsidP="00D906BA">
      <w:pPr>
        <w:pStyle w:val="NormalWeb"/>
        <w:spacing w:before="0" w:beforeAutospacing="0" w:after="0" w:afterAutospacing="0" w:line="276" w:lineRule="auto"/>
        <w:rPr>
          <w:color w:val="0E101A"/>
          <w:sz w:val="32"/>
          <w:szCs w:val="32"/>
        </w:rPr>
      </w:pPr>
    </w:p>
    <w:p w14:paraId="64EF662D" w14:textId="5D9D80DC" w:rsidR="00D906BA" w:rsidRDefault="00024CB1" w:rsidP="00D906BA">
      <w:pPr>
        <w:pStyle w:val="NormalWeb"/>
        <w:spacing w:before="0" w:beforeAutospacing="0" w:after="0" w:afterAutospacing="0" w:line="276" w:lineRule="auto"/>
        <w:rPr>
          <w:color w:val="0E101A"/>
        </w:rPr>
      </w:pPr>
      <w:r>
        <w:rPr>
          <w:color w:val="0E101A"/>
        </w:rPr>
        <w:t xml:space="preserve">     </w:t>
      </w:r>
      <w:r w:rsidR="00D906BA">
        <w:rPr>
          <w:color w:val="0E101A"/>
        </w:rPr>
        <w:t>This section explores how MNCs integrate IFM theories into their practical applications. It emphasises aligning strategies with corporate objectives, the role of leadership, and the influence of corporate culture on decision-making processes by:</w:t>
      </w:r>
    </w:p>
    <w:p w14:paraId="4F2FC8E1" w14:textId="51FCEB16" w:rsidR="00D906BA" w:rsidRDefault="00D906BA" w:rsidP="00FA483B">
      <w:pPr>
        <w:pStyle w:val="NormalWeb"/>
        <w:numPr>
          <w:ilvl w:val="0"/>
          <w:numId w:val="5"/>
        </w:numPr>
        <w:spacing w:before="0" w:beforeAutospacing="0" w:after="0" w:afterAutospacing="0" w:line="276" w:lineRule="auto"/>
        <w:rPr>
          <w:color w:val="0E101A"/>
        </w:rPr>
      </w:pPr>
      <w:r>
        <w:rPr>
          <w:color w:val="0E101A"/>
        </w:rPr>
        <w:t xml:space="preserve">Ensuring the alignment of strategic objectives with </w:t>
      </w:r>
      <w:r w:rsidR="00933CBE">
        <w:rPr>
          <w:color w:val="0E101A"/>
        </w:rPr>
        <w:t>corporate</w:t>
      </w:r>
      <w:r>
        <w:rPr>
          <w:color w:val="0E101A"/>
        </w:rPr>
        <w:t xml:space="preserve"> goals, as Multinational corporations (MNCs) should ensure that their Integrated Facility Management (IFM) plans are in line with their corporate goals. It will help create a common strategy that supports the organisation in reaching overall success</w:t>
      </w:r>
      <w:r w:rsidR="00FA483B">
        <w:rPr>
          <w:color w:val="0E101A"/>
        </w:rPr>
        <w:t>.</w:t>
      </w:r>
    </w:p>
    <w:p w14:paraId="773A353A" w14:textId="77777777" w:rsidR="00D906BA" w:rsidRDefault="00D906BA" w:rsidP="00FA483B">
      <w:pPr>
        <w:pStyle w:val="NormalWeb"/>
        <w:numPr>
          <w:ilvl w:val="0"/>
          <w:numId w:val="4"/>
        </w:numPr>
        <w:spacing w:before="0" w:beforeAutospacing="0" w:after="0" w:afterAutospacing="0" w:line="276" w:lineRule="auto"/>
        <w:rPr>
          <w:color w:val="0E101A"/>
        </w:rPr>
      </w:pPr>
      <w:r>
        <w:rPr>
          <w:color w:val="0E101A"/>
        </w:rPr>
        <w:t>The role of leadership is to effectively guide the organisation in understanding foreign exchange risks and building a culture of risk management. They need to encourage a proactive approach towards risk, making sure that IFM tactics are understood and accepted at every level.</w:t>
      </w:r>
    </w:p>
    <w:p w14:paraId="0F18FBF1" w14:textId="342A2E6A" w:rsidR="00D906BA" w:rsidRDefault="00D906BA" w:rsidP="00FA483B">
      <w:pPr>
        <w:pStyle w:val="NormalWeb"/>
        <w:numPr>
          <w:ilvl w:val="0"/>
          <w:numId w:val="4"/>
        </w:numPr>
        <w:spacing w:before="0" w:beforeAutospacing="0" w:after="0" w:afterAutospacing="0" w:line="276" w:lineRule="auto"/>
        <w:rPr>
          <w:color w:val="0E101A"/>
        </w:rPr>
      </w:pPr>
      <w:r>
        <w:rPr>
          <w:color w:val="0E101A"/>
        </w:rPr>
        <w:t>The corporate</w:t>
      </w:r>
      <w:r w:rsidR="00EC27FD">
        <w:rPr>
          <w:color w:val="0E101A"/>
        </w:rPr>
        <w:t xml:space="preserve"> </w:t>
      </w:r>
      <w:r w:rsidR="0028269D">
        <w:rPr>
          <w:color w:val="0E101A"/>
        </w:rPr>
        <w:t xml:space="preserve">and </w:t>
      </w:r>
      <w:r w:rsidR="00EC27FD">
        <w:rPr>
          <w:color w:val="0E101A"/>
        </w:rPr>
        <w:t>risk-conscious culture motivates staff to handle foreign exchange risks proactively in</w:t>
      </w:r>
      <w:r w:rsidR="00EC27FD" w:rsidRPr="00EC27FD">
        <w:rPr>
          <w:color w:val="0E101A"/>
        </w:rPr>
        <w:t xml:space="preserve"> decision-making processes</w:t>
      </w:r>
      <w:r>
        <w:rPr>
          <w:color w:val="0E101A"/>
        </w:rPr>
        <w:t>. Multinational corporations (MNCs) should foster a corporate environment that places importance on the practice of risk management and integrates concepts of integrated facility management (IFM) into their day-to-day operations.</w:t>
      </w:r>
    </w:p>
    <w:p w14:paraId="4C86086B" w14:textId="201D4104" w:rsidR="00D906BA" w:rsidRDefault="00D906BA" w:rsidP="00FA483B">
      <w:pPr>
        <w:pStyle w:val="NormalWeb"/>
        <w:numPr>
          <w:ilvl w:val="0"/>
          <w:numId w:val="4"/>
        </w:numPr>
        <w:spacing w:before="0" w:beforeAutospacing="0" w:after="0" w:afterAutospacing="0" w:line="276" w:lineRule="auto"/>
        <w:rPr>
          <w:color w:val="0E101A"/>
        </w:rPr>
      </w:pPr>
      <w:r>
        <w:rPr>
          <w:color w:val="0E101A"/>
        </w:rPr>
        <w:t>Streamlining decision-making processes is crucial for multinational corporations (MNCs) to execute Integrated Facilities Management (IFM) plans successfully. It involves examining features such as technology implementation, risk management committees, and cross-functional teams.</w:t>
      </w:r>
      <w:r w:rsidR="00EC27FD" w:rsidRPr="00EC27FD">
        <w:t xml:space="preserve"> </w:t>
      </w:r>
    </w:p>
    <w:p w14:paraId="1D4447A6" w14:textId="045BDD8D" w:rsidR="00FA483B" w:rsidRDefault="00D906BA" w:rsidP="00FA483B">
      <w:pPr>
        <w:pStyle w:val="NormalWeb"/>
        <w:numPr>
          <w:ilvl w:val="0"/>
          <w:numId w:val="4"/>
        </w:numPr>
        <w:spacing w:before="0" w:beforeAutospacing="0" w:after="0" w:afterAutospacing="0"/>
        <w:rPr>
          <w:color w:val="0E101A"/>
        </w:rPr>
      </w:pPr>
      <w:r>
        <w:rPr>
          <w:color w:val="0E101A"/>
        </w:rPr>
        <w:t>Perpetual Enhancement and Acquisition of Knowledge: Achieving successful integration requires a dedication to perpetual enhancement and acquisition of knowledge, adjusting methods in response to feedback loops, market fluctuations, and new IFM theories.</w:t>
      </w:r>
    </w:p>
    <w:p w14:paraId="780D5D6E" w14:textId="77777777" w:rsidR="00024CB1" w:rsidRDefault="00024CB1" w:rsidP="00024CB1">
      <w:pPr>
        <w:pStyle w:val="NormalWeb"/>
        <w:spacing w:before="0" w:beforeAutospacing="0" w:after="0" w:afterAutospacing="0"/>
        <w:ind w:left="720"/>
        <w:rPr>
          <w:color w:val="0E101A"/>
        </w:rPr>
      </w:pPr>
    </w:p>
    <w:p w14:paraId="7A23621B" w14:textId="77777777" w:rsidR="00003A03" w:rsidRDefault="00003A03" w:rsidP="00024CB1">
      <w:pPr>
        <w:pStyle w:val="NormalWeb"/>
        <w:spacing w:before="0" w:beforeAutospacing="0" w:after="0" w:afterAutospacing="0"/>
        <w:ind w:left="720"/>
        <w:rPr>
          <w:color w:val="0E101A"/>
        </w:rPr>
      </w:pPr>
    </w:p>
    <w:p w14:paraId="1DD70654" w14:textId="77777777" w:rsidR="00FA483B" w:rsidRPr="00FA483B" w:rsidRDefault="00FA483B" w:rsidP="00FA483B">
      <w:pPr>
        <w:pStyle w:val="NormalWeb"/>
        <w:spacing w:before="0" w:beforeAutospacing="0" w:after="0" w:afterAutospacing="0"/>
        <w:ind w:left="360"/>
        <w:rPr>
          <w:color w:val="0E101A"/>
        </w:rPr>
      </w:pPr>
    </w:p>
    <w:p w14:paraId="5C1FD4EC" w14:textId="77777777" w:rsidR="00FA483B" w:rsidRPr="000F3763" w:rsidRDefault="00FA483B" w:rsidP="00FA483B">
      <w:pPr>
        <w:pStyle w:val="NormalWeb"/>
        <w:spacing w:before="0" w:beforeAutospacing="0" w:after="0" w:afterAutospacing="0" w:line="276" w:lineRule="auto"/>
        <w:rPr>
          <w:b/>
          <w:bCs/>
          <w:color w:val="0E101A"/>
          <w:sz w:val="32"/>
          <w:szCs w:val="32"/>
        </w:rPr>
      </w:pPr>
      <w:r w:rsidRPr="000F3763">
        <w:rPr>
          <w:b/>
          <w:bCs/>
          <w:color w:val="0E101A"/>
          <w:sz w:val="32"/>
          <w:szCs w:val="32"/>
        </w:rPr>
        <w:lastRenderedPageBreak/>
        <w:t>7</w:t>
      </w:r>
      <w:bookmarkStart w:id="1" w:name="_Hlk155642939"/>
      <w:r w:rsidRPr="000F3763">
        <w:rPr>
          <w:b/>
          <w:bCs/>
          <w:color w:val="0E101A"/>
          <w:sz w:val="32"/>
          <w:szCs w:val="32"/>
        </w:rPr>
        <w:t>. Regulatory Considerations</w:t>
      </w:r>
      <w:bookmarkEnd w:id="1"/>
    </w:p>
    <w:p w14:paraId="142A97D9" w14:textId="414E9BA4" w:rsidR="00FA483B" w:rsidRPr="00FA483B" w:rsidRDefault="00024CB1" w:rsidP="00FA483B">
      <w:pPr>
        <w:pStyle w:val="NormalWeb"/>
        <w:spacing w:after="0" w:line="276" w:lineRule="auto"/>
        <w:rPr>
          <w:color w:val="0E101A"/>
        </w:rPr>
      </w:pPr>
      <w:r>
        <w:rPr>
          <w:color w:val="0E101A"/>
        </w:rPr>
        <w:t xml:space="preserve">       </w:t>
      </w:r>
      <w:r w:rsidR="00FA483B" w:rsidRPr="00FA483B">
        <w:rPr>
          <w:color w:val="0E101A"/>
        </w:rPr>
        <w:t xml:space="preserve">International Financial Management requires MNCs to follow global standards, legal and regulatory hurdles, and noncompliance risks. Case studies help MNCs reduce international foreign currency risk. Legal and regulatory issues include local budget constraints, tax rules, and specialised reporting. Limitations violations can lead to fines, reputation damage, and lawsuits. </w:t>
      </w:r>
      <w:r w:rsidR="00FA483B">
        <w:rPr>
          <w:color w:val="0E101A"/>
        </w:rPr>
        <w:t>Robust</w:t>
      </w:r>
      <w:r w:rsidR="00FA483B" w:rsidRPr="00FA483B">
        <w:rPr>
          <w:color w:val="0E101A"/>
        </w:rPr>
        <w:t xml:space="preserve"> compliance procedures, periodic audits, and legal experts limit MNC risks. Standard Chartered faces global cultural, regulatory, and agency issues. These issues require cultural adaptation, localised services, and political risk management. The bank must adapt to regional cultures to succeed with clients and </w:t>
      </w:r>
      <w:r w:rsidR="00FA483B">
        <w:rPr>
          <w:color w:val="0E101A"/>
        </w:rPr>
        <w:t>businesses</w:t>
      </w:r>
      <w:r w:rsidR="00FA483B" w:rsidRPr="00FA483B">
        <w:rPr>
          <w:color w:val="0E101A"/>
        </w:rPr>
        <w:t>.</w:t>
      </w:r>
    </w:p>
    <w:p w14:paraId="25327DFD" w14:textId="0A846FFD" w:rsidR="00FA483B" w:rsidRDefault="00FA483B" w:rsidP="00FA483B">
      <w:pPr>
        <w:pStyle w:val="NormalWeb"/>
        <w:spacing w:after="0" w:line="276" w:lineRule="auto"/>
        <w:rPr>
          <w:color w:val="0E101A"/>
        </w:rPr>
      </w:pPr>
      <w:r w:rsidRPr="00FA483B">
        <w:rPr>
          <w:color w:val="0E101A"/>
        </w:rPr>
        <w:t>Regional preferences and cultural variety are essential for financial stability. Legal and regulatory compliance across countries and managing political risks</w:t>
      </w:r>
      <w:r>
        <w:rPr>
          <w:color w:val="0E101A"/>
        </w:rPr>
        <w:t>, including political stability and regulatory changes,</w:t>
      </w:r>
      <w:r w:rsidRPr="00FA483B">
        <w:rPr>
          <w:color w:val="0E101A"/>
        </w:rPr>
        <w:t xml:space="preserve"> are ongoing concerns. In multinational firms like Standard Chartered, managers and investors have competing interests, complicating agency problems. A culturally and legally diverse global subsidiary network requires a well-defined business </w:t>
      </w:r>
      <w:r w:rsidR="00933CBE" w:rsidRPr="00FA483B">
        <w:rPr>
          <w:color w:val="0E101A"/>
        </w:rPr>
        <w:t>plan.</w:t>
      </w:r>
      <w:r w:rsidR="00933CBE">
        <w:rPr>
          <w:color w:val="0E101A"/>
        </w:rPr>
        <w:t xml:space="preserve"> </w:t>
      </w:r>
      <w:r w:rsidR="00DC57FC">
        <w:rPr>
          <w:color w:val="0E101A"/>
        </w:rPr>
        <w:t>(</w:t>
      </w:r>
      <w:r w:rsidR="00DC57FC" w:rsidRPr="00FA483B">
        <w:rPr>
          <w:color w:val="0E101A"/>
        </w:rPr>
        <w:t>Pike</w:t>
      </w:r>
      <w:r w:rsidRPr="00FA483B">
        <w:rPr>
          <w:color w:val="0E101A"/>
        </w:rPr>
        <w:t xml:space="preserve"> and Neale</w:t>
      </w:r>
      <w:r>
        <w:rPr>
          <w:color w:val="0E101A"/>
        </w:rPr>
        <w:t xml:space="preserve">, </w:t>
      </w:r>
      <w:r w:rsidRPr="00FA483B">
        <w:rPr>
          <w:color w:val="0E101A"/>
        </w:rPr>
        <w:t>2006</w:t>
      </w:r>
      <w:r w:rsidR="00007979">
        <w:rPr>
          <w:color w:val="0E101A"/>
        </w:rPr>
        <w:t>.</w:t>
      </w:r>
      <w:r w:rsidR="00F32B6C">
        <w:rPr>
          <w:color w:val="0E101A"/>
        </w:rPr>
        <w:t xml:space="preserve"> </w:t>
      </w:r>
      <w:r w:rsidR="00007979">
        <w:rPr>
          <w:color w:val="0E101A"/>
        </w:rPr>
        <w:t>p.62-67</w:t>
      </w:r>
      <w:r w:rsidRPr="00FA483B">
        <w:rPr>
          <w:color w:val="0E101A"/>
        </w:rPr>
        <w:t>) define the weighted average cost of capital as the company's equity and borrowing costs. Chartered calculates project payback using discounted payback.</w:t>
      </w:r>
      <w:r w:rsidR="0028269D">
        <w:rPr>
          <w:color w:val="0E101A"/>
        </w:rPr>
        <w:t xml:space="preserve"> </w:t>
      </w:r>
      <w:r w:rsidRPr="00FA483B">
        <w:rPr>
          <w:color w:val="0E101A"/>
        </w:rPr>
        <w:t xml:space="preserve">Regulations </w:t>
      </w:r>
      <w:r>
        <w:rPr>
          <w:color w:val="0E101A"/>
        </w:rPr>
        <w:t>significantly</w:t>
      </w:r>
      <w:r w:rsidRPr="00FA483B">
        <w:rPr>
          <w:color w:val="0E101A"/>
        </w:rPr>
        <w:t xml:space="preserve"> affect multinational firms' foreign currency risk management. Domestic and regional constraints affect MNCs' actions. </w:t>
      </w:r>
    </w:p>
    <w:p w14:paraId="413AAD4A" w14:textId="3265C803" w:rsidR="00FA483B" w:rsidRDefault="00FA483B" w:rsidP="00FA483B">
      <w:pPr>
        <w:pStyle w:val="NormalWeb"/>
        <w:spacing w:before="0" w:beforeAutospacing="0" w:after="0" w:afterAutospacing="0" w:line="276" w:lineRule="auto"/>
        <w:rPr>
          <w:color w:val="0E101A"/>
        </w:rPr>
      </w:pPr>
      <w:r>
        <w:rPr>
          <w:color w:val="0E101A"/>
        </w:rPr>
        <w:t xml:space="preserve"> Regulatory factors affect foreign exchange risk management in several ways:</w:t>
      </w:r>
    </w:p>
    <w:p w14:paraId="0316B57F" w14:textId="77777777" w:rsidR="00FA483B" w:rsidRDefault="00FA483B" w:rsidP="00FA483B">
      <w:pPr>
        <w:pStyle w:val="NormalWeb"/>
        <w:spacing w:before="0" w:beforeAutospacing="0" w:after="0" w:afterAutospacing="0" w:line="276" w:lineRule="auto"/>
        <w:rPr>
          <w:color w:val="0E101A"/>
        </w:rPr>
      </w:pPr>
    </w:p>
    <w:p w14:paraId="28363479" w14:textId="285A9AA1" w:rsidR="00FA483B" w:rsidRPr="00FA483B" w:rsidRDefault="00FA483B" w:rsidP="00FA483B">
      <w:pPr>
        <w:pStyle w:val="NormalWeb"/>
        <w:numPr>
          <w:ilvl w:val="0"/>
          <w:numId w:val="13"/>
        </w:numPr>
        <w:spacing w:before="0" w:beforeAutospacing="0" w:after="0" w:afterAutospacing="0" w:line="276" w:lineRule="auto"/>
        <w:rPr>
          <w:color w:val="0E101A"/>
        </w:rPr>
      </w:pPr>
      <w:r>
        <w:rPr>
          <w:rStyle w:val="Strong"/>
          <w:rFonts w:eastAsiaTheme="majorEastAsia"/>
          <w:color w:val="0E101A"/>
        </w:rPr>
        <w:t>Hedging restrictions:</w:t>
      </w:r>
      <w:r>
        <w:rPr>
          <w:color w:val="0E101A"/>
        </w:rPr>
        <w:t xml:space="preserve"> Some countries restrict firms' foreign currency hedging. Authorities may limit financial instruments and hedging exposure. </w:t>
      </w:r>
      <w:r w:rsidRPr="00FA483B">
        <w:rPr>
          <w:color w:val="0E101A"/>
        </w:rPr>
        <w:t>Multinationals in areas with strict hedging rules may need to employ natural hedging or operational modifications.</w:t>
      </w:r>
    </w:p>
    <w:p w14:paraId="6CECFCF7" w14:textId="2523F79A" w:rsidR="00FA483B" w:rsidRPr="00FA483B" w:rsidRDefault="00FA483B" w:rsidP="00FA483B">
      <w:pPr>
        <w:pStyle w:val="NormalWeb"/>
        <w:numPr>
          <w:ilvl w:val="0"/>
          <w:numId w:val="13"/>
        </w:numPr>
        <w:spacing w:before="0" w:beforeAutospacing="0" w:after="0" w:afterAutospacing="0" w:line="276" w:lineRule="auto"/>
        <w:rPr>
          <w:b/>
          <w:bCs/>
          <w:color w:val="0E101A"/>
        </w:rPr>
      </w:pPr>
      <w:r w:rsidRPr="00FA483B">
        <w:rPr>
          <w:b/>
          <w:bCs/>
          <w:color w:val="0E101A"/>
        </w:rPr>
        <w:t>Derivative usage regulations: </w:t>
      </w:r>
      <w:r w:rsidRPr="00FA483B">
        <w:rPr>
          <w:color w:val="0E101A"/>
        </w:rPr>
        <w:t>The regulation of forward contracts and options affects hedging. Certain governments may force MNCs to implement alternatives to report, record, or comply.</w:t>
      </w:r>
      <w:r>
        <w:rPr>
          <w:b/>
          <w:bCs/>
          <w:color w:val="0E101A"/>
        </w:rPr>
        <w:t xml:space="preserve"> </w:t>
      </w:r>
      <w:r w:rsidRPr="00FA483B">
        <w:rPr>
          <w:color w:val="0E101A"/>
        </w:rPr>
        <w:t>For foreign currency risk management, derivative regulations may affect MNCs' derivative instrument selection and execution.</w:t>
      </w:r>
    </w:p>
    <w:p w14:paraId="5AB18FDB" w14:textId="77777777" w:rsidR="00FA483B" w:rsidRDefault="00FA483B" w:rsidP="00FA483B">
      <w:pPr>
        <w:pStyle w:val="NormalWeb"/>
        <w:numPr>
          <w:ilvl w:val="0"/>
          <w:numId w:val="11"/>
        </w:numPr>
        <w:spacing w:before="0" w:beforeAutospacing="0" w:after="0" w:afterAutospacing="0" w:line="276" w:lineRule="auto"/>
        <w:rPr>
          <w:color w:val="0E101A"/>
        </w:rPr>
      </w:pPr>
      <w:r>
        <w:rPr>
          <w:rStyle w:val="Strong"/>
          <w:rFonts w:eastAsiaTheme="majorEastAsia"/>
          <w:color w:val="0E101A"/>
        </w:rPr>
        <w:t>Accounting Standards:</w:t>
      </w:r>
      <w:r>
        <w:rPr>
          <w:color w:val="0E101A"/>
        </w:rPr>
        <w:t> International and local accounting standards affect forex gains and losses. However, they provide financial transparency and regulation.</w:t>
      </w:r>
    </w:p>
    <w:p w14:paraId="68E8B5C6" w14:textId="77777777" w:rsidR="00FA483B" w:rsidRDefault="00FA483B" w:rsidP="00FA483B">
      <w:pPr>
        <w:pStyle w:val="NormalWeb"/>
        <w:numPr>
          <w:ilvl w:val="0"/>
          <w:numId w:val="10"/>
        </w:numPr>
        <w:spacing w:before="0" w:beforeAutospacing="0" w:after="0" w:afterAutospacing="0" w:line="276" w:lineRule="auto"/>
        <w:rPr>
          <w:color w:val="0E101A"/>
        </w:rPr>
      </w:pPr>
      <w:r>
        <w:rPr>
          <w:rStyle w:val="Strong"/>
          <w:rFonts w:eastAsiaTheme="majorEastAsia"/>
          <w:color w:val="0E101A"/>
        </w:rPr>
        <w:t>Impact on Strategies:</w:t>
      </w:r>
      <w:r>
        <w:rPr>
          <w:color w:val="0E101A"/>
        </w:rPr>
        <w:t> MNCs may need to analyse the accounting implications of their hedging strategies and implement accounting-compliant goods or procedures.</w:t>
      </w:r>
    </w:p>
    <w:p w14:paraId="42925861" w14:textId="77777777" w:rsidR="00FA483B" w:rsidRDefault="00FA483B" w:rsidP="00FA483B">
      <w:pPr>
        <w:pStyle w:val="NormalWeb"/>
        <w:numPr>
          <w:ilvl w:val="0"/>
          <w:numId w:val="9"/>
        </w:numPr>
        <w:spacing w:before="0" w:beforeAutospacing="0" w:after="0" w:afterAutospacing="0" w:line="276" w:lineRule="auto"/>
        <w:rPr>
          <w:color w:val="0E101A"/>
        </w:rPr>
      </w:pPr>
      <w:r>
        <w:rPr>
          <w:rStyle w:val="Strong"/>
          <w:rFonts w:eastAsiaTheme="majorEastAsia"/>
          <w:color w:val="0E101A"/>
        </w:rPr>
        <w:t>Capital Control:</w:t>
      </w:r>
      <w:r>
        <w:rPr>
          <w:color w:val="0E101A"/>
        </w:rPr>
        <w:t> For regulation, some countries control money flows using capital restrictions. These restrictions may affect MNC foreign exchange management and money transfers.</w:t>
      </w:r>
    </w:p>
    <w:p w14:paraId="035546DA" w14:textId="77777777" w:rsidR="00FA483B" w:rsidRDefault="00FA483B" w:rsidP="00FA483B">
      <w:pPr>
        <w:pStyle w:val="NormalWeb"/>
        <w:spacing w:before="0" w:beforeAutospacing="0" w:after="0" w:afterAutospacing="0" w:line="276" w:lineRule="auto"/>
        <w:rPr>
          <w:color w:val="0E101A"/>
        </w:rPr>
      </w:pPr>
      <w:r>
        <w:rPr>
          <w:color w:val="0E101A"/>
        </w:rPr>
        <w:t>As an impact of the strategies, MNCs in capital-controlled jurisdictions may face fund movement restrictions that impair hedging.</w:t>
      </w:r>
    </w:p>
    <w:p w14:paraId="798BC2DA" w14:textId="77777777" w:rsidR="00FA483B" w:rsidRDefault="00FA483B" w:rsidP="00FA483B">
      <w:pPr>
        <w:pStyle w:val="NormalWeb"/>
        <w:numPr>
          <w:ilvl w:val="0"/>
          <w:numId w:val="8"/>
        </w:numPr>
        <w:spacing w:before="0" w:beforeAutospacing="0" w:after="0" w:afterAutospacing="0" w:line="276" w:lineRule="auto"/>
        <w:rPr>
          <w:color w:val="0E101A"/>
        </w:rPr>
      </w:pPr>
      <w:r>
        <w:rPr>
          <w:rStyle w:val="Strong"/>
          <w:rFonts w:eastAsiaTheme="majorEastAsia"/>
          <w:color w:val="0E101A"/>
        </w:rPr>
        <w:lastRenderedPageBreak/>
        <w:t>Tax regulations:</w:t>
      </w:r>
      <w:r>
        <w:rPr>
          <w:color w:val="0E101A"/>
        </w:rPr>
        <w:t> Different taxes affect foreign exchange earnings and losses. Local tax laws apply to MNCs. Tax and foreign exchange risk management may impact hedging instrument choice and transaction timing. </w:t>
      </w:r>
    </w:p>
    <w:p w14:paraId="01BF251B" w14:textId="7F73BDFB" w:rsidR="00FA483B" w:rsidRDefault="00FA483B" w:rsidP="0028269D">
      <w:pPr>
        <w:pStyle w:val="NormalWeb"/>
        <w:numPr>
          <w:ilvl w:val="0"/>
          <w:numId w:val="8"/>
        </w:numPr>
        <w:spacing w:before="0" w:beforeAutospacing="0" w:after="0" w:afterAutospacing="0" w:line="276" w:lineRule="auto"/>
        <w:rPr>
          <w:color w:val="0E101A"/>
        </w:rPr>
      </w:pPr>
      <w:r w:rsidRPr="0028269D">
        <w:rPr>
          <w:b/>
          <w:bCs/>
          <w:color w:val="0E101A"/>
        </w:rPr>
        <w:t>AML/Bribery Compliance</w:t>
      </w:r>
      <w:r>
        <w:rPr>
          <w:color w:val="0E101A"/>
        </w:rPr>
        <w:t>: AML and anti-bribery rules apply to MNCs. Foreign currency transactions may cause compliance concerns.</w:t>
      </w:r>
      <w:r w:rsidR="009960F7">
        <w:rPr>
          <w:color w:val="0E101A"/>
        </w:rPr>
        <w:t xml:space="preserve"> </w:t>
      </w:r>
      <w:r>
        <w:rPr>
          <w:color w:val="0E101A"/>
        </w:rPr>
        <w:t>MNC foreign exchange risk management must be AML and anti-bribery compliant. It may impact counterparty selection and hedging programme design.</w:t>
      </w:r>
      <w:r w:rsidR="0028269D" w:rsidRPr="0028269D">
        <w:t xml:space="preserve"> </w:t>
      </w:r>
      <w:r w:rsidR="0028269D" w:rsidRPr="0028269D">
        <w:rPr>
          <w:color w:val="0E101A"/>
        </w:rPr>
        <w:t>Standard Chartered (2020),</w:t>
      </w:r>
    </w:p>
    <w:p w14:paraId="1CFF2340" w14:textId="77777777" w:rsidR="00FA483B" w:rsidRDefault="00FA483B" w:rsidP="00FA483B">
      <w:pPr>
        <w:pStyle w:val="NormalWeb"/>
        <w:numPr>
          <w:ilvl w:val="0"/>
          <w:numId w:val="7"/>
        </w:numPr>
        <w:spacing w:before="0" w:beforeAutospacing="0" w:after="0" w:afterAutospacing="0" w:line="276" w:lineRule="auto"/>
        <w:rPr>
          <w:color w:val="0E101A"/>
        </w:rPr>
      </w:pPr>
      <w:r>
        <w:rPr>
          <w:rStyle w:val="Strong"/>
          <w:rFonts w:eastAsiaTheme="majorEastAsia"/>
          <w:color w:val="0E101A"/>
        </w:rPr>
        <w:t>Essential Reporting and Disclosure:</w:t>
      </w:r>
      <w:r>
        <w:rPr>
          <w:color w:val="0E101A"/>
        </w:rPr>
        <w:t> Regulatory regulations demand financial statements and reports to show foreign exchange exposures and risk management. MNCs must link foreign exchange risk management to reporting and transparency. Regulatory compliance requires transparency.</w:t>
      </w:r>
    </w:p>
    <w:p w14:paraId="02F808B3" w14:textId="18E195DC" w:rsidR="00FA483B" w:rsidRDefault="00FA483B" w:rsidP="00FA483B">
      <w:pPr>
        <w:pStyle w:val="NormalWeb"/>
        <w:numPr>
          <w:ilvl w:val="0"/>
          <w:numId w:val="6"/>
        </w:numPr>
        <w:spacing w:before="0" w:beforeAutospacing="0" w:after="0" w:afterAutospacing="0" w:line="276" w:lineRule="auto"/>
        <w:rPr>
          <w:color w:val="0E101A"/>
        </w:rPr>
      </w:pPr>
      <w:r>
        <w:rPr>
          <w:rStyle w:val="Strong"/>
          <w:rFonts w:eastAsiaTheme="majorEastAsia"/>
          <w:color w:val="0E101A"/>
        </w:rPr>
        <w:t>Political and geopolitical risks:</w:t>
      </w:r>
      <w:r>
        <w:rPr>
          <w:color w:val="0E101A"/>
        </w:rPr>
        <w:t> Geopolitical and political dangers may affect regulations. Foreign exchange limitations may alter with politics.</w:t>
      </w:r>
      <w:r w:rsidR="0028269D" w:rsidRPr="0028269D">
        <w:t xml:space="preserve"> </w:t>
      </w:r>
      <w:r w:rsidR="0028269D" w:rsidRPr="0028269D">
        <w:rPr>
          <w:color w:val="0E101A"/>
        </w:rPr>
        <w:t>(</w:t>
      </w:r>
      <w:r w:rsidR="00481AF9">
        <w:rPr>
          <w:color w:val="0E101A"/>
        </w:rPr>
        <w:t>Arnold et al.</w:t>
      </w:r>
      <w:r w:rsidR="0028269D" w:rsidRPr="0028269D">
        <w:rPr>
          <w:color w:val="0E101A"/>
        </w:rPr>
        <w:t>, 2019</w:t>
      </w:r>
      <w:r w:rsidR="0077219A">
        <w:rPr>
          <w:color w:val="0E101A"/>
        </w:rPr>
        <w:t>, p. 192-195</w:t>
      </w:r>
      <w:r w:rsidR="0028269D" w:rsidRPr="0028269D">
        <w:rPr>
          <w:color w:val="0E101A"/>
        </w:rPr>
        <w:t>).</w:t>
      </w:r>
    </w:p>
    <w:p w14:paraId="3BD6CA86" w14:textId="66F50170" w:rsidR="00FA483B" w:rsidRDefault="00FA483B" w:rsidP="00FA483B">
      <w:pPr>
        <w:pStyle w:val="NormalWeb"/>
        <w:spacing w:before="0" w:beforeAutospacing="0" w:after="0" w:afterAutospacing="0" w:line="276" w:lineRule="auto"/>
        <w:rPr>
          <w:color w:val="0E101A"/>
        </w:rPr>
      </w:pPr>
      <w:r>
        <w:rPr>
          <w:color w:val="0E101A"/>
        </w:rPr>
        <w:t xml:space="preserve">High-risk MNCs may need to adjust to changing regulations. Regulations shape MNCs' foreign exchange risk management. For legal compliance, transparency, and effectiveness, these approaches must </w:t>
      </w:r>
      <w:r w:rsidR="00095B6B">
        <w:rPr>
          <w:color w:val="0E101A"/>
        </w:rPr>
        <w:t>follow the rules</w:t>
      </w:r>
      <w:r>
        <w:rPr>
          <w:color w:val="0E101A"/>
        </w:rPr>
        <w:t>.  Multinational corporations (MNCs) may improve their ability to comply with regulations and promote responsible and sustainable integrated facility management (IFM) practices worldwide by focusing on these factors.</w:t>
      </w:r>
    </w:p>
    <w:p w14:paraId="585DEDBF" w14:textId="77777777" w:rsidR="00024CB1" w:rsidRDefault="00024CB1" w:rsidP="00FA483B">
      <w:pPr>
        <w:pStyle w:val="NormalWeb"/>
        <w:spacing w:before="0" w:beforeAutospacing="0" w:after="0" w:afterAutospacing="0" w:line="276" w:lineRule="auto"/>
        <w:rPr>
          <w:color w:val="0E101A"/>
        </w:rPr>
      </w:pPr>
    </w:p>
    <w:p w14:paraId="0677FC56" w14:textId="77777777" w:rsidR="00C1118C" w:rsidRDefault="00C1118C" w:rsidP="00FA483B">
      <w:pPr>
        <w:pStyle w:val="NormalWeb"/>
        <w:spacing w:before="0" w:beforeAutospacing="0" w:after="0" w:afterAutospacing="0" w:line="276" w:lineRule="auto"/>
        <w:rPr>
          <w:color w:val="0E101A"/>
        </w:rPr>
      </w:pPr>
    </w:p>
    <w:p w14:paraId="5CD279D6" w14:textId="4080308A" w:rsidR="0028269D" w:rsidRPr="000C238C" w:rsidRDefault="00BD11B4" w:rsidP="0028269D">
      <w:pPr>
        <w:pStyle w:val="NormalWeb"/>
        <w:spacing w:before="0" w:beforeAutospacing="0" w:after="0" w:afterAutospacing="0" w:line="276" w:lineRule="auto"/>
        <w:rPr>
          <w:b/>
          <w:bCs/>
          <w:color w:val="0E101A"/>
          <w:sz w:val="32"/>
          <w:szCs w:val="32"/>
        </w:rPr>
      </w:pPr>
      <w:r w:rsidRPr="000C238C">
        <w:rPr>
          <w:b/>
          <w:bCs/>
          <w:color w:val="0E101A"/>
          <w:sz w:val="32"/>
          <w:szCs w:val="32"/>
        </w:rPr>
        <w:t xml:space="preserve">8. </w:t>
      </w:r>
      <w:r w:rsidR="0028269D" w:rsidRPr="000C238C">
        <w:rPr>
          <w:b/>
          <w:bCs/>
          <w:color w:val="0E101A"/>
          <w:sz w:val="32"/>
          <w:szCs w:val="32"/>
        </w:rPr>
        <w:t>Key Findings and Recommendations:</w:t>
      </w:r>
    </w:p>
    <w:p w14:paraId="1198E155" w14:textId="77777777" w:rsidR="0028269D" w:rsidRDefault="0028269D" w:rsidP="0028269D">
      <w:pPr>
        <w:pStyle w:val="NormalWeb"/>
        <w:spacing w:before="0" w:beforeAutospacing="0" w:after="0" w:afterAutospacing="0" w:line="276" w:lineRule="auto"/>
        <w:rPr>
          <w:color w:val="0E101A"/>
        </w:rPr>
      </w:pPr>
    </w:p>
    <w:p w14:paraId="31094482" w14:textId="77777777" w:rsidR="0028269D" w:rsidRDefault="0028269D" w:rsidP="0028269D">
      <w:pPr>
        <w:pStyle w:val="NormalWeb"/>
        <w:spacing w:before="0" w:beforeAutospacing="0" w:after="0" w:afterAutospacing="0" w:line="276" w:lineRule="auto"/>
        <w:rPr>
          <w:color w:val="0E101A"/>
        </w:rPr>
      </w:pPr>
      <w:r>
        <w:rPr>
          <w:rStyle w:val="Strong"/>
          <w:rFonts w:eastAsiaTheme="majorEastAsia"/>
          <w:color w:val="0E101A"/>
        </w:rPr>
        <w:t>Theory-Practice Alignment:</w:t>
      </w:r>
      <w:r>
        <w:rPr>
          <w:color w:val="0E101A"/>
        </w:rPr>
        <w:t> The study encourages linking theoretical frameworks with practical techniques. Based on international finance changes, MNCs should assess and modify their financial processes.</w:t>
      </w:r>
    </w:p>
    <w:p w14:paraId="4B9605C5" w14:textId="77777777" w:rsidR="0028269D" w:rsidRDefault="0028269D" w:rsidP="0028269D">
      <w:pPr>
        <w:pStyle w:val="NormalWeb"/>
        <w:spacing w:before="0" w:beforeAutospacing="0" w:after="0" w:afterAutospacing="0" w:line="276" w:lineRule="auto"/>
        <w:rPr>
          <w:color w:val="0E101A"/>
        </w:rPr>
      </w:pPr>
      <w:r>
        <w:rPr>
          <w:rStyle w:val="Strong"/>
          <w:rFonts w:eastAsiaTheme="majorEastAsia"/>
          <w:color w:val="0E101A"/>
        </w:rPr>
        <w:t>Risk Mitigation:</w:t>
      </w:r>
      <w:r>
        <w:rPr>
          <w:color w:val="0E101A"/>
        </w:rPr>
        <w:t> The difficulties mentioned need robust risk mitigation methods. MNCs should include cultural, compliance, and political risks in their IFM frameworks upfront.</w:t>
      </w:r>
    </w:p>
    <w:p w14:paraId="55682889" w14:textId="77777777" w:rsidR="0028269D" w:rsidRDefault="0028269D" w:rsidP="0028269D">
      <w:pPr>
        <w:pStyle w:val="NormalWeb"/>
        <w:spacing w:before="0" w:beforeAutospacing="0" w:after="0" w:afterAutospacing="0" w:line="276" w:lineRule="auto"/>
        <w:rPr>
          <w:color w:val="0E101A"/>
        </w:rPr>
      </w:pPr>
      <w:r>
        <w:rPr>
          <w:rStyle w:val="Strong"/>
          <w:rFonts w:eastAsiaTheme="majorEastAsia"/>
          <w:color w:val="0E101A"/>
        </w:rPr>
        <w:t>Technological Adoption:</w:t>
      </w:r>
      <w:r>
        <w:rPr>
          <w:color w:val="0E101A"/>
        </w:rPr>
        <w:t> Future trends emphasise technology integration. Automation, AI, and blockchain may improve IFM procedures for MNCs; therefore, they should keep up.</w:t>
      </w:r>
    </w:p>
    <w:p w14:paraId="17E80509" w14:textId="77777777" w:rsidR="0028269D" w:rsidRDefault="0028269D" w:rsidP="0028269D">
      <w:pPr>
        <w:pStyle w:val="NormalWeb"/>
        <w:spacing w:before="0" w:beforeAutospacing="0" w:after="0" w:afterAutospacing="0" w:line="276" w:lineRule="auto"/>
        <w:rPr>
          <w:color w:val="0E101A"/>
        </w:rPr>
      </w:pPr>
      <w:r>
        <w:rPr>
          <w:rStyle w:val="Strong"/>
          <w:rFonts w:eastAsiaTheme="majorEastAsia"/>
          <w:color w:val="0E101A"/>
        </w:rPr>
        <w:t>Impact of Technological Disruptions:</w:t>
      </w:r>
      <w:r>
        <w:rPr>
          <w:color w:val="0E101A"/>
        </w:rPr>
        <w:t> Future studies might examine how developing technologies change risk management tactics in IFM procedures.</w:t>
      </w:r>
    </w:p>
    <w:p w14:paraId="3B15E803" w14:textId="77777777" w:rsidR="0028269D" w:rsidRDefault="0028269D" w:rsidP="0028269D">
      <w:pPr>
        <w:pStyle w:val="NormalWeb"/>
        <w:spacing w:before="0" w:beforeAutospacing="0" w:after="0" w:afterAutospacing="0" w:line="276" w:lineRule="auto"/>
        <w:rPr>
          <w:color w:val="0E101A"/>
        </w:rPr>
      </w:pPr>
      <w:r>
        <w:rPr>
          <w:rStyle w:val="Strong"/>
          <w:rFonts w:eastAsiaTheme="majorEastAsia"/>
          <w:color w:val="0E101A"/>
        </w:rPr>
        <w:t>Long-term Sustainability:</w:t>
      </w:r>
      <w:r>
        <w:rPr>
          <w:color w:val="0E101A"/>
        </w:rPr>
        <w:t> Examining dividend programmes' long-term sustainability in the face of global economic upheavals and shifting investor preferences would enrich financial decision-making.</w:t>
      </w:r>
    </w:p>
    <w:p w14:paraId="52728857" w14:textId="77777777" w:rsidR="0028269D" w:rsidRDefault="0028269D" w:rsidP="0028269D">
      <w:pPr>
        <w:pStyle w:val="NormalWeb"/>
        <w:spacing w:before="0" w:beforeAutospacing="0" w:after="0" w:afterAutospacing="0" w:line="276" w:lineRule="auto"/>
        <w:rPr>
          <w:color w:val="0E101A"/>
        </w:rPr>
      </w:pPr>
      <w:r>
        <w:rPr>
          <w:color w:val="0E101A"/>
        </w:rPr>
        <w:t> In summary, MNCs would benefit from research on dynamic risk management models that can adjust to changing geopolitical and economic conditions. Technological developments, sustainability, and shifts in the world economy will define the future of international financial management (IFM).</w:t>
      </w:r>
    </w:p>
    <w:p w14:paraId="3752AE35" w14:textId="77777777" w:rsidR="000F3763" w:rsidRDefault="000F3763" w:rsidP="0028269D">
      <w:pPr>
        <w:pStyle w:val="NormalWeb"/>
        <w:spacing w:before="0" w:beforeAutospacing="0" w:after="0" w:afterAutospacing="0" w:line="276" w:lineRule="auto"/>
        <w:rPr>
          <w:color w:val="0E101A"/>
        </w:rPr>
      </w:pPr>
    </w:p>
    <w:p w14:paraId="0EE555DD" w14:textId="77777777" w:rsidR="0028269D" w:rsidRDefault="0028269D" w:rsidP="0028269D">
      <w:pPr>
        <w:pStyle w:val="NormalWeb"/>
        <w:spacing w:before="0" w:beforeAutospacing="0" w:after="0" w:afterAutospacing="0" w:line="276" w:lineRule="auto"/>
        <w:rPr>
          <w:color w:val="0E101A"/>
        </w:rPr>
      </w:pPr>
    </w:p>
    <w:p w14:paraId="0F1BB41D" w14:textId="77777777" w:rsidR="0028269D" w:rsidRDefault="0028269D" w:rsidP="0028269D">
      <w:pPr>
        <w:pStyle w:val="NormalWeb"/>
        <w:spacing w:before="0" w:beforeAutospacing="0" w:after="0" w:afterAutospacing="0" w:line="276" w:lineRule="auto"/>
        <w:rPr>
          <w:b/>
          <w:bCs/>
          <w:color w:val="0E101A"/>
          <w:sz w:val="32"/>
          <w:szCs w:val="32"/>
        </w:rPr>
      </w:pPr>
      <w:r w:rsidRPr="000C238C">
        <w:rPr>
          <w:b/>
          <w:bCs/>
          <w:color w:val="0E101A"/>
          <w:sz w:val="32"/>
          <w:szCs w:val="32"/>
        </w:rPr>
        <w:t>9. Conclusion</w:t>
      </w:r>
    </w:p>
    <w:p w14:paraId="7C14D8EF" w14:textId="77777777" w:rsidR="000F3763" w:rsidRPr="000C238C" w:rsidRDefault="000F3763" w:rsidP="0028269D">
      <w:pPr>
        <w:pStyle w:val="NormalWeb"/>
        <w:spacing w:before="0" w:beforeAutospacing="0" w:after="0" w:afterAutospacing="0" w:line="276" w:lineRule="auto"/>
        <w:rPr>
          <w:b/>
          <w:bCs/>
          <w:color w:val="0E101A"/>
          <w:sz w:val="32"/>
          <w:szCs w:val="32"/>
        </w:rPr>
      </w:pPr>
    </w:p>
    <w:p w14:paraId="34D9722F" w14:textId="6B820BAB" w:rsidR="0028269D" w:rsidRDefault="0028269D" w:rsidP="0028269D">
      <w:pPr>
        <w:pStyle w:val="NormalWeb"/>
        <w:spacing w:before="0" w:beforeAutospacing="0" w:after="0" w:afterAutospacing="0" w:line="276" w:lineRule="auto"/>
        <w:rPr>
          <w:color w:val="0E101A"/>
        </w:rPr>
      </w:pPr>
      <w:r>
        <w:rPr>
          <w:color w:val="0E101A"/>
        </w:rPr>
        <w:t>Anticipating these trends, taking a proactive stance, and keeping abreast of new developments are all necessary for IFM plans to remain ahead. It will need the ability to anticipate and plan strategically, as well as a dedication to being informed in the always-changing field of global finance. This research analyses Standard Chartered's activities in global financial markets, highlighting the difficulties encountered by multinational firms. These factors include cultural diversity, complex compliance requirements, cultural obstacles, and effective operation through varied political landscapes. To tackle these issues, it is crucial to possess a sophisticated comprehension and implementation of ideas in international financial management (IFM). The Fisher Effect theory and the Optimal Currency Area theory are crucial frameworks for multinational corporations (MNCs) such as Standard Chartered. These frameworks provide valuable insights into the dynamics of foreign currency and interest rates. The report examines Standard Charterer’s dividend policy</w:t>
      </w:r>
      <w:r w:rsidR="00EC27FD" w:rsidRPr="00EC27FD">
        <w:t xml:space="preserve"> </w:t>
      </w:r>
      <w:r w:rsidR="00EC27FD">
        <w:t>(</w:t>
      </w:r>
      <w:r w:rsidR="00EC27FD" w:rsidRPr="00EC27FD">
        <w:rPr>
          <w:color w:val="0E101A"/>
        </w:rPr>
        <w:t xml:space="preserve">Booth </w:t>
      </w:r>
      <w:r w:rsidR="00C92FC5">
        <w:rPr>
          <w:color w:val="0E101A"/>
        </w:rPr>
        <w:t>et al.,</w:t>
      </w:r>
      <w:r w:rsidR="00EC27FD" w:rsidRPr="00EC27FD">
        <w:rPr>
          <w:color w:val="0E101A"/>
        </w:rPr>
        <w:t xml:space="preserve"> </w:t>
      </w:r>
      <w:r w:rsidR="00481AF9" w:rsidRPr="00EC27FD">
        <w:rPr>
          <w:color w:val="0E101A"/>
        </w:rPr>
        <w:t>2017</w:t>
      </w:r>
      <w:r w:rsidR="00481AF9">
        <w:rPr>
          <w:color w:val="0E101A"/>
        </w:rPr>
        <w:t>, p.</w:t>
      </w:r>
      <w:r w:rsidR="00CE29C0">
        <w:rPr>
          <w:color w:val="0E101A"/>
        </w:rPr>
        <w:t xml:space="preserve"> </w:t>
      </w:r>
      <w:r w:rsidR="00481AF9">
        <w:rPr>
          <w:color w:val="0E101A"/>
        </w:rPr>
        <w:t>9</w:t>
      </w:r>
      <w:r w:rsidR="00EC27FD" w:rsidRPr="00EC27FD">
        <w:rPr>
          <w:color w:val="0E101A"/>
        </w:rPr>
        <w:t>)</w:t>
      </w:r>
      <w:r>
        <w:rPr>
          <w:color w:val="0E101A"/>
        </w:rPr>
        <w:t xml:space="preserve">, with a focus on the residual strategy and the applicability of dividend theories such as Walter's and </w:t>
      </w:r>
      <w:r w:rsidR="00BC7C74">
        <w:rPr>
          <w:color w:val="0E101A"/>
        </w:rPr>
        <w:t>MMs</w:t>
      </w:r>
      <w:r>
        <w:rPr>
          <w:color w:val="0E101A"/>
        </w:rPr>
        <w:t xml:space="preserve"> in practical </w:t>
      </w:r>
      <w:r w:rsidR="00C92FC5">
        <w:rPr>
          <w:color w:val="0E101A"/>
        </w:rPr>
        <w:t>situations</w:t>
      </w:r>
      <w:r w:rsidR="00C92FC5">
        <w:t xml:space="preserve"> (</w:t>
      </w:r>
      <w:r w:rsidR="00C92FC5" w:rsidRPr="00C92FC5">
        <w:rPr>
          <w:color w:val="0E101A"/>
        </w:rPr>
        <w:t>Agung</w:t>
      </w:r>
      <w:r w:rsidR="00C92FC5">
        <w:rPr>
          <w:color w:val="0E101A"/>
        </w:rPr>
        <w:t xml:space="preserve"> et al.</w:t>
      </w:r>
      <w:r w:rsidR="00C92FC5" w:rsidRPr="00C92FC5">
        <w:rPr>
          <w:color w:val="0E101A"/>
        </w:rPr>
        <w:t>, R.F. 202</w:t>
      </w:r>
      <w:r w:rsidR="00F509C4">
        <w:rPr>
          <w:color w:val="0E101A"/>
        </w:rPr>
        <w:t>, p.8-11</w:t>
      </w:r>
      <w:r w:rsidR="00EC27FD" w:rsidRPr="00EC27FD">
        <w:rPr>
          <w:color w:val="0E101A"/>
        </w:rPr>
        <w:t>)</w:t>
      </w:r>
      <w:r>
        <w:rPr>
          <w:color w:val="0E101A"/>
        </w:rPr>
        <w:t>. The Efficient Market Hypothesis (EMH) hypothesis provides valuable insights into the price of assets, uncovering intricate processes within Standard Chartered's financial market. The paper examines the capital budgeting approaches used by Standard Chartered, including the Net Present Value (NPV) method, Discounted Payback period, and Weighted Average Cost of Capital (WACC), for project evaluations.</w:t>
      </w:r>
    </w:p>
    <w:p w14:paraId="5E7A6CF6" w14:textId="77777777" w:rsidR="00D906BA" w:rsidRPr="00033D80" w:rsidRDefault="00D906BA" w:rsidP="0028269D">
      <w:pPr>
        <w:keepNext/>
        <w:keepLines/>
        <w:spacing w:before="240" w:line="276" w:lineRule="auto"/>
        <w:contextualSpacing/>
        <w:jc w:val="both"/>
        <w:outlineLvl w:val="0"/>
        <w:rPr>
          <w:rFonts w:ascii="Times New Roman" w:eastAsiaTheme="majorEastAsia" w:hAnsi="Times New Roman"/>
          <w:kern w:val="0"/>
          <w:sz w:val="24"/>
          <w:szCs w:val="24"/>
          <w14:ligatures w14:val="none"/>
        </w:rPr>
      </w:pPr>
    </w:p>
    <w:p w14:paraId="06DFB515" w14:textId="77777777" w:rsidR="00D906BA" w:rsidRDefault="00D906BA" w:rsidP="00033D80">
      <w:pPr>
        <w:spacing w:line="360" w:lineRule="auto"/>
        <w:ind w:firstLine="720"/>
        <w:contextualSpacing/>
        <w:jc w:val="both"/>
        <w:rPr>
          <w:rFonts w:ascii="Times New Roman" w:hAnsi="Times New Roman"/>
          <w:kern w:val="0"/>
          <w:sz w:val="24"/>
          <w14:ligatures w14:val="none"/>
        </w:rPr>
      </w:pPr>
    </w:p>
    <w:p w14:paraId="6DD5F920" w14:textId="77777777" w:rsidR="00345D32" w:rsidRDefault="00345D32" w:rsidP="00033D80">
      <w:pPr>
        <w:spacing w:line="360" w:lineRule="auto"/>
        <w:ind w:firstLine="720"/>
        <w:contextualSpacing/>
        <w:jc w:val="both"/>
        <w:rPr>
          <w:rFonts w:ascii="Times New Roman" w:hAnsi="Times New Roman"/>
          <w:kern w:val="0"/>
          <w:sz w:val="24"/>
          <w14:ligatures w14:val="none"/>
        </w:rPr>
      </w:pPr>
    </w:p>
    <w:p w14:paraId="11CBB47E" w14:textId="77777777" w:rsidR="00345D32" w:rsidRDefault="00345D32" w:rsidP="00033D80">
      <w:pPr>
        <w:spacing w:line="360" w:lineRule="auto"/>
        <w:ind w:firstLine="720"/>
        <w:contextualSpacing/>
        <w:jc w:val="both"/>
        <w:rPr>
          <w:rFonts w:ascii="Times New Roman" w:hAnsi="Times New Roman"/>
          <w:kern w:val="0"/>
          <w:sz w:val="24"/>
          <w14:ligatures w14:val="none"/>
        </w:rPr>
      </w:pPr>
    </w:p>
    <w:p w14:paraId="52155F93" w14:textId="77777777" w:rsidR="00345D32" w:rsidRDefault="00345D32" w:rsidP="00033D80">
      <w:pPr>
        <w:spacing w:line="360" w:lineRule="auto"/>
        <w:ind w:firstLine="720"/>
        <w:contextualSpacing/>
        <w:jc w:val="both"/>
        <w:rPr>
          <w:rFonts w:ascii="Times New Roman" w:hAnsi="Times New Roman"/>
          <w:kern w:val="0"/>
          <w:sz w:val="24"/>
          <w14:ligatures w14:val="none"/>
        </w:rPr>
      </w:pPr>
    </w:p>
    <w:p w14:paraId="6F945462" w14:textId="77777777" w:rsidR="00345D32" w:rsidRDefault="00345D32" w:rsidP="00033D80">
      <w:pPr>
        <w:spacing w:line="360" w:lineRule="auto"/>
        <w:ind w:firstLine="720"/>
        <w:contextualSpacing/>
        <w:jc w:val="both"/>
        <w:rPr>
          <w:rFonts w:ascii="Times New Roman" w:hAnsi="Times New Roman"/>
          <w:kern w:val="0"/>
          <w:sz w:val="24"/>
          <w14:ligatures w14:val="none"/>
        </w:rPr>
      </w:pPr>
    </w:p>
    <w:p w14:paraId="1DC00D37" w14:textId="77777777" w:rsidR="00345D32" w:rsidRDefault="00345D32" w:rsidP="00033D80">
      <w:pPr>
        <w:spacing w:line="360" w:lineRule="auto"/>
        <w:ind w:firstLine="720"/>
        <w:contextualSpacing/>
        <w:jc w:val="both"/>
        <w:rPr>
          <w:rFonts w:ascii="Times New Roman" w:hAnsi="Times New Roman"/>
          <w:kern w:val="0"/>
          <w:sz w:val="24"/>
          <w14:ligatures w14:val="none"/>
        </w:rPr>
      </w:pPr>
    </w:p>
    <w:p w14:paraId="1A50FC77" w14:textId="77777777" w:rsidR="00003A03" w:rsidRDefault="00003A03" w:rsidP="00033D80">
      <w:pPr>
        <w:spacing w:line="360" w:lineRule="auto"/>
        <w:ind w:firstLine="720"/>
        <w:contextualSpacing/>
        <w:jc w:val="both"/>
        <w:rPr>
          <w:rFonts w:ascii="Times New Roman" w:hAnsi="Times New Roman"/>
          <w:kern w:val="0"/>
          <w:sz w:val="24"/>
          <w14:ligatures w14:val="none"/>
        </w:rPr>
      </w:pPr>
    </w:p>
    <w:p w14:paraId="75535273" w14:textId="77777777" w:rsidR="00003A03" w:rsidRDefault="00003A03" w:rsidP="00033D80">
      <w:pPr>
        <w:spacing w:line="360" w:lineRule="auto"/>
        <w:ind w:firstLine="720"/>
        <w:contextualSpacing/>
        <w:jc w:val="both"/>
        <w:rPr>
          <w:rFonts w:ascii="Times New Roman" w:hAnsi="Times New Roman"/>
          <w:kern w:val="0"/>
          <w:sz w:val="24"/>
          <w14:ligatures w14:val="none"/>
        </w:rPr>
      </w:pPr>
    </w:p>
    <w:p w14:paraId="3F1F3FCD" w14:textId="77777777" w:rsidR="00003A03" w:rsidRDefault="00003A03" w:rsidP="00033D80">
      <w:pPr>
        <w:spacing w:line="360" w:lineRule="auto"/>
        <w:ind w:firstLine="720"/>
        <w:contextualSpacing/>
        <w:jc w:val="both"/>
        <w:rPr>
          <w:rFonts w:ascii="Times New Roman" w:hAnsi="Times New Roman"/>
          <w:kern w:val="0"/>
          <w:sz w:val="24"/>
          <w14:ligatures w14:val="none"/>
        </w:rPr>
      </w:pPr>
    </w:p>
    <w:p w14:paraId="10E40F6C" w14:textId="77777777" w:rsidR="00003A03" w:rsidRDefault="00003A03" w:rsidP="00033D80">
      <w:pPr>
        <w:spacing w:line="360" w:lineRule="auto"/>
        <w:ind w:firstLine="720"/>
        <w:contextualSpacing/>
        <w:jc w:val="both"/>
        <w:rPr>
          <w:rFonts w:ascii="Times New Roman" w:hAnsi="Times New Roman"/>
          <w:kern w:val="0"/>
          <w:sz w:val="24"/>
          <w14:ligatures w14:val="none"/>
        </w:rPr>
      </w:pPr>
    </w:p>
    <w:p w14:paraId="66636E43" w14:textId="77777777" w:rsidR="00345D32" w:rsidRDefault="00345D32" w:rsidP="00033D80">
      <w:pPr>
        <w:spacing w:line="360" w:lineRule="auto"/>
        <w:ind w:firstLine="720"/>
        <w:contextualSpacing/>
        <w:jc w:val="both"/>
        <w:rPr>
          <w:rFonts w:ascii="Times New Roman" w:hAnsi="Times New Roman"/>
          <w:kern w:val="0"/>
          <w:sz w:val="24"/>
          <w14:ligatures w14:val="none"/>
        </w:rPr>
      </w:pPr>
    </w:p>
    <w:p w14:paraId="648C2E05" w14:textId="75BF8341" w:rsidR="00033D80" w:rsidRPr="00033D80" w:rsidRDefault="00024CB1" w:rsidP="00033D80">
      <w:pPr>
        <w:keepNext/>
        <w:keepLines/>
        <w:spacing w:before="240" w:line="360" w:lineRule="auto"/>
        <w:contextualSpacing/>
        <w:jc w:val="both"/>
        <w:outlineLvl w:val="0"/>
        <w:rPr>
          <w:rFonts w:ascii="Times New Roman" w:eastAsiaTheme="majorEastAsia" w:hAnsi="Times New Roman"/>
          <w:b/>
          <w:bCs/>
          <w:kern w:val="0"/>
          <w:sz w:val="28"/>
          <w:szCs w:val="28"/>
          <w14:ligatures w14:val="none"/>
        </w:rPr>
      </w:pPr>
      <w:bookmarkStart w:id="2" w:name="_Toc150778014"/>
      <w:r w:rsidRPr="00024CB1">
        <w:rPr>
          <w:rFonts w:ascii="Times New Roman" w:eastAsiaTheme="majorEastAsia" w:hAnsi="Times New Roman"/>
          <w:b/>
          <w:bCs/>
          <w:kern w:val="0"/>
          <w:sz w:val="28"/>
          <w:szCs w:val="28"/>
          <w14:ligatures w14:val="none"/>
        </w:rPr>
        <w:lastRenderedPageBreak/>
        <w:t xml:space="preserve">10. </w:t>
      </w:r>
      <w:bookmarkEnd w:id="2"/>
      <w:r w:rsidRPr="00033D80">
        <w:rPr>
          <w:rFonts w:ascii="Times New Roman" w:eastAsiaTheme="majorEastAsia" w:hAnsi="Times New Roman"/>
          <w:b/>
          <w:bCs/>
          <w:kern w:val="0"/>
          <w:sz w:val="28"/>
          <w:szCs w:val="28"/>
          <w14:ligatures w14:val="none"/>
        </w:rPr>
        <w:t>References:</w:t>
      </w:r>
    </w:p>
    <w:p w14:paraId="70CE6E13" w14:textId="7C788F53" w:rsidR="00033D80" w:rsidRPr="0059341F" w:rsidRDefault="00033D80" w:rsidP="00EC27FD">
      <w:pPr>
        <w:pStyle w:val="ListParagraph"/>
        <w:numPr>
          <w:ilvl w:val="0"/>
          <w:numId w:val="14"/>
        </w:numPr>
        <w:spacing w:line="360" w:lineRule="auto"/>
        <w:jc w:val="both"/>
        <w:rPr>
          <w:rFonts w:ascii="Times New Roman" w:hAnsi="Times New Roman" w:cs="Times New Roman"/>
          <w:kern w:val="0"/>
          <w:sz w:val="20"/>
          <w:szCs w:val="20"/>
          <w14:ligatures w14:val="none"/>
        </w:rPr>
      </w:pPr>
      <w:r w:rsidRPr="00024CB1">
        <w:rPr>
          <w:rFonts w:ascii="Times New Roman" w:hAnsi="Times New Roman"/>
          <w:kern w:val="0"/>
          <w:sz w:val="20"/>
          <w:szCs w:val="20"/>
          <w14:ligatures w14:val="none"/>
        </w:rPr>
        <w:t xml:space="preserve">Agung, G., Hasnawati, S. and Huzaimah, R.F. (2021) ‘The effect of investment decision, financing decision, dividend policy on firm value, </w:t>
      </w:r>
      <w:r w:rsidRPr="00024CB1">
        <w:rPr>
          <w:rFonts w:ascii="Times New Roman" w:hAnsi="Times New Roman"/>
          <w:i/>
          <w:kern w:val="0"/>
          <w:sz w:val="20"/>
          <w:szCs w:val="20"/>
          <w14:ligatures w14:val="none"/>
        </w:rPr>
        <w:t>Jurnal Bisnis dan Manajemen (JBM),</w:t>
      </w:r>
      <w:r w:rsidRPr="00024CB1">
        <w:rPr>
          <w:rFonts w:ascii="Times New Roman" w:hAnsi="Times New Roman"/>
          <w:kern w:val="0"/>
          <w:sz w:val="20"/>
          <w:szCs w:val="20"/>
          <w14:ligatures w14:val="none"/>
        </w:rPr>
        <w:t xml:space="preserve"> pp.1-12.</w:t>
      </w:r>
      <w:r w:rsidR="001E0B2A">
        <w:rPr>
          <w:rFonts w:ascii="Times New Roman" w:hAnsi="Times New Roman"/>
          <w:kern w:val="0"/>
          <w:sz w:val="20"/>
          <w:szCs w:val="20"/>
          <w14:ligatures w14:val="none"/>
        </w:rPr>
        <w:t xml:space="preserve"> </w:t>
      </w:r>
      <w:r w:rsidR="0059341F" w:rsidRPr="0059341F">
        <w:rPr>
          <w:rFonts w:ascii="Times New Roman" w:hAnsi="Times New Roman" w:cs="Times New Roman"/>
          <w:sz w:val="20"/>
          <w:szCs w:val="20"/>
          <w:shd w:val="clear" w:color="auto" w:fill="FFFFFF"/>
        </w:rPr>
        <w:t>Available at</w:t>
      </w:r>
      <w:r w:rsidR="00F5027E" w:rsidRPr="0059341F">
        <w:rPr>
          <w:rFonts w:ascii="Times New Roman" w:hAnsi="Times New Roman" w:cs="Times New Roman"/>
          <w:kern w:val="0"/>
          <w:sz w:val="20"/>
          <w:szCs w:val="20"/>
          <w14:ligatures w14:val="none"/>
        </w:rPr>
        <w:t>: </w:t>
      </w:r>
      <w:hyperlink r:id="rId9" w:history="1">
        <w:r w:rsidR="001A76E7" w:rsidRPr="00FB47C6">
          <w:rPr>
            <w:rStyle w:val="Hyperlink"/>
            <w:rFonts w:ascii="Times New Roman" w:hAnsi="Times New Roman" w:cs="Times New Roman"/>
            <w:kern w:val="0"/>
            <w:sz w:val="20"/>
            <w:szCs w:val="20"/>
            <w14:ligatures w14:val="none"/>
          </w:rPr>
          <w:t xml:space="preserve">https://doi.org/10.23960/jbm.v17i1.189, </w:t>
        </w:r>
        <w:r w:rsidR="001A76E7" w:rsidRPr="001A76E7">
          <w:rPr>
            <w:rStyle w:val="Hyperlink"/>
            <w:rFonts w:ascii="Times New Roman" w:hAnsi="Times New Roman" w:cs="Times New Roman"/>
            <w:color w:val="000000" w:themeColor="text1"/>
            <w:kern w:val="0"/>
            <w:sz w:val="20"/>
            <w:szCs w:val="20"/>
            <w14:ligatures w14:val="none"/>
          </w:rPr>
          <w:t>[Accessed</w:t>
        </w:r>
      </w:hyperlink>
      <w:r w:rsidR="001A76E7">
        <w:rPr>
          <w:rFonts w:ascii="Times New Roman" w:hAnsi="Times New Roman" w:cs="Times New Roman"/>
          <w:kern w:val="0"/>
          <w:sz w:val="20"/>
          <w:szCs w:val="20"/>
          <w14:ligatures w14:val="none"/>
        </w:rPr>
        <w:t xml:space="preserve"> on:13.112023]</w:t>
      </w:r>
      <w:r w:rsidR="001E0B2A">
        <w:rPr>
          <w:rFonts w:ascii="Times New Roman" w:hAnsi="Times New Roman" w:cs="Times New Roman"/>
          <w:kern w:val="0"/>
          <w:sz w:val="20"/>
          <w:szCs w:val="20"/>
          <w14:ligatures w14:val="none"/>
        </w:rPr>
        <w:t>.</w:t>
      </w:r>
    </w:p>
    <w:p w14:paraId="52A40F63" w14:textId="77777777" w:rsidR="00033D80" w:rsidRPr="00024CB1" w:rsidRDefault="00033D80" w:rsidP="00EC27FD">
      <w:pPr>
        <w:pStyle w:val="ListParagraph"/>
        <w:numPr>
          <w:ilvl w:val="0"/>
          <w:numId w:val="14"/>
        </w:numPr>
        <w:spacing w:line="360" w:lineRule="auto"/>
        <w:jc w:val="both"/>
        <w:rPr>
          <w:rFonts w:ascii="Times New Roman" w:hAnsi="Times New Roman"/>
          <w:kern w:val="0"/>
          <w:sz w:val="20"/>
          <w:szCs w:val="20"/>
          <w14:ligatures w14:val="none"/>
        </w:rPr>
      </w:pPr>
      <w:r w:rsidRPr="00024CB1">
        <w:rPr>
          <w:rFonts w:ascii="Times New Roman" w:hAnsi="Times New Roman"/>
          <w:kern w:val="0"/>
          <w:sz w:val="20"/>
          <w:szCs w:val="20"/>
          <w14:ligatures w14:val="none"/>
        </w:rPr>
        <w:t xml:space="preserve">Arnold, G. (2007) ‘Essentials of corporate financial management’, </w:t>
      </w:r>
      <w:r w:rsidRPr="00024CB1">
        <w:rPr>
          <w:rFonts w:ascii="Times New Roman" w:hAnsi="Times New Roman"/>
          <w:i/>
          <w:iCs/>
          <w:kern w:val="0"/>
          <w:sz w:val="20"/>
          <w:szCs w:val="20"/>
          <w14:ligatures w14:val="none"/>
        </w:rPr>
        <w:t>Pearson Education.</w:t>
      </w:r>
    </w:p>
    <w:p w14:paraId="7AEF3C34" w14:textId="77777777" w:rsidR="00033D80" w:rsidRPr="00024CB1" w:rsidRDefault="00033D80" w:rsidP="00EC27FD">
      <w:pPr>
        <w:pStyle w:val="ListParagraph"/>
        <w:numPr>
          <w:ilvl w:val="0"/>
          <w:numId w:val="14"/>
        </w:numPr>
        <w:spacing w:line="360" w:lineRule="auto"/>
        <w:jc w:val="both"/>
        <w:rPr>
          <w:rFonts w:ascii="Times New Roman" w:hAnsi="Times New Roman"/>
          <w:kern w:val="0"/>
          <w:sz w:val="20"/>
          <w:szCs w:val="20"/>
          <w14:ligatures w14:val="none"/>
        </w:rPr>
      </w:pPr>
      <w:r w:rsidRPr="00024CB1">
        <w:rPr>
          <w:rFonts w:ascii="Times New Roman" w:hAnsi="Times New Roman"/>
          <w:kern w:val="0"/>
          <w:sz w:val="20"/>
          <w:szCs w:val="20"/>
          <w14:ligatures w14:val="none"/>
        </w:rPr>
        <w:t xml:space="preserve">Arnold, G., Lewis, D.S. and Lewis, M.D. (2019) ‘Corporate financial management’, </w:t>
      </w:r>
      <w:r w:rsidRPr="00024CB1">
        <w:rPr>
          <w:rFonts w:ascii="Times New Roman" w:hAnsi="Times New Roman"/>
          <w:i/>
          <w:iCs/>
          <w:kern w:val="0"/>
          <w:sz w:val="20"/>
          <w:szCs w:val="20"/>
          <w14:ligatures w14:val="none"/>
        </w:rPr>
        <w:t>Pearson UK.</w:t>
      </w:r>
    </w:p>
    <w:p w14:paraId="6D392FA0" w14:textId="5B76714B" w:rsidR="00033D80" w:rsidRPr="00024CB1" w:rsidRDefault="00033D80" w:rsidP="00EC27FD">
      <w:pPr>
        <w:pStyle w:val="ListParagraph"/>
        <w:numPr>
          <w:ilvl w:val="0"/>
          <w:numId w:val="14"/>
        </w:numPr>
        <w:spacing w:line="360" w:lineRule="auto"/>
        <w:jc w:val="both"/>
        <w:rPr>
          <w:rFonts w:ascii="Times New Roman" w:hAnsi="Times New Roman"/>
          <w:kern w:val="0"/>
          <w:sz w:val="20"/>
          <w:szCs w:val="20"/>
          <w14:ligatures w14:val="none"/>
        </w:rPr>
      </w:pPr>
      <w:r w:rsidRPr="00024CB1">
        <w:rPr>
          <w:rFonts w:ascii="Times New Roman" w:hAnsi="Times New Roman"/>
          <w:kern w:val="0"/>
          <w:sz w:val="20"/>
          <w:szCs w:val="20"/>
          <w14:ligatures w14:val="none"/>
        </w:rPr>
        <w:t xml:space="preserve">Atrill, P. (2017) ‘Financial management for decision makers’, </w:t>
      </w:r>
      <w:r w:rsidRPr="00024CB1">
        <w:rPr>
          <w:rFonts w:ascii="Times New Roman" w:hAnsi="Times New Roman"/>
          <w:i/>
          <w:iCs/>
          <w:kern w:val="0"/>
          <w:sz w:val="20"/>
          <w:szCs w:val="20"/>
          <w14:ligatures w14:val="none"/>
        </w:rPr>
        <w:t>Pearson</w:t>
      </w:r>
      <w:r w:rsidR="001E0B2A">
        <w:rPr>
          <w:rFonts w:ascii="Times New Roman" w:hAnsi="Times New Roman"/>
          <w:i/>
          <w:iCs/>
          <w:kern w:val="0"/>
          <w:sz w:val="20"/>
          <w:szCs w:val="20"/>
          <w14:ligatures w14:val="none"/>
        </w:rPr>
        <w:t xml:space="preserve"> Ed</w:t>
      </w:r>
      <w:r w:rsidRPr="00024CB1">
        <w:rPr>
          <w:rFonts w:ascii="Times New Roman" w:hAnsi="Times New Roman"/>
          <w:i/>
          <w:iCs/>
          <w:kern w:val="0"/>
          <w:sz w:val="20"/>
          <w:szCs w:val="20"/>
          <w14:ligatures w14:val="none"/>
        </w:rPr>
        <w:t>.</w:t>
      </w:r>
    </w:p>
    <w:p w14:paraId="39961A3E" w14:textId="3A76E465" w:rsidR="00033D80" w:rsidRPr="001E0B2A" w:rsidRDefault="00033D80" w:rsidP="00EC27FD">
      <w:pPr>
        <w:pStyle w:val="ListParagraph"/>
        <w:numPr>
          <w:ilvl w:val="0"/>
          <w:numId w:val="14"/>
        </w:numPr>
        <w:spacing w:line="360" w:lineRule="auto"/>
        <w:jc w:val="both"/>
        <w:rPr>
          <w:rFonts w:ascii="Times New Roman" w:hAnsi="Times New Roman" w:cs="Times New Roman"/>
          <w:kern w:val="0"/>
          <w:sz w:val="20"/>
          <w:szCs w:val="20"/>
          <w14:ligatures w14:val="none"/>
        </w:rPr>
      </w:pPr>
      <w:r w:rsidRPr="00024CB1">
        <w:rPr>
          <w:rFonts w:ascii="Times New Roman" w:hAnsi="Times New Roman"/>
          <w:kern w:val="0"/>
          <w:sz w:val="20"/>
          <w:szCs w:val="20"/>
          <w14:ligatures w14:val="none"/>
        </w:rPr>
        <w:t xml:space="preserve">Booth, L. and Zhou, J. (2017) ‘Dividend policy: A selective review of results from around the world’, </w:t>
      </w:r>
      <w:r w:rsidRPr="00024CB1">
        <w:rPr>
          <w:rFonts w:ascii="Times New Roman" w:hAnsi="Times New Roman"/>
          <w:i/>
          <w:iCs/>
          <w:kern w:val="0"/>
          <w:sz w:val="20"/>
          <w:szCs w:val="20"/>
          <w14:ligatures w14:val="none"/>
        </w:rPr>
        <w:t>Global Finance Journal,</w:t>
      </w:r>
      <w:r w:rsidRPr="00024CB1">
        <w:rPr>
          <w:rFonts w:ascii="Times New Roman" w:hAnsi="Times New Roman"/>
          <w:kern w:val="0"/>
          <w:sz w:val="20"/>
          <w:szCs w:val="20"/>
          <w14:ligatures w14:val="none"/>
        </w:rPr>
        <w:t xml:space="preserve"> 34, pp.1-15.</w:t>
      </w:r>
      <w:r w:rsidR="00FB5BF4" w:rsidRPr="00FB5BF4">
        <w:t xml:space="preserve"> </w:t>
      </w:r>
      <w:r w:rsidR="00FB5BF4" w:rsidRPr="001E0B2A">
        <w:rPr>
          <w:rFonts w:ascii="Times New Roman" w:hAnsi="Times New Roman" w:cs="Times New Roman"/>
          <w:sz w:val="20"/>
          <w:szCs w:val="20"/>
        </w:rPr>
        <w:t xml:space="preserve">Available at: </w:t>
      </w:r>
      <w:hyperlink r:id="rId10" w:history="1">
        <w:r w:rsidR="00CF078D" w:rsidRPr="001E0B2A">
          <w:rPr>
            <w:rStyle w:val="Hyperlink"/>
            <w:rFonts w:ascii="Times New Roman" w:hAnsi="Times New Roman" w:cs="Times New Roman"/>
            <w:sz w:val="20"/>
            <w:szCs w:val="20"/>
          </w:rPr>
          <w:t>https://</w:t>
        </w:r>
        <w:r w:rsidR="00CF078D" w:rsidRPr="001E0B2A">
          <w:rPr>
            <w:rStyle w:val="Hyperlink"/>
            <w:rFonts w:ascii="Times New Roman" w:hAnsi="Times New Roman" w:cs="Times New Roman"/>
            <w:kern w:val="0"/>
            <w:sz w:val="20"/>
            <w:szCs w:val="20"/>
            <w14:ligatures w14:val="none"/>
          </w:rPr>
          <w:t>doi.org/10.1016/j.gfj.2017.07.002</w:t>
        </w:r>
      </w:hyperlink>
      <w:r w:rsidR="00CF078D" w:rsidRPr="001E0B2A">
        <w:rPr>
          <w:rFonts w:ascii="Times New Roman" w:hAnsi="Times New Roman" w:cs="Times New Roman"/>
          <w:kern w:val="0"/>
          <w:sz w:val="20"/>
          <w:szCs w:val="20"/>
          <w14:ligatures w14:val="none"/>
        </w:rPr>
        <w:t>, [Accessed on 02.12.2023].</w:t>
      </w:r>
    </w:p>
    <w:p w14:paraId="4E7999E2" w14:textId="0A7FD62F" w:rsidR="00033D80" w:rsidRPr="00E71823" w:rsidRDefault="00033D80" w:rsidP="00EC27FD">
      <w:pPr>
        <w:pStyle w:val="ListParagraph"/>
        <w:numPr>
          <w:ilvl w:val="0"/>
          <w:numId w:val="14"/>
        </w:numPr>
        <w:spacing w:line="360" w:lineRule="auto"/>
        <w:jc w:val="both"/>
        <w:rPr>
          <w:rFonts w:ascii="Times New Roman" w:hAnsi="Times New Roman" w:cs="Times New Roman"/>
          <w:kern w:val="0"/>
          <w:sz w:val="20"/>
          <w:szCs w:val="20"/>
          <w14:ligatures w14:val="none"/>
        </w:rPr>
      </w:pPr>
      <w:r w:rsidRPr="00024CB1">
        <w:rPr>
          <w:rFonts w:ascii="Times New Roman" w:hAnsi="Times New Roman"/>
          <w:kern w:val="0"/>
          <w:sz w:val="20"/>
          <w:szCs w:val="20"/>
          <w14:ligatures w14:val="none"/>
        </w:rPr>
        <w:t xml:space="preserve">Boudoukh, J., Richardson, M., Thapar, A. and Wang, F. (2019) ‘Optimal currency hedging for international equity portfolios’, </w:t>
      </w:r>
      <w:r w:rsidRPr="00024CB1">
        <w:rPr>
          <w:rFonts w:ascii="Times New Roman" w:hAnsi="Times New Roman"/>
          <w:i/>
          <w:iCs/>
          <w:kern w:val="0"/>
          <w:sz w:val="20"/>
          <w:szCs w:val="20"/>
          <w14:ligatures w14:val="none"/>
        </w:rPr>
        <w:t>Financial Analysts Journal</w:t>
      </w:r>
      <w:r w:rsidRPr="00024CB1">
        <w:rPr>
          <w:rFonts w:ascii="Times New Roman" w:hAnsi="Times New Roman"/>
          <w:kern w:val="0"/>
          <w:sz w:val="20"/>
          <w:szCs w:val="20"/>
          <w14:ligatures w14:val="none"/>
        </w:rPr>
        <w:t>, 75(4), pp.65-83.</w:t>
      </w:r>
      <w:r w:rsidR="00FC7040">
        <w:rPr>
          <w:rFonts w:ascii="Times New Roman" w:hAnsi="Times New Roman"/>
          <w:kern w:val="0"/>
          <w:sz w:val="20"/>
          <w:szCs w:val="20"/>
          <w14:ligatures w14:val="none"/>
        </w:rPr>
        <w:t xml:space="preserve"> </w:t>
      </w:r>
      <w:r w:rsidR="00AA7A8E" w:rsidRPr="00E71823">
        <w:rPr>
          <w:rFonts w:ascii="Times New Roman" w:hAnsi="Times New Roman" w:cs="Times New Roman"/>
          <w:sz w:val="20"/>
          <w:szCs w:val="20"/>
        </w:rPr>
        <w:t>Available at: https://</w:t>
      </w:r>
      <w:r w:rsidR="00BE6A4A" w:rsidRPr="00E71823">
        <w:rPr>
          <w:rFonts w:ascii="Times New Roman" w:hAnsi="Times New Roman" w:cs="Times New Roman"/>
          <w:kern w:val="0"/>
          <w:sz w:val="20"/>
          <w:szCs w:val="20"/>
          <w14:ligatures w14:val="none"/>
        </w:rPr>
        <w:t>doi.org</w:t>
      </w:r>
      <w:r w:rsidR="00AA7A8E" w:rsidRPr="00E71823">
        <w:rPr>
          <w:rFonts w:ascii="Times New Roman" w:hAnsi="Times New Roman" w:cs="Times New Roman"/>
          <w:kern w:val="0"/>
          <w:sz w:val="20"/>
          <w:szCs w:val="20"/>
          <w14:ligatures w14:val="none"/>
        </w:rPr>
        <w:t>: 10.1080/0015198X.2019.1628556</w:t>
      </w:r>
      <w:r w:rsidR="00BE6A4A" w:rsidRPr="00E71823">
        <w:rPr>
          <w:rFonts w:ascii="Times New Roman" w:hAnsi="Times New Roman" w:cs="Times New Roman"/>
          <w:kern w:val="0"/>
          <w:sz w:val="20"/>
          <w:szCs w:val="20"/>
          <w14:ligatures w14:val="none"/>
        </w:rPr>
        <w:t>. [Accessed on:27.12.2023</w:t>
      </w:r>
      <w:r w:rsidR="001E0B2A" w:rsidRPr="00E71823">
        <w:rPr>
          <w:rFonts w:ascii="Times New Roman" w:hAnsi="Times New Roman" w:cs="Times New Roman"/>
          <w:kern w:val="0"/>
          <w:sz w:val="20"/>
          <w:szCs w:val="20"/>
          <w14:ligatures w14:val="none"/>
        </w:rPr>
        <w:t>]</w:t>
      </w:r>
      <w:r w:rsidR="008A29D0" w:rsidRPr="00E71823">
        <w:rPr>
          <w:rFonts w:ascii="Times New Roman" w:hAnsi="Times New Roman" w:cs="Times New Roman"/>
          <w:kern w:val="0"/>
          <w:sz w:val="20"/>
          <w:szCs w:val="20"/>
          <w14:ligatures w14:val="none"/>
        </w:rPr>
        <w:t>.</w:t>
      </w:r>
    </w:p>
    <w:p w14:paraId="769EB5C0" w14:textId="77777777" w:rsidR="00033D80" w:rsidRPr="00024CB1" w:rsidRDefault="00033D80" w:rsidP="00EC27FD">
      <w:pPr>
        <w:pStyle w:val="ListParagraph"/>
        <w:numPr>
          <w:ilvl w:val="0"/>
          <w:numId w:val="14"/>
        </w:numPr>
        <w:spacing w:line="360" w:lineRule="auto"/>
        <w:jc w:val="both"/>
        <w:rPr>
          <w:rFonts w:ascii="Times New Roman" w:hAnsi="Times New Roman"/>
          <w:kern w:val="0"/>
          <w:sz w:val="20"/>
          <w:szCs w:val="20"/>
          <w14:ligatures w14:val="none"/>
        </w:rPr>
      </w:pPr>
      <w:r w:rsidRPr="00024CB1">
        <w:rPr>
          <w:rFonts w:ascii="Times New Roman" w:hAnsi="Times New Roman"/>
          <w:kern w:val="0"/>
          <w:sz w:val="20"/>
          <w:szCs w:val="20"/>
          <w14:ligatures w14:val="none"/>
        </w:rPr>
        <w:t xml:space="preserve">Eun, C.S., Resnick, B.G. and Chuluun, T. (2021) ‘International financial management’, </w:t>
      </w:r>
      <w:r w:rsidRPr="00024CB1">
        <w:rPr>
          <w:rFonts w:ascii="Times New Roman" w:hAnsi="Times New Roman"/>
          <w:i/>
          <w:iCs/>
          <w:kern w:val="0"/>
          <w:sz w:val="20"/>
          <w:szCs w:val="20"/>
          <w14:ligatures w14:val="none"/>
        </w:rPr>
        <w:t>McGraw-Hill.</w:t>
      </w:r>
    </w:p>
    <w:p w14:paraId="06BF060C" w14:textId="77777777" w:rsidR="00033D80" w:rsidRPr="00024CB1" w:rsidRDefault="00033D80" w:rsidP="00EC27FD">
      <w:pPr>
        <w:pStyle w:val="ListParagraph"/>
        <w:numPr>
          <w:ilvl w:val="0"/>
          <w:numId w:val="14"/>
        </w:numPr>
        <w:spacing w:line="360" w:lineRule="auto"/>
        <w:jc w:val="both"/>
        <w:rPr>
          <w:rFonts w:ascii="Times New Roman" w:hAnsi="Times New Roman"/>
          <w:kern w:val="0"/>
          <w:sz w:val="20"/>
          <w:szCs w:val="20"/>
          <w14:ligatures w14:val="none"/>
        </w:rPr>
      </w:pPr>
      <w:r w:rsidRPr="00024CB1">
        <w:rPr>
          <w:rFonts w:ascii="Times New Roman" w:hAnsi="Times New Roman"/>
          <w:kern w:val="0"/>
          <w:sz w:val="20"/>
          <w:szCs w:val="20"/>
          <w14:ligatures w14:val="none"/>
        </w:rPr>
        <w:t>Madura, J., Hoque, A. and Krishnamrti, C. (2018) ‘International financial management’, Cengage AU.</w:t>
      </w:r>
    </w:p>
    <w:p w14:paraId="2DFD45A0" w14:textId="39116C02" w:rsidR="00033D80" w:rsidRPr="00024CB1" w:rsidRDefault="00033D80" w:rsidP="00EC27FD">
      <w:pPr>
        <w:pStyle w:val="ListParagraph"/>
        <w:numPr>
          <w:ilvl w:val="0"/>
          <w:numId w:val="14"/>
        </w:numPr>
        <w:spacing w:line="360" w:lineRule="auto"/>
        <w:jc w:val="both"/>
        <w:rPr>
          <w:rFonts w:ascii="Times New Roman" w:hAnsi="Times New Roman"/>
          <w:kern w:val="0"/>
          <w:sz w:val="20"/>
          <w:szCs w:val="20"/>
          <w14:ligatures w14:val="none"/>
        </w:rPr>
      </w:pPr>
      <w:r w:rsidRPr="00024CB1">
        <w:rPr>
          <w:rFonts w:ascii="Times New Roman" w:hAnsi="Times New Roman"/>
          <w:kern w:val="0"/>
          <w:sz w:val="20"/>
          <w:szCs w:val="20"/>
          <w14:ligatures w14:val="none"/>
        </w:rPr>
        <w:t xml:space="preserve">Panda, B. and Leepsa, N.M. (2017) ‘Agency theory: Review of theory and evidence on problems and perspectives’, </w:t>
      </w:r>
      <w:r w:rsidRPr="00024CB1">
        <w:rPr>
          <w:rFonts w:ascii="Times New Roman" w:hAnsi="Times New Roman"/>
          <w:i/>
          <w:kern w:val="0"/>
          <w:sz w:val="20"/>
          <w:szCs w:val="20"/>
          <w14:ligatures w14:val="none"/>
        </w:rPr>
        <w:t xml:space="preserve">Indian </w:t>
      </w:r>
      <w:r w:rsidR="00095B6B" w:rsidRPr="00024CB1">
        <w:rPr>
          <w:rFonts w:ascii="Times New Roman" w:hAnsi="Times New Roman"/>
          <w:i/>
          <w:kern w:val="0"/>
          <w:sz w:val="20"/>
          <w:szCs w:val="20"/>
          <w14:ligatures w14:val="none"/>
        </w:rPr>
        <w:t>Journal of Corporate Governance</w:t>
      </w:r>
      <w:r w:rsidRPr="00024CB1">
        <w:rPr>
          <w:rFonts w:ascii="Times New Roman" w:hAnsi="Times New Roman"/>
          <w:kern w:val="0"/>
          <w:sz w:val="20"/>
          <w:szCs w:val="20"/>
          <w14:ligatures w14:val="none"/>
        </w:rPr>
        <w:t>, 10(1), pp.74-95.</w:t>
      </w:r>
      <w:r w:rsidR="007F02B3" w:rsidRPr="007F02B3">
        <w:t xml:space="preserve"> </w:t>
      </w:r>
      <w:r w:rsidR="00942302" w:rsidRPr="00942302">
        <w:rPr>
          <w:rFonts w:ascii="Times New Roman" w:hAnsi="Times New Roman" w:cs="Times New Roman"/>
          <w:sz w:val="20"/>
          <w:szCs w:val="20"/>
        </w:rPr>
        <w:t>Available at:</w:t>
      </w:r>
      <w:r w:rsidR="00942302">
        <w:t xml:space="preserve"> </w:t>
      </w:r>
      <w:hyperlink r:id="rId11" w:history="1">
        <w:r w:rsidR="00942302" w:rsidRPr="00FB47C6">
          <w:rPr>
            <w:rStyle w:val="Hyperlink"/>
            <w:rFonts w:ascii="Times New Roman" w:hAnsi="Times New Roman"/>
            <w:kern w:val="0"/>
            <w:sz w:val="20"/>
            <w:szCs w:val="20"/>
            <w14:ligatures w14:val="none"/>
          </w:rPr>
          <w:t>https://doi.org/10.1177/0974686217701467</w:t>
        </w:r>
      </w:hyperlink>
      <w:r w:rsidR="00942302">
        <w:rPr>
          <w:rFonts w:ascii="Times New Roman" w:hAnsi="Times New Roman"/>
          <w:kern w:val="0"/>
          <w:sz w:val="20"/>
          <w:szCs w:val="20"/>
          <w14:ligatures w14:val="none"/>
        </w:rPr>
        <w:t xml:space="preserve">, </w:t>
      </w:r>
      <w:r w:rsidR="006B2B07">
        <w:rPr>
          <w:rFonts w:ascii="Times New Roman" w:hAnsi="Times New Roman"/>
          <w:kern w:val="0"/>
          <w:sz w:val="20"/>
          <w:szCs w:val="20"/>
          <w14:ligatures w14:val="none"/>
        </w:rPr>
        <w:t>[Accessed on:22.12.2023].</w:t>
      </w:r>
    </w:p>
    <w:p w14:paraId="6864D4C7" w14:textId="77777777" w:rsidR="00033D80" w:rsidRPr="00024CB1" w:rsidRDefault="00033D80" w:rsidP="00EC27FD">
      <w:pPr>
        <w:pStyle w:val="ListParagraph"/>
        <w:numPr>
          <w:ilvl w:val="0"/>
          <w:numId w:val="14"/>
        </w:numPr>
        <w:spacing w:line="360" w:lineRule="auto"/>
        <w:jc w:val="both"/>
        <w:rPr>
          <w:rFonts w:ascii="Times New Roman" w:hAnsi="Times New Roman"/>
          <w:kern w:val="0"/>
          <w:sz w:val="20"/>
          <w:szCs w:val="20"/>
          <w14:ligatures w14:val="none"/>
        </w:rPr>
      </w:pPr>
      <w:r w:rsidRPr="00024CB1">
        <w:rPr>
          <w:rFonts w:ascii="Times New Roman" w:hAnsi="Times New Roman"/>
          <w:kern w:val="0"/>
          <w:sz w:val="20"/>
          <w:szCs w:val="20"/>
          <w14:ligatures w14:val="none"/>
        </w:rPr>
        <w:t xml:space="preserve">Pike, R. and Neale, B. (2006) ‘Corporate finance and investment: decisions &amp; strategies’, </w:t>
      </w:r>
      <w:r w:rsidRPr="00024CB1">
        <w:rPr>
          <w:rFonts w:ascii="Times New Roman" w:hAnsi="Times New Roman"/>
          <w:i/>
          <w:iCs/>
          <w:kern w:val="0"/>
          <w:sz w:val="20"/>
          <w:szCs w:val="20"/>
          <w14:ligatures w14:val="none"/>
        </w:rPr>
        <w:t>Pearson Education.</w:t>
      </w:r>
    </w:p>
    <w:p w14:paraId="7F43C555" w14:textId="3BA6F095" w:rsidR="00033D80" w:rsidRPr="008A29D0" w:rsidRDefault="00033D80" w:rsidP="00EC27FD">
      <w:pPr>
        <w:pStyle w:val="ListParagraph"/>
        <w:numPr>
          <w:ilvl w:val="0"/>
          <w:numId w:val="14"/>
        </w:numPr>
        <w:spacing w:line="360" w:lineRule="auto"/>
        <w:jc w:val="both"/>
        <w:rPr>
          <w:rFonts w:ascii="Times New Roman" w:hAnsi="Times New Roman" w:cs="Times New Roman"/>
          <w:kern w:val="0"/>
          <w:sz w:val="20"/>
          <w:szCs w:val="20"/>
          <w14:ligatures w14:val="none"/>
        </w:rPr>
      </w:pPr>
      <w:r w:rsidRPr="00024CB1">
        <w:rPr>
          <w:rFonts w:ascii="Times New Roman" w:hAnsi="Times New Roman"/>
          <w:kern w:val="0"/>
          <w:sz w:val="20"/>
          <w:szCs w:val="20"/>
          <w14:ligatures w14:val="none"/>
        </w:rPr>
        <w:t xml:space="preserve">Standard Chartered Plc. (2020) ‘European and Americas Corporates Prioritise Regions’. </w:t>
      </w:r>
      <w:r w:rsidR="00443ACE">
        <w:rPr>
          <w:rFonts w:ascii="Times New Roman" w:hAnsi="Times New Roman"/>
          <w:kern w:val="0"/>
          <w:sz w:val="20"/>
          <w:szCs w:val="20"/>
          <w14:ligatures w14:val="none"/>
        </w:rPr>
        <w:t xml:space="preserve">Available at: </w:t>
      </w:r>
      <w:hyperlink r:id="rId12" w:history="1">
        <w:r w:rsidR="00443ACE" w:rsidRPr="008A29D0">
          <w:rPr>
            <w:rStyle w:val="Hyperlink"/>
            <w:rFonts w:ascii="Times New Roman" w:hAnsi="Times New Roman" w:cs="Times New Roman"/>
            <w:kern w:val="0"/>
            <w:sz w:val="20"/>
            <w:szCs w:val="20"/>
            <w14:ligatures w14:val="none"/>
          </w:rPr>
          <w:t xml:space="preserve">https://www.sc.com/us/standard-chartered-research-reveals-companies-in-europe-and-americas-identify-asia-pacific-as-priority-market-for-international-expansion/. </w:t>
        </w:r>
        <w:r w:rsidR="00443ACE" w:rsidRPr="008A29D0">
          <w:rPr>
            <w:rStyle w:val="Hyperlink"/>
            <w:rFonts w:ascii="Times New Roman" w:hAnsi="Times New Roman" w:cs="Times New Roman"/>
            <w:kern w:val="0"/>
            <w:sz w:val="20"/>
            <w:szCs w:val="20"/>
            <w:u w:val="none"/>
            <w14:ligatures w14:val="none"/>
          </w:rPr>
          <w:t xml:space="preserve">   </w:t>
        </w:r>
        <w:r w:rsidR="00443ACE" w:rsidRPr="008A29D0">
          <w:rPr>
            <w:rStyle w:val="Hyperlink"/>
            <w:rFonts w:ascii="Times New Roman" w:hAnsi="Times New Roman" w:cs="Times New Roman"/>
            <w:color w:val="000000" w:themeColor="text1"/>
            <w:sz w:val="20"/>
            <w:szCs w:val="20"/>
            <w:u w:val="none"/>
          </w:rPr>
          <w:t>[Accessed</w:t>
        </w:r>
      </w:hyperlink>
      <w:r w:rsidR="00980DC6" w:rsidRPr="008A29D0">
        <w:rPr>
          <w:rFonts w:ascii="Times New Roman" w:hAnsi="Times New Roman" w:cs="Times New Roman"/>
          <w:sz w:val="20"/>
          <w:szCs w:val="20"/>
        </w:rPr>
        <w:t xml:space="preserve"> on</w:t>
      </w:r>
      <w:r w:rsidR="00F25895" w:rsidRPr="008A29D0">
        <w:rPr>
          <w:rFonts w:ascii="Times New Roman" w:hAnsi="Times New Roman" w:cs="Times New Roman"/>
          <w:kern w:val="0"/>
          <w:sz w:val="20"/>
          <w:szCs w:val="20"/>
          <w14:ligatures w14:val="none"/>
        </w:rPr>
        <w:t>: 23.11.2023</w:t>
      </w:r>
      <w:r w:rsidR="00930E74" w:rsidRPr="008A29D0">
        <w:rPr>
          <w:rFonts w:ascii="Times New Roman" w:hAnsi="Times New Roman" w:cs="Times New Roman"/>
          <w:kern w:val="0"/>
          <w:sz w:val="20"/>
          <w:szCs w:val="20"/>
          <w14:ligatures w14:val="none"/>
        </w:rPr>
        <w:t>]</w:t>
      </w:r>
      <w:r w:rsidR="008A29D0">
        <w:rPr>
          <w:rFonts w:ascii="Times New Roman" w:hAnsi="Times New Roman" w:cs="Times New Roman"/>
          <w:kern w:val="0"/>
          <w:sz w:val="20"/>
          <w:szCs w:val="20"/>
          <w14:ligatures w14:val="none"/>
        </w:rPr>
        <w:t>.</w:t>
      </w:r>
    </w:p>
    <w:p w14:paraId="49C947C6" w14:textId="2755EEA1" w:rsidR="00033D80" w:rsidRPr="00024CB1" w:rsidRDefault="00033D80" w:rsidP="00EC27FD">
      <w:pPr>
        <w:pStyle w:val="ListParagraph"/>
        <w:numPr>
          <w:ilvl w:val="0"/>
          <w:numId w:val="14"/>
        </w:numPr>
        <w:spacing w:line="360" w:lineRule="auto"/>
        <w:jc w:val="both"/>
        <w:rPr>
          <w:rFonts w:ascii="Times New Roman" w:hAnsi="Times New Roman"/>
          <w:kern w:val="0"/>
          <w:sz w:val="20"/>
          <w:szCs w:val="20"/>
          <w14:ligatures w14:val="none"/>
        </w:rPr>
      </w:pPr>
      <w:r w:rsidRPr="00024CB1">
        <w:rPr>
          <w:rFonts w:ascii="Times New Roman" w:hAnsi="Times New Roman"/>
          <w:kern w:val="0"/>
          <w:sz w:val="20"/>
          <w:szCs w:val="20"/>
          <w14:ligatures w14:val="none"/>
        </w:rPr>
        <w:t xml:space="preserve">Titman, S., Keown, A.J. and Martin, J.D. (2018) ‘Financial management: Principles and </w:t>
      </w:r>
      <w:r w:rsidR="00933CBE" w:rsidRPr="00024CB1">
        <w:rPr>
          <w:rFonts w:ascii="Times New Roman" w:hAnsi="Times New Roman"/>
          <w:kern w:val="0"/>
          <w:sz w:val="20"/>
          <w:szCs w:val="20"/>
          <w14:ligatures w14:val="none"/>
        </w:rPr>
        <w:t>applications</w:t>
      </w:r>
      <w:r w:rsidR="00726172">
        <w:rPr>
          <w:rFonts w:ascii="Times New Roman" w:hAnsi="Times New Roman"/>
          <w:kern w:val="0"/>
          <w:sz w:val="20"/>
          <w:szCs w:val="20"/>
          <w14:ligatures w14:val="none"/>
        </w:rPr>
        <w:t>,</w:t>
      </w:r>
      <w:r w:rsidR="00726172" w:rsidRPr="00726172">
        <w:rPr>
          <w:rFonts w:ascii="Arial" w:hAnsi="Arial" w:cs="Arial"/>
          <w:color w:val="777777"/>
          <w:sz w:val="20"/>
          <w:szCs w:val="20"/>
          <w:shd w:val="clear" w:color="auto" w:fill="FFFFFF"/>
        </w:rPr>
        <w:t xml:space="preserve"> </w:t>
      </w:r>
      <w:r w:rsidR="00726172" w:rsidRPr="00726172">
        <w:rPr>
          <w:rFonts w:ascii="Times New Roman" w:hAnsi="Times New Roman"/>
          <w:kern w:val="0"/>
          <w:sz w:val="20"/>
          <w:szCs w:val="20"/>
          <w14:ligatures w14:val="none"/>
        </w:rPr>
        <w:t>Pearson Higher Ed</w:t>
      </w:r>
      <w:r w:rsidR="00726172">
        <w:rPr>
          <w:rFonts w:ascii="Times New Roman" w:hAnsi="Times New Roman"/>
          <w:kern w:val="0"/>
          <w:sz w:val="20"/>
          <w:szCs w:val="20"/>
          <w14:ligatures w14:val="none"/>
        </w:rPr>
        <w:t>.</w:t>
      </w:r>
    </w:p>
    <w:p w14:paraId="6F528AB9" w14:textId="560C17B4" w:rsidR="00FE4274" w:rsidRPr="00A90BDA" w:rsidRDefault="00033D80" w:rsidP="00562168">
      <w:pPr>
        <w:pStyle w:val="ListParagraph"/>
        <w:numPr>
          <w:ilvl w:val="0"/>
          <w:numId w:val="14"/>
        </w:numPr>
        <w:spacing w:line="360" w:lineRule="auto"/>
        <w:jc w:val="both"/>
        <w:rPr>
          <w:rFonts w:ascii="Times New Roman" w:hAnsi="Times New Roman" w:cs="Times New Roman"/>
          <w:sz w:val="20"/>
          <w:szCs w:val="20"/>
        </w:rPr>
      </w:pPr>
      <w:r w:rsidRPr="00703AE8">
        <w:rPr>
          <w:rFonts w:ascii="Times New Roman" w:hAnsi="Times New Roman"/>
          <w:kern w:val="0"/>
          <w:sz w:val="20"/>
          <w:szCs w:val="20"/>
          <w14:ligatures w14:val="none"/>
        </w:rPr>
        <w:t xml:space="preserve">Ying, Q., Yousaf, T., Ain, Q.U., Akhtar, Y. and Rasheed, M.S. (2019) ‘Stock investment and excess returns: a critical review in the light of the efficient market hypothesis’, </w:t>
      </w:r>
      <w:r w:rsidRPr="00703AE8">
        <w:rPr>
          <w:rFonts w:ascii="Times New Roman" w:hAnsi="Times New Roman"/>
          <w:i/>
          <w:iCs/>
          <w:kern w:val="0"/>
          <w:sz w:val="20"/>
          <w:szCs w:val="20"/>
          <w14:ligatures w14:val="none"/>
        </w:rPr>
        <w:t>Journal of risk and financial management</w:t>
      </w:r>
      <w:r w:rsidRPr="00703AE8">
        <w:rPr>
          <w:rFonts w:ascii="Times New Roman" w:hAnsi="Times New Roman"/>
          <w:kern w:val="0"/>
          <w:sz w:val="20"/>
          <w:szCs w:val="20"/>
          <w14:ligatures w14:val="none"/>
        </w:rPr>
        <w:t>, 12(2), p.97.</w:t>
      </w:r>
      <w:r w:rsidR="00911888" w:rsidRPr="00911888">
        <w:t xml:space="preserve"> </w:t>
      </w:r>
      <w:r w:rsidR="00A90BDA" w:rsidRPr="003A54B4">
        <w:rPr>
          <w:rFonts w:ascii="Times New Roman" w:hAnsi="Times New Roman" w:cs="Times New Roman"/>
        </w:rPr>
        <w:t xml:space="preserve">Available at: </w:t>
      </w:r>
      <w:hyperlink r:id="rId13" w:history="1">
        <w:r w:rsidR="003A54B4" w:rsidRPr="00FB47C6">
          <w:rPr>
            <w:rStyle w:val="Hyperlink"/>
            <w:rFonts w:ascii="Times New Roman" w:hAnsi="Times New Roman" w:cs="Times New Roman"/>
          </w:rPr>
          <w:t>https://doi.org</w:t>
        </w:r>
        <w:r w:rsidR="003A54B4" w:rsidRPr="00FB47C6">
          <w:rPr>
            <w:rStyle w:val="Hyperlink"/>
            <w:rFonts w:ascii="Times New Roman" w:hAnsi="Times New Roman" w:cs="Times New Roman"/>
            <w:sz w:val="20"/>
            <w:szCs w:val="20"/>
          </w:rPr>
          <w:t>:10.3389/fpsyg.2020.00173</w:t>
        </w:r>
      </w:hyperlink>
      <w:r w:rsidR="003A54B4">
        <w:rPr>
          <w:rFonts w:ascii="Times New Roman" w:hAnsi="Times New Roman" w:cs="Times New Roman"/>
          <w:sz w:val="20"/>
          <w:szCs w:val="20"/>
        </w:rPr>
        <w:t xml:space="preserve">, </w:t>
      </w:r>
      <w:r w:rsidR="00007979">
        <w:rPr>
          <w:rFonts w:ascii="Times New Roman" w:hAnsi="Times New Roman" w:cs="Times New Roman"/>
          <w:sz w:val="20"/>
          <w:szCs w:val="20"/>
        </w:rPr>
        <w:t>[</w:t>
      </w:r>
      <w:r w:rsidR="003A54B4">
        <w:rPr>
          <w:rFonts w:ascii="Times New Roman" w:hAnsi="Times New Roman" w:cs="Times New Roman"/>
          <w:sz w:val="20"/>
          <w:szCs w:val="20"/>
        </w:rPr>
        <w:t>Accessed on</w:t>
      </w:r>
      <w:r w:rsidR="00007979">
        <w:rPr>
          <w:rFonts w:ascii="Times New Roman" w:hAnsi="Times New Roman" w:cs="Times New Roman"/>
          <w:sz w:val="20"/>
          <w:szCs w:val="20"/>
        </w:rPr>
        <w:t>: 19.12.2023]</w:t>
      </w:r>
      <w:r w:rsidR="008A29D0">
        <w:rPr>
          <w:rFonts w:ascii="Times New Roman" w:hAnsi="Times New Roman" w:cs="Times New Roman"/>
          <w:sz w:val="20"/>
          <w:szCs w:val="20"/>
        </w:rPr>
        <w:t>.</w:t>
      </w:r>
    </w:p>
    <w:sectPr w:rsidR="00FE4274" w:rsidRPr="00A90BDA" w:rsidSect="00F43947">
      <w:headerReference w:type="default" r:id="rId14"/>
      <w:pgSz w:w="12240" w:h="15840"/>
      <w:pgMar w:top="1440" w:right="1440" w:bottom="1440" w:left="1440" w:header="720" w:footer="720" w:gutter="0"/>
      <w:pgBorders w:offsetFrom="page">
        <w:top w:val="thinThickMediumGap" w:sz="24" w:space="24" w:color="auto"/>
        <w:left w:val="thinThickMediumGap" w:sz="24" w:space="24" w:color="auto"/>
        <w:bottom w:val="thinThickMediumGap" w:sz="24" w:space="24" w:color="auto"/>
        <w:right w:val="thinThickMedium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9D711" w14:textId="77777777" w:rsidR="004352C7" w:rsidRDefault="004352C7">
      <w:pPr>
        <w:spacing w:after="0" w:line="240" w:lineRule="auto"/>
      </w:pPr>
      <w:r>
        <w:separator/>
      </w:r>
    </w:p>
  </w:endnote>
  <w:endnote w:type="continuationSeparator" w:id="0">
    <w:p w14:paraId="6702CA9B" w14:textId="77777777" w:rsidR="004352C7" w:rsidRDefault="00435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1AE71" w14:textId="77777777" w:rsidR="004352C7" w:rsidRDefault="004352C7">
      <w:pPr>
        <w:spacing w:after="0" w:line="240" w:lineRule="auto"/>
      </w:pPr>
      <w:r>
        <w:separator/>
      </w:r>
    </w:p>
  </w:footnote>
  <w:footnote w:type="continuationSeparator" w:id="0">
    <w:p w14:paraId="3CCC90E2" w14:textId="77777777" w:rsidR="004352C7" w:rsidRDefault="004352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1984022"/>
      <w:docPartObj>
        <w:docPartGallery w:val="Page Numbers (Top of Page)"/>
        <w:docPartUnique/>
      </w:docPartObj>
    </w:sdtPr>
    <w:sdtEndPr>
      <w:rPr>
        <w:noProof/>
      </w:rPr>
    </w:sdtEndPr>
    <w:sdtContent>
      <w:p w14:paraId="48C61EA5" w14:textId="77777777" w:rsidR="00FE4274" w:rsidRDefault="004352C7">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73928A56" w14:textId="77777777" w:rsidR="00FE4274" w:rsidRDefault="00FE42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2996"/>
    <w:multiLevelType w:val="hybridMultilevel"/>
    <w:tmpl w:val="44444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B52A3"/>
    <w:multiLevelType w:val="hybridMultilevel"/>
    <w:tmpl w:val="E96EE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F542F1"/>
    <w:multiLevelType w:val="hybridMultilevel"/>
    <w:tmpl w:val="0D0CC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A4D58"/>
    <w:multiLevelType w:val="hybridMultilevel"/>
    <w:tmpl w:val="D4D68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94AD6"/>
    <w:multiLevelType w:val="multilevel"/>
    <w:tmpl w:val="5EC4FA60"/>
    <w:lvl w:ilvl="0">
      <w:start w:val="1"/>
      <w:numFmt w:val="decimal"/>
      <w:lvlText w:val="%1"/>
      <w:lvlJc w:val="left"/>
      <w:pPr>
        <w:ind w:left="480" w:hanging="480"/>
      </w:pPr>
      <w:rPr>
        <w:rFonts w:eastAsiaTheme="majorEastAsia" w:hint="default"/>
        <w:sz w:val="32"/>
      </w:rPr>
    </w:lvl>
    <w:lvl w:ilvl="1">
      <w:start w:val="1"/>
      <w:numFmt w:val="decimal"/>
      <w:lvlText w:val="%1.%2"/>
      <w:lvlJc w:val="left"/>
      <w:pPr>
        <w:ind w:left="1200" w:hanging="480"/>
      </w:pPr>
      <w:rPr>
        <w:rFonts w:eastAsiaTheme="majorEastAsia" w:hint="default"/>
        <w:sz w:val="32"/>
      </w:rPr>
    </w:lvl>
    <w:lvl w:ilvl="2">
      <w:start w:val="1"/>
      <w:numFmt w:val="decimal"/>
      <w:lvlText w:val="%1.%2.%3"/>
      <w:lvlJc w:val="left"/>
      <w:pPr>
        <w:ind w:left="2160" w:hanging="720"/>
      </w:pPr>
      <w:rPr>
        <w:rFonts w:eastAsiaTheme="majorEastAsia" w:hint="default"/>
        <w:sz w:val="32"/>
      </w:rPr>
    </w:lvl>
    <w:lvl w:ilvl="3">
      <w:start w:val="1"/>
      <w:numFmt w:val="decimal"/>
      <w:lvlText w:val="%1.%2.%3.%4"/>
      <w:lvlJc w:val="left"/>
      <w:pPr>
        <w:ind w:left="2880" w:hanging="720"/>
      </w:pPr>
      <w:rPr>
        <w:rFonts w:eastAsiaTheme="majorEastAsia" w:hint="default"/>
        <w:sz w:val="32"/>
      </w:rPr>
    </w:lvl>
    <w:lvl w:ilvl="4">
      <w:start w:val="1"/>
      <w:numFmt w:val="decimal"/>
      <w:lvlText w:val="%1.%2.%3.%4.%5"/>
      <w:lvlJc w:val="left"/>
      <w:pPr>
        <w:ind w:left="3960" w:hanging="1080"/>
      </w:pPr>
      <w:rPr>
        <w:rFonts w:eastAsiaTheme="majorEastAsia" w:hint="default"/>
        <w:sz w:val="32"/>
      </w:rPr>
    </w:lvl>
    <w:lvl w:ilvl="5">
      <w:start w:val="1"/>
      <w:numFmt w:val="decimal"/>
      <w:lvlText w:val="%1.%2.%3.%4.%5.%6"/>
      <w:lvlJc w:val="left"/>
      <w:pPr>
        <w:ind w:left="4680" w:hanging="1080"/>
      </w:pPr>
      <w:rPr>
        <w:rFonts w:eastAsiaTheme="majorEastAsia" w:hint="default"/>
        <w:sz w:val="32"/>
      </w:rPr>
    </w:lvl>
    <w:lvl w:ilvl="6">
      <w:start w:val="1"/>
      <w:numFmt w:val="decimal"/>
      <w:lvlText w:val="%1.%2.%3.%4.%5.%6.%7"/>
      <w:lvlJc w:val="left"/>
      <w:pPr>
        <w:ind w:left="5760" w:hanging="1440"/>
      </w:pPr>
      <w:rPr>
        <w:rFonts w:eastAsiaTheme="majorEastAsia" w:hint="default"/>
        <w:sz w:val="32"/>
      </w:rPr>
    </w:lvl>
    <w:lvl w:ilvl="7">
      <w:start w:val="1"/>
      <w:numFmt w:val="decimal"/>
      <w:lvlText w:val="%1.%2.%3.%4.%5.%6.%7.%8"/>
      <w:lvlJc w:val="left"/>
      <w:pPr>
        <w:ind w:left="6480" w:hanging="1440"/>
      </w:pPr>
      <w:rPr>
        <w:rFonts w:eastAsiaTheme="majorEastAsia" w:hint="default"/>
        <w:sz w:val="32"/>
      </w:rPr>
    </w:lvl>
    <w:lvl w:ilvl="8">
      <w:start w:val="1"/>
      <w:numFmt w:val="decimal"/>
      <w:lvlText w:val="%1.%2.%3.%4.%5.%6.%7.%8.%9"/>
      <w:lvlJc w:val="left"/>
      <w:pPr>
        <w:ind w:left="7560" w:hanging="1800"/>
      </w:pPr>
      <w:rPr>
        <w:rFonts w:eastAsiaTheme="majorEastAsia" w:hint="default"/>
        <w:sz w:val="32"/>
      </w:rPr>
    </w:lvl>
  </w:abstractNum>
  <w:abstractNum w:abstractNumId="5" w15:restartNumberingAfterBreak="0">
    <w:nsid w:val="39B64340"/>
    <w:multiLevelType w:val="hybridMultilevel"/>
    <w:tmpl w:val="6AF01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1505FD"/>
    <w:multiLevelType w:val="hybridMultilevel"/>
    <w:tmpl w:val="62BE8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F95835"/>
    <w:multiLevelType w:val="hybridMultilevel"/>
    <w:tmpl w:val="6C86C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684DC3"/>
    <w:multiLevelType w:val="hybridMultilevel"/>
    <w:tmpl w:val="A2A2C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7E61CA"/>
    <w:multiLevelType w:val="hybridMultilevel"/>
    <w:tmpl w:val="9F088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972B16"/>
    <w:multiLevelType w:val="hybridMultilevel"/>
    <w:tmpl w:val="5CE63EF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4FD731B4"/>
    <w:multiLevelType w:val="hybridMultilevel"/>
    <w:tmpl w:val="37148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F232E2"/>
    <w:multiLevelType w:val="hybridMultilevel"/>
    <w:tmpl w:val="8C900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6C0403"/>
    <w:multiLevelType w:val="hybridMultilevel"/>
    <w:tmpl w:val="31F4D8AC"/>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7F261E"/>
    <w:multiLevelType w:val="hybridMultilevel"/>
    <w:tmpl w:val="03506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4C5E86"/>
    <w:multiLevelType w:val="hybridMultilevel"/>
    <w:tmpl w:val="7126179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1A5F5C"/>
    <w:multiLevelType w:val="hybridMultilevel"/>
    <w:tmpl w:val="49909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9716482">
    <w:abstractNumId w:val="4"/>
  </w:num>
  <w:num w:numId="2" w16cid:durableId="1145466039">
    <w:abstractNumId w:val="14"/>
  </w:num>
  <w:num w:numId="3" w16cid:durableId="1764103304">
    <w:abstractNumId w:val="11"/>
  </w:num>
  <w:num w:numId="4" w16cid:durableId="1266185242">
    <w:abstractNumId w:val="8"/>
  </w:num>
  <w:num w:numId="5" w16cid:durableId="592588224">
    <w:abstractNumId w:val="10"/>
  </w:num>
  <w:num w:numId="6" w16cid:durableId="356351976">
    <w:abstractNumId w:val="7"/>
  </w:num>
  <w:num w:numId="7" w16cid:durableId="198125746">
    <w:abstractNumId w:val="0"/>
  </w:num>
  <w:num w:numId="8" w16cid:durableId="54937052">
    <w:abstractNumId w:val="9"/>
  </w:num>
  <w:num w:numId="9" w16cid:durableId="1388338666">
    <w:abstractNumId w:val="3"/>
  </w:num>
  <w:num w:numId="10" w16cid:durableId="1393892199">
    <w:abstractNumId w:val="1"/>
  </w:num>
  <w:num w:numId="11" w16cid:durableId="1454790193">
    <w:abstractNumId w:val="12"/>
  </w:num>
  <w:num w:numId="12" w16cid:durableId="2078702948">
    <w:abstractNumId w:val="5"/>
  </w:num>
  <w:num w:numId="13" w16cid:durableId="2032534247">
    <w:abstractNumId w:val="2"/>
  </w:num>
  <w:num w:numId="14" w16cid:durableId="716977891">
    <w:abstractNumId w:val="13"/>
  </w:num>
  <w:num w:numId="15" w16cid:durableId="1860511680">
    <w:abstractNumId w:val="16"/>
  </w:num>
  <w:num w:numId="16" w16cid:durableId="533691615">
    <w:abstractNumId w:val="15"/>
  </w:num>
  <w:num w:numId="17" w16cid:durableId="35572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D80"/>
    <w:rsid w:val="0000253C"/>
    <w:rsid w:val="00003A03"/>
    <w:rsid w:val="00007979"/>
    <w:rsid w:val="00021A52"/>
    <w:rsid w:val="00024CB1"/>
    <w:rsid w:val="00033D80"/>
    <w:rsid w:val="00071FFF"/>
    <w:rsid w:val="0008127B"/>
    <w:rsid w:val="00085E2F"/>
    <w:rsid w:val="00095B6B"/>
    <w:rsid w:val="000C238C"/>
    <w:rsid w:val="000D70F1"/>
    <w:rsid w:val="000F3763"/>
    <w:rsid w:val="00116C65"/>
    <w:rsid w:val="001A76E7"/>
    <w:rsid w:val="001A7B8A"/>
    <w:rsid w:val="001A7D9C"/>
    <w:rsid w:val="001E0B2A"/>
    <w:rsid w:val="00202469"/>
    <w:rsid w:val="00220EC8"/>
    <w:rsid w:val="00243DEF"/>
    <w:rsid w:val="00246CAE"/>
    <w:rsid w:val="0025621F"/>
    <w:rsid w:val="0028269D"/>
    <w:rsid w:val="002B5BE4"/>
    <w:rsid w:val="00304171"/>
    <w:rsid w:val="003070D7"/>
    <w:rsid w:val="00325B75"/>
    <w:rsid w:val="00334227"/>
    <w:rsid w:val="00345D32"/>
    <w:rsid w:val="003553EE"/>
    <w:rsid w:val="00372A1C"/>
    <w:rsid w:val="003739BD"/>
    <w:rsid w:val="00381F3B"/>
    <w:rsid w:val="003A54B4"/>
    <w:rsid w:val="003B71EB"/>
    <w:rsid w:val="003F6542"/>
    <w:rsid w:val="004352C7"/>
    <w:rsid w:val="00443ACE"/>
    <w:rsid w:val="00481AF9"/>
    <w:rsid w:val="004C33E3"/>
    <w:rsid w:val="004E6FB8"/>
    <w:rsid w:val="00511578"/>
    <w:rsid w:val="00515F31"/>
    <w:rsid w:val="00533D39"/>
    <w:rsid w:val="005755A4"/>
    <w:rsid w:val="00587B40"/>
    <w:rsid w:val="0059341F"/>
    <w:rsid w:val="005B0AF2"/>
    <w:rsid w:val="00605619"/>
    <w:rsid w:val="006100AC"/>
    <w:rsid w:val="00635DFE"/>
    <w:rsid w:val="00642ACB"/>
    <w:rsid w:val="006B2B07"/>
    <w:rsid w:val="006E3F32"/>
    <w:rsid w:val="006F0CCF"/>
    <w:rsid w:val="00703AE8"/>
    <w:rsid w:val="00726172"/>
    <w:rsid w:val="00736CC0"/>
    <w:rsid w:val="00770167"/>
    <w:rsid w:val="007703DD"/>
    <w:rsid w:val="0077219A"/>
    <w:rsid w:val="00773022"/>
    <w:rsid w:val="00795F57"/>
    <w:rsid w:val="007F02B3"/>
    <w:rsid w:val="00815249"/>
    <w:rsid w:val="00836110"/>
    <w:rsid w:val="00884742"/>
    <w:rsid w:val="008A29D0"/>
    <w:rsid w:val="00911888"/>
    <w:rsid w:val="00930E74"/>
    <w:rsid w:val="00933CBE"/>
    <w:rsid w:val="00942302"/>
    <w:rsid w:val="00952915"/>
    <w:rsid w:val="00980DC6"/>
    <w:rsid w:val="009960F7"/>
    <w:rsid w:val="009C2A9C"/>
    <w:rsid w:val="009F0FB9"/>
    <w:rsid w:val="00A067A5"/>
    <w:rsid w:val="00A90BDA"/>
    <w:rsid w:val="00AA6462"/>
    <w:rsid w:val="00AA784A"/>
    <w:rsid w:val="00AA7A8E"/>
    <w:rsid w:val="00AB513B"/>
    <w:rsid w:val="00B22F15"/>
    <w:rsid w:val="00B93CBE"/>
    <w:rsid w:val="00BC702F"/>
    <w:rsid w:val="00BC7C74"/>
    <w:rsid w:val="00BD11B4"/>
    <w:rsid w:val="00BD5589"/>
    <w:rsid w:val="00BD7E3A"/>
    <w:rsid w:val="00BE6A4A"/>
    <w:rsid w:val="00BF2AD8"/>
    <w:rsid w:val="00C1118C"/>
    <w:rsid w:val="00C2519C"/>
    <w:rsid w:val="00C74ACB"/>
    <w:rsid w:val="00C92FC5"/>
    <w:rsid w:val="00CB106D"/>
    <w:rsid w:val="00CC11C8"/>
    <w:rsid w:val="00CE0D6A"/>
    <w:rsid w:val="00CE121B"/>
    <w:rsid w:val="00CE29C0"/>
    <w:rsid w:val="00CF078D"/>
    <w:rsid w:val="00D14AD2"/>
    <w:rsid w:val="00D47E88"/>
    <w:rsid w:val="00D906BA"/>
    <w:rsid w:val="00DC57FC"/>
    <w:rsid w:val="00DF201A"/>
    <w:rsid w:val="00E4315E"/>
    <w:rsid w:val="00E71823"/>
    <w:rsid w:val="00EB0E91"/>
    <w:rsid w:val="00EC27FD"/>
    <w:rsid w:val="00F0471F"/>
    <w:rsid w:val="00F10EE6"/>
    <w:rsid w:val="00F25895"/>
    <w:rsid w:val="00F32B6C"/>
    <w:rsid w:val="00F43947"/>
    <w:rsid w:val="00F5027E"/>
    <w:rsid w:val="00F509C4"/>
    <w:rsid w:val="00F703AA"/>
    <w:rsid w:val="00FA25D1"/>
    <w:rsid w:val="00FA483B"/>
    <w:rsid w:val="00FA6125"/>
    <w:rsid w:val="00FB3935"/>
    <w:rsid w:val="00FB5BF4"/>
    <w:rsid w:val="00FC7040"/>
    <w:rsid w:val="00FE4274"/>
    <w:rsid w:val="00FF3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CCEA75"/>
  <w15:chartTrackingRefBased/>
  <w15:docId w15:val="{7A98C2FF-1BC0-49B7-8719-A5070FFB7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D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33D8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33D80"/>
  </w:style>
  <w:style w:type="character" w:customStyle="1" w:styleId="Heading1Char">
    <w:name w:val="Heading 1 Char"/>
    <w:basedOn w:val="DefaultParagraphFont"/>
    <w:link w:val="Heading1"/>
    <w:uiPriority w:val="9"/>
    <w:rsid w:val="00033D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3D80"/>
    <w:pPr>
      <w:outlineLvl w:val="9"/>
    </w:pPr>
    <w:rPr>
      <w:kern w:val="0"/>
      <w:lang w:val="en-US"/>
      <w14:ligatures w14:val="none"/>
    </w:rPr>
  </w:style>
  <w:style w:type="paragraph" w:styleId="TOC2">
    <w:name w:val="toc 2"/>
    <w:basedOn w:val="Normal"/>
    <w:next w:val="Normal"/>
    <w:autoRedefine/>
    <w:uiPriority w:val="39"/>
    <w:unhideWhenUsed/>
    <w:rsid w:val="00033D8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033D8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033D80"/>
    <w:pPr>
      <w:spacing w:after="100"/>
      <w:ind w:left="440"/>
    </w:pPr>
    <w:rPr>
      <w:rFonts w:eastAsiaTheme="minorEastAsia" w:cs="Times New Roman"/>
      <w:kern w:val="0"/>
      <w:lang w:val="en-US"/>
      <w14:ligatures w14:val="none"/>
    </w:rPr>
  </w:style>
  <w:style w:type="paragraph" w:styleId="ListParagraph">
    <w:name w:val="List Paragraph"/>
    <w:basedOn w:val="Normal"/>
    <w:uiPriority w:val="34"/>
    <w:qFormat/>
    <w:rsid w:val="00D906BA"/>
    <w:pPr>
      <w:ind w:left="720"/>
      <w:contextualSpacing/>
    </w:pPr>
  </w:style>
  <w:style w:type="paragraph" w:styleId="NormalWeb">
    <w:name w:val="Normal (Web)"/>
    <w:basedOn w:val="Normal"/>
    <w:uiPriority w:val="99"/>
    <w:unhideWhenUsed/>
    <w:rsid w:val="00D906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906BA"/>
    <w:rPr>
      <w:b/>
      <w:bCs/>
    </w:rPr>
  </w:style>
  <w:style w:type="character" w:styleId="Hyperlink">
    <w:name w:val="Hyperlink"/>
    <w:basedOn w:val="DefaultParagraphFont"/>
    <w:uiPriority w:val="99"/>
    <w:unhideWhenUsed/>
    <w:rsid w:val="00F5027E"/>
    <w:rPr>
      <w:color w:val="0563C1" w:themeColor="hyperlink"/>
      <w:u w:val="single"/>
    </w:rPr>
  </w:style>
  <w:style w:type="character" w:styleId="UnresolvedMention">
    <w:name w:val="Unresolved Mention"/>
    <w:basedOn w:val="DefaultParagraphFont"/>
    <w:uiPriority w:val="99"/>
    <w:semiHidden/>
    <w:unhideWhenUsed/>
    <w:rsid w:val="00F502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0117067">
      <w:bodyDiv w:val="1"/>
      <w:marLeft w:val="0"/>
      <w:marRight w:val="0"/>
      <w:marTop w:val="0"/>
      <w:marBottom w:val="0"/>
      <w:divBdr>
        <w:top w:val="none" w:sz="0" w:space="0" w:color="auto"/>
        <w:left w:val="none" w:sz="0" w:space="0" w:color="auto"/>
        <w:bottom w:val="none" w:sz="0" w:space="0" w:color="auto"/>
        <w:right w:val="none" w:sz="0" w:space="0" w:color="auto"/>
      </w:divBdr>
    </w:div>
    <w:div w:id="1510874294">
      <w:bodyDiv w:val="1"/>
      <w:marLeft w:val="0"/>
      <w:marRight w:val="0"/>
      <w:marTop w:val="0"/>
      <w:marBottom w:val="0"/>
      <w:divBdr>
        <w:top w:val="none" w:sz="0" w:space="0" w:color="auto"/>
        <w:left w:val="none" w:sz="0" w:space="0" w:color="auto"/>
        <w:bottom w:val="none" w:sz="0" w:space="0" w:color="auto"/>
        <w:right w:val="none" w:sz="0" w:space="0" w:color="auto"/>
      </w:divBdr>
    </w:div>
    <w:div w:id="1949119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389/fpsyg.2020.0017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com/us/standard-chartered-research-reveals-companies-in-europe-and-americas-identify-asia-pacific-as-priority-market-for-international-expansion/.%20%20%20%20%5bAccessed"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97468621770146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16/j.gfj.2017.07.002" TargetMode="External"/><Relationship Id="rId4" Type="http://schemas.openxmlformats.org/officeDocument/2006/relationships/settings" Target="settings.xml"/><Relationship Id="rId9" Type="http://schemas.openxmlformats.org/officeDocument/2006/relationships/hyperlink" Target="https://doi.org/10.23960/jbm.v17i1.189,%20%5bAccessed"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CD49A8-60F1-4204-B7A9-E9132C2FE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1340</TotalTime>
  <Pages>11</Pages>
  <Words>2764</Words>
  <Characters>19629</Characters>
  <Application>Microsoft Office Word</Application>
  <DocSecurity>0</DocSecurity>
  <Lines>356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Anton</dc:creator>
  <cp:keywords/>
  <dc:description/>
  <cp:lastModifiedBy>Cristina Anton</cp:lastModifiedBy>
  <cp:revision>117</cp:revision>
  <dcterms:created xsi:type="dcterms:W3CDTF">2024-01-08T02:58:00Z</dcterms:created>
  <dcterms:modified xsi:type="dcterms:W3CDTF">2024-01-09T01:29:00Z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927fa73c-1a8a-47f2-bd27-143af6587c42</vt:lpwstr>
  </property>
</Properties>
</file>