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09B92B" w14:textId="690494E8" w:rsidR="00F214BA" w:rsidRPr="00ED4E91" w:rsidRDefault="002231B3" w:rsidP="00ED4E91">
      <w:pPr>
        <w:spacing w:line="480" w:lineRule="auto"/>
        <w:rPr>
          <w:rFonts w:ascii="Helvetica Neue" w:hAnsi="Helvetica Neue" w:cs="Arial"/>
        </w:rPr>
      </w:pPr>
      <w:r w:rsidRPr="00ED4E91">
        <w:rPr>
          <w:rFonts w:ascii="Helvetica Neue" w:hAnsi="Helvetica Neue" w:cs="Arial"/>
        </w:rPr>
        <w:t xml:space="preserve">Review of Tim Ingold’s </w:t>
      </w:r>
      <w:r w:rsidR="00EC0DD1" w:rsidRPr="00ED4E91">
        <w:rPr>
          <w:rFonts w:ascii="Helvetica Neue" w:hAnsi="Helvetica Neue" w:cs="Arial"/>
          <w:i/>
          <w:iCs/>
        </w:rPr>
        <w:t xml:space="preserve">Bringing Things to Life: </w:t>
      </w:r>
      <w:r w:rsidRPr="00ED4E91">
        <w:rPr>
          <w:rFonts w:ascii="Helvetica Neue" w:hAnsi="Helvetica Neue" w:cs="Arial"/>
          <w:i/>
          <w:iCs/>
        </w:rPr>
        <w:t>Creative Entanglement</w:t>
      </w:r>
      <w:r w:rsidR="00EC0DD1" w:rsidRPr="00ED4E91">
        <w:rPr>
          <w:rFonts w:ascii="Helvetica Neue" w:hAnsi="Helvetica Neue" w:cs="Arial"/>
          <w:i/>
          <w:iCs/>
        </w:rPr>
        <w:t>s in a World of Materials</w:t>
      </w:r>
      <w:r w:rsidRPr="00ED4E91">
        <w:rPr>
          <w:rFonts w:ascii="Helvetica Neue" w:hAnsi="Helvetica Neue" w:cs="Arial"/>
          <w:i/>
          <w:iCs/>
        </w:rPr>
        <w:t xml:space="preserve"> </w:t>
      </w:r>
    </w:p>
    <w:p w14:paraId="6902A45C" w14:textId="77777777" w:rsidR="00971DD6" w:rsidRPr="00ED4E91" w:rsidRDefault="00971DD6" w:rsidP="00ED4E91">
      <w:pPr>
        <w:spacing w:line="480" w:lineRule="auto"/>
        <w:rPr>
          <w:rFonts w:ascii="Helvetica Neue" w:hAnsi="Helvetica Neue" w:cs="Arial"/>
        </w:rPr>
      </w:pPr>
    </w:p>
    <w:p w14:paraId="55743E75" w14:textId="77777777" w:rsidR="002C794C" w:rsidRPr="00ED4E91" w:rsidRDefault="00971DD6" w:rsidP="00ED4E91">
      <w:pPr>
        <w:spacing w:line="480" w:lineRule="auto"/>
        <w:ind w:firstLine="720"/>
        <w:rPr>
          <w:rFonts w:ascii="Helvetica Neue" w:hAnsi="Helvetica Neue" w:cs="Arial"/>
        </w:rPr>
      </w:pPr>
      <w:r w:rsidRPr="00ED4E91">
        <w:rPr>
          <w:rFonts w:ascii="Helvetica Neue" w:hAnsi="Helvetica Neue" w:cs="Arial"/>
        </w:rPr>
        <w:t xml:space="preserve">Ingold’s theory of </w:t>
      </w:r>
      <w:r w:rsidR="00493492" w:rsidRPr="00ED4E91">
        <w:rPr>
          <w:rFonts w:ascii="Helvetica Neue" w:hAnsi="Helvetica Neue" w:cs="Arial"/>
        </w:rPr>
        <w:t>creative entanglement</w:t>
      </w:r>
      <w:r w:rsidRPr="00ED4E91">
        <w:rPr>
          <w:rFonts w:ascii="Helvetica Neue" w:hAnsi="Helvetica Neue" w:cs="Arial"/>
        </w:rPr>
        <w:t xml:space="preserve"> </w:t>
      </w:r>
      <w:r w:rsidR="003A5D4D" w:rsidRPr="00ED4E91">
        <w:rPr>
          <w:rFonts w:ascii="Helvetica Neue" w:hAnsi="Helvetica Neue" w:cs="Arial"/>
        </w:rPr>
        <w:t>builds</w:t>
      </w:r>
      <w:r w:rsidR="002969B6" w:rsidRPr="00ED4E91">
        <w:rPr>
          <w:rFonts w:ascii="Helvetica Neue" w:hAnsi="Helvetica Neue" w:cs="Arial"/>
        </w:rPr>
        <w:t xml:space="preserve"> upon</w:t>
      </w:r>
      <w:r w:rsidR="003A5D4D" w:rsidRPr="00ED4E91">
        <w:rPr>
          <w:rFonts w:ascii="Helvetica Neue" w:hAnsi="Helvetica Neue" w:cs="Arial"/>
        </w:rPr>
        <w:t xml:space="preserve"> a foundation</w:t>
      </w:r>
      <w:r w:rsidRPr="00ED4E91">
        <w:rPr>
          <w:rFonts w:ascii="Helvetica Neue" w:hAnsi="Helvetica Neue" w:cs="Arial"/>
        </w:rPr>
        <w:t xml:space="preserve"> on movement. </w:t>
      </w:r>
      <w:r w:rsidR="001630B2" w:rsidRPr="00ED4E91">
        <w:rPr>
          <w:rFonts w:ascii="Helvetica Neue" w:hAnsi="Helvetica Neue" w:cs="Arial"/>
        </w:rPr>
        <w:t>In</w:t>
      </w:r>
      <w:r w:rsidRPr="00ED4E91">
        <w:rPr>
          <w:rFonts w:ascii="Helvetica Neue" w:hAnsi="Helvetica Neue" w:cs="Arial"/>
        </w:rPr>
        <w:t xml:space="preserve"> trying to discern the difference between </w:t>
      </w:r>
      <w:r w:rsidR="001630B2" w:rsidRPr="00ED4E91">
        <w:rPr>
          <w:rFonts w:ascii="Helvetica Neue" w:hAnsi="Helvetica Neue" w:cs="Arial"/>
        </w:rPr>
        <w:t>meshworks and networks, he proposes that the actor-network theory prevents the distinction to be made in contemporary discussions.</w:t>
      </w:r>
      <w:r w:rsidR="002969B6" w:rsidRPr="00ED4E91">
        <w:rPr>
          <w:rStyle w:val="FootnoteReference"/>
          <w:rFonts w:ascii="Helvetica Neue" w:hAnsi="Helvetica Neue" w:cs="Arial"/>
        </w:rPr>
        <w:footnoteReference w:id="1"/>
      </w:r>
      <w:r w:rsidR="001630B2" w:rsidRPr="00ED4E91">
        <w:rPr>
          <w:rFonts w:ascii="Helvetica Neue" w:hAnsi="Helvetica Neue" w:cs="Arial"/>
        </w:rPr>
        <w:t xml:space="preserve"> He believes the theory’s foundational principle has been misunderstood because of the translation of its original “r</w:t>
      </w:r>
      <w:r w:rsidR="00591828" w:rsidRPr="00ED4E91">
        <w:rPr>
          <w:rFonts w:ascii="Helvetica Neue" w:hAnsi="Helvetica Neue" w:cs="Arial"/>
        </w:rPr>
        <w:t>é</w:t>
      </w:r>
      <w:r w:rsidR="001630B2" w:rsidRPr="00ED4E91">
        <w:rPr>
          <w:rFonts w:ascii="Helvetica Neue" w:hAnsi="Helvetica Neue" w:cs="Arial"/>
        </w:rPr>
        <w:t>seau” as network rather than netting. Ingold argues that the common acceptance of the theory being a network of interconnected points is a flawed misinterpretation of its original intention to be that of interwoven lines, more aligned with his idea that things exist along lines of movement.</w:t>
      </w:r>
      <w:r w:rsidR="0039559F" w:rsidRPr="00ED4E91">
        <w:rPr>
          <w:rStyle w:val="FootnoteReference"/>
          <w:rFonts w:ascii="Helvetica Neue" w:hAnsi="Helvetica Neue" w:cs="Arial"/>
        </w:rPr>
        <w:footnoteReference w:id="2"/>
      </w:r>
      <w:r w:rsidR="001630B2" w:rsidRPr="00ED4E91">
        <w:rPr>
          <w:rFonts w:ascii="Helvetica Neue" w:hAnsi="Helvetica Neue" w:cs="Arial"/>
        </w:rPr>
        <w:t xml:space="preserve"> </w:t>
      </w:r>
      <w:r w:rsidR="00840201" w:rsidRPr="00ED4E91">
        <w:rPr>
          <w:rFonts w:ascii="Helvetica Neue" w:hAnsi="Helvetica Neue" w:cs="Arial"/>
        </w:rPr>
        <w:t>Ingold takes issue with the modern concept of objects having impermeable boundaries or surfaces, suggesting that objecthood is unfit for life</w:t>
      </w:r>
      <w:r w:rsidR="005C4291" w:rsidRPr="00ED4E91">
        <w:rPr>
          <w:rStyle w:val="FootnoteReference"/>
          <w:rFonts w:ascii="Helvetica Neue" w:hAnsi="Helvetica Neue" w:cs="Arial"/>
        </w:rPr>
        <w:footnoteReference w:id="3"/>
      </w:r>
      <w:r w:rsidR="00840201" w:rsidRPr="00ED4E91">
        <w:rPr>
          <w:rFonts w:ascii="Helvetica Neue" w:hAnsi="Helvetica Neue" w:cs="Arial"/>
        </w:rPr>
        <w:t>. For a thing to be reduced to an object it is removed from the very processes that give it thingness.</w:t>
      </w:r>
      <w:r w:rsidR="00EA56D9" w:rsidRPr="00ED4E91">
        <w:rPr>
          <w:rFonts w:ascii="Helvetica Neue" w:hAnsi="Helvetica Neue" w:cs="Arial"/>
        </w:rPr>
        <w:t xml:space="preserve"> In his paper, he </w:t>
      </w:r>
      <w:r w:rsidR="00010BB7" w:rsidRPr="00ED4E91">
        <w:rPr>
          <w:rFonts w:ascii="Helvetica Neue" w:hAnsi="Helvetica Neue" w:cs="Arial"/>
        </w:rPr>
        <w:t>introduces</w:t>
      </w:r>
      <w:r w:rsidR="00EA56D9" w:rsidRPr="00ED4E91">
        <w:rPr>
          <w:rFonts w:ascii="Helvetica Neue" w:hAnsi="Helvetica Neue" w:cs="Arial"/>
        </w:rPr>
        <w:t xml:space="preserve"> </w:t>
      </w:r>
      <w:r w:rsidR="00201A09" w:rsidRPr="00ED4E91">
        <w:rPr>
          <w:rFonts w:ascii="Helvetica Neue" w:hAnsi="Helvetica Neue" w:cs="Arial"/>
        </w:rPr>
        <w:t xml:space="preserve">an argument with </w:t>
      </w:r>
      <w:r w:rsidR="00EA56D9" w:rsidRPr="00ED4E91">
        <w:rPr>
          <w:rFonts w:ascii="Helvetica Neue" w:hAnsi="Helvetica Neue" w:cs="Arial"/>
        </w:rPr>
        <w:t xml:space="preserve">five </w:t>
      </w:r>
      <w:r w:rsidR="00F84368" w:rsidRPr="00ED4E91">
        <w:rPr>
          <w:rFonts w:ascii="Helvetica Neue" w:hAnsi="Helvetica Neue" w:cs="Arial"/>
        </w:rPr>
        <w:t>components</w:t>
      </w:r>
      <w:r w:rsidR="00010BB7" w:rsidRPr="00ED4E91">
        <w:rPr>
          <w:rFonts w:ascii="Helvetica Neue" w:hAnsi="Helvetica Neue" w:cs="Arial"/>
        </w:rPr>
        <w:t xml:space="preserve"> to encompass the over-arching thesis which is</w:t>
      </w:r>
      <w:r w:rsidR="0080137F" w:rsidRPr="00ED4E91">
        <w:rPr>
          <w:rFonts w:ascii="Helvetica Neue" w:hAnsi="Helvetica Neue" w:cs="Arial"/>
        </w:rPr>
        <w:t xml:space="preserve"> </w:t>
      </w:r>
      <w:r w:rsidR="00E22AA1" w:rsidRPr="00ED4E91">
        <w:rPr>
          <w:rFonts w:ascii="Helvetica Neue" w:hAnsi="Helvetica Neue" w:cs="Arial"/>
        </w:rPr>
        <w:t xml:space="preserve">to argue </w:t>
      </w:r>
      <w:r w:rsidR="006439F6" w:rsidRPr="00ED4E91">
        <w:rPr>
          <w:rFonts w:ascii="Helvetica Neue" w:hAnsi="Helvetica Neue" w:cs="Arial"/>
        </w:rPr>
        <w:t xml:space="preserve">against the hylomorphic model and </w:t>
      </w:r>
      <w:r w:rsidR="00656B40" w:rsidRPr="00ED4E91">
        <w:rPr>
          <w:rFonts w:ascii="Helvetica Neue" w:hAnsi="Helvetica Neue" w:cs="Arial"/>
        </w:rPr>
        <w:t>emphasize the bringing together of materials as creation and the essence of life</w:t>
      </w:r>
      <w:r w:rsidR="0058486B" w:rsidRPr="00ED4E91">
        <w:rPr>
          <w:rFonts w:ascii="Helvetica Neue" w:hAnsi="Helvetica Neue" w:cs="Arial"/>
        </w:rPr>
        <w:t xml:space="preserve">. </w:t>
      </w:r>
      <w:r w:rsidR="00F9584A" w:rsidRPr="00ED4E91">
        <w:rPr>
          <w:rFonts w:ascii="Helvetica Neue" w:hAnsi="Helvetica Neue" w:cs="Arial"/>
        </w:rPr>
        <w:t xml:space="preserve">The first </w:t>
      </w:r>
      <w:r w:rsidR="003C742C" w:rsidRPr="00ED4E91">
        <w:rPr>
          <w:rFonts w:ascii="Helvetica Neue" w:hAnsi="Helvetica Neue" w:cs="Arial"/>
        </w:rPr>
        <w:t xml:space="preserve">two </w:t>
      </w:r>
      <w:r w:rsidR="00F9584A" w:rsidRPr="00ED4E91">
        <w:rPr>
          <w:rFonts w:ascii="Helvetica Neue" w:hAnsi="Helvetica Neue" w:cs="Arial"/>
        </w:rPr>
        <w:t>part</w:t>
      </w:r>
      <w:r w:rsidR="008A5470" w:rsidRPr="00ED4E91">
        <w:rPr>
          <w:rFonts w:ascii="Helvetica Neue" w:hAnsi="Helvetica Neue" w:cs="Arial"/>
        </w:rPr>
        <w:t>s</w:t>
      </w:r>
      <w:r w:rsidR="00F9584A" w:rsidRPr="00ED4E91">
        <w:rPr>
          <w:rFonts w:ascii="Helvetica Neue" w:hAnsi="Helvetica Neue" w:cs="Arial"/>
        </w:rPr>
        <w:t xml:space="preserve"> of </w:t>
      </w:r>
      <w:r w:rsidR="008A5470" w:rsidRPr="00ED4E91">
        <w:rPr>
          <w:rFonts w:ascii="Helvetica Neue" w:hAnsi="Helvetica Neue" w:cs="Arial"/>
        </w:rPr>
        <w:t>the argument are to define the ideas of ‘things</w:t>
      </w:r>
      <w:r w:rsidR="0025008E" w:rsidRPr="00ED4E91">
        <w:rPr>
          <w:rFonts w:ascii="Helvetica Neue" w:hAnsi="Helvetica Neue" w:cs="Arial"/>
        </w:rPr>
        <w:t>,</w:t>
      </w:r>
      <w:r w:rsidR="008A5470" w:rsidRPr="00ED4E91">
        <w:rPr>
          <w:rFonts w:ascii="Helvetica Neue" w:hAnsi="Helvetica Neue" w:cs="Arial"/>
        </w:rPr>
        <w:t xml:space="preserve">’ </w:t>
      </w:r>
      <w:r w:rsidR="0025008E" w:rsidRPr="00ED4E91">
        <w:rPr>
          <w:rFonts w:ascii="Helvetica Neue" w:hAnsi="Helvetica Neue" w:cs="Arial"/>
        </w:rPr>
        <w:t xml:space="preserve">‘objects,’ and ‘life,’ so </w:t>
      </w:r>
      <w:r w:rsidR="00485F08" w:rsidRPr="00ED4E91">
        <w:rPr>
          <w:rFonts w:ascii="Helvetica Neue" w:hAnsi="Helvetica Neue" w:cs="Arial"/>
        </w:rPr>
        <w:t xml:space="preserve">readers can understand the terms of Ingold’s theory. </w:t>
      </w:r>
      <w:r w:rsidR="007A5300" w:rsidRPr="00ED4E91">
        <w:rPr>
          <w:rFonts w:ascii="Helvetica Neue" w:hAnsi="Helvetica Neue" w:cs="Arial"/>
        </w:rPr>
        <w:t xml:space="preserve">Once those are established, </w:t>
      </w:r>
      <w:r w:rsidR="006926EC" w:rsidRPr="00ED4E91">
        <w:rPr>
          <w:rFonts w:ascii="Helvetica Neue" w:hAnsi="Helvetica Neue" w:cs="Arial"/>
        </w:rPr>
        <w:t xml:space="preserve">the last three components </w:t>
      </w:r>
      <w:r w:rsidR="004B36D5" w:rsidRPr="00ED4E91">
        <w:rPr>
          <w:rFonts w:ascii="Helvetica Neue" w:hAnsi="Helvetica Neue" w:cs="Arial"/>
        </w:rPr>
        <w:t xml:space="preserve">delve into his </w:t>
      </w:r>
      <w:r w:rsidR="004B36D5" w:rsidRPr="00ED4E91">
        <w:rPr>
          <w:rFonts w:ascii="Helvetica Neue" w:hAnsi="Helvetica Neue" w:cs="Arial"/>
        </w:rPr>
        <w:lastRenderedPageBreak/>
        <w:t xml:space="preserve">critique of hylomorphism and discusses </w:t>
      </w:r>
      <w:r w:rsidR="008C31DF" w:rsidRPr="00ED4E91">
        <w:rPr>
          <w:rFonts w:ascii="Helvetica Neue" w:hAnsi="Helvetica Neue" w:cs="Arial"/>
        </w:rPr>
        <w:t>how creation is a series of movements and actions coming together to make things</w:t>
      </w:r>
      <w:r w:rsidR="006903CA" w:rsidRPr="00ED4E91">
        <w:rPr>
          <w:rFonts w:ascii="Helvetica Neue" w:hAnsi="Helvetica Neue" w:cs="Arial"/>
        </w:rPr>
        <w:t xml:space="preserve"> rather than form being </w:t>
      </w:r>
      <w:r w:rsidR="003C742C" w:rsidRPr="00ED4E91">
        <w:rPr>
          <w:rFonts w:ascii="Helvetica Neue" w:hAnsi="Helvetica Neue" w:cs="Arial"/>
        </w:rPr>
        <w:t>the</w:t>
      </w:r>
      <w:r w:rsidR="006903CA" w:rsidRPr="00ED4E91">
        <w:rPr>
          <w:rFonts w:ascii="Helvetica Neue" w:hAnsi="Helvetica Neue" w:cs="Arial"/>
        </w:rPr>
        <w:t xml:space="preserve"> </w:t>
      </w:r>
      <w:r w:rsidR="00294E80" w:rsidRPr="00ED4E91">
        <w:rPr>
          <w:rFonts w:ascii="Helvetica Neue" w:hAnsi="Helvetica Neue" w:cs="Arial"/>
        </w:rPr>
        <w:t>end of a reductive process.</w:t>
      </w:r>
      <w:r w:rsidR="002C794C" w:rsidRPr="00ED4E91">
        <w:rPr>
          <w:rFonts w:ascii="Helvetica Neue" w:hAnsi="Helvetica Neue" w:cs="Arial"/>
        </w:rPr>
        <w:t xml:space="preserve"> </w:t>
      </w:r>
    </w:p>
    <w:p w14:paraId="4402A635" w14:textId="6B6D26BE" w:rsidR="00294E80" w:rsidRPr="00ED4E91" w:rsidRDefault="00D23CEF" w:rsidP="00ED4E91">
      <w:pPr>
        <w:spacing w:line="480" w:lineRule="auto"/>
        <w:ind w:firstLine="720"/>
        <w:rPr>
          <w:rFonts w:ascii="Helvetica Neue" w:hAnsi="Helvetica Neue" w:cs="Arial"/>
        </w:rPr>
      </w:pPr>
      <w:r w:rsidRPr="00ED4E91">
        <w:rPr>
          <w:rFonts w:ascii="Helvetica Neue" w:hAnsi="Helvetica Neue" w:cs="Arial"/>
        </w:rPr>
        <w:t>Ingold’s criticism of the hylomorphic mo</w:t>
      </w:r>
      <w:r w:rsidR="001366DB" w:rsidRPr="00ED4E91">
        <w:rPr>
          <w:rFonts w:ascii="Helvetica Neue" w:hAnsi="Helvetica Neue" w:cs="Arial"/>
        </w:rPr>
        <w:t xml:space="preserve">del of creation inspires a meaningful discussion on </w:t>
      </w:r>
      <w:r w:rsidR="002663FB" w:rsidRPr="00ED4E91">
        <w:rPr>
          <w:rFonts w:ascii="Helvetica Neue" w:hAnsi="Helvetica Neue" w:cs="Arial"/>
        </w:rPr>
        <w:t>contemporary</w:t>
      </w:r>
      <w:r w:rsidR="001366DB" w:rsidRPr="00ED4E91">
        <w:rPr>
          <w:rFonts w:ascii="Helvetica Neue" w:hAnsi="Helvetica Neue" w:cs="Arial"/>
        </w:rPr>
        <w:t xml:space="preserve"> </w:t>
      </w:r>
      <w:r w:rsidR="002663FB" w:rsidRPr="00ED4E91">
        <w:rPr>
          <w:rFonts w:ascii="Helvetica Neue" w:hAnsi="Helvetica Neue" w:cs="Arial"/>
        </w:rPr>
        <w:t xml:space="preserve">developments of materialism. </w:t>
      </w:r>
      <w:r w:rsidR="00A33820" w:rsidRPr="00ED4E91">
        <w:rPr>
          <w:rFonts w:ascii="Helvetica Neue" w:hAnsi="Helvetica Neue" w:cs="Arial"/>
        </w:rPr>
        <w:t xml:space="preserve">Many of the contemporary theories presented emphasize stepping away from </w:t>
      </w:r>
      <w:r w:rsidR="00A2235F" w:rsidRPr="00ED4E91">
        <w:rPr>
          <w:rFonts w:ascii="Helvetica Neue" w:hAnsi="Helvetica Neue" w:cs="Arial"/>
        </w:rPr>
        <w:t xml:space="preserve">the concept of inert matter, and Ingold’s argument </w:t>
      </w:r>
      <w:r w:rsidR="007E36C2" w:rsidRPr="00ED4E91">
        <w:rPr>
          <w:rFonts w:ascii="Helvetica Neue" w:hAnsi="Helvetica Neue" w:cs="Arial"/>
        </w:rPr>
        <w:t xml:space="preserve">allows readers to consider </w:t>
      </w:r>
      <w:r w:rsidR="0091136F" w:rsidRPr="00ED4E91">
        <w:rPr>
          <w:rFonts w:ascii="Helvetica Neue" w:hAnsi="Helvetica Neue" w:cs="Arial"/>
        </w:rPr>
        <w:t xml:space="preserve">how important flow is. Flow of matter and of things is </w:t>
      </w:r>
      <w:r w:rsidR="00ED0D90" w:rsidRPr="00ED4E91">
        <w:rPr>
          <w:rFonts w:ascii="Helvetica Neue" w:hAnsi="Helvetica Neue" w:cs="Arial"/>
        </w:rPr>
        <w:t>the foundation of New Materialist th</w:t>
      </w:r>
      <w:r w:rsidR="009E7A32" w:rsidRPr="00ED4E91">
        <w:rPr>
          <w:rFonts w:ascii="Helvetica Neue" w:hAnsi="Helvetica Neue" w:cs="Arial"/>
        </w:rPr>
        <w:t>inking, and an Environment Without Objects</w:t>
      </w:r>
      <w:r w:rsidR="00F5509E" w:rsidRPr="00ED4E91">
        <w:rPr>
          <w:rFonts w:ascii="Helvetica Neue" w:hAnsi="Helvetica Neue" w:cs="Arial"/>
        </w:rPr>
        <w:t xml:space="preserve"> aligns well with the </w:t>
      </w:r>
      <w:r w:rsidR="0006270E" w:rsidRPr="00ED4E91">
        <w:rPr>
          <w:rFonts w:ascii="Helvetica Neue" w:hAnsi="Helvetica Neue" w:cs="Arial"/>
        </w:rPr>
        <w:t xml:space="preserve">continuous step towards decentering humans and </w:t>
      </w:r>
      <w:r w:rsidR="00897FBB" w:rsidRPr="00ED4E91">
        <w:rPr>
          <w:rFonts w:ascii="Helvetica Neue" w:hAnsi="Helvetica Neue" w:cs="Arial"/>
        </w:rPr>
        <w:t xml:space="preserve">embracing things into the social world. </w:t>
      </w:r>
      <w:r w:rsidR="008A3580" w:rsidRPr="00ED4E91">
        <w:rPr>
          <w:rFonts w:ascii="Helvetica Neue" w:hAnsi="Helvetica Neue" w:cs="Arial"/>
        </w:rPr>
        <w:t>Ingold</w:t>
      </w:r>
      <w:r w:rsidR="006D71EC" w:rsidRPr="00ED4E91">
        <w:rPr>
          <w:rFonts w:ascii="Helvetica Neue" w:hAnsi="Helvetica Neue" w:cs="Arial"/>
        </w:rPr>
        <w:t xml:space="preserve"> wants instead</w:t>
      </w:r>
      <w:r w:rsidR="008A3580" w:rsidRPr="00ED4E91">
        <w:rPr>
          <w:rFonts w:ascii="Helvetica Neue" w:hAnsi="Helvetica Neue" w:cs="Arial"/>
        </w:rPr>
        <w:t>,</w:t>
      </w:r>
      <w:r w:rsidR="006D71EC" w:rsidRPr="00ED4E91">
        <w:rPr>
          <w:rFonts w:ascii="Helvetica Neue" w:hAnsi="Helvetica Neue" w:cs="Arial"/>
        </w:rPr>
        <w:t xml:space="preserve"> to </w:t>
      </w:r>
      <w:r w:rsidR="006844D9" w:rsidRPr="00ED4E91">
        <w:rPr>
          <w:rFonts w:ascii="Helvetica Neue" w:hAnsi="Helvetica Neue" w:cs="Arial"/>
        </w:rPr>
        <w:t>put the spotlight on the action of bringing together to create a thing, to be a thing is to be in movement.</w:t>
      </w:r>
      <w:r w:rsidR="00E73A1D" w:rsidRPr="00ED4E91">
        <w:rPr>
          <w:rFonts w:ascii="Helvetica Neue" w:hAnsi="Helvetica Neue" w:cs="Arial"/>
        </w:rPr>
        <w:t xml:space="preserve"> </w:t>
      </w:r>
    </w:p>
    <w:p w14:paraId="441B8A03" w14:textId="20AFC21C" w:rsidR="006D71EC" w:rsidRPr="00ED4E91" w:rsidRDefault="00294E80" w:rsidP="00ED4E91">
      <w:pPr>
        <w:spacing w:line="480" w:lineRule="auto"/>
        <w:ind w:firstLine="720"/>
        <w:rPr>
          <w:rFonts w:ascii="Helvetica Neue" w:hAnsi="Helvetica Neue" w:cs="Arial"/>
        </w:rPr>
      </w:pPr>
      <w:r w:rsidRPr="00ED4E91">
        <w:rPr>
          <w:rFonts w:ascii="Helvetica Neue" w:hAnsi="Helvetica Neue" w:cs="Arial"/>
        </w:rPr>
        <w:t xml:space="preserve">Much of Ingold’s work is reflective of this theory of movement-based thinking, he often takes an anthropological perspective and his works center around environments and the life of non-human entities. His works make rounds in discussion with others such as Heidegger, Deleuze, Guattari, and Bennett in the wider examinations of material culture. This article fits into the wider literature of its kind, it successfully establishes its place as a piece of literature on material culture. </w:t>
      </w:r>
      <w:r w:rsidR="00C928EE" w:rsidRPr="00ED4E91">
        <w:rPr>
          <w:rFonts w:ascii="Helvetica Neue" w:hAnsi="Helvetica Neue" w:cs="Arial"/>
        </w:rPr>
        <w:t xml:space="preserve">He references Heidegger multiple times throughout the article, using </w:t>
      </w:r>
      <w:r w:rsidR="00C928EE" w:rsidRPr="00ED4E91">
        <w:rPr>
          <w:rFonts w:ascii="Helvetica Neue" w:hAnsi="Helvetica Neue" w:cs="Arial"/>
          <w:i/>
          <w:iCs/>
        </w:rPr>
        <w:t>The Thing</w:t>
      </w:r>
      <w:r w:rsidR="00C928EE" w:rsidRPr="00ED4E91">
        <w:rPr>
          <w:rFonts w:ascii="Helvetica Neue" w:hAnsi="Helvetica Neue" w:cs="Arial"/>
        </w:rPr>
        <w:t xml:space="preserve"> to underpin his own work and further the dialogue on things.</w:t>
      </w:r>
      <w:r w:rsidR="00D510C2" w:rsidRPr="00ED4E91">
        <w:rPr>
          <w:rStyle w:val="FootnoteReference"/>
          <w:rFonts w:ascii="Helvetica Neue" w:hAnsi="Helvetica Neue" w:cs="Arial"/>
        </w:rPr>
        <w:footnoteReference w:id="4"/>
      </w:r>
      <w:r w:rsidR="00C928EE" w:rsidRPr="00ED4E91">
        <w:rPr>
          <w:rFonts w:ascii="Helvetica Neue" w:hAnsi="Helvetica Neue" w:cs="Arial"/>
        </w:rPr>
        <w:t xml:space="preserve"> </w:t>
      </w:r>
      <w:r w:rsidRPr="00ED4E91">
        <w:rPr>
          <w:rFonts w:ascii="Helvetica Neue" w:hAnsi="Helvetica Neue" w:cs="Arial"/>
        </w:rPr>
        <w:t>Ingold focuses on deconstructing the faults of hylomorphic thinking and counters it with an evocative argument for the importance of the connections and movement of matter.</w:t>
      </w:r>
      <w:r w:rsidRPr="00ED4E91">
        <w:rPr>
          <w:rStyle w:val="FootnoteReference"/>
          <w:rFonts w:ascii="Helvetica Neue" w:hAnsi="Helvetica Neue" w:cs="Arial"/>
        </w:rPr>
        <w:footnoteReference w:id="5"/>
      </w:r>
      <w:r w:rsidRPr="00ED4E91">
        <w:rPr>
          <w:rFonts w:ascii="Helvetica Neue" w:hAnsi="Helvetica Neue" w:cs="Arial"/>
        </w:rPr>
        <w:t xml:space="preserve"> A strength </w:t>
      </w:r>
      <w:r w:rsidRPr="00ED4E91">
        <w:rPr>
          <w:rFonts w:ascii="Helvetica Neue" w:hAnsi="Helvetica Neue" w:cs="Arial"/>
        </w:rPr>
        <w:lastRenderedPageBreak/>
        <w:t>of this article and of the creative entanglement discussed, is Ingold’s recognition of</w:t>
      </w:r>
      <w:r w:rsidR="001C460E" w:rsidRPr="00ED4E91">
        <w:rPr>
          <w:rFonts w:ascii="Helvetica Neue" w:hAnsi="Helvetica Neue" w:cs="Arial"/>
        </w:rPr>
        <w:t xml:space="preserve"> form-giving as an essential part of things. How things are made, who makes them, what they are made of, and why they are made are all crucial </w:t>
      </w:r>
      <w:r w:rsidR="00BA76FA" w:rsidRPr="00ED4E91">
        <w:rPr>
          <w:rFonts w:ascii="Helvetica Neue" w:hAnsi="Helvetica Neue" w:cs="Arial"/>
        </w:rPr>
        <w:t>stages of creation that give insight into the broader social realm of things</w:t>
      </w:r>
      <w:r w:rsidR="00BC0444" w:rsidRPr="00ED4E91">
        <w:rPr>
          <w:rFonts w:ascii="Helvetica Neue" w:hAnsi="Helvetica Neue" w:cs="Arial"/>
        </w:rPr>
        <w:t xml:space="preserve">. Ingold </w:t>
      </w:r>
      <w:r w:rsidR="0011770B" w:rsidRPr="00ED4E91">
        <w:rPr>
          <w:rFonts w:ascii="Helvetica Neue" w:hAnsi="Helvetica Neue" w:cs="Arial"/>
        </w:rPr>
        <w:t xml:space="preserve">emphasizes the importance of materiality and the meshwork of </w:t>
      </w:r>
      <w:r w:rsidR="0068737D" w:rsidRPr="00ED4E91">
        <w:rPr>
          <w:rFonts w:ascii="Helvetica Neue" w:hAnsi="Helvetica Neue" w:cs="Arial"/>
        </w:rPr>
        <w:t>interactions</w:t>
      </w:r>
      <w:r w:rsidR="000B2297" w:rsidRPr="00ED4E91">
        <w:rPr>
          <w:rFonts w:ascii="Helvetica Neue" w:hAnsi="Helvetica Neue" w:cs="Arial"/>
        </w:rPr>
        <w:t xml:space="preserve"> or </w:t>
      </w:r>
      <w:r w:rsidR="00A41EBE" w:rsidRPr="00ED4E91">
        <w:rPr>
          <w:rFonts w:ascii="Helvetica Neue" w:hAnsi="Helvetica Neue" w:cs="Arial"/>
        </w:rPr>
        <w:t>gatherings</w:t>
      </w:r>
      <w:r w:rsidR="0068737D" w:rsidRPr="00ED4E91">
        <w:rPr>
          <w:rFonts w:ascii="Helvetica Neue" w:hAnsi="Helvetica Neue" w:cs="Arial"/>
        </w:rPr>
        <w:t xml:space="preserve"> that create a thing, something which is also supported by th</w:t>
      </w:r>
      <w:r w:rsidR="00F01D80" w:rsidRPr="00ED4E91">
        <w:rPr>
          <w:rFonts w:ascii="Helvetica Neue" w:hAnsi="Helvetica Neue" w:cs="Arial"/>
        </w:rPr>
        <w:t>e theory of agential realism.</w:t>
      </w:r>
      <w:r w:rsidR="00F01D80" w:rsidRPr="00ED4E91">
        <w:rPr>
          <w:rStyle w:val="FootnoteReference"/>
          <w:rFonts w:ascii="Helvetica Neue" w:hAnsi="Helvetica Neue" w:cs="Arial"/>
        </w:rPr>
        <w:footnoteReference w:id="6"/>
      </w:r>
      <w:r w:rsidR="00F01D80" w:rsidRPr="00ED4E91">
        <w:rPr>
          <w:rFonts w:ascii="Helvetica Neue" w:hAnsi="Helvetica Neue" w:cs="Arial"/>
          <w:vertAlign w:val="superscript"/>
        </w:rPr>
        <w:t>,</w:t>
      </w:r>
      <w:r w:rsidR="00F01D80" w:rsidRPr="00ED4E91">
        <w:rPr>
          <w:rStyle w:val="FootnoteReference"/>
          <w:rFonts w:ascii="Helvetica Neue" w:hAnsi="Helvetica Neue" w:cs="Arial"/>
        </w:rPr>
        <w:footnoteReference w:id="7"/>
      </w:r>
      <w:r w:rsidR="0022405C" w:rsidRPr="00ED4E91">
        <w:rPr>
          <w:rFonts w:ascii="Helvetica Neue" w:hAnsi="Helvetica Neue" w:cs="Arial"/>
          <w:vertAlign w:val="superscript"/>
        </w:rPr>
        <w:t xml:space="preserve"> </w:t>
      </w:r>
      <w:r w:rsidR="00770D24" w:rsidRPr="00ED4E91">
        <w:rPr>
          <w:rFonts w:ascii="Helvetica Neue" w:hAnsi="Helvetica Neue" w:cs="Arial"/>
        </w:rPr>
        <w:t>He</w:t>
      </w:r>
      <w:r w:rsidR="00770D24" w:rsidRPr="00ED4E91">
        <w:rPr>
          <w:rFonts w:ascii="Helvetica Neue" w:hAnsi="Helvetica Neue" w:cs="Arial"/>
          <w:vertAlign w:val="superscript"/>
        </w:rPr>
        <w:t xml:space="preserve"> </w:t>
      </w:r>
      <w:r w:rsidR="00770D24" w:rsidRPr="00ED4E91">
        <w:rPr>
          <w:rFonts w:ascii="Helvetica Neue" w:hAnsi="Helvetica Neue" w:cs="Arial"/>
        </w:rPr>
        <w:t>suggests the hylomorphic model renders objects</w:t>
      </w:r>
      <w:r w:rsidR="00122F47" w:rsidRPr="00ED4E91">
        <w:rPr>
          <w:rFonts w:ascii="Helvetica Neue" w:hAnsi="Helvetica Neue" w:cs="Arial"/>
        </w:rPr>
        <w:t xml:space="preserve"> as inert</w:t>
      </w:r>
      <w:r w:rsidR="008E545D" w:rsidRPr="00ED4E91">
        <w:rPr>
          <w:rFonts w:ascii="Helvetica Neue" w:hAnsi="Helvetica Neue" w:cs="Arial"/>
        </w:rPr>
        <w:t>, the flow of matter has been stopped</w:t>
      </w:r>
      <w:r w:rsidR="00770D24" w:rsidRPr="00ED4E91">
        <w:rPr>
          <w:rFonts w:ascii="Helvetica Neue" w:hAnsi="Helvetica Neue" w:cs="Arial"/>
        </w:rPr>
        <w:t xml:space="preserve">, </w:t>
      </w:r>
      <w:r w:rsidR="0079772C" w:rsidRPr="00ED4E91">
        <w:rPr>
          <w:rFonts w:ascii="Helvetica Neue" w:hAnsi="Helvetica Neue" w:cs="Arial"/>
        </w:rPr>
        <w:t xml:space="preserve">that by thinking of creation as a reductive process to reach an end (form) that things are </w:t>
      </w:r>
      <w:r w:rsidR="00103D1E" w:rsidRPr="00ED4E91">
        <w:rPr>
          <w:rFonts w:ascii="Helvetica Neue" w:hAnsi="Helvetica Neue" w:cs="Arial"/>
        </w:rPr>
        <w:t>lifeless and separated from their environments, preventing them from interacting and having life.</w:t>
      </w:r>
      <w:r w:rsidR="00310B43" w:rsidRPr="00ED4E91">
        <w:rPr>
          <w:rStyle w:val="FootnoteReference"/>
          <w:rFonts w:ascii="Helvetica Neue" w:hAnsi="Helvetica Neue" w:cs="Arial"/>
        </w:rPr>
        <w:footnoteReference w:id="8"/>
      </w:r>
      <w:r w:rsidR="00103D1E" w:rsidRPr="00ED4E91">
        <w:rPr>
          <w:rFonts w:ascii="Helvetica Neue" w:hAnsi="Helvetica Neue" w:cs="Arial"/>
        </w:rPr>
        <w:t xml:space="preserve"> </w:t>
      </w:r>
      <w:r w:rsidR="00101523" w:rsidRPr="00ED4E91">
        <w:rPr>
          <w:rFonts w:ascii="Helvetica Neue" w:hAnsi="Helvetica Neue" w:cs="Arial"/>
        </w:rPr>
        <w:t>If things are gatherings,</w:t>
      </w:r>
      <w:r w:rsidR="005D69C0" w:rsidRPr="00ED4E91">
        <w:rPr>
          <w:rFonts w:ascii="Helvetica Neue" w:hAnsi="Helvetica Neue" w:cs="Arial"/>
        </w:rPr>
        <w:t xml:space="preserve"> and form-giving is equal to life,</w:t>
      </w:r>
      <w:r w:rsidR="00101523" w:rsidRPr="00ED4E91">
        <w:rPr>
          <w:rFonts w:ascii="Helvetica Neue" w:hAnsi="Helvetica Neue" w:cs="Arial"/>
        </w:rPr>
        <w:t xml:space="preserve"> an object is</w:t>
      </w:r>
      <w:r w:rsidR="00601B2B" w:rsidRPr="00ED4E91">
        <w:rPr>
          <w:rFonts w:ascii="Helvetica Neue" w:hAnsi="Helvetica Neue" w:cs="Arial"/>
        </w:rPr>
        <w:t xml:space="preserve"> something that has finished gathering, </w:t>
      </w:r>
      <w:r w:rsidR="005D69C0" w:rsidRPr="00ED4E91">
        <w:rPr>
          <w:rFonts w:ascii="Helvetica Neue" w:hAnsi="Helvetica Neue" w:cs="Arial"/>
        </w:rPr>
        <w:t xml:space="preserve">it thus becomes problematic to suggest </w:t>
      </w:r>
      <w:r w:rsidR="00604ECA" w:rsidRPr="00ED4E91">
        <w:rPr>
          <w:rFonts w:ascii="Helvetica Neue" w:hAnsi="Helvetica Neue" w:cs="Arial"/>
        </w:rPr>
        <w:t xml:space="preserve">objects have life or the ability to act. A dead thing cannot </w:t>
      </w:r>
      <w:r w:rsidR="007D0F04" w:rsidRPr="00ED4E91">
        <w:rPr>
          <w:rFonts w:ascii="Helvetica Neue" w:hAnsi="Helvetica Neue" w:cs="Arial"/>
        </w:rPr>
        <w:t>act,</w:t>
      </w:r>
      <w:r w:rsidR="00604ECA" w:rsidRPr="00ED4E91">
        <w:rPr>
          <w:rFonts w:ascii="Helvetica Neue" w:hAnsi="Helvetica Neue" w:cs="Arial"/>
        </w:rPr>
        <w:t xml:space="preserve"> and this is precisely what Ingold </w:t>
      </w:r>
      <w:r w:rsidR="00310B43" w:rsidRPr="00ED4E91">
        <w:rPr>
          <w:rFonts w:ascii="Helvetica Neue" w:hAnsi="Helvetica Neue" w:cs="Arial"/>
        </w:rPr>
        <w:t>emphasizes with this article</w:t>
      </w:r>
      <w:r w:rsidR="007D0F04" w:rsidRPr="00ED4E91">
        <w:rPr>
          <w:rFonts w:ascii="Helvetica Neue" w:hAnsi="Helvetica Neue" w:cs="Arial"/>
        </w:rPr>
        <w:t>, “things are alive</w:t>
      </w:r>
      <w:r w:rsidR="006B104D" w:rsidRPr="00ED4E91">
        <w:rPr>
          <w:rFonts w:ascii="Helvetica Neue" w:hAnsi="Helvetica Neue" w:cs="Arial"/>
        </w:rPr>
        <w:t xml:space="preserve">…because they </w:t>
      </w:r>
      <w:r w:rsidR="006B104D" w:rsidRPr="00ED4E91">
        <w:rPr>
          <w:rFonts w:ascii="Helvetica Neue" w:hAnsi="Helvetica Neue" w:cs="Arial"/>
          <w:i/>
          <w:iCs/>
        </w:rPr>
        <w:t>leak</w:t>
      </w:r>
      <w:r w:rsidR="00310B43" w:rsidRPr="00ED4E91">
        <w:rPr>
          <w:rFonts w:ascii="Helvetica Neue" w:hAnsi="Helvetica Neue" w:cs="Arial"/>
        </w:rPr>
        <w:t>.</w:t>
      </w:r>
      <w:r w:rsidR="006B104D" w:rsidRPr="00ED4E91">
        <w:rPr>
          <w:rFonts w:ascii="Helvetica Neue" w:hAnsi="Helvetica Neue" w:cs="Arial"/>
        </w:rPr>
        <w:t>”</w:t>
      </w:r>
      <w:r w:rsidR="006B104D" w:rsidRPr="00ED4E91">
        <w:rPr>
          <w:rStyle w:val="FootnoteReference"/>
          <w:rFonts w:ascii="Helvetica Neue" w:hAnsi="Helvetica Neue" w:cs="Arial"/>
        </w:rPr>
        <w:footnoteReference w:id="9"/>
      </w:r>
      <w:r w:rsidR="00310B43" w:rsidRPr="00ED4E91">
        <w:rPr>
          <w:rFonts w:ascii="Helvetica Neue" w:hAnsi="Helvetica Neue" w:cs="Arial"/>
        </w:rPr>
        <w:t xml:space="preserve"> </w:t>
      </w:r>
    </w:p>
    <w:p w14:paraId="664105D3" w14:textId="3A3612AB" w:rsidR="004F35FD" w:rsidRPr="00ED4E91" w:rsidRDefault="002D1E4E" w:rsidP="00ED4E91">
      <w:pPr>
        <w:spacing w:line="480" w:lineRule="auto"/>
        <w:ind w:firstLine="720"/>
        <w:rPr>
          <w:rFonts w:ascii="Helvetica Neue" w:hAnsi="Helvetica Neue" w:cs="Arial"/>
        </w:rPr>
      </w:pPr>
      <w:r w:rsidRPr="00ED4E91">
        <w:rPr>
          <w:rFonts w:ascii="Helvetica Neue" w:hAnsi="Helvetica Neue" w:cs="Arial"/>
        </w:rPr>
        <w:t xml:space="preserve">The writing </w:t>
      </w:r>
      <w:r w:rsidR="0055028A" w:rsidRPr="00ED4E91">
        <w:rPr>
          <w:rFonts w:ascii="Helvetica Neue" w:hAnsi="Helvetica Neue" w:cs="Arial"/>
        </w:rPr>
        <w:t>of</w:t>
      </w:r>
      <w:r w:rsidRPr="00ED4E91">
        <w:rPr>
          <w:rFonts w:ascii="Helvetica Neue" w:hAnsi="Helvetica Neue" w:cs="Arial"/>
        </w:rPr>
        <w:t xml:space="preserve"> the article is </w:t>
      </w:r>
      <w:r w:rsidR="0055028A" w:rsidRPr="00ED4E91">
        <w:rPr>
          <w:rFonts w:ascii="Helvetica Neue" w:hAnsi="Helvetica Neue" w:cs="Arial"/>
        </w:rPr>
        <w:t xml:space="preserve">quite immersive, which </w:t>
      </w:r>
      <w:r w:rsidR="00AE228F" w:rsidRPr="00ED4E91">
        <w:rPr>
          <w:rFonts w:ascii="Helvetica Neue" w:hAnsi="Helvetica Neue" w:cs="Arial"/>
        </w:rPr>
        <w:t>helps bring reality to his argument</w:t>
      </w:r>
      <w:r w:rsidR="0055028A" w:rsidRPr="00ED4E91">
        <w:rPr>
          <w:rFonts w:ascii="Helvetica Neue" w:hAnsi="Helvetica Neue" w:cs="Arial"/>
        </w:rPr>
        <w:t xml:space="preserve">. Ingold does a successful job of drawing in the readers </w:t>
      </w:r>
      <w:r w:rsidR="00AE228F" w:rsidRPr="00ED4E91">
        <w:rPr>
          <w:rFonts w:ascii="Helvetica Neue" w:hAnsi="Helvetica Neue" w:cs="Arial"/>
        </w:rPr>
        <w:t xml:space="preserve">and </w:t>
      </w:r>
      <w:r w:rsidR="00F6506A" w:rsidRPr="00ED4E91">
        <w:rPr>
          <w:rFonts w:ascii="Helvetica Neue" w:hAnsi="Helvetica Neue" w:cs="Arial"/>
        </w:rPr>
        <w:t xml:space="preserve">asking them to think about their environment, the things around them, and to </w:t>
      </w:r>
      <w:r w:rsidR="008775B8" w:rsidRPr="00ED4E91">
        <w:rPr>
          <w:rFonts w:ascii="Helvetica Neue" w:hAnsi="Helvetica Neue" w:cs="Arial"/>
        </w:rPr>
        <w:t>sit and consider the things he’s saying as they apply in life.</w:t>
      </w:r>
      <w:r w:rsidR="008775B8" w:rsidRPr="00ED4E91">
        <w:rPr>
          <w:rStyle w:val="FootnoteReference"/>
          <w:rFonts w:ascii="Helvetica Neue" w:hAnsi="Helvetica Neue" w:cs="Arial"/>
        </w:rPr>
        <w:footnoteReference w:id="10"/>
      </w:r>
      <w:r w:rsidR="008775B8" w:rsidRPr="00ED4E91">
        <w:rPr>
          <w:rFonts w:ascii="Helvetica Neue" w:hAnsi="Helvetica Neue" w:cs="Arial"/>
        </w:rPr>
        <w:t xml:space="preserve"> </w:t>
      </w:r>
      <w:r w:rsidR="00497327" w:rsidRPr="00ED4E91">
        <w:rPr>
          <w:rFonts w:ascii="Helvetica Neue" w:hAnsi="Helvetica Neue" w:cs="Arial"/>
        </w:rPr>
        <w:t xml:space="preserve">He uses this </w:t>
      </w:r>
      <w:r w:rsidR="00850CC9" w:rsidRPr="00ED4E91">
        <w:rPr>
          <w:rFonts w:ascii="Helvetica Neue" w:hAnsi="Helvetica Neue" w:cs="Arial"/>
        </w:rPr>
        <w:t xml:space="preserve">writing style quite effectively </w:t>
      </w:r>
      <w:r w:rsidR="00497327" w:rsidRPr="00ED4E91">
        <w:rPr>
          <w:rFonts w:ascii="Helvetica Neue" w:hAnsi="Helvetica Neue" w:cs="Arial"/>
        </w:rPr>
        <w:t>to help explain his ‘environment without objects</w:t>
      </w:r>
      <w:r w:rsidR="00037C3C" w:rsidRPr="00ED4E91">
        <w:rPr>
          <w:rFonts w:ascii="Helvetica Neue" w:hAnsi="Helvetica Neue" w:cs="Arial"/>
        </w:rPr>
        <w:t>,</w:t>
      </w:r>
      <w:r w:rsidR="00497327" w:rsidRPr="00ED4E91">
        <w:rPr>
          <w:rFonts w:ascii="Helvetica Neue" w:hAnsi="Helvetica Neue" w:cs="Arial"/>
        </w:rPr>
        <w:t xml:space="preserve">’ </w:t>
      </w:r>
      <w:r w:rsidR="00037C3C" w:rsidRPr="00ED4E91">
        <w:rPr>
          <w:rFonts w:ascii="Helvetica Neue" w:hAnsi="Helvetica Neue" w:cs="Arial"/>
        </w:rPr>
        <w:t xml:space="preserve">asking the reader questions </w:t>
      </w:r>
      <w:r w:rsidR="005A2628" w:rsidRPr="00ED4E91">
        <w:rPr>
          <w:rFonts w:ascii="Helvetica Neue" w:hAnsi="Helvetica Neue" w:cs="Arial"/>
        </w:rPr>
        <w:t xml:space="preserve">and </w:t>
      </w:r>
      <w:r w:rsidR="00B84B1F" w:rsidRPr="00ED4E91">
        <w:rPr>
          <w:rFonts w:ascii="Helvetica Neue" w:hAnsi="Helvetica Neue" w:cs="Arial"/>
        </w:rPr>
        <w:t xml:space="preserve">urging </w:t>
      </w:r>
      <w:r w:rsidR="00B84B1F" w:rsidRPr="00ED4E91">
        <w:rPr>
          <w:rFonts w:ascii="Helvetica Neue" w:hAnsi="Helvetica Neue" w:cs="Arial"/>
        </w:rPr>
        <w:lastRenderedPageBreak/>
        <w:t xml:space="preserve">them to use their imagination to further </w:t>
      </w:r>
      <w:r w:rsidR="00460026" w:rsidRPr="00ED4E91">
        <w:rPr>
          <w:rFonts w:ascii="Helvetica Neue" w:hAnsi="Helvetica Neue" w:cs="Arial"/>
        </w:rPr>
        <w:t xml:space="preserve">bring light to </w:t>
      </w:r>
      <w:r w:rsidR="0043537E" w:rsidRPr="00ED4E91">
        <w:rPr>
          <w:rFonts w:ascii="Helvetica Neue" w:hAnsi="Helvetica Neue" w:cs="Arial"/>
        </w:rPr>
        <w:t>the flow of the world around us. He writes</w:t>
      </w:r>
      <w:r w:rsidR="001D32CC" w:rsidRPr="00ED4E91">
        <w:rPr>
          <w:rFonts w:ascii="Helvetica Neue" w:hAnsi="Helvetica Neue" w:cs="Arial"/>
        </w:rPr>
        <w:t>:</w:t>
      </w:r>
      <w:r w:rsidR="0043537E" w:rsidRPr="00ED4E91">
        <w:rPr>
          <w:rFonts w:ascii="Helvetica Neue" w:hAnsi="Helvetica Neue" w:cs="Arial"/>
        </w:rPr>
        <w:t xml:space="preserve"> </w:t>
      </w:r>
    </w:p>
    <w:p w14:paraId="16102461" w14:textId="1CAAE543" w:rsidR="000F7EC8" w:rsidRPr="00ED4E91" w:rsidRDefault="00BF64D3" w:rsidP="001D32CC">
      <w:pPr>
        <w:ind w:firstLine="720"/>
        <w:rPr>
          <w:rFonts w:ascii="Helvetica Neue" w:hAnsi="Helvetica Neue" w:cs="Arial"/>
          <w:lang w:val="en-US"/>
        </w:rPr>
      </w:pPr>
      <w:r w:rsidRPr="00ED4E91">
        <w:rPr>
          <w:rFonts w:ascii="Helvetica Neue" w:hAnsi="Helvetica Neue" w:cs="Arial"/>
          <w:lang w:val="en-US"/>
        </w:rPr>
        <w:t xml:space="preserve">Let us… </w:t>
      </w:r>
      <w:r w:rsidR="000A5874" w:rsidRPr="00ED4E91">
        <w:rPr>
          <w:rFonts w:ascii="Helvetica Neue" w:hAnsi="Helvetica Neue" w:cs="Arial"/>
          <w:lang w:val="en-US"/>
        </w:rPr>
        <w:t>take a walk outside, in</w:t>
      </w:r>
      <w:r w:rsidRPr="00ED4E91">
        <w:rPr>
          <w:rFonts w:ascii="Helvetica Neue" w:hAnsi="Helvetica Neue" w:cs="Arial"/>
          <w:lang w:val="en-US"/>
        </w:rPr>
        <w:t xml:space="preserve"> the open</w:t>
      </w:r>
      <w:r w:rsidR="00E32D1D" w:rsidRPr="00ED4E91">
        <w:rPr>
          <w:rFonts w:ascii="Helvetica Neue" w:hAnsi="Helvetica Neue" w:cs="Arial"/>
          <w:lang w:val="en-US"/>
        </w:rPr>
        <w:t xml:space="preserve"> </w:t>
      </w:r>
      <w:r w:rsidRPr="00BF64D3">
        <w:rPr>
          <w:rFonts w:ascii="Helvetica Neue" w:hAnsi="Helvetica Neue" w:cs="Arial"/>
          <w:lang w:val="en-US"/>
        </w:rPr>
        <w:t>air. Our path takes us through a woodland thicket.</w:t>
      </w:r>
      <w:r w:rsidR="00E32D1D" w:rsidRPr="00ED4E91">
        <w:rPr>
          <w:rFonts w:ascii="Helvetica Neue" w:hAnsi="Helvetica Neue" w:cs="Arial"/>
          <w:lang w:val="en-US"/>
        </w:rPr>
        <w:t xml:space="preserve"> </w:t>
      </w:r>
      <w:r w:rsidRPr="00BF64D3">
        <w:rPr>
          <w:rFonts w:ascii="Helvetica Neue" w:hAnsi="Helvetica Neue" w:cs="Arial"/>
          <w:lang w:val="en-US"/>
        </w:rPr>
        <w:t>Surrounded on all sides by</w:t>
      </w:r>
      <w:r w:rsidR="00E32D1D" w:rsidRPr="00ED4E91">
        <w:rPr>
          <w:rFonts w:ascii="Helvetica Neue" w:hAnsi="Helvetica Neue" w:cs="Arial"/>
          <w:lang w:val="en-US"/>
        </w:rPr>
        <w:t xml:space="preserve"> </w:t>
      </w:r>
      <w:r w:rsidRPr="00BF64D3">
        <w:rPr>
          <w:rFonts w:ascii="Helvetica Neue" w:hAnsi="Helvetica Neue" w:cs="Arial"/>
          <w:lang w:val="en-US"/>
        </w:rPr>
        <w:t>trunks and branches, the environment certainly seems cluttered. But is it</w:t>
      </w:r>
      <w:r w:rsidR="00E32D1D" w:rsidRPr="00ED4E91">
        <w:rPr>
          <w:rFonts w:ascii="Helvetica Neue" w:hAnsi="Helvetica Neue" w:cs="Arial"/>
          <w:lang w:val="en-US"/>
        </w:rPr>
        <w:t xml:space="preserve"> </w:t>
      </w:r>
      <w:r w:rsidRPr="00BF64D3">
        <w:rPr>
          <w:rFonts w:ascii="Helvetica Neue" w:hAnsi="Helvetica Neue" w:cs="Arial"/>
          <w:lang w:val="en-US"/>
        </w:rPr>
        <w:t>cluttered with objects? Suppose that we focus our attention on a</w:t>
      </w:r>
      <w:r w:rsidR="00E32D1D" w:rsidRPr="00ED4E91">
        <w:rPr>
          <w:rFonts w:ascii="Helvetica Neue" w:hAnsi="Helvetica Neue" w:cs="Arial"/>
          <w:lang w:val="en-US"/>
        </w:rPr>
        <w:t xml:space="preserve"> </w:t>
      </w:r>
      <w:r w:rsidRPr="00BF64D3">
        <w:rPr>
          <w:rFonts w:ascii="Helvetica Neue" w:hAnsi="Helvetica Neue" w:cs="Arial"/>
          <w:lang w:val="en-US"/>
        </w:rPr>
        <w:t>particular tree.</w:t>
      </w:r>
      <w:r w:rsidR="00E32D1D" w:rsidRPr="00ED4E91">
        <w:rPr>
          <w:rFonts w:ascii="Helvetica Neue" w:hAnsi="Helvetica Neue" w:cs="Arial"/>
          <w:lang w:val="en-US"/>
        </w:rPr>
        <w:t xml:space="preserve"> </w:t>
      </w:r>
      <w:r w:rsidRPr="00BF64D3">
        <w:rPr>
          <w:rFonts w:ascii="Helvetica Neue" w:hAnsi="Helvetica Neue" w:cs="Arial"/>
          <w:lang w:val="en-US"/>
        </w:rPr>
        <w:t>There it is, rooted in the earth, trunk rising up, branches splayed out, swaying in</w:t>
      </w:r>
      <w:r w:rsidR="00E32D1D" w:rsidRPr="00ED4E91">
        <w:rPr>
          <w:rFonts w:ascii="Helvetica Neue" w:hAnsi="Helvetica Neue" w:cs="Arial"/>
          <w:lang w:val="en-US"/>
        </w:rPr>
        <w:t xml:space="preserve"> </w:t>
      </w:r>
      <w:r w:rsidRPr="00BF64D3">
        <w:rPr>
          <w:rFonts w:ascii="Helvetica Neue" w:hAnsi="Helvetica Neue" w:cs="Arial"/>
          <w:lang w:val="en-US"/>
        </w:rPr>
        <w:t>the wind, with or without buds or leaves, depending on the season. Is the tree,</w:t>
      </w:r>
      <w:r w:rsidR="00E32D1D" w:rsidRPr="00ED4E91">
        <w:rPr>
          <w:rFonts w:ascii="Helvetica Neue" w:hAnsi="Helvetica Neue" w:cs="Arial"/>
          <w:lang w:val="en-US"/>
        </w:rPr>
        <w:t xml:space="preserve"> </w:t>
      </w:r>
      <w:r w:rsidRPr="00BF64D3">
        <w:rPr>
          <w:rFonts w:ascii="Helvetica Neue" w:hAnsi="Helvetica Neue" w:cs="Arial"/>
          <w:lang w:val="en-US"/>
        </w:rPr>
        <w:t>then, an object? If so, how should we define it? What is tree and what is not-</w:t>
      </w:r>
      <w:r w:rsidRPr="00ED4E91">
        <w:rPr>
          <w:rFonts w:ascii="Helvetica Neue" w:hAnsi="Helvetica Neue" w:cs="Arial"/>
          <w:lang w:val="en-US"/>
        </w:rPr>
        <w:t>tree? Where does the tree end and the rest of the world begin?</w:t>
      </w:r>
      <w:r w:rsidR="004F35FD" w:rsidRPr="00ED4E91">
        <w:rPr>
          <w:rStyle w:val="FootnoteReference"/>
          <w:rFonts w:ascii="Helvetica Neue" w:hAnsi="Helvetica Neue" w:cs="Arial"/>
          <w:lang w:val="en-US"/>
        </w:rPr>
        <w:footnoteReference w:id="11"/>
      </w:r>
      <w:r w:rsidRPr="00ED4E91">
        <w:rPr>
          <w:rFonts w:ascii="Helvetica Neue" w:hAnsi="Helvetica Neue" w:cs="Arial"/>
          <w:lang w:val="en-US"/>
        </w:rPr>
        <w:t xml:space="preserve"> </w:t>
      </w:r>
    </w:p>
    <w:p w14:paraId="464FFAD0" w14:textId="0F836ECD" w:rsidR="00B57F47" w:rsidRPr="00ED4E91" w:rsidRDefault="0009543D" w:rsidP="001D32CC">
      <w:pPr>
        <w:rPr>
          <w:rFonts w:ascii="Helvetica Neue" w:hAnsi="Helvetica Neue" w:cs="Arial"/>
          <w:lang w:val="en-US"/>
        </w:rPr>
      </w:pPr>
      <w:r w:rsidRPr="00ED4E91">
        <w:rPr>
          <w:rFonts w:ascii="Helvetica Neue" w:hAnsi="Helvetica Neue" w:cs="Arial"/>
          <w:lang w:val="en-US"/>
        </w:rPr>
        <w:t>Ingold</w:t>
      </w:r>
      <w:r w:rsidR="00BB5510" w:rsidRPr="00ED4E91">
        <w:rPr>
          <w:rFonts w:ascii="Helvetica Neue" w:hAnsi="Helvetica Neue" w:cs="Arial"/>
          <w:lang w:val="en-US"/>
        </w:rPr>
        <w:t xml:space="preserve">’s style of writing appropriately </w:t>
      </w:r>
      <w:r w:rsidR="006A7262" w:rsidRPr="00ED4E91">
        <w:rPr>
          <w:rFonts w:ascii="Helvetica Neue" w:hAnsi="Helvetica Neue" w:cs="Arial"/>
          <w:lang w:val="en-US"/>
        </w:rPr>
        <w:t xml:space="preserve">forces the readers to </w:t>
      </w:r>
      <w:r w:rsidR="004E44F5" w:rsidRPr="00ED4E91">
        <w:rPr>
          <w:rFonts w:ascii="Helvetica Neue" w:hAnsi="Helvetica Neue" w:cs="Arial"/>
          <w:lang w:val="en-US"/>
        </w:rPr>
        <w:t xml:space="preserve">immerse themselves into the literature and </w:t>
      </w:r>
      <w:r w:rsidR="00D6323B" w:rsidRPr="00ED4E91">
        <w:rPr>
          <w:rFonts w:ascii="Helvetica Neue" w:hAnsi="Helvetica Neue" w:cs="Arial"/>
          <w:lang w:val="en-US"/>
        </w:rPr>
        <w:t xml:space="preserve">follow the path of thought in a way that makes </w:t>
      </w:r>
      <w:r w:rsidR="006E6B7A" w:rsidRPr="00ED4E91">
        <w:rPr>
          <w:rFonts w:ascii="Helvetica Neue" w:hAnsi="Helvetica Neue" w:cs="Arial"/>
          <w:lang w:val="en-US"/>
        </w:rPr>
        <w:t>his work accessible in ways other writers fall short.</w:t>
      </w:r>
      <w:r w:rsidR="00A83F39" w:rsidRPr="00ED4E91">
        <w:rPr>
          <w:rStyle w:val="FootnoteReference"/>
          <w:rFonts w:ascii="Helvetica Neue" w:hAnsi="Helvetica Neue" w:cs="Arial"/>
          <w:lang w:val="en-US"/>
        </w:rPr>
        <w:footnoteReference w:id="12"/>
      </w:r>
      <w:r w:rsidR="006E6B7A" w:rsidRPr="00ED4E91">
        <w:rPr>
          <w:rFonts w:ascii="Helvetica Neue" w:hAnsi="Helvetica Neue" w:cs="Arial"/>
          <w:lang w:val="en-US"/>
        </w:rPr>
        <w:t xml:space="preserve"> </w:t>
      </w:r>
    </w:p>
    <w:p w14:paraId="1856CBBA" w14:textId="496E1B83" w:rsidR="009C7997" w:rsidRPr="00ED4E91" w:rsidRDefault="009C7997" w:rsidP="00D2448B">
      <w:pPr>
        <w:spacing w:line="480" w:lineRule="auto"/>
        <w:rPr>
          <w:rFonts w:ascii="Helvetica Neue" w:hAnsi="Helvetica Neue" w:cs="Arial"/>
        </w:rPr>
      </w:pPr>
    </w:p>
    <w:p w14:paraId="47A1083F" w14:textId="66AA4367" w:rsidR="00A83F39" w:rsidRPr="00ED4E91" w:rsidRDefault="00A83F39" w:rsidP="00ED4E91">
      <w:pPr>
        <w:spacing w:line="480" w:lineRule="auto"/>
        <w:rPr>
          <w:rFonts w:ascii="Helvetica Neue" w:hAnsi="Helvetica Neue" w:cs="Arial"/>
        </w:rPr>
      </w:pPr>
      <w:r w:rsidRPr="00ED4E91">
        <w:rPr>
          <w:rFonts w:ascii="Helvetica Neue" w:hAnsi="Helvetica Neue" w:cs="Arial"/>
        </w:rPr>
        <w:t xml:space="preserve">This anecdote demonstrates both the accessibility of Ingold’s writing and the effectiveness of it; </w:t>
      </w:r>
      <w:r w:rsidR="00784D14" w:rsidRPr="00ED4E91">
        <w:rPr>
          <w:rFonts w:ascii="Helvetica Neue" w:hAnsi="Helvetica Neue" w:cs="Arial"/>
        </w:rPr>
        <w:t xml:space="preserve">he uses simple language and almost tells a story to </w:t>
      </w:r>
      <w:r w:rsidR="00B41644" w:rsidRPr="00ED4E91">
        <w:rPr>
          <w:rFonts w:ascii="Helvetica Neue" w:hAnsi="Helvetica Neue" w:cs="Arial"/>
        </w:rPr>
        <w:t xml:space="preserve">convey his point. </w:t>
      </w:r>
      <w:r w:rsidR="00365A79" w:rsidRPr="00ED4E91">
        <w:rPr>
          <w:rFonts w:ascii="Helvetica Neue" w:hAnsi="Helvetica Neue" w:cs="Arial"/>
        </w:rPr>
        <w:t>The article is easy to read</w:t>
      </w:r>
      <w:r w:rsidR="00CC76F9" w:rsidRPr="00ED4E91">
        <w:rPr>
          <w:rFonts w:ascii="Helvetica Neue" w:hAnsi="Helvetica Neue" w:cs="Arial"/>
        </w:rPr>
        <w:t xml:space="preserve"> and effectively communicates Ingold’s ideas on </w:t>
      </w:r>
      <w:r w:rsidR="00CD3429" w:rsidRPr="00ED4E91">
        <w:rPr>
          <w:rFonts w:ascii="Helvetica Neue" w:hAnsi="Helvetica Neue" w:cs="Arial"/>
        </w:rPr>
        <w:t xml:space="preserve">the life of things. </w:t>
      </w:r>
      <w:r w:rsidR="004B4A78" w:rsidRPr="00ED4E91">
        <w:rPr>
          <w:rFonts w:ascii="Helvetica Neue" w:hAnsi="Helvetica Neue" w:cs="Arial"/>
        </w:rPr>
        <w:t xml:space="preserve">He uses examples and </w:t>
      </w:r>
      <w:r w:rsidR="009F39F4" w:rsidRPr="00ED4E91">
        <w:rPr>
          <w:rFonts w:ascii="Helvetica Neue" w:hAnsi="Helvetica Neue" w:cs="Arial"/>
        </w:rPr>
        <w:t>describe</w:t>
      </w:r>
      <w:r w:rsidR="00F6227E" w:rsidRPr="00ED4E91">
        <w:rPr>
          <w:rFonts w:ascii="Helvetica Neue" w:hAnsi="Helvetica Neue" w:cs="Arial"/>
        </w:rPr>
        <w:t>s</w:t>
      </w:r>
      <w:r w:rsidR="009F39F4" w:rsidRPr="00ED4E91">
        <w:rPr>
          <w:rFonts w:ascii="Helvetica Neue" w:hAnsi="Helvetica Neue" w:cs="Arial"/>
        </w:rPr>
        <w:t xml:space="preserve"> </w:t>
      </w:r>
      <w:r w:rsidR="00742C5B" w:rsidRPr="00ED4E91">
        <w:rPr>
          <w:rFonts w:ascii="Helvetica Neue" w:hAnsi="Helvetica Neue" w:cs="Arial"/>
        </w:rPr>
        <w:t>mental</w:t>
      </w:r>
      <w:r w:rsidR="009F39F4" w:rsidRPr="00ED4E91">
        <w:rPr>
          <w:rFonts w:ascii="Helvetica Neue" w:hAnsi="Helvetica Neue" w:cs="Arial"/>
        </w:rPr>
        <w:t xml:space="preserve"> images</w:t>
      </w:r>
      <w:r w:rsidR="00F6227E" w:rsidRPr="00ED4E91">
        <w:rPr>
          <w:rFonts w:ascii="Helvetica Neue" w:hAnsi="Helvetica Neue" w:cs="Arial"/>
        </w:rPr>
        <w:t xml:space="preserve"> </w:t>
      </w:r>
      <w:r w:rsidR="00091C45" w:rsidRPr="00ED4E91">
        <w:rPr>
          <w:rFonts w:ascii="Helvetica Neue" w:hAnsi="Helvetica Neue" w:cs="Arial"/>
        </w:rPr>
        <w:t xml:space="preserve">throughout the article, lending </w:t>
      </w:r>
      <w:r w:rsidR="00742C5B" w:rsidRPr="00ED4E91">
        <w:rPr>
          <w:rFonts w:ascii="Helvetica Neue" w:hAnsi="Helvetica Neue" w:cs="Arial"/>
        </w:rPr>
        <w:t xml:space="preserve">visual aid to emphasize the real-world </w:t>
      </w:r>
      <w:r w:rsidR="00A124D5" w:rsidRPr="00ED4E91">
        <w:rPr>
          <w:rFonts w:ascii="Helvetica Neue" w:hAnsi="Helvetica Neue" w:cs="Arial"/>
        </w:rPr>
        <w:t xml:space="preserve">applications. </w:t>
      </w:r>
      <w:r w:rsidR="00A81FEC" w:rsidRPr="00ED4E91">
        <w:rPr>
          <w:rFonts w:ascii="Helvetica Neue" w:hAnsi="Helvetica Neue" w:cs="Arial"/>
        </w:rPr>
        <w:t>He bases his argument on Heidegger’s philosophy that things are doings</w:t>
      </w:r>
      <w:r w:rsidR="00F55702" w:rsidRPr="00ED4E91">
        <w:rPr>
          <w:rFonts w:ascii="Helvetica Neue" w:hAnsi="Helvetica Neue" w:cs="Arial"/>
        </w:rPr>
        <w:t xml:space="preserve"> and</w:t>
      </w:r>
      <w:r w:rsidR="00A81FEC" w:rsidRPr="00ED4E91">
        <w:rPr>
          <w:rFonts w:ascii="Helvetica Neue" w:hAnsi="Helvetica Neue" w:cs="Arial"/>
        </w:rPr>
        <w:t xml:space="preserve"> movements, but Ingold takes it a step further and</w:t>
      </w:r>
      <w:r w:rsidR="006E585A" w:rsidRPr="00ED4E91">
        <w:rPr>
          <w:rFonts w:ascii="Helvetica Neue" w:hAnsi="Helvetica Neue" w:cs="Arial"/>
        </w:rPr>
        <w:t xml:space="preserve"> gives it a more modern </w:t>
      </w:r>
      <w:r w:rsidR="00B850C7" w:rsidRPr="00ED4E91">
        <w:rPr>
          <w:rFonts w:ascii="Helvetica Neue" w:hAnsi="Helvetica Neue" w:cs="Arial"/>
        </w:rPr>
        <w:t>perspective</w:t>
      </w:r>
      <w:r w:rsidR="006E585A" w:rsidRPr="00ED4E91">
        <w:rPr>
          <w:rFonts w:ascii="Helvetica Neue" w:hAnsi="Helvetica Neue" w:cs="Arial"/>
        </w:rPr>
        <w:t xml:space="preserve">. </w:t>
      </w:r>
      <w:r w:rsidR="00127881" w:rsidRPr="00ED4E91">
        <w:rPr>
          <w:rFonts w:ascii="Helvetica Neue" w:hAnsi="Helvetica Neue" w:cs="Arial"/>
        </w:rPr>
        <w:t xml:space="preserve">The article </w:t>
      </w:r>
      <w:r w:rsidR="00023C48" w:rsidRPr="00ED4E91">
        <w:rPr>
          <w:rFonts w:ascii="Helvetica Neue" w:hAnsi="Helvetica Neue" w:cs="Arial"/>
        </w:rPr>
        <w:t>brings together Heidegger, Gell, Gibson</w:t>
      </w:r>
      <w:r w:rsidR="008F6F53" w:rsidRPr="00ED4E91">
        <w:rPr>
          <w:rFonts w:ascii="Helvetica Neue" w:hAnsi="Helvetica Neue" w:cs="Arial"/>
        </w:rPr>
        <w:t>, Deleuze and Guattari</w:t>
      </w:r>
      <w:r w:rsidR="00831EF2" w:rsidRPr="00ED4E91">
        <w:rPr>
          <w:rFonts w:ascii="Helvetica Neue" w:hAnsi="Helvetica Neue" w:cs="Arial"/>
        </w:rPr>
        <w:t xml:space="preserve">, and other works of Ingold’s together to </w:t>
      </w:r>
      <w:r w:rsidR="00C17CA2" w:rsidRPr="00ED4E91">
        <w:rPr>
          <w:rFonts w:ascii="Helvetica Neue" w:hAnsi="Helvetica Neue" w:cs="Arial"/>
        </w:rPr>
        <w:t xml:space="preserve">suggest a theory of materiality that is conducive to the undeniable relationship people and things have. Things are fluid, permeable, </w:t>
      </w:r>
      <w:r w:rsidR="00A55129" w:rsidRPr="00ED4E91">
        <w:rPr>
          <w:rFonts w:ascii="Helvetica Neue" w:hAnsi="Helvetica Neue" w:cs="Arial"/>
        </w:rPr>
        <w:t xml:space="preserve">and part of their environments and by embracing those soft boundaries rather than insisting on their </w:t>
      </w:r>
      <w:r w:rsidR="00152CDF" w:rsidRPr="00ED4E91">
        <w:rPr>
          <w:rFonts w:ascii="Helvetica Neue" w:hAnsi="Helvetica Neue" w:cs="Arial"/>
        </w:rPr>
        <w:t xml:space="preserve">rigidity, humans and things coexist in the environment in a vibrant, lively tangle of action and gathering. </w:t>
      </w:r>
    </w:p>
    <w:p w14:paraId="101ACD68" w14:textId="294D42B0" w:rsidR="008A4429" w:rsidRPr="00ED4E91" w:rsidRDefault="009F6C56" w:rsidP="00ED4E91">
      <w:pPr>
        <w:spacing w:line="480" w:lineRule="auto"/>
        <w:rPr>
          <w:rFonts w:ascii="Helvetica Neue" w:hAnsi="Helvetica Neue" w:cs="Arial"/>
          <w:lang w:val="en-US"/>
        </w:rPr>
      </w:pPr>
      <w:r w:rsidRPr="00ED4E91">
        <w:rPr>
          <w:rFonts w:ascii="Helvetica Neue" w:hAnsi="Helvetica Neue" w:cs="Arial"/>
        </w:rPr>
        <w:lastRenderedPageBreak/>
        <w:tab/>
        <w:t xml:space="preserve">Overall, I believe </w:t>
      </w:r>
      <w:r w:rsidR="009079C5" w:rsidRPr="00ED4E91">
        <w:rPr>
          <w:rFonts w:ascii="Helvetica Neue" w:hAnsi="Helvetica Neue" w:cs="Arial"/>
        </w:rPr>
        <w:t xml:space="preserve">Ingold’s theory </w:t>
      </w:r>
      <w:r w:rsidR="00912DF0" w:rsidRPr="00ED4E91">
        <w:rPr>
          <w:rFonts w:ascii="Helvetica Neue" w:hAnsi="Helvetica Neue" w:cs="Arial"/>
        </w:rPr>
        <w:t xml:space="preserve">is quite sound, he </w:t>
      </w:r>
      <w:r w:rsidR="000F7120" w:rsidRPr="00ED4E91">
        <w:rPr>
          <w:rFonts w:ascii="Helvetica Neue" w:hAnsi="Helvetica Neue" w:cs="Arial"/>
        </w:rPr>
        <w:t xml:space="preserve">supports </w:t>
      </w:r>
      <w:r w:rsidR="00AF1255" w:rsidRPr="00ED4E91">
        <w:rPr>
          <w:rFonts w:ascii="Helvetica Neue" w:hAnsi="Helvetica Neue" w:cs="Arial"/>
        </w:rPr>
        <w:t xml:space="preserve">his arguments with well-established scholars and </w:t>
      </w:r>
      <w:r w:rsidR="00460EA2" w:rsidRPr="00ED4E91">
        <w:rPr>
          <w:rFonts w:ascii="Helvetica Neue" w:hAnsi="Helvetica Neue" w:cs="Arial"/>
        </w:rPr>
        <w:t xml:space="preserve">broadens the wider literature with a </w:t>
      </w:r>
      <w:r w:rsidR="008E7BAC" w:rsidRPr="00ED4E91">
        <w:rPr>
          <w:rFonts w:ascii="Helvetica Neue" w:hAnsi="Helvetica Neue" w:cs="Arial"/>
        </w:rPr>
        <w:t>fresh perspective.</w:t>
      </w:r>
      <w:r w:rsidR="00183281" w:rsidRPr="00ED4E91">
        <w:rPr>
          <w:rFonts w:ascii="Helvetica Neue" w:hAnsi="Helvetica Neue" w:cs="Arial"/>
        </w:rPr>
        <w:t xml:space="preserve"> </w:t>
      </w:r>
      <w:r w:rsidR="00031216" w:rsidRPr="00ED4E91">
        <w:rPr>
          <w:rFonts w:ascii="Helvetica Neue" w:hAnsi="Helvetica Neue" w:cs="Arial"/>
        </w:rPr>
        <w:t>The argument is well-articulated, well</w:t>
      </w:r>
      <w:r w:rsidR="00DA69E7" w:rsidRPr="00ED4E91">
        <w:rPr>
          <w:rFonts w:ascii="Helvetica Neue" w:hAnsi="Helvetica Neue" w:cs="Arial"/>
        </w:rPr>
        <w:t>-supported</w:t>
      </w:r>
      <w:r w:rsidR="00A34DD0" w:rsidRPr="00ED4E91">
        <w:rPr>
          <w:rFonts w:ascii="Helvetica Neue" w:hAnsi="Helvetica Neue" w:cs="Arial"/>
        </w:rPr>
        <w:t>, accessible to many audiences</w:t>
      </w:r>
      <w:r w:rsidR="004B0CEA" w:rsidRPr="00ED4E91">
        <w:rPr>
          <w:rFonts w:ascii="Helvetica Neue" w:hAnsi="Helvetica Neue" w:cs="Arial"/>
        </w:rPr>
        <w:t xml:space="preserve">. </w:t>
      </w:r>
      <w:r w:rsidR="00E85094" w:rsidRPr="00ED4E91">
        <w:rPr>
          <w:rFonts w:ascii="Helvetica Neue" w:hAnsi="Helvetica Neue" w:cs="Arial"/>
        </w:rPr>
        <w:t>However,</w:t>
      </w:r>
      <w:r w:rsidR="004B0CEA" w:rsidRPr="00ED4E91">
        <w:rPr>
          <w:rFonts w:ascii="Helvetica Neue" w:hAnsi="Helvetica Neue" w:cs="Arial"/>
        </w:rPr>
        <w:t xml:space="preserve"> it is not without fault, Ingold attributes human qualities to things in his work </w:t>
      </w:r>
      <w:r w:rsidR="001E2EAD" w:rsidRPr="00ED4E91">
        <w:rPr>
          <w:rFonts w:ascii="Helvetica Neue" w:hAnsi="Helvetica Neue" w:cs="Arial"/>
        </w:rPr>
        <w:t>in a manner that seems to border on anthropomorphise them</w:t>
      </w:r>
      <w:r w:rsidR="00B9445F" w:rsidRPr="00ED4E91">
        <w:rPr>
          <w:rFonts w:ascii="Helvetica Neue" w:hAnsi="Helvetica Neue" w:cs="Arial"/>
        </w:rPr>
        <w:t>; “things are alive</w:t>
      </w:r>
      <w:r w:rsidR="0030556A" w:rsidRPr="00ED4E91">
        <w:rPr>
          <w:rFonts w:ascii="Helvetica Neue" w:hAnsi="Helvetica Neue" w:cs="Arial"/>
        </w:rPr>
        <w:t>”</w:t>
      </w:r>
      <w:r w:rsidR="001E2EAD" w:rsidRPr="00ED4E91">
        <w:rPr>
          <w:rFonts w:ascii="Helvetica Neue" w:hAnsi="Helvetica Neue" w:cs="Arial"/>
        </w:rPr>
        <w:t>.</w:t>
      </w:r>
      <w:r w:rsidR="0030556A" w:rsidRPr="00ED4E91">
        <w:rPr>
          <w:rStyle w:val="FootnoteReference"/>
          <w:rFonts w:ascii="Helvetica Neue" w:hAnsi="Helvetica Neue" w:cs="Arial"/>
        </w:rPr>
        <w:footnoteReference w:id="13"/>
      </w:r>
      <w:r w:rsidR="001E2EAD" w:rsidRPr="00ED4E91">
        <w:rPr>
          <w:rFonts w:ascii="Helvetica Neue" w:hAnsi="Helvetica Neue" w:cs="Arial"/>
        </w:rPr>
        <w:t xml:space="preserve"> </w:t>
      </w:r>
      <w:r w:rsidR="00E85094" w:rsidRPr="00ED4E91">
        <w:rPr>
          <w:rFonts w:ascii="Helvetica Neue" w:hAnsi="Helvetica Neue" w:cs="Arial"/>
        </w:rPr>
        <w:t xml:space="preserve">I think it is important to </w:t>
      </w:r>
      <w:r w:rsidR="00C06B7F" w:rsidRPr="00ED4E91">
        <w:rPr>
          <w:rFonts w:ascii="Helvetica Neue" w:hAnsi="Helvetica Neue" w:cs="Arial"/>
        </w:rPr>
        <w:t xml:space="preserve">recognize the </w:t>
      </w:r>
      <w:r w:rsidR="0023281D" w:rsidRPr="00ED4E91">
        <w:rPr>
          <w:rFonts w:ascii="Helvetica Neue" w:hAnsi="Helvetica Neue" w:cs="Arial"/>
        </w:rPr>
        <w:t xml:space="preserve">equal participation and agential capabilities </w:t>
      </w:r>
      <w:r w:rsidR="00486DC2" w:rsidRPr="00ED4E91">
        <w:rPr>
          <w:rFonts w:ascii="Helvetica Neue" w:hAnsi="Helvetica Neue" w:cs="Arial"/>
        </w:rPr>
        <w:t xml:space="preserve">but still decenter people. Instead of </w:t>
      </w:r>
      <w:r w:rsidR="003B55C8" w:rsidRPr="00ED4E91">
        <w:rPr>
          <w:rFonts w:ascii="Helvetica Neue" w:hAnsi="Helvetica Neue" w:cs="Arial"/>
        </w:rPr>
        <w:t>giving things human qualities to indicate they have agency, their agency should be understood as extant to</w:t>
      </w:r>
      <w:r w:rsidR="00AF1813" w:rsidRPr="00ED4E91">
        <w:rPr>
          <w:rFonts w:ascii="Helvetica Neue" w:hAnsi="Helvetica Neue" w:cs="Arial"/>
        </w:rPr>
        <w:t xml:space="preserve"> human agency. </w:t>
      </w:r>
      <w:r w:rsidR="006E2EC5" w:rsidRPr="00ED4E91">
        <w:rPr>
          <w:rFonts w:ascii="Helvetica Neue" w:hAnsi="Helvetica Neue" w:cs="Arial"/>
        </w:rPr>
        <w:t>This does not take away from the overall thesis or credibility of the article</w:t>
      </w:r>
      <w:r w:rsidR="00685251" w:rsidRPr="00ED4E91">
        <w:rPr>
          <w:rFonts w:ascii="Helvetica Neue" w:hAnsi="Helvetica Neue" w:cs="Arial"/>
        </w:rPr>
        <w:t xml:space="preserve">, as Ingold defines life </w:t>
      </w:r>
      <w:r w:rsidR="0088686F" w:rsidRPr="00ED4E91">
        <w:rPr>
          <w:rFonts w:ascii="Helvetica Neue" w:hAnsi="Helvetica Neue" w:cs="Arial"/>
        </w:rPr>
        <w:t>as “</w:t>
      </w:r>
      <w:r w:rsidR="008A4429" w:rsidRPr="00ED4E91">
        <w:rPr>
          <w:rFonts w:ascii="Helvetica Neue" w:hAnsi="Helvetica Neue" w:cs="Arial"/>
          <w:lang w:val="en-US"/>
        </w:rPr>
        <w:t>the</w:t>
      </w:r>
    </w:p>
    <w:p w14:paraId="6F46CE3E" w14:textId="2801AAE2" w:rsidR="008A4429" w:rsidRPr="008A4429" w:rsidRDefault="008A4429" w:rsidP="00ED4E91">
      <w:pPr>
        <w:spacing w:line="480" w:lineRule="auto"/>
        <w:rPr>
          <w:rFonts w:ascii="Helvetica Neue" w:hAnsi="Helvetica Neue" w:cs="Arial"/>
          <w:lang w:val="en-US"/>
        </w:rPr>
      </w:pPr>
      <w:r w:rsidRPr="008A4429">
        <w:rPr>
          <w:rFonts w:ascii="Helvetica Neue" w:hAnsi="Helvetica Neue" w:cs="Arial"/>
          <w:lang w:val="en-US"/>
        </w:rPr>
        <w:t>generative capacity of that encompassing field of relations within which forms</w:t>
      </w:r>
    </w:p>
    <w:p w14:paraId="693092C0" w14:textId="60B3B999" w:rsidR="009F6C56" w:rsidRPr="00ED4E91" w:rsidRDefault="008A4429" w:rsidP="00ED4E91">
      <w:pPr>
        <w:spacing w:line="480" w:lineRule="auto"/>
        <w:rPr>
          <w:rFonts w:ascii="Helvetica Neue" w:hAnsi="Helvetica Neue" w:cs="Arial"/>
          <w:lang w:val="en-US"/>
        </w:rPr>
      </w:pPr>
      <w:r w:rsidRPr="00ED4E91">
        <w:rPr>
          <w:rFonts w:ascii="Helvetica Neue" w:hAnsi="Helvetica Neue" w:cs="Arial"/>
          <w:lang w:val="en-US"/>
        </w:rPr>
        <w:t xml:space="preserve">arise and are held in place,” but it is </w:t>
      </w:r>
      <w:r w:rsidR="00AB52FD" w:rsidRPr="00ED4E91">
        <w:rPr>
          <w:rFonts w:ascii="Helvetica Neue" w:hAnsi="Helvetica Neue" w:cs="Arial"/>
          <w:lang w:val="en-US"/>
        </w:rPr>
        <w:t>difficult to uncouple th</w:t>
      </w:r>
      <w:r w:rsidR="00CF38C3" w:rsidRPr="00ED4E91">
        <w:rPr>
          <w:rFonts w:ascii="Helvetica Neue" w:hAnsi="Helvetica Neue" w:cs="Arial"/>
          <w:lang w:val="en-US"/>
        </w:rPr>
        <w:t xml:space="preserve">e word from its </w:t>
      </w:r>
      <w:r w:rsidR="009D6109" w:rsidRPr="00ED4E91">
        <w:rPr>
          <w:rFonts w:ascii="Helvetica Neue" w:hAnsi="Helvetica Neue" w:cs="Arial"/>
          <w:lang w:val="en-US"/>
        </w:rPr>
        <w:t>anthropocentric connotations.</w:t>
      </w:r>
      <w:r w:rsidR="000F358C" w:rsidRPr="00ED4E91">
        <w:rPr>
          <w:rStyle w:val="FootnoteReference"/>
          <w:rFonts w:ascii="Helvetica Neue" w:hAnsi="Helvetica Neue" w:cs="Arial"/>
          <w:lang w:val="en-US"/>
        </w:rPr>
        <w:footnoteReference w:id="14"/>
      </w:r>
      <w:r w:rsidR="00781C3E" w:rsidRPr="00ED4E91">
        <w:rPr>
          <w:rFonts w:ascii="Helvetica Neue" w:hAnsi="Helvetica Neue" w:cs="Arial"/>
          <w:lang w:val="en-US"/>
        </w:rPr>
        <w:t xml:space="preserve"> </w:t>
      </w:r>
      <w:r w:rsidR="00183281" w:rsidRPr="00ED4E91">
        <w:rPr>
          <w:rFonts w:ascii="Helvetica Neue" w:hAnsi="Helvetica Neue" w:cs="Arial"/>
          <w:lang w:val="en-US"/>
        </w:rPr>
        <w:t xml:space="preserve">Ingold also does a very effective job at keeping readers interested, likely in part due to the </w:t>
      </w:r>
      <w:r w:rsidR="00C37EA1" w:rsidRPr="00ED4E91">
        <w:rPr>
          <w:rFonts w:ascii="Helvetica Neue" w:hAnsi="Helvetica Neue" w:cs="Arial"/>
          <w:lang w:val="en-US"/>
        </w:rPr>
        <w:t>story-like anecdotes and imaginative exercises integrated throughout his work.</w:t>
      </w:r>
      <w:r w:rsidR="00C37EA1" w:rsidRPr="00ED4E91">
        <w:rPr>
          <w:rStyle w:val="FootnoteReference"/>
          <w:rFonts w:ascii="Helvetica Neue" w:hAnsi="Helvetica Neue" w:cs="Arial"/>
          <w:lang w:val="en-US"/>
        </w:rPr>
        <w:footnoteReference w:id="15"/>
      </w:r>
      <w:r w:rsidR="00C37EA1" w:rsidRPr="00ED4E91">
        <w:rPr>
          <w:rFonts w:ascii="Helvetica Neue" w:hAnsi="Helvetica Neue" w:cs="Arial"/>
          <w:lang w:val="en-US"/>
        </w:rPr>
        <w:t xml:space="preserve"> </w:t>
      </w:r>
      <w:r w:rsidR="002C1257" w:rsidRPr="00ED4E91">
        <w:rPr>
          <w:rFonts w:ascii="Helvetica Neue" w:hAnsi="Helvetica Neue" w:cs="Arial"/>
          <w:lang w:val="en-US"/>
        </w:rPr>
        <w:t xml:space="preserve">Although he writes for university or scholarly level readers, his writing is accessible to beginners and is </w:t>
      </w:r>
      <w:r w:rsidR="00F9099B" w:rsidRPr="00ED4E91">
        <w:rPr>
          <w:rFonts w:ascii="Helvetica Neue" w:hAnsi="Helvetica Neue" w:cs="Arial"/>
          <w:lang w:val="en-US"/>
        </w:rPr>
        <w:t xml:space="preserve">meaningful as an introduction into the broader literature of the subject and for knowledgeable readers who </w:t>
      </w:r>
      <w:r w:rsidR="00EF5412" w:rsidRPr="00ED4E91">
        <w:rPr>
          <w:rFonts w:ascii="Helvetica Neue" w:hAnsi="Helvetica Neue" w:cs="Arial"/>
          <w:lang w:val="en-US"/>
        </w:rPr>
        <w:t xml:space="preserve">wish to avoid the monotonous, jargon-filled literature commonly found in academic literature. </w:t>
      </w:r>
    </w:p>
    <w:p w14:paraId="377214CB" w14:textId="5B16B2F1" w:rsidR="00207822" w:rsidRPr="00ED4E91" w:rsidRDefault="00781C3E" w:rsidP="00ED4E91">
      <w:pPr>
        <w:spacing w:line="480" w:lineRule="auto"/>
        <w:rPr>
          <w:rFonts w:ascii="Helvetica Neue" w:hAnsi="Helvetica Neue" w:cs="Arial"/>
          <w:lang w:val="en-US"/>
        </w:rPr>
      </w:pPr>
      <w:r w:rsidRPr="00ED4E91">
        <w:rPr>
          <w:rFonts w:ascii="Helvetica Neue" w:hAnsi="Helvetica Neue" w:cs="Arial"/>
          <w:lang w:val="en-US"/>
        </w:rPr>
        <w:lastRenderedPageBreak/>
        <w:tab/>
        <w:t xml:space="preserve">I believe Ingold’s </w:t>
      </w:r>
      <w:r w:rsidR="00CA57CD" w:rsidRPr="00ED4E91">
        <w:rPr>
          <w:rFonts w:ascii="Helvetica Neue" w:hAnsi="Helvetica Neue" w:cs="Arial"/>
          <w:i/>
          <w:iCs/>
          <w:lang w:val="en-US"/>
        </w:rPr>
        <w:t>Bringing Things to Life</w:t>
      </w:r>
      <w:r w:rsidR="005E5A44" w:rsidRPr="00ED4E91">
        <w:rPr>
          <w:rFonts w:ascii="Helvetica Neue" w:hAnsi="Helvetica Neue" w:cs="Arial"/>
          <w:lang w:val="en-US"/>
        </w:rPr>
        <w:t xml:space="preserve"> does a successful job at proving its thesis and convincing its readers while </w:t>
      </w:r>
      <w:r w:rsidR="00EF5412" w:rsidRPr="00ED4E91">
        <w:rPr>
          <w:rFonts w:ascii="Helvetica Neue" w:hAnsi="Helvetica Neue" w:cs="Arial"/>
          <w:lang w:val="en-US"/>
        </w:rPr>
        <w:t xml:space="preserve">retaining interest in his work. </w:t>
      </w:r>
      <w:r w:rsidR="009364A8" w:rsidRPr="00ED4E91">
        <w:rPr>
          <w:rFonts w:ascii="Helvetica Neue" w:hAnsi="Helvetica Neue" w:cs="Arial"/>
          <w:lang w:val="en-US"/>
        </w:rPr>
        <w:t xml:space="preserve">His argument is sound, well-supported, </w:t>
      </w:r>
      <w:r w:rsidR="00B22B7B" w:rsidRPr="00ED4E91">
        <w:rPr>
          <w:rFonts w:ascii="Helvetica Neue" w:hAnsi="Helvetica Neue" w:cs="Arial"/>
          <w:lang w:val="en-US"/>
        </w:rPr>
        <w:t xml:space="preserve">and it integrates other scholars and builds upon them effectively. </w:t>
      </w:r>
      <w:r w:rsidR="00AF687B" w:rsidRPr="00ED4E91">
        <w:rPr>
          <w:rFonts w:ascii="Helvetica Neue" w:hAnsi="Helvetica Neue" w:cs="Arial"/>
          <w:lang w:val="en-US"/>
        </w:rPr>
        <w:t xml:space="preserve">This article provides a good introduction to some of the most notable figures </w:t>
      </w:r>
      <w:r w:rsidR="00A06D9B" w:rsidRPr="00ED4E91">
        <w:rPr>
          <w:rFonts w:ascii="Helvetica Neue" w:hAnsi="Helvetica Neue" w:cs="Arial"/>
          <w:lang w:val="en-US"/>
        </w:rPr>
        <w:t xml:space="preserve">and to Ingold’s other works; and it fits in with his other works as </w:t>
      </w:r>
      <w:r w:rsidR="00655ECE" w:rsidRPr="00ED4E91">
        <w:rPr>
          <w:rFonts w:ascii="Helvetica Neue" w:hAnsi="Helvetica Neue" w:cs="Arial"/>
          <w:lang w:val="en-US"/>
        </w:rPr>
        <w:t>well,</w:t>
      </w:r>
      <w:r w:rsidR="00A06D9B" w:rsidRPr="00ED4E91">
        <w:rPr>
          <w:rFonts w:ascii="Helvetica Neue" w:hAnsi="Helvetica Neue" w:cs="Arial"/>
          <w:lang w:val="en-US"/>
        </w:rPr>
        <w:t xml:space="preserve"> so readers </w:t>
      </w:r>
      <w:r w:rsidR="00032655" w:rsidRPr="00ED4E91">
        <w:rPr>
          <w:rFonts w:ascii="Helvetica Neue" w:hAnsi="Helvetica Neue" w:cs="Arial"/>
          <w:lang w:val="en-US"/>
        </w:rPr>
        <w:t xml:space="preserve">do not receive a completely different reading </w:t>
      </w:r>
      <w:r w:rsidR="00655ECE" w:rsidRPr="00ED4E91">
        <w:rPr>
          <w:rFonts w:ascii="Helvetica Neue" w:hAnsi="Helvetica Neue" w:cs="Arial"/>
          <w:lang w:val="en-US"/>
        </w:rPr>
        <w:t>experience</w:t>
      </w:r>
      <w:r w:rsidR="00032655" w:rsidRPr="00ED4E91">
        <w:rPr>
          <w:rFonts w:ascii="Helvetica Neue" w:hAnsi="Helvetica Neue" w:cs="Arial"/>
          <w:lang w:val="en-US"/>
        </w:rPr>
        <w:t xml:space="preserve"> based on </w:t>
      </w:r>
      <w:r w:rsidR="00655ECE" w:rsidRPr="00ED4E91">
        <w:rPr>
          <w:rFonts w:ascii="Helvetica Neue" w:hAnsi="Helvetica Neue" w:cs="Arial"/>
          <w:lang w:val="en-US"/>
        </w:rPr>
        <w:t xml:space="preserve">the subject. </w:t>
      </w:r>
      <w:r w:rsidR="003629BD" w:rsidRPr="00ED4E91">
        <w:rPr>
          <w:rFonts w:ascii="Helvetica Neue" w:hAnsi="Helvetica Neue" w:cs="Arial"/>
          <w:lang w:val="en-US"/>
        </w:rPr>
        <w:t>I found the storytelling to be a quite effective approach to readers and</w:t>
      </w:r>
      <w:r w:rsidR="003E4DE1" w:rsidRPr="00ED4E91">
        <w:rPr>
          <w:rFonts w:ascii="Helvetica Neue" w:hAnsi="Helvetica Neue" w:cs="Arial"/>
          <w:lang w:val="en-US"/>
        </w:rPr>
        <w:t xml:space="preserve"> engaging their minds in ways other authors do not</w:t>
      </w:r>
      <w:r w:rsidR="00207822" w:rsidRPr="00ED4E91">
        <w:rPr>
          <w:rFonts w:ascii="Helvetica Neue" w:hAnsi="Helvetica Neue" w:cs="Arial"/>
          <w:lang w:val="en-US"/>
        </w:rPr>
        <w:t xml:space="preserve">. </w:t>
      </w:r>
    </w:p>
    <w:p w14:paraId="145506D2" w14:textId="77777777" w:rsidR="00207822" w:rsidRPr="00ED4E91" w:rsidRDefault="00207822" w:rsidP="00ED4E91">
      <w:pPr>
        <w:spacing w:line="480" w:lineRule="auto"/>
        <w:rPr>
          <w:rFonts w:ascii="Helvetica Neue" w:hAnsi="Helvetica Neue" w:cs="Arial"/>
          <w:lang w:val="en-US"/>
        </w:rPr>
      </w:pPr>
      <w:r w:rsidRPr="00ED4E91">
        <w:rPr>
          <w:rFonts w:ascii="Helvetica Neue" w:hAnsi="Helvetica Neue" w:cs="Arial"/>
          <w:lang w:val="en-US"/>
        </w:rPr>
        <w:br w:type="page"/>
      </w:r>
    </w:p>
    <w:p w14:paraId="484F1105" w14:textId="77777777" w:rsidR="00207822" w:rsidRPr="00ED4E91" w:rsidRDefault="00207822" w:rsidP="00ED4E91">
      <w:pPr>
        <w:spacing w:line="480" w:lineRule="auto"/>
        <w:rPr>
          <w:rFonts w:ascii="Helvetica Neue" w:hAnsi="Helvetica Neue" w:cs="Arial"/>
          <w:u w:val="single"/>
          <w:lang w:val="en-US"/>
        </w:rPr>
      </w:pPr>
      <w:r w:rsidRPr="00ED4E91">
        <w:rPr>
          <w:rFonts w:ascii="Helvetica Neue" w:hAnsi="Helvetica Neue" w:cs="Arial"/>
          <w:u w:val="single"/>
          <w:lang w:val="en-US"/>
        </w:rPr>
        <w:lastRenderedPageBreak/>
        <w:t>Bibliography</w:t>
      </w:r>
    </w:p>
    <w:p w14:paraId="42E17FFE" w14:textId="215F7D31" w:rsidR="00781C3E" w:rsidRDefault="00933FEB" w:rsidP="00E740F2">
      <w:pPr>
        <w:ind w:left="720" w:hanging="720"/>
        <w:rPr>
          <w:rFonts w:ascii="Helvetica Neue" w:hAnsi="Helvetica Neue" w:cs="Arial"/>
        </w:rPr>
      </w:pPr>
      <w:r w:rsidRPr="00ED4E91">
        <w:rPr>
          <w:rFonts w:ascii="Helvetica Neue" w:hAnsi="Helvetica Neue" w:cs="Arial"/>
        </w:rPr>
        <w:t xml:space="preserve">Barad, Karen. “Quantum Entanglements and Hauntological Relations of Inheritance: Dis/Continuities, Spacetime Enfoldings, and Justice-to-Come.” </w:t>
      </w:r>
      <w:r w:rsidRPr="00ED4E91">
        <w:rPr>
          <w:rFonts w:ascii="Helvetica Neue" w:hAnsi="Helvetica Neue" w:cs="Arial"/>
          <w:i/>
          <w:iCs/>
        </w:rPr>
        <w:t>Derrida Today</w:t>
      </w:r>
      <w:r w:rsidRPr="00ED4E91">
        <w:rPr>
          <w:rFonts w:ascii="Helvetica Neue" w:hAnsi="Helvetica Neue" w:cs="Arial"/>
        </w:rPr>
        <w:t xml:space="preserve"> 3, no. 2 (2010): 240–68. </w:t>
      </w:r>
      <w:hyperlink r:id="rId7" w:history="1">
        <w:r w:rsidRPr="00ED4E91">
          <w:rPr>
            <w:rStyle w:val="Hyperlink"/>
            <w:rFonts w:ascii="Helvetica Neue" w:hAnsi="Helvetica Neue" w:cs="Arial"/>
          </w:rPr>
          <w:t>https://doi.org/10.3366/drt.2010.0206</w:t>
        </w:r>
      </w:hyperlink>
      <w:r w:rsidRPr="00ED4E91">
        <w:rPr>
          <w:rFonts w:ascii="Helvetica Neue" w:hAnsi="Helvetica Neue" w:cs="Arial"/>
        </w:rPr>
        <w:t xml:space="preserve">. </w:t>
      </w:r>
    </w:p>
    <w:p w14:paraId="61E9E65B" w14:textId="77777777" w:rsidR="00E740F2" w:rsidRPr="00ED4E91" w:rsidRDefault="00E740F2" w:rsidP="00E740F2">
      <w:pPr>
        <w:ind w:left="720" w:hanging="720"/>
        <w:rPr>
          <w:rFonts w:ascii="Helvetica Neue" w:hAnsi="Helvetica Neue" w:cs="Arial"/>
        </w:rPr>
      </w:pPr>
    </w:p>
    <w:p w14:paraId="000E8C1A" w14:textId="77777777" w:rsidR="00ED4E91" w:rsidRDefault="00ED4E91" w:rsidP="00E740F2">
      <w:pPr>
        <w:ind w:left="720" w:hanging="720"/>
        <w:rPr>
          <w:rFonts w:ascii="Helvetica Neue" w:hAnsi="Helvetica Neue"/>
        </w:rPr>
      </w:pPr>
      <w:r w:rsidRPr="00ED4E91">
        <w:rPr>
          <w:rFonts w:ascii="Helvetica Neue" w:hAnsi="Helvetica Neue"/>
        </w:rPr>
        <w:t xml:space="preserve">Ingold, Tim. “Bringing Things to Life: Creative Entanglements in a World of Materials,” </w:t>
      </w:r>
      <w:r w:rsidRPr="00ED4E91">
        <w:rPr>
          <w:rFonts w:ascii="Helvetica Neue" w:hAnsi="Helvetica Neue"/>
          <w:i/>
          <w:iCs/>
        </w:rPr>
        <w:t>ESRC National Centre for Research Methods</w:t>
      </w:r>
      <w:r w:rsidRPr="00ED4E91">
        <w:rPr>
          <w:rFonts w:ascii="Helvetica Neue" w:hAnsi="Helvetica Neue"/>
        </w:rPr>
        <w:t>, (2010): 1-15.</w:t>
      </w:r>
    </w:p>
    <w:p w14:paraId="47042CCC" w14:textId="77777777" w:rsidR="00E740F2" w:rsidRPr="00ED4E91" w:rsidRDefault="00E740F2" w:rsidP="00E740F2">
      <w:pPr>
        <w:ind w:left="720" w:hanging="720"/>
        <w:rPr>
          <w:rFonts w:ascii="Helvetica Neue" w:hAnsi="Helvetica Neue"/>
        </w:rPr>
      </w:pPr>
    </w:p>
    <w:p w14:paraId="5640CFE3" w14:textId="169BA6F4" w:rsidR="0037642A" w:rsidRDefault="0037642A" w:rsidP="00E740F2">
      <w:pPr>
        <w:ind w:left="720" w:hanging="720"/>
        <w:rPr>
          <w:rFonts w:ascii="Helvetica Neue" w:hAnsi="Helvetica Neue"/>
        </w:rPr>
      </w:pPr>
      <w:r w:rsidRPr="00ED4E91">
        <w:rPr>
          <w:rFonts w:ascii="Helvetica Neue" w:hAnsi="Helvetica Neue"/>
        </w:rPr>
        <w:t xml:space="preserve">Ingold, Tim. “Materials against materiality,” </w:t>
      </w:r>
      <w:r w:rsidRPr="00ED4E91">
        <w:rPr>
          <w:rFonts w:ascii="Helvetica Neue" w:hAnsi="Helvetica Neue"/>
          <w:i/>
          <w:iCs/>
        </w:rPr>
        <w:t>Archaeological Dialogues</w:t>
      </w:r>
      <w:r w:rsidRPr="00ED4E91">
        <w:rPr>
          <w:rFonts w:ascii="Helvetica Neue" w:hAnsi="Helvetica Neue"/>
        </w:rPr>
        <w:t xml:space="preserve"> 14 no. 1, (2007), 1–16, doi:10.1017/S1380203807002127. </w:t>
      </w:r>
    </w:p>
    <w:p w14:paraId="4FC11B58" w14:textId="77777777" w:rsidR="00E740F2" w:rsidRPr="00ED4E91" w:rsidRDefault="00E740F2" w:rsidP="00E740F2">
      <w:pPr>
        <w:ind w:left="720" w:hanging="720"/>
        <w:rPr>
          <w:rFonts w:ascii="Helvetica Neue" w:hAnsi="Helvetica Neue"/>
        </w:rPr>
      </w:pPr>
    </w:p>
    <w:p w14:paraId="7179A828" w14:textId="1BB35134" w:rsidR="00AE1B61" w:rsidRPr="00ED4E91" w:rsidRDefault="0037642A" w:rsidP="00E740F2">
      <w:pPr>
        <w:ind w:left="720" w:hanging="720"/>
        <w:rPr>
          <w:rFonts w:ascii="Helvetica Neue" w:hAnsi="Helvetica Neue"/>
        </w:rPr>
      </w:pPr>
      <w:r w:rsidRPr="00ED4E91">
        <w:rPr>
          <w:rFonts w:ascii="Helvetica Neue" w:hAnsi="Helvetica Neue"/>
        </w:rPr>
        <w:t>Heidegger,</w:t>
      </w:r>
      <w:r w:rsidR="00C17E5E" w:rsidRPr="00ED4E91">
        <w:rPr>
          <w:rFonts w:ascii="Helvetica Neue" w:hAnsi="Helvetica Neue"/>
        </w:rPr>
        <w:t xml:space="preserve"> Martin.</w:t>
      </w:r>
      <w:r w:rsidRPr="00ED4E91">
        <w:rPr>
          <w:rFonts w:ascii="Helvetica Neue" w:hAnsi="Helvetica Neue"/>
        </w:rPr>
        <w:t xml:space="preserve"> </w:t>
      </w:r>
      <w:r w:rsidRPr="00ED4E91">
        <w:rPr>
          <w:rFonts w:ascii="Helvetica Neue" w:hAnsi="Helvetica Neue"/>
          <w:i/>
          <w:iCs/>
        </w:rPr>
        <w:t>The Thing</w:t>
      </w:r>
      <w:r w:rsidR="0024302E" w:rsidRPr="00ED4E91">
        <w:rPr>
          <w:rFonts w:ascii="Helvetica Neue" w:hAnsi="Helvetica Neue"/>
        </w:rPr>
        <w:t>. Translated by</w:t>
      </w:r>
      <w:r w:rsidRPr="00ED4E91">
        <w:rPr>
          <w:rFonts w:ascii="Helvetica Neue" w:hAnsi="Helvetica Neue"/>
        </w:rPr>
        <w:t xml:space="preserve"> Albert Hofstader</w:t>
      </w:r>
      <w:r w:rsidR="0024302E" w:rsidRPr="00ED4E91">
        <w:rPr>
          <w:rFonts w:ascii="Helvetica Neue" w:hAnsi="Helvetica Neue"/>
        </w:rPr>
        <w:t>.</w:t>
      </w:r>
      <w:r w:rsidRPr="00ED4E91">
        <w:rPr>
          <w:rFonts w:ascii="Helvetica Neue" w:hAnsi="Helvetica Neue"/>
        </w:rPr>
        <w:t xml:space="preserve"> </w:t>
      </w:r>
      <w:r w:rsidR="007020EE" w:rsidRPr="00ED4E91">
        <w:rPr>
          <w:rFonts w:ascii="Helvetica Neue" w:hAnsi="Helvetica Neue"/>
        </w:rPr>
        <w:t xml:space="preserve">New York: </w:t>
      </w:r>
      <w:r w:rsidRPr="00ED4E91">
        <w:rPr>
          <w:rFonts w:ascii="Helvetica Neue" w:hAnsi="Helvetica Neue"/>
        </w:rPr>
        <w:t>Harper and Row, 1971</w:t>
      </w:r>
      <w:r w:rsidR="0024302E" w:rsidRPr="00ED4E91">
        <w:rPr>
          <w:rFonts w:ascii="Helvetica Neue" w:hAnsi="Helvetica Neue"/>
        </w:rPr>
        <w:t xml:space="preserve">. </w:t>
      </w:r>
    </w:p>
    <w:sectPr w:rsidR="00AE1B61" w:rsidRPr="00ED4E9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4C2772" w14:textId="77777777" w:rsidR="004F24AA" w:rsidRDefault="004F24AA" w:rsidP="0039559F">
      <w:r>
        <w:separator/>
      </w:r>
    </w:p>
  </w:endnote>
  <w:endnote w:type="continuationSeparator" w:id="0">
    <w:p w14:paraId="48F2E741" w14:textId="77777777" w:rsidR="004F24AA" w:rsidRDefault="004F24AA" w:rsidP="003955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8D9D1B" w14:textId="77777777" w:rsidR="004F24AA" w:rsidRDefault="004F24AA" w:rsidP="0039559F">
      <w:r>
        <w:separator/>
      </w:r>
    </w:p>
  </w:footnote>
  <w:footnote w:type="continuationSeparator" w:id="0">
    <w:p w14:paraId="2ABF5ABB" w14:textId="77777777" w:rsidR="004F24AA" w:rsidRDefault="004F24AA" w:rsidP="0039559F">
      <w:r>
        <w:continuationSeparator/>
      </w:r>
    </w:p>
  </w:footnote>
  <w:footnote w:id="1">
    <w:p w14:paraId="778A71D9" w14:textId="6C24F857" w:rsidR="002969B6" w:rsidRDefault="002969B6">
      <w:pPr>
        <w:pStyle w:val="FootnoteText"/>
      </w:pPr>
      <w:r>
        <w:rPr>
          <w:rStyle w:val="FootnoteReference"/>
        </w:rPr>
        <w:footnoteRef/>
      </w:r>
      <w:r>
        <w:t xml:space="preserve"> </w:t>
      </w:r>
      <w:r w:rsidR="001729FD">
        <w:t xml:space="preserve">Tim Ingold, </w:t>
      </w:r>
      <w:r w:rsidR="00FA30E2">
        <w:t>“</w:t>
      </w:r>
      <w:r w:rsidR="00FA30E2" w:rsidRPr="00FA30E2">
        <w:t>Bringing Things to Life: Creative Entanglements in a World of Materials</w:t>
      </w:r>
      <w:r w:rsidR="00D93D3C">
        <w:t xml:space="preserve">,” </w:t>
      </w:r>
      <w:r w:rsidR="002505AE" w:rsidRPr="0090448A">
        <w:rPr>
          <w:i/>
          <w:iCs/>
        </w:rPr>
        <w:t>ESRC National Centre for Research Methods</w:t>
      </w:r>
      <w:r w:rsidR="007032A1">
        <w:t>, (</w:t>
      </w:r>
      <w:r w:rsidR="00B5083A">
        <w:t>2010): 11</w:t>
      </w:r>
      <w:r w:rsidR="0092464F">
        <w:t xml:space="preserve">. </w:t>
      </w:r>
    </w:p>
  </w:footnote>
  <w:footnote w:id="2">
    <w:p w14:paraId="45934F3E" w14:textId="54FB15D1" w:rsidR="0039559F" w:rsidRDefault="0039559F">
      <w:pPr>
        <w:pStyle w:val="FootnoteText"/>
      </w:pPr>
      <w:r>
        <w:rPr>
          <w:rStyle w:val="FootnoteReference"/>
        </w:rPr>
        <w:footnoteRef/>
      </w:r>
      <w:r>
        <w:t xml:space="preserve"> </w:t>
      </w:r>
      <w:r w:rsidR="00B654BE">
        <w:t>Ingold, “</w:t>
      </w:r>
      <w:r w:rsidR="00B654BE" w:rsidRPr="00FA30E2">
        <w:t>Bringing Things to Life: Creative Entanglements in a World of Materials</w:t>
      </w:r>
      <w:r w:rsidR="00B654BE">
        <w:t>,” 1</w:t>
      </w:r>
      <w:r w:rsidR="009B3AD8">
        <w:t>2</w:t>
      </w:r>
      <w:r w:rsidR="00B654BE">
        <w:t xml:space="preserve">. </w:t>
      </w:r>
    </w:p>
  </w:footnote>
  <w:footnote w:id="3">
    <w:p w14:paraId="2F7EE5A9" w14:textId="727442AF" w:rsidR="00CF7E80" w:rsidRDefault="005C4291" w:rsidP="00CF7E80">
      <w:pPr>
        <w:pStyle w:val="FootnoteText"/>
      </w:pPr>
      <w:r>
        <w:rPr>
          <w:rStyle w:val="FootnoteReference"/>
        </w:rPr>
        <w:footnoteRef/>
      </w:r>
      <w:r>
        <w:t xml:space="preserve"> </w:t>
      </w:r>
      <w:r w:rsidR="00CF7E80">
        <w:t>Ingold, “</w:t>
      </w:r>
      <w:r w:rsidR="00CF7E80" w:rsidRPr="00FA30E2">
        <w:t>Bringing Things to Life: Creative Entanglements in a World of Materials</w:t>
      </w:r>
      <w:r w:rsidR="00CF7E80">
        <w:t xml:space="preserve">,” 6. </w:t>
      </w:r>
    </w:p>
    <w:p w14:paraId="7153FE6C" w14:textId="323D49EE" w:rsidR="005C4291" w:rsidRDefault="005C4291">
      <w:pPr>
        <w:pStyle w:val="FootnoteText"/>
      </w:pPr>
    </w:p>
  </w:footnote>
  <w:footnote w:id="4">
    <w:p w14:paraId="11B678AD" w14:textId="36DD695F" w:rsidR="00D510C2" w:rsidRPr="005728DA" w:rsidRDefault="00D510C2">
      <w:pPr>
        <w:pStyle w:val="FootnoteText"/>
      </w:pPr>
      <w:r>
        <w:rPr>
          <w:rStyle w:val="FootnoteReference"/>
        </w:rPr>
        <w:footnoteRef/>
      </w:r>
      <w:r>
        <w:t xml:space="preserve"> </w:t>
      </w:r>
      <w:r w:rsidR="00A42336">
        <w:t xml:space="preserve">Martin Heidegger, </w:t>
      </w:r>
      <w:r w:rsidR="005728DA">
        <w:rPr>
          <w:i/>
          <w:iCs/>
        </w:rPr>
        <w:t>The Thing</w:t>
      </w:r>
      <w:r w:rsidR="005728DA">
        <w:t xml:space="preserve">, trans. </w:t>
      </w:r>
      <w:r w:rsidR="00621B24">
        <w:t>Albert Hofstader (</w:t>
      </w:r>
      <w:r w:rsidR="000A0B43">
        <w:t>Harper and Row</w:t>
      </w:r>
      <w:r w:rsidR="00ED6AEA">
        <w:t xml:space="preserve">, 1971), </w:t>
      </w:r>
      <w:r w:rsidR="002F46AD">
        <w:t xml:space="preserve">163-184. </w:t>
      </w:r>
    </w:p>
  </w:footnote>
  <w:footnote w:id="5">
    <w:p w14:paraId="39B65E2C" w14:textId="7755ACD4" w:rsidR="00294E80" w:rsidRDefault="00294E80" w:rsidP="00294E80">
      <w:pPr>
        <w:pStyle w:val="FootnoteText"/>
      </w:pPr>
      <w:r>
        <w:rPr>
          <w:rStyle w:val="FootnoteReference"/>
        </w:rPr>
        <w:footnoteRef/>
      </w:r>
      <w:r w:rsidR="00145D04">
        <w:t xml:space="preserve"> Ingold, “</w:t>
      </w:r>
      <w:r w:rsidR="00145D04" w:rsidRPr="00FA30E2">
        <w:t>Bringing Things to Life: Creative Entanglements in a World of Materials</w:t>
      </w:r>
      <w:r w:rsidR="00145D04">
        <w:t xml:space="preserve">,” 8. </w:t>
      </w:r>
    </w:p>
  </w:footnote>
  <w:footnote w:id="6">
    <w:p w14:paraId="3F3601D6" w14:textId="7973E3EF" w:rsidR="00F01D80" w:rsidRDefault="00F01D80">
      <w:pPr>
        <w:pStyle w:val="FootnoteText"/>
      </w:pPr>
      <w:r>
        <w:rPr>
          <w:rStyle w:val="FootnoteReference"/>
        </w:rPr>
        <w:footnoteRef/>
      </w:r>
      <w:r w:rsidR="00FB67F6">
        <w:t xml:space="preserve">Karen </w:t>
      </w:r>
      <w:r w:rsidR="00FB67F6" w:rsidRPr="00FB67F6">
        <w:t xml:space="preserve">Barad, “Quantum Entanglements and Hauntological Relations of Inheritance: Dis/Continuities, Spacetime Enfoldings, and Justice-to-Come.” </w:t>
      </w:r>
      <w:r w:rsidR="00FB67F6" w:rsidRPr="00FB67F6">
        <w:rPr>
          <w:i/>
          <w:iCs/>
        </w:rPr>
        <w:t>Derrida Today</w:t>
      </w:r>
      <w:r w:rsidR="00FB67F6" w:rsidRPr="00FB67F6">
        <w:t xml:space="preserve"> 3, no. 2 (November 2010): </w:t>
      </w:r>
      <w:r w:rsidR="00AA32C6">
        <w:t>261</w:t>
      </w:r>
      <w:r w:rsidR="00FB67F6" w:rsidRPr="00FB67F6">
        <w:t xml:space="preserve">. </w:t>
      </w:r>
      <w:hyperlink r:id="rId1" w:history="1">
        <w:r w:rsidR="00AA32C6" w:rsidRPr="000D14D4">
          <w:rPr>
            <w:rStyle w:val="Hyperlink"/>
          </w:rPr>
          <w:t>https://doi.org/10.3366/drt.2010.0206</w:t>
        </w:r>
      </w:hyperlink>
      <w:r w:rsidR="00FB67F6" w:rsidRPr="00FB67F6">
        <w:t>.</w:t>
      </w:r>
      <w:r w:rsidR="00AA32C6">
        <w:t xml:space="preserve"> </w:t>
      </w:r>
    </w:p>
  </w:footnote>
  <w:footnote w:id="7">
    <w:p w14:paraId="231EB57A" w14:textId="1765CFFB" w:rsidR="00F01D80" w:rsidRDefault="00F01D80">
      <w:pPr>
        <w:pStyle w:val="FootnoteText"/>
      </w:pPr>
      <w:r>
        <w:rPr>
          <w:rStyle w:val="FootnoteReference"/>
        </w:rPr>
        <w:footnoteRef/>
      </w:r>
      <w:r>
        <w:t xml:space="preserve"> </w:t>
      </w:r>
      <w:r w:rsidR="00593CAB">
        <w:t>Ingold, “</w:t>
      </w:r>
      <w:r w:rsidR="00593CAB" w:rsidRPr="00FA30E2">
        <w:t>Bringing Things to Life: Creative Entanglements in a World of Materials</w:t>
      </w:r>
      <w:r w:rsidR="00593CAB">
        <w:t xml:space="preserve">,” 11. </w:t>
      </w:r>
    </w:p>
  </w:footnote>
  <w:footnote w:id="8">
    <w:p w14:paraId="4EF06D69" w14:textId="37DFFFB6" w:rsidR="00310B43" w:rsidRDefault="00310B43">
      <w:pPr>
        <w:pStyle w:val="FootnoteText"/>
      </w:pPr>
      <w:r>
        <w:rPr>
          <w:rStyle w:val="FootnoteReference"/>
        </w:rPr>
        <w:footnoteRef/>
      </w:r>
      <w:r>
        <w:t xml:space="preserve"> </w:t>
      </w:r>
      <w:r w:rsidR="00593CAB">
        <w:t>Ingold, “</w:t>
      </w:r>
      <w:r w:rsidR="00593CAB" w:rsidRPr="00FA30E2">
        <w:t>Bringing Things to Life: Creative Entanglements in a World of Materials</w:t>
      </w:r>
      <w:r w:rsidR="00593CAB">
        <w:t xml:space="preserve">,” 8, 10. </w:t>
      </w:r>
    </w:p>
  </w:footnote>
  <w:footnote w:id="9">
    <w:p w14:paraId="6ACB96A8" w14:textId="6B851A27" w:rsidR="006B104D" w:rsidRDefault="006B104D">
      <w:pPr>
        <w:pStyle w:val="FootnoteText"/>
      </w:pPr>
      <w:r>
        <w:rPr>
          <w:rStyle w:val="FootnoteReference"/>
        </w:rPr>
        <w:footnoteRef/>
      </w:r>
      <w:r w:rsidR="00593CAB">
        <w:t xml:space="preserve"> Ingold, “</w:t>
      </w:r>
      <w:r w:rsidR="00593CAB" w:rsidRPr="00FA30E2">
        <w:t>Bringing Things to Life: Creative Entanglements in a World of Materials</w:t>
      </w:r>
      <w:r w:rsidR="00593CAB">
        <w:t xml:space="preserve">,” 7. </w:t>
      </w:r>
    </w:p>
  </w:footnote>
  <w:footnote w:id="10">
    <w:p w14:paraId="615635EA" w14:textId="6DFC8E2F" w:rsidR="008775B8" w:rsidRDefault="008775B8">
      <w:pPr>
        <w:pStyle w:val="FootnoteText"/>
      </w:pPr>
      <w:r>
        <w:rPr>
          <w:rStyle w:val="FootnoteReference"/>
        </w:rPr>
        <w:footnoteRef/>
      </w:r>
      <w:r>
        <w:t xml:space="preserve"> </w:t>
      </w:r>
      <w:r w:rsidR="00593CAB">
        <w:t>Ingold, “</w:t>
      </w:r>
      <w:r w:rsidR="00593CAB" w:rsidRPr="00FA30E2">
        <w:t>Bringing Things to Life: Creative Entanglements in a World of Materials</w:t>
      </w:r>
      <w:r w:rsidR="00593CAB">
        <w:t xml:space="preserve">,” 3. </w:t>
      </w:r>
    </w:p>
  </w:footnote>
  <w:footnote w:id="11">
    <w:p w14:paraId="19DA0DD3" w14:textId="524F562C" w:rsidR="004F35FD" w:rsidRDefault="004F35FD">
      <w:pPr>
        <w:pStyle w:val="FootnoteText"/>
      </w:pPr>
      <w:r>
        <w:rPr>
          <w:rStyle w:val="FootnoteReference"/>
        </w:rPr>
        <w:footnoteRef/>
      </w:r>
      <w:r>
        <w:t xml:space="preserve"> </w:t>
      </w:r>
      <w:r w:rsidR="000A5874">
        <w:t>Ingold, “</w:t>
      </w:r>
      <w:r w:rsidR="000A5874" w:rsidRPr="00FA30E2">
        <w:t>Bringing Things to Life: Creative Entanglements in a World of Materials</w:t>
      </w:r>
      <w:r w:rsidR="000A5874">
        <w:t xml:space="preserve">,” </w:t>
      </w:r>
      <w:r w:rsidR="00297DBB">
        <w:t xml:space="preserve">4. </w:t>
      </w:r>
    </w:p>
  </w:footnote>
  <w:footnote w:id="12">
    <w:p w14:paraId="403E5EBA" w14:textId="741EE052" w:rsidR="00A83F39" w:rsidRDefault="00A83F39">
      <w:pPr>
        <w:pStyle w:val="FootnoteText"/>
      </w:pPr>
      <w:r>
        <w:rPr>
          <w:rStyle w:val="FootnoteReference"/>
        </w:rPr>
        <w:footnoteRef/>
      </w:r>
      <w:r>
        <w:t xml:space="preserve"> </w:t>
      </w:r>
      <w:r w:rsidR="00C66204">
        <w:t>Ingold, “</w:t>
      </w:r>
      <w:r w:rsidR="00C66204" w:rsidRPr="00FA30E2">
        <w:t>Bringing Things to Life: Creative Entanglements in a World of Materials</w:t>
      </w:r>
      <w:r w:rsidR="00C66204">
        <w:t xml:space="preserve">,” 4, </w:t>
      </w:r>
      <w:r w:rsidR="00293691">
        <w:t>12</w:t>
      </w:r>
      <w:r w:rsidR="00C66204">
        <w:t>.</w:t>
      </w:r>
    </w:p>
  </w:footnote>
  <w:footnote w:id="13">
    <w:p w14:paraId="50235164" w14:textId="6551E41F" w:rsidR="0030556A" w:rsidRDefault="0030556A">
      <w:pPr>
        <w:pStyle w:val="FootnoteText"/>
      </w:pPr>
      <w:r>
        <w:rPr>
          <w:rStyle w:val="FootnoteReference"/>
        </w:rPr>
        <w:footnoteRef/>
      </w:r>
      <w:r>
        <w:t xml:space="preserve"> </w:t>
      </w:r>
      <w:r w:rsidR="00CA57CD">
        <w:t>Ingold, “</w:t>
      </w:r>
      <w:r w:rsidR="00CA57CD" w:rsidRPr="00FA30E2">
        <w:t>Bringing Things to Life: Creative Entanglements in a World of Materials</w:t>
      </w:r>
      <w:r w:rsidR="00CA57CD">
        <w:t>,” 7.</w:t>
      </w:r>
    </w:p>
  </w:footnote>
  <w:footnote w:id="14">
    <w:p w14:paraId="2C9B5320" w14:textId="23B8B8DB" w:rsidR="000F358C" w:rsidRDefault="000F358C">
      <w:pPr>
        <w:pStyle w:val="FootnoteText"/>
      </w:pPr>
      <w:r>
        <w:rPr>
          <w:rStyle w:val="FootnoteReference"/>
        </w:rPr>
        <w:footnoteRef/>
      </w:r>
      <w:r>
        <w:t xml:space="preserve"> </w:t>
      </w:r>
      <w:r w:rsidR="00CA57CD">
        <w:t>Ingold, “</w:t>
      </w:r>
      <w:r w:rsidR="00CA57CD" w:rsidRPr="00FA30E2">
        <w:t>Bringing Things to Life: Creative Entanglements in a World of Materials</w:t>
      </w:r>
      <w:r w:rsidR="00CA57CD">
        <w:t xml:space="preserve">,” </w:t>
      </w:r>
      <w:r w:rsidR="00814409">
        <w:t>3</w:t>
      </w:r>
      <w:r w:rsidR="00CA57CD">
        <w:t>.</w:t>
      </w:r>
    </w:p>
  </w:footnote>
  <w:footnote w:id="15">
    <w:p w14:paraId="10219198" w14:textId="3A336927" w:rsidR="00C37EA1" w:rsidRDefault="00C37EA1">
      <w:pPr>
        <w:pStyle w:val="FootnoteText"/>
      </w:pPr>
      <w:r>
        <w:rPr>
          <w:rStyle w:val="FootnoteReference"/>
        </w:rPr>
        <w:footnoteRef/>
      </w:r>
      <w:r>
        <w:t xml:space="preserve"> </w:t>
      </w:r>
      <w:r w:rsidR="00ED0B7C">
        <w:t>Tim Ingold, “</w:t>
      </w:r>
      <w:r w:rsidR="00ED0B7C" w:rsidRPr="00ED0B7C">
        <w:t>Materials against materiality</w:t>
      </w:r>
      <w:r w:rsidR="00B90DFF">
        <w:t>,</w:t>
      </w:r>
      <w:r w:rsidR="00ED0B7C">
        <w:t>”</w:t>
      </w:r>
      <w:r w:rsidR="00B90DFF">
        <w:t xml:space="preserve"> </w:t>
      </w:r>
      <w:r w:rsidR="00B90DFF" w:rsidRPr="00B90DFF">
        <w:rPr>
          <w:i/>
          <w:iCs/>
        </w:rPr>
        <w:t>Archaeological Dialogues</w:t>
      </w:r>
      <w:r w:rsidR="00B90DFF" w:rsidRPr="00B90DFF">
        <w:t xml:space="preserve"> 14 </w:t>
      </w:r>
      <w:r w:rsidR="005A6274">
        <w:t>no. 1, (</w:t>
      </w:r>
      <w:r w:rsidR="008A3CF1">
        <w:t xml:space="preserve">2007), </w:t>
      </w:r>
      <w:r w:rsidR="00B90DFF" w:rsidRPr="00B90DFF">
        <w:t>1–16</w:t>
      </w:r>
      <w:r w:rsidR="008A3CF1">
        <w:t xml:space="preserve">, </w:t>
      </w:r>
      <w:r w:rsidR="008A3CF1" w:rsidRPr="008A3CF1">
        <w:t>doi:10.1017/S1380203807002127</w:t>
      </w:r>
      <w:r w:rsidR="008A3CF1">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FC71C0"/>
    <w:multiLevelType w:val="hybridMultilevel"/>
    <w:tmpl w:val="17101296"/>
    <w:lvl w:ilvl="0" w:tplc="19A06C88">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253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D81"/>
    <w:rsid w:val="000076ED"/>
    <w:rsid w:val="00010BB7"/>
    <w:rsid w:val="00023C48"/>
    <w:rsid w:val="00031216"/>
    <w:rsid w:val="00032655"/>
    <w:rsid w:val="0003467A"/>
    <w:rsid w:val="00037C3C"/>
    <w:rsid w:val="00061DA1"/>
    <w:rsid w:val="0006270E"/>
    <w:rsid w:val="00074087"/>
    <w:rsid w:val="00091C45"/>
    <w:rsid w:val="0009543D"/>
    <w:rsid w:val="000A0B43"/>
    <w:rsid w:val="000A5874"/>
    <w:rsid w:val="000B2297"/>
    <w:rsid w:val="000D1D9B"/>
    <w:rsid w:val="000F358C"/>
    <w:rsid w:val="000F7120"/>
    <w:rsid w:val="000F7EC8"/>
    <w:rsid w:val="00101523"/>
    <w:rsid w:val="00103D1E"/>
    <w:rsid w:val="0011770B"/>
    <w:rsid w:val="001177A9"/>
    <w:rsid w:val="00122F47"/>
    <w:rsid w:val="0012735A"/>
    <w:rsid w:val="00127881"/>
    <w:rsid w:val="001366DB"/>
    <w:rsid w:val="00145D04"/>
    <w:rsid w:val="001512D6"/>
    <w:rsid w:val="00152CDF"/>
    <w:rsid w:val="00154A4D"/>
    <w:rsid w:val="00154EDC"/>
    <w:rsid w:val="001630B2"/>
    <w:rsid w:val="001729FD"/>
    <w:rsid w:val="00183281"/>
    <w:rsid w:val="0019780C"/>
    <w:rsid w:val="001C460E"/>
    <w:rsid w:val="001D32CC"/>
    <w:rsid w:val="001E2EAD"/>
    <w:rsid w:val="001E3B13"/>
    <w:rsid w:val="00201A09"/>
    <w:rsid w:val="00207822"/>
    <w:rsid w:val="002231B3"/>
    <w:rsid w:val="0022375A"/>
    <w:rsid w:val="00223E7D"/>
    <w:rsid w:val="0022405C"/>
    <w:rsid w:val="00224B0F"/>
    <w:rsid w:val="002261E4"/>
    <w:rsid w:val="0023281D"/>
    <w:rsid w:val="00234B88"/>
    <w:rsid w:val="0024302E"/>
    <w:rsid w:val="0025008E"/>
    <w:rsid w:val="002505AE"/>
    <w:rsid w:val="002663FB"/>
    <w:rsid w:val="00273DF5"/>
    <w:rsid w:val="00293691"/>
    <w:rsid w:val="00294E80"/>
    <w:rsid w:val="002969B6"/>
    <w:rsid w:val="00297DBB"/>
    <w:rsid w:val="002C1257"/>
    <w:rsid w:val="002C794C"/>
    <w:rsid w:val="002D1E4E"/>
    <w:rsid w:val="002F46AD"/>
    <w:rsid w:val="002F4A24"/>
    <w:rsid w:val="003039B5"/>
    <w:rsid w:val="0030556A"/>
    <w:rsid w:val="00310B43"/>
    <w:rsid w:val="003230B0"/>
    <w:rsid w:val="00336487"/>
    <w:rsid w:val="00356227"/>
    <w:rsid w:val="003629BD"/>
    <w:rsid w:val="00363605"/>
    <w:rsid w:val="00365A79"/>
    <w:rsid w:val="003667A1"/>
    <w:rsid w:val="00373DD7"/>
    <w:rsid w:val="0037642A"/>
    <w:rsid w:val="00381796"/>
    <w:rsid w:val="0039559F"/>
    <w:rsid w:val="003A5D4D"/>
    <w:rsid w:val="003B55C8"/>
    <w:rsid w:val="003B714C"/>
    <w:rsid w:val="003B72C8"/>
    <w:rsid w:val="003C742C"/>
    <w:rsid w:val="003D6C91"/>
    <w:rsid w:val="003E4DE1"/>
    <w:rsid w:val="003F1C70"/>
    <w:rsid w:val="003F63F8"/>
    <w:rsid w:val="00430FD3"/>
    <w:rsid w:val="0043537E"/>
    <w:rsid w:val="00460026"/>
    <w:rsid w:val="00460EA2"/>
    <w:rsid w:val="00485F08"/>
    <w:rsid w:val="0048675A"/>
    <w:rsid w:val="00486DC2"/>
    <w:rsid w:val="00490BF8"/>
    <w:rsid w:val="00493492"/>
    <w:rsid w:val="00497327"/>
    <w:rsid w:val="004B0CEA"/>
    <w:rsid w:val="004B36D5"/>
    <w:rsid w:val="004B4A78"/>
    <w:rsid w:val="004C699C"/>
    <w:rsid w:val="004E44F5"/>
    <w:rsid w:val="004F24AA"/>
    <w:rsid w:val="004F35FD"/>
    <w:rsid w:val="00542E18"/>
    <w:rsid w:val="0055028A"/>
    <w:rsid w:val="005728DA"/>
    <w:rsid w:val="0058486B"/>
    <w:rsid w:val="00591828"/>
    <w:rsid w:val="00593913"/>
    <w:rsid w:val="00593CAB"/>
    <w:rsid w:val="00593FE5"/>
    <w:rsid w:val="005A2628"/>
    <w:rsid w:val="005A381D"/>
    <w:rsid w:val="005A441A"/>
    <w:rsid w:val="005A6274"/>
    <w:rsid w:val="005B375F"/>
    <w:rsid w:val="005C4291"/>
    <w:rsid w:val="005D69C0"/>
    <w:rsid w:val="005E5A44"/>
    <w:rsid w:val="0060138B"/>
    <w:rsid w:val="00601B2B"/>
    <w:rsid w:val="00604ECA"/>
    <w:rsid w:val="00621B24"/>
    <w:rsid w:val="00640F6B"/>
    <w:rsid w:val="006439F6"/>
    <w:rsid w:val="00645E4F"/>
    <w:rsid w:val="00655ECE"/>
    <w:rsid w:val="00656B40"/>
    <w:rsid w:val="00666909"/>
    <w:rsid w:val="00683B09"/>
    <w:rsid w:val="006844D9"/>
    <w:rsid w:val="00685251"/>
    <w:rsid w:val="006858FE"/>
    <w:rsid w:val="0068737D"/>
    <w:rsid w:val="006903CA"/>
    <w:rsid w:val="006926EC"/>
    <w:rsid w:val="006A1306"/>
    <w:rsid w:val="006A7262"/>
    <w:rsid w:val="006B104D"/>
    <w:rsid w:val="006B529F"/>
    <w:rsid w:val="006D71EC"/>
    <w:rsid w:val="006E2EC5"/>
    <w:rsid w:val="006E585A"/>
    <w:rsid w:val="006E6B7A"/>
    <w:rsid w:val="007020EE"/>
    <w:rsid w:val="007032A1"/>
    <w:rsid w:val="00705675"/>
    <w:rsid w:val="0070670E"/>
    <w:rsid w:val="00721926"/>
    <w:rsid w:val="0073629B"/>
    <w:rsid w:val="00742C5B"/>
    <w:rsid w:val="0075712C"/>
    <w:rsid w:val="00770925"/>
    <w:rsid w:val="00770D24"/>
    <w:rsid w:val="00781C3E"/>
    <w:rsid w:val="0078212C"/>
    <w:rsid w:val="00784D14"/>
    <w:rsid w:val="0079772C"/>
    <w:rsid w:val="0079777E"/>
    <w:rsid w:val="007A5300"/>
    <w:rsid w:val="007D0F04"/>
    <w:rsid w:val="007E36C2"/>
    <w:rsid w:val="007F084F"/>
    <w:rsid w:val="0080137F"/>
    <w:rsid w:val="00814409"/>
    <w:rsid w:val="0081482D"/>
    <w:rsid w:val="00831EF2"/>
    <w:rsid w:val="00840201"/>
    <w:rsid w:val="00841957"/>
    <w:rsid w:val="008444DF"/>
    <w:rsid w:val="00850CC9"/>
    <w:rsid w:val="00876D81"/>
    <w:rsid w:val="008775B8"/>
    <w:rsid w:val="0088686F"/>
    <w:rsid w:val="00897FBB"/>
    <w:rsid w:val="008A3580"/>
    <w:rsid w:val="008A3CF1"/>
    <w:rsid w:val="008A4429"/>
    <w:rsid w:val="008A5470"/>
    <w:rsid w:val="008C31DF"/>
    <w:rsid w:val="008E545D"/>
    <w:rsid w:val="008E7BAC"/>
    <w:rsid w:val="008F1341"/>
    <w:rsid w:val="008F6F53"/>
    <w:rsid w:val="0090448A"/>
    <w:rsid w:val="009079C5"/>
    <w:rsid w:val="0091136F"/>
    <w:rsid w:val="00912DF0"/>
    <w:rsid w:val="00921262"/>
    <w:rsid w:val="009244DA"/>
    <w:rsid w:val="0092464F"/>
    <w:rsid w:val="00933FEB"/>
    <w:rsid w:val="009364A8"/>
    <w:rsid w:val="009538DD"/>
    <w:rsid w:val="00971DD6"/>
    <w:rsid w:val="00987CA0"/>
    <w:rsid w:val="009A5B97"/>
    <w:rsid w:val="009B3A99"/>
    <w:rsid w:val="009B3AD8"/>
    <w:rsid w:val="009C7997"/>
    <w:rsid w:val="009D6109"/>
    <w:rsid w:val="009E39A1"/>
    <w:rsid w:val="009E7A32"/>
    <w:rsid w:val="009F39F4"/>
    <w:rsid w:val="009F6C56"/>
    <w:rsid w:val="00A06D9B"/>
    <w:rsid w:val="00A124D5"/>
    <w:rsid w:val="00A1394E"/>
    <w:rsid w:val="00A2235F"/>
    <w:rsid w:val="00A33820"/>
    <w:rsid w:val="00A34DD0"/>
    <w:rsid w:val="00A41EBE"/>
    <w:rsid w:val="00A42336"/>
    <w:rsid w:val="00A55129"/>
    <w:rsid w:val="00A60A35"/>
    <w:rsid w:val="00A636CA"/>
    <w:rsid w:val="00A64499"/>
    <w:rsid w:val="00A81FEC"/>
    <w:rsid w:val="00A83F39"/>
    <w:rsid w:val="00A843A0"/>
    <w:rsid w:val="00AA32C6"/>
    <w:rsid w:val="00AA6E45"/>
    <w:rsid w:val="00AB52FD"/>
    <w:rsid w:val="00AC3276"/>
    <w:rsid w:val="00AD1B76"/>
    <w:rsid w:val="00AE15B7"/>
    <w:rsid w:val="00AE1B61"/>
    <w:rsid w:val="00AE228F"/>
    <w:rsid w:val="00AF1255"/>
    <w:rsid w:val="00AF1813"/>
    <w:rsid w:val="00AF687B"/>
    <w:rsid w:val="00B11090"/>
    <w:rsid w:val="00B22B7B"/>
    <w:rsid w:val="00B25B9D"/>
    <w:rsid w:val="00B41644"/>
    <w:rsid w:val="00B5083A"/>
    <w:rsid w:val="00B5513E"/>
    <w:rsid w:val="00B57F47"/>
    <w:rsid w:val="00B60F31"/>
    <w:rsid w:val="00B654BE"/>
    <w:rsid w:val="00B67A6D"/>
    <w:rsid w:val="00B76DCD"/>
    <w:rsid w:val="00B84B1F"/>
    <w:rsid w:val="00B850C7"/>
    <w:rsid w:val="00B90823"/>
    <w:rsid w:val="00B90DFF"/>
    <w:rsid w:val="00B93C29"/>
    <w:rsid w:val="00B9445F"/>
    <w:rsid w:val="00BA76FA"/>
    <w:rsid w:val="00BB5510"/>
    <w:rsid w:val="00BC0444"/>
    <w:rsid w:val="00BC54C8"/>
    <w:rsid w:val="00BD1BEB"/>
    <w:rsid w:val="00BF015B"/>
    <w:rsid w:val="00BF0D75"/>
    <w:rsid w:val="00BF4B20"/>
    <w:rsid w:val="00BF64D3"/>
    <w:rsid w:val="00BF759E"/>
    <w:rsid w:val="00C06B7F"/>
    <w:rsid w:val="00C17CA2"/>
    <w:rsid w:val="00C17E5E"/>
    <w:rsid w:val="00C253E1"/>
    <w:rsid w:val="00C37EA1"/>
    <w:rsid w:val="00C564ED"/>
    <w:rsid w:val="00C66204"/>
    <w:rsid w:val="00C928EE"/>
    <w:rsid w:val="00C93DCA"/>
    <w:rsid w:val="00C9610B"/>
    <w:rsid w:val="00C968A1"/>
    <w:rsid w:val="00CA57CD"/>
    <w:rsid w:val="00CB2711"/>
    <w:rsid w:val="00CC0854"/>
    <w:rsid w:val="00CC76F9"/>
    <w:rsid w:val="00CD3429"/>
    <w:rsid w:val="00CF38C3"/>
    <w:rsid w:val="00CF3AD9"/>
    <w:rsid w:val="00CF7E80"/>
    <w:rsid w:val="00D23CEF"/>
    <w:rsid w:val="00D2448B"/>
    <w:rsid w:val="00D318C5"/>
    <w:rsid w:val="00D32059"/>
    <w:rsid w:val="00D510C2"/>
    <w:rsid w:val="00D620EE"/>
    <w:rsid w:val="00D6323B"/>
    <w:rsid w:val="00D66F65"/>
    <w:rsid w:val="00D75BFF"/>
    <w:rsid w:val="00D843F1"/>
    <w:rsid w:val="00D93D3C"/>
    <w:rsid w:val="00DA09A0"/>
    <w:rsid w:val="00DA69E7"/>
    <w:rsid w:val="00DB5912"/>
    <w:rsid w:val="00DE6C66"/>
    <w:rsid w:val="00E22AA1"/>
    <w:rsid w:val="00E25A6D"/>
    <w:rsid w:val="00E32D1D"/>
    <w:rsid w:val="00E37A9B"/>
    <w:rsid w:val="00E42CD8"/>
    <w:rsid w:val="00E614E2"/>
    <w:rsid w:val="00E72EFE"/>
    <w:rsid w:val="00E73A1D"/>
    <w:rsid w:val="00E740F2"/>
    <w:rsid w:val="00E84A1C"/>
    <w:rsid w:val="00E85094"/>
    <w:rsid w:val="00E852D8"/>
    <w:rsid w:val="00EA5043"/>
    <w:rsid w:val="00EA56D9"/>
    <w:rsid w:val="00EB4C3C"/>
    <w:rsid w:val="00EC0DD1"/>
    <w:rsid w:val="00EC1786"/>
    <w:rsid w:val="00ED0B7C"/>
    <w:rsid w:val="00ED0D90"/>
    <w:rsid w:val="00ED4E91"/>
    <w:rsid w:val="00ED6AEA"/>
    <w:rsid w:val="00EF40E5"/>
    <w:rsid w:val="00EF5412"/>
    <w:rsid w:val="00F004C1"/>
    <w:rsid w:val="00F01D80"/>
    <w:rsid w:val="00F04665"/>
    <w:rsid w:val="00F0764B"/>
    <w:rsid w:val="00F214BA"/>
    <w:rsid w:val="00F33235"/>
    <w:rsid w:val="00F4595E"/>
    <w:rsid w:val="00F5509E"/>
    <w:rsid w:val="00F55702"/>
    <w:rsid w:val="00F6227E"/>
    <w:rsid w:val="00F6506A"/>
    <w:rsid w:val="00F84368"/>
    <w:rsid w:val="00F90513"/>
    <w:rsid w:val="00F9099B"/>
    <w:rsid w:val="00F9584A"/>
    <w:rsid w:val="00FA30E2"/>
    <w:rsid w:val="00FB67F6"/>
    <w:rsid w:val="00FB7573"/>
    <w:rsid w:val="00FC1DCB"/>
    <w:rsid w:val="00FC24A0"/>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29716623"/>
  <w15:chartTrackingRefBased/>
  <w15:docId w15:val="{C053F3DC-BD59-D940-AB19-3814B10AF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C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D8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76D8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76D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76D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76D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76D8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D8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D8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D8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D8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76D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76D8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76D8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76D8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76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D81"/>
    <w:rPr>
      <w:rFonts w:eastAsiaTheme="majorEastAsia" w:cstheme="majorBidi"/>
      <w:color w:val="272727" w:themeColor="text1" w:themeTint="D8"/>
    </w:rPr>
  </w:style>
  <w:style w:type="paragraph" w:styleId="Title">
    <w:name w:val="Title"/>
    <w:basedOn w:val="Normal"/>
    <w:next w:val="Normal"/>
    <w:link w:val="TitleChar"/>
    <w:uiPriority w:val="10"/>
    <w:qFormat/>
    <w:rsid w:val="00876D8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D8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D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76D81"/>
    <w:rPr>
      <w:i/>
      <w:iCs/>
      <w:color w:val="404040" w:themeColor="text1" w:themeTint="BF"/>
    </w:rPr>
  </w:style>
  <w:style w:type="paragraph" w:styleId="ListParagraph">
    <w:name w:val="List Paragraph"/>
    <w:basedOn w:val="Normal"/>
    <w:uiPriority w:val="34"/>
    <w:qFormat/>
    <w:rsid w:val="00876D81"/>
    <w:pPr>
      <w:ind w:left="720"/>
      <w:contextualSpacing/>
    </w:pPr>
  </w:style>
  <w:style w:type="character" w:styleId="IntenseEmphasis">
    <w:name w:val="Intense Emphasis"/>
    <w:basedOn w:val="DefaultParagraphFont"/>
    <w:uiPriority w:val="21"/>
    <w:qFormat/>
    <w:rsid w:val="00876D81"/>
    <w:rPr>
      <w:i/>
      <w:iCs/>
      <w:color w:val="2F5496" w:themeColor="accent1" w:themeShade="BF"/>
    </w:rPr>
  </w:style>
  <w:style w:type="paragraph" w:styleId="IntenseQuote">
    <w:name w:val="Intense Quote"/>
    <w:basedOn w:val="Normal"/>
    <w:next w:val="Normal"/>
    <w:link w:val="IntenseQuoteChar"/>
    <w:uiPriority w:val="30"/>
    <w:qFormat/>
    <w:rsid w:val="00876D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6D81"/>
    <w:rPr>
      <w:i/>
      <w:iCs/>
      <w:color w:val="2F5496" w:themeColor="accent1" w:themeShade="BF"/>
    </w:rPr>
  </w:style>
  <w:style w:type="character" w:styleId="IntenseReference">
    <w:name w:val="Intense Reference"/>
    <w:basedOn w:val="DefaultParagraphFont"/>
    <w:uiPriority w:val="32"/>
    <w:qFormat/>
    <w:rsid w:val="00876D81"/>
    <w:rPr>
      <w:b/>
      <w:bCs/>
      <w:smallCaps/>
      <w:color w:val="2F5496" w:themeColor="accent1" w:themeShade="BF"/>
      <w:spacing w:val="5"/>
    </w:rPr>
  </w:style>
  <w:style w:type="paragraph" w:styleId="FootnoteText">
    <w:name w:val="footnote text"/>
    <w:basedOn w:val="Normal"/>
    <w:link w:val="FootnoteTextChar"/>
    <w:uiPriority w:val="99"/>
    <w:semiHidden/>
    <w:unhideWhenUsed/>
    <w:rsid w:val="0039559F"/>
    <w:rPr>
      <w:sz w:val="20"/>
      <w:szCs w:val="20"/>
    </w:rPr>
  </w:style>
  <w:style w:type="character" w:customStyle="1" w:styleId="FootnoteTextChar">
    <w:name w:val="Footnote Text Char"/>
    <w:basedOn w:val="DefaultParagraphFont"/>
    <w:link w:val="FootnoteText"/>
    <w:uiPriority w:val="99"/>
    <w:semiHidden/>
    <w:rsid w:val="0039559F"/>
    <w:rPr>
      <w:sz w:val="20"/>
      <w:szCs w:val="20"/>
    </w:rPr>
  </w:style>
  <w:style w:type="character" w:styleId="FootnoteReference">
    <w:name w:val="footnote reference"/>
    <w:basedOn w:val="DefaultParagraphFont"/>
    <w:uiPriority w:val="99"/>
    <w:semiHidden/>
    <w:unhideWhenUsed/>
    <w:rsid w:val="0039559F"/>
    <w:rPr>
      <w:vertAlign w:val="superscript"/>
    </w:rPr>
  </w:style>
  <w:style w:type="paragraph" w:styleId="NormalWeb">
    <w:name w:val="Normal (Web)"/>
    <w:basedOn w:val="Normal"/>
    <w:uiPriority w:val="99"/>
    <w:semiHidden/>
    <w:unhideWhenUsed/>
    <w:rsid w:val="00FB67F6"/>
    <w:rPr>
      <w:rFonts w:ascii="Times New Roman" w:hAnsi="Times New Roman" w:cs="Times New Roman"/>
    </w:rPr>
  </w:style>
  <w:style w:type="character" w:styleId="Hyperlink">
    <w:name w:val="Hyperlink"/>
    <w:basedOn w:val="DefaultParagraphFont"/>
    <w:uiPriority w:val="99"/>
    <w:unhideWhenUsed/>
    <w:rsid w:val="00AA32C6"/>
    <w:rPr>
      <w:color w:val="0563C1" w:themeColor="hyperlink"/>
      <w:u w:val="single"/>
    </w:rPr>
  </w:style>
  <w:style w:type="character" w:styleId="UnresolvedMention">
    <w:name w:val="Unresolved Mention"/>
    <w:basedOn w:val="DefaultParagraphFont"/>
    <w:uiPriority w:val="99"/>
    <w:semiHidden/>
    <w:unhideWhenUsed/>
    <w:rsid w:val="00AA32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4654001">
      <w:bodyDiv w:val="1"/>
      <w:marLeft w:val="0"/>
      <w:marRight w:val="0"/>
      <w:marTop w:val="0"/>
      <w:marBottom w:val="0"/>
      <w:divBdr>
        <w:top w:val="none" w:sz="0" w:space="0" w:color="auto"/>
        <w:left w:val="none" w:sz="0" w:space="0" w:color="auto"/>
        <w:bottom w:val="none" w:sz="0" w:space="0" w:color="auto"/>
        <w:right w:val="none" w:sz="0" w:space="0" w:color="auto"/>
      </w:divBdr>
    </w:div>
    <w:div w:id="991257382">
      <w:bodyDiv w:val="1"/>
      <w:marLeft w:val="0"/>
      <w:marRight w:val="0"/>
      <w:marTop w:val="0"/>
      <w:marBottom w:val="0"/>
      <w:divBdr>
        <w:top w:val="none" w:sz="0" w:space="0" w:color="auto"/>
        <w:left w:val="none" w:sz="0" w:space="0" w:color="auto"/>
        <w:bottom w:val="none" w:sz="0" w:space="0" w:color="auto"/>
        <w:right w:val="none" w:sz="0" w:space="0" w:color="auto"/>
      </w:divBdr>
    </w:div>
    <w:div w:id="1223717528">
      <w:bodyDiv w:val="1"/>
      <w:marLeft w:val="0"/>
      <w:marRight w:val="0"/>
      <w:marTop w:val="0"/>
      <w:marBottom w:val="0"/>
      <w:divBdr>
        <w:top w:val="none" w:sz="0" w:space="0" w:color="auto"/>
        <w:left w:val="none" w:sz="0" w:space="0" w:color="auto"/>
        <w:bottom w:val="none" w:sz="0" w:space="0" w:color="auto"/>
        <w:right w:val="none" w:sz="0" w:space="0" w:color="auto"/>
      </w:divBdr>
    </w:div>
    <w:div w:id="1937446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66/drt.2010.020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3366/drt.2010.0206"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1385</Words>
  <Characters>7896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Ehnes-Hammel (2409336)</dc:creator>
  <cp:keywords/>
  <dc:description/>
  <cp:lastModifiedBy>Nicholas Ehnes-Hammel (2409336)</cp:lastModifiedBy>
  <cp:revision>2</cp:revision>
  <cp:lastPrinted>2024-11-19T23:23:00Z</cp:lastPrinted>
  <dcterms:created xsi:type="dcterms:W3CDTF">2024-11-19T23:25:00Z</dcterms:created>
  <dcterms:modified xsi:type="dcterms:W3CDTF">2024-11-19T23:25:00Z</dcterms:modified>
</cp:coreProperties>
</file>