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3"/>
        <w:spacing w:line="480" w:lineRule="auto"/>
        <w:jc w:val="center"/>
        <w:rPr>
          <w:rFonts w:ascii="Times New Roman" w:hAnsi="Times New Roman" w:eastAsia="Times New Roman" w:cs="Times New Roman"/>
          <w:b/>
          <w:sz w:val="28"/>
          <w:szCs w:val="28"/>
          <w:u w:val="single"/>
          <w:lang w:val="en-GB"/>
        </w:rPr>
      </w:pPr>
    </w:p>
    <w:p>
      <w:pPr>
        <w:pStyle w:val="3"/>
        <w:spacing w:line="480" w:lineRule="auto"/>
        <w:jc w:val="center"/>
        <w:rPr>
          <w:rFonts w:ascii="Times New Roman" w:hAnsi="Times New Roman" w:eastAsia="Times New Roman" w:cs="Times New Roman"/>
          <w:b/>
          <w:sz w:val="28"/>
          <w:szCs w:val="28"/>
          <w:u w:val="single"/>
          <w:lang w:val="en-GB"/>
        </w:rPr>
      </w:pPr>
    </w:p>
    <w:p>
      <w:pPr>
        <w:pStyle w:val="3"/>
        <w:spacing w:line="480" w:lineRule="auto"/>
        <w:jc w:val="center"/>
        <w:rPr>
          <w:rFonts w:ascii="Times New Roman" w:hAnsi="Times New Roman" w:eastAsia="Times New Roman" w:cs="Times New Roman"/>
          <w:b/>
          <w:sz w:val="28"/>
          <w:szCs w:val="28"/>
          <w:u w:val="single"/>
          <w:lang w:val="en-GB"/>
        </w:rPr>
      </w:pPr>
    </w:p>
    <w:p>
      <w:pPr>
        <w:pStyle w:val="3"/>
        <w:spacing w:line="480" w:lineRule="auto"/>
        <w:jc w:val="center"/>
        <w:rPr>
          <w:rFonts w:ascii="Times New Roman" w:hAnsi="Times New Roman" w:eastAsia="Times New Roman" w:cs="Times New Roman"/>
          <w:b/>
          <w:sz w:val="28"/>
          <w:szCs w:val="28"/>
          <w:u w:val="single"/>
          <w:lang w:val="en-GB"/>
        </w:rPr>
      </w:pPr>
    </w:p>
    <w:p>
      <w:pPr>
        <w:pStyle w:val="3"/>
        <w:spacing w:line="480" w:lineRule="auto"/>
        <w:jc w:val="center"/>
        <w:rPr>
          <w:rFonts w:ascii="Times New Roman" w:hAnsi="Times New Roman" w:eastAsia="Times New Roman" w:cs="Times New Roman"/>
          <w:b/>
          <w:sz w:val="28"/>
          <w:szCs w:val="28"/>
          <w:u w:val="single"/>
          <w:lang w:val="en-GB"/>
        </w:rPr>
      </w:pPr>
    </w:p>
    <w:p>
      <w:pPr>
        <w:pStyle w:val="3"/>
        <w:spacing w:line="480" w:lineRule="auto"/>
        <w:jc w:val="center"/>
        <w:rPr>
          <w:rFonts w:ascii="Times New Roman" w:hAnsi="Times New Roman" w:eastAsia="Times New Roman" w:cs="Times New Roman"/>
          <w:b/>
          <w:sz w:val="28"/>
          <w:szCs w:val="28"/>
          <w:u w:val="single"/>
          <w:lang w:val="en-GB"/>
        </w:rPr>
      </w:pPr>
    </w:p>
    <w:p>
      <w:pPr>
        <w:pStyle w:val="3"/>
        <w:spacing w:line="480" w:lineRule="auto"/>
        <w:jc w:val="center"/>
        <w:rPr>
          <w:rFonts w:ascii="Times New Roman" w:hAnsi="Times New Roman" w:eastAsia="Times New Roman" w:cs="Times New Roman"/>
          <w:b/>
          <w:sz w:val="32"/>
          <w:szCs w:val="32"/>
          <w:u w:val="single"/>
          <w:lang w:val="en-GB"/>
        </w:rPr>
      </w:pPr>
    </w:p>
    <w:p>
      <w:pPr>
        <w:pStyle w:val="3"/>
        <w:spacing w:line="480" w:lineRule="auto"/>
        <w:jc w:val="center"/>
        <w:rPr>
          <w:rFonts w:ascii="Times New Roman" w:hAnsi="Times New Roman" w:eastAsia="Times New Roman" w:cs="Times New Roman"/>
          <w:b/>
          <w:sz w:val="32"/>
          <w:szCs w:val="32"/>
          <w:u w:val="single"/>
          <w:lang w:val="en-GB"/>
        </w:rPr>
      </w:pPr>
    </w:p>
    <w:p>
      <w:pPr>
        <w:pStyle w:val="3"/>
        <w:spacing w:line="480" w:lineRule="auto"/>
        <w:jc w:val="center"/>
        <w:rPr>
          <w:rFonts w:ascii="Times New Roman" w:hAnsi="Times New Roman" w:eastAsia="Times New Roman" w:cs="Times New Roman"/>
          <w:b/>
          <w:sz w:val="32"/>
          <w:szCs w:val="32"/>
          <w:u w:val="single"/>
          <w:lang w:val="en-GB"/>
        </w:rPr>
      </w:pPr>
    </w:p>
    <w:p>
      <w:pPr>
        <w:pStyle w:val="3"/>
        <w:spacing w:line="480" w:lineRule="auto"/>
        <w:jc w:val="center"/>
        <w:rPr>
          <w:rFonts w:ascii="Times New Roman" w:hAnsi="Times New Roman" w:eastAsia="Times New Roman" w:cs="Times New Roman"/>
          <w:b/>
          <w:sz w:val="32"/>
          <w:szCs w:val="32"/>
          <w:u w:val="single"/>
          <w:lang w:val="en-GB"/>
        </w:rPr>
      </w:pPr>
    </w:p>
    <w:p>
      <w:pPr>
        <w:pStyle w:val="3"/>
        <w:spacing w:line="480" w:lineRule="auto"/>
        <w:jc w:val="center"/>
        <w:rPr>
          <w:rFonts w:ascii="Times New Roman" w:hAnsi="Times New Roman" w:eastAsia="Times New Roman" w:cs="Times New Roman"/>
          <w:b/>
          <w:sz w:val="32"/>
          <w:szCs w:val="32"/>
          <w:u w:val="single"/>
          <w:lang w:val="en-GB"/>
        </w:rPr>
      </w:pPr>
      <w:r>
        <w:rPr>
          <w:rFonts w:ascii="Times New Roman" w:hAnsi="Times New Roman" w:eastAsia="Times New Roman" w:cs="Times New Roman"/>
          <w:b/>
          <w:sz w:val="32"/>
          <w:szCs w:val="32"/>
          <w:u w:val="single"/>
          <w:lang w:val="en-GB"/>
        </w:rPr>
        <w:t>Diversity in the Judiciary</w:t>
      </w:r>
    </w:p>
    <w:p>
      <w:pPr>
        <w:pStyle w:val="3"/>
        <w:spacing w:line="480" w:lineRule="auto"/>
        <w:jc w:val="center"/>
        <w:rPr>
          <w:rFonts w:hint="default" w:ascii="Times New Roman" w:hAnsi="Times New Roman" w:eastAsia="Times New Roman" w:cs="Times New Roman"/>
          <w:b/>
          <w:i w:val="0"/>
          <w:iCs/>
          <w:sz w:val="24"/>
          <w:szCs w:val="24"/>
          <w:lang w:val="en-GB"/>
        </w:rPr>
      </w:pPr>
      <w:r>
        <w:rPr>
          <w:rFonts w:ascii="Times New Roman" w:hAnsi="Times New Roman" w:eastAsia="Times New Roman" w:cs="Times New Roman"/>
          <w:b/>
          <w:i/>
          <w:sz w:val="24"/>
          <w:szCs w:val="24"/>
          <w:lang w:val="en-GB"/>
        </w:rPr>
        <w:t>Student Name</w:t>
      </w:r>
      <w:r>
        <w:rPr>
          <w:rFonts w:hint="default" w:ascii="Times New Roman" w:hAnsi="Times New Roman" w:eastAsia="Times New Roman" w:cs="Times New Roman"/>
          <w:b/>
          <w:i/>
          <w:sz w:val="24"/>
          <w:szCs w:val="24"/>
          <w:lang w:val="en-GB"/>
        </w:rPr>
        <w:t xml:space="preserve">: </w:t>
      </w:r>
      <w:r>
        <w:rPr>
          <w:rFonts w:hint="default" w:ascii="Times New Roman" w:hAnsi="Times New Roman" w:eastAsia="Times New Roman" w:cs="Times New Roman"/>
          <w:b/>
          <w:i w:val="0"/>
          <w:iCs/>
          <w:sz w:val="24"/>
          <w:szCs w:val="24"/>
          <w:lang w:val="en-GB"/>
        </w:rPr>
        <w:t>Florin - Emil Doditoiu</w:t>
      </w:r>
    </w:p>
    <w:p>
      <w:pPr>
        <w:pStyle w:val="3"/>
        <w:spacing w:line="480" w:lineRule="auto"/>
        <w:jc w:val="center"/>
        <w:rPr>
          <w:rFonts w:hint="default" w:ascii="Times New Roman" w:hAnsi="Times New Roman" w:eastAsia="Times New Roman" w:cs="Times New Roman"/>
          <w:b/>
          <w:i w:val="0"/>
          <w:iCs/>
          <w:sz w:val="24"/>
          <w:szCs w:val="24"/>
          <w:lang w:val="en-GB"/>
        </w:rPr>
      </w:pPr>
      <w:r>
        <w:rPr>
          <w:rFonts w:ascii="Times New Roman" w:hAnsi="Times New Roman" w:eastAsia="Times New Roman" w:cs="Times New Roman"/>
          <w:b/>
          <w:i/>
          <w:sz w:val="24"/>
          <w:szCs w:val="24"/>
          <w:lang w:val="en-GB"/>
        </w:rPr>
        <w:t>Student ID</w:t>
      </w:r>
      <w:r>
        <w:rPr>
          <w:rFonts w:hint="default" w:ascii="Times New Roman" w:hAnsi="Times New Roman" w:eastAsia="Times New Roman" w:cs="Times New Roman"/>
          <w:b/>
          <w:i/>
          <w:sz w:val="24"/>
          <w:szCs w:val="24"/>
          <w:lang w:val="en-GB"/>
        </w:rPr>
        <w:t xml:space="preserve">: </w:t>
      </w:r>
      <w:r>
        <w:rPr>
          <w:rFonts w:hint="default" w:ascii="Times New Roman" w:hAnsi="Times New Roman" w:eastAsia="Times New Roman" w:cs="Times New Roman"/>
          <w:b/>
          <w:i w:val="0"/>
          <w:iCs/>
          <w:sz w:val="24"/>
          <w:szCs w:val="24"/>
          <w:lang w:val="en-GB"/>
        </w:rPr>
        <w:t>2132424</w:t>
      </w:r>
    </w:p>
    <w:p>
      <w:pPr>
        <w:pStyle w:val="3"/>
        <w:spacing w:line="480" w:lineRule="auto"/>
        <w:jc w:val="center"/>
        <w:rPr>
          <w:rFonts w:ascii="Times New Roman" w:hAnsi="Times New Roman" w:eastAsia="Times New Roman" w:cs="Times New Roman"/>
          <w:b/>
          <w:i/>
          <w:sz w:val="24"/>
          <w:szCs w:val="24"/>
          <w:lang w:val="en-GB"/>
        </w:rPr>
      </w:pPr>
      <w:r>
        <w:rPr>
          <w:rFonts w:ascii="Times New Roman" w:hAnsi="Times New Roman" w:eastAsia="Times New Roman" w:cs="Times New Roman"/>
          <w:b/>
          <w:i/>
          <w:sz w:val="24"/>
          <w:szCs w:val="24"/>
          <w:lang w:val="en-GB"/>
        </w:rPr>
        <w:t>Course name</w:t>
      </w:r>
      <w:r>
        <w:rPr>
          <w:rFonts w:hint="default" w:ascii="Times New Roman" w:hAnsi="Times New Roman" w:eastAsia="Times New Roman" w:cs="Times New Roman"/>
          <w:b/>
          <w:i/>
          <w:sz w:val="24"/>
          <w:szCs w:val="24"/>
          <w:lang w:val="en-GB"/>
        </w:rPr>
        <w:t xml:space="preserve">: </w:t>
      </w:r>
      <w:r>
        <w:rPr>
          <w:rFonts w:hint="default" w:ascii="Times New Roman" w:hAnsi="Times New Roman" w:eastAsia="Times New Roman" w:cs="Times New Roman"/>
          <w:b/>
          <w:i w:val="0"/>
          <w:iCs/>
          <w:sz w:val="24"/>
          <w:szCs w:val="24"/>
          <w:lang w:val="en-GB"/>
        </w:rPr>
        <w:t>Law and Legal Process</w:t>
      </w:r>
      <w:r>
        <w:rPr>
          <w:lang w:val="en-GB"/>
        </w:rPr>
        <w:br w:type="page"/>
      </w:r>
    </w:p>
    <w:p>
      <w:pPr>
        <w:pStyle w:val="3"/>
        <w:spacing w:line="480" w:lineRule="auto"/>
        <w:jc w:val="center"/>
        <w:rPr>
          <w:rFonts w:ascii="Times New Roman" w:hAnsi="Times New Roman" w:eastAsia="Times New Roman" w:cs="Times New Roman"/>
          <w:b/>
          <w:sz w:val="24"/>
          <w:szCs w:val="24"/>
          <w:lang w:val="en-GB"/>
        </w:rPr>
      </w:pPr>
      <w:r>
        <w:rPr>
          <w:rFonts w:ascii="Times New Roman" w:hAnsi="Times New Roman" w:eastAsia="Times New Roman" w:cs="Times New Roman"/>
          <w:b/>
          <w:sz w:val="24"/>
          <w:szCs w:val="24"/>
          <w:lang w:val="en-GB"/>
        </w:rPr>
        <w:t>Table of Contents</w:t>
      </w:r>
    </w:p>
    <w:p>
      <w:pPr>
        <w:pStyle w:val="3"/>
        <w:spacing w:line="480" w:lineRule="auto"/>
        <w:jc w:val="center"/>
        <w:rPr>
          <w:rFonts w:ascii="Times New Roman" w:hAnsi="Times New Roman" w:eastAsia="Times New Roman" w:cs="Times New Roman"/>
          <w:sz w:val="24"/>
          <w:szCs w:val="24"/>
          <w:lang w:val="en-GB"/>
        </w:rPr>
      </w:pPr>
    </w:p>
    <w:sdt>
      <w:sdtPr>
        <w:rPr>
          <w:rFonts w:ascii="Arial" w:hAnsi="Arial"/>
          <w:b w:val="0"/>
          <w:i w:val="0"/>
          <w:sz w:val="22"/>
          <w:lang w:val="en-GB"/>
        </w:rPr>
        <w:id w:val="12486469"/>
        <w:docPartObj>
          <w:docPartGallery w:val="Table of Contents"/>
          <w:docPartUnique/>
        </w:docPartObj>
      </w:sdtPr>
      <w:sdtEndPr>
        <w:rPr>
          <w:rFonts w:ascii="Arial" w:hAnsi="Arial"/>
          <w:b w:val="0"/>
          <w:i w:val="0"/>
          <w:sz w:val="22"/>
          <w:lang w:val="en-GB"/>
        </w:rPr>
      </w:sdtEndPr>
      <w:sdtContent>
        <w:p>
          <w:pPr>
            <w:pStyle w:val="15"/>
            <w:tabs>
              <w:tab w:val="right" w:pos="9019"/>
            </w:tabs>
            <w:spacing w:line="480" w:lineRule="auto"/>
            <w:rPr>
              <w:i w:val="0"/>
            </w:rPr>
          </w:pPr>
          <w:r>
            <w:rPr>
              <w:lang w:val="en-GB"/>
            </w:rPr>
            <w:fldChar w:fldCharType="begin"/>
          </w:r>
          <w:r>
            <w:rPr>
              <w:lang w:val="en-GB"/>
            </w:rPr>
            <w:instrText xml:space="preserve"> TOC \h \u \z </w:instrText>
          </w:r>
          <w:r>
            <w:rPr>
              <w:lang w:val="en-GB"/>
            </w:rPr>
            <w:fldChar w:fldCharType="separate"/>
          </w:r>
          <w:r>
            <w:fldChar w:fldCharType="begin"/>
          </w:r>
          <w:r>
            <w:instrText xml:space="preserve"> HYPERLINK \l "_Toc105847441" </w:instrText>
          </w:r>
          <w:r>
            <w:fldChar w:fldCharType="separate"/>
          </w:r>
          <w:r>
            <w:rPr>
              <w:rStyle w:val="12"/>
              <w:i w:val="0"/>
              <w:lang w:val="en-GB"/>
            </w:rPr>
            <w:t>Introduction</w:t>
          </w:r>
          <w:r>
            <w:rPr>
              <w:i w:val="0"/>
            </w:rPr>
            <w:tab/>
          </w:r>
          <w:r>
            <w:rPr>
              <w:i w:val="0"/>
            </w:rPr>
            <w:fldChar w:fldCharType="begin"/>
          </w:r>
          <w:r>
            <w:rPr>
              <w:i w:val="0"/>
            </w:rPr>
            <w:instrText xml:space="preserve"> PAGEREF _Toc105847441 \h </w:instrText>
          </w:r>
          <w:r>
            <w:rPr>
              <w:i w:val="0"/>
            </w:rPr>
            <w:fldChar w:fldCharType="separate"/>
          </w:r>
          <w:r>
            <w:rPr>
              <w:i w:val="0"/>
            </w:rPr>
            <w:t>3</w:t>
          </w:r>
          <w:r>
            <w:rPr>
              <w:i w:val="0"/>
            </w:rPr>
            <w:fldChar w:fldCharType="end"/>
          </w:r>
          <w:r>
            <w:rPr>
              <w:i w:val="0"/>
            </w:rPr>
            <w:fldChar w:fldCharType="end"/>
          </w:r>
        </w:p>
        <w:p>
          <w:pPr>
            <w:pStyle w:val="15"/>
            <w:tabs>
              <w:tab w:val="right" w:pos="9019"/>
            </w:tabs>
            <w:spacing w:line="480" w:lineRule="auto"/>
            <w:rPr>
              <w:i w:val="0"/>
            </w:rPr>
          </w:pPr>
          <w:r>
            <w:fldChar w:fldCharType="begin"/>
          </w:r>
          <w:r>
            <w:instrText xml:space="preserve"> HYPERLINK \l "_Toc105847442" </w:instrText>
          </w:r>
          <w:r>
            <w:fldChar w:fldCharType="separate"/>
          </w:r>
          <w:r>
            <w:rPr>
              <w:rStyle w:val="12"/>
              <w:i w:val="0"/>
              <w:lang w:val="en-GB"/>
            </w:rPr>
            <w:t>Discussion</w:t>
          </w:r>
          <w:r>
            <w:rPr>
              <w:i w:val="0"/>
            </w:rPr>
            <w:tab/>
          </w:r>
          <w:r>
            <w:rPr>
              <w:i w:val="0"/>
            </w:rPr>
            <w:fldChar w:fldCharType="begin"/>
          </w:r>
          <w:r>
            <w:rPr>
              <w:i w:val="0"/>
            </w:rPr>
            <w:instrText xml:space="preserve"> PAGEREF _Toc105847442 \h </w:instrText>
          </w:r>
          <w:r>
            <w:rPr>
              <w:i w:val="0"/>
            </w:rPr>
            <w:fldChar w:fldCharType="separate"/>
          </w:r>
          <w:r>
            <w:rPr>
              <w:i w:val="0"/>
            </w:rPr>
            <w:t>3</w:t>
          </w:r>
          <w:r>
            <w:rPr>
              <w:i w:val="0"/>
            </w:rPr>
            <w:fldChar w:fldCharType="end"/>
          </w:r>
          <w:r>
            <w:rPr>
              <w:i w:val="0"/>
            </w:rPr>
            <w:fldChar w:fldCharType="end"/>
          </w:r>
        </w:p>
        <w:p>
          <w:pPr>
            <w:pStyle w:val="15"/>
            <w:tabs>
              <w:tab w:val="right" w:pos="9019"/>
            </w:tabs>
            <w:spacing w:line="480" w:lineRule="auto"/>
            <w:rPr>
              <w:i w:val="0"/>
            </w:rPr>
          </w:pPr>
          <w:r>
            <w:fldChar w:fldCharType="begin"/>
          </w:r>
          <w:r>
            <w:instrText xml:space="preserve"> HYPERLINK \l "_Toc105847443" </w:instrText>
          </w:r>
          <w:r>
            <w:fldChar w:fldCharType="separate"/>
          </w:r>
          <w:r>
            <w:rPr>
              <w:rStyle w:val="12"/>
              <w:i w:val="0"/>
              <w:lang w:val="en-GB"/>
            </w:rPr>
            <w:t>Conclusion</w:t>
          </w:r>
          <w:r>
            <w:rPr>
              <w:i w:val="0"/>
            </w:rPr>
            <w:tab/>
          </w:r>
          <w:r>
            <w:rPr>
              <w:i w:val="0"/>
            </w:rPr>
            <w:fldChar w:fldCharType="begin"/>
          </w:r>
          <w:r>
            <w:rPr>
              <w:i w:val="0"/>
            </w:rPr>
            <w:instrText xml:space="preserve"> PAGEREF _Toc105847443 \h </w:instrText>
          </w:r>
          <w:r>
            <w:rPr>
              <w:i w:val="0"/>
            </w:rPr>
            <w:fldChar w:fldCharType="separate"/>
          </w:r>
          <w:r>
            <w:rPr>
              <w:i w:val="0"/>
            </w:rPr>
            <w:t>6</w:t>
          </w:r>
          <w:r>
            <w:rPr>
              <w:i w:val="0"/>
            </w:rPr>
            <w:fldChar w:fldCharType="end"/>
          </w:r>
          <w:r>
            <w:rPr>
              <w:i w:val="0"/>
            </w:rPr>
            <w:fldChar w:fldCharType="end"/>
          </w:r>
        </w:p>
        <w:p>
          <w:pPr>
            <w:pStyle w:val="15"/>
            <w:tabs>
              <w:tab w:val="right" w:pos="9019"/>
            </w:tabs>
            <w:spacing w:line="480" w:lineRule="auto"/>
            <w:rPr>
              <w:i w:val="0"/>
            </w:rPr>
          </w:pPr>
          <w:r>
            <w:fldChar w:fldCharType="begin"/>
          </w:r>
          <w:r>
            <w:instrText xml:space="preserve"> HYPERLINK \l "_Toc105847445" </w:instrText>
          </w:r>
          <w:r>
            <w:fldChar w:fldCharType="separate"/>
          </w:r>
          <w:r>
            <w:rPr>
              <w:rStyle w:val="12"/>
              <w:i w:val="0"/>
              <w:lang w:val="en-GB"/>
            </w:rPr>
            <w:t>References</w:t>
          </w:r>
          <w:r>
            <w:rPr>
              <w:i w:val="0"/>
            </w:rPr>
            <w:tab/>
          </w:r>
          <w:r>
            <w:rPr>
              <w:i w:val="0"/>
            </w:rPr>
            <w:fldChar w:fldCharType="begin"/>
          </w:r>
          <w:r>
            <w:rPr>
              <w:i w:val="0"/>
            </w:rPr>
            <w:instrText xml:space="preserve"> PAGEREF _Toc105847445 \h </w:instrText>
          </w:r>
          <w:r>
            <w:rPr>
              <w:i w:val="0"/>
            </w:rPr>
            <w:fldChar w:fldCharType="separate"/>
          </w:r>
          <w:r>
            <w:rPr>
              <w:i w:val="0"/>
            </w:rPr>
            <w:t>7</w:t>
          </w:r>
          <w:r>
            <w:rPr>
              <w:i w:val="0"/>
            </w:rPr>
            <w:fldChar w:fldCharType="end"/>
          </w:r>
          <w:r>
            <w:rPr>
              <w:i w:val="0"/>
            </w:rPr>
            <w:fldChar w:fldCharType="end"/>
          </w:r>
        </w:p>
        <w:p>
          <w:pPr>
            <w:pStyle w:val="15"/>
            <w:tabs>
              <w:tab w:val="right" w:pos="9019"/>
            </w:tabs>
            <w:spacing w:line="480" w:lineRule="auto"/>
          </w:pPr>
          <w:r>
            <w:fldChar w:fldCharType="begin"/>
          </w:r>
          <w:r>
            <w:instrText xml:space="preserve"> HYPERLINK \l "_Toc105847446" </w:instrText>
          </w:r>
          <w:r>
            <w:fldChar w:fldCharType="separate"/>
          </w:r>
          <w:r>
            <w:rPr>
              <w:rStyle w:val="12"/>
              <w:i w:val="0"/>
              <w:lang w:val="en-GB"/>
            </w:rPr>
            <w:t>Appendices</w:t>
          </w:r>
          <w:r>
            <w:rPr>
              <w:i w:val="0"/>
            </w:rPr>
            <w:tab/>
          </w:r>
          <w:r>
            <w:rPr>
              <w:i w:val="0"/>
            </w:rPr>
            <w:fldChar w:fldCharType="begin"/>
          </w:r>
          <w:r>
            <w:rPr>
              <w:i w:val="0"/>
            </w:rPr>
            <w:instrText xml:space="preserve"> PAGEREF _Toc105847446 \h </w:instrText>
          </w:r>
          <w:r>
            <w:rPr>
              <w:i w:val="0"/>
            </w:rPr>
            <w:fldChar w:fldCharType="separate"/>
          </w:r>
          <w:r>
            <w:rPr>
              <w:i w:val="0"/>
            </w:rPr>
            <w:t>9</w:t>
          </w:r>
          <w:r>
            <w:rPr>
              <w:i w:val="0"/>
            </w:rPr>
            <w:fldChar w:fldCharType="end"/>
          </w:r>
          <w:r>
            <w:rPr>
              <w:i w:val="0"/>
            </w:rPr>
            <w:fldChar w:fldCharType="end"/>
          </w:r>
        </w:p>
        <w:p>
          <w:pPr>
            <w:pStyle w:val="3"/>
            <w:tabs>
              <w:tab w:val="right" w:pos="9025"/>
            </w:tabs>
            <w:spacing w:before="200" w:after="80" w:line="480" w:lineRule="auto"/>
            <w:rPr>
              <w:rFonts w:ascii="Times New Roman" w:hAnsi="Times New Roman" w:eastAsia="Times New Roman" w:cs="Times New Roman"/>
              <w:sz w:val="24"/>
              <w:szCs w:val="24"/>
              <w:lang w:val="en-GB"/>
            </w:rPr>
          </w:pPr>
          <w:r>
            <w:rPr>
              <w:lang w:val="en-GB"/>
            </w:rPr>
            <w:fldChar w:fldCharType="end"/>
          </w:r>
        </w:p>
      </w:sdtContent>
    </w:sdt>
    <w:p>
      <w:pPr>
        <w:pStyle w:val="3"/>
        <w:spacing w:line="480" w:lineRule="auto"/>
        <w:rPr>
          <w:rFonts w:ascii="Times New Roman" w:hAnsi="Times New Roman" w:eastAsia="Times New Roman" w:cs="Times New Roman"/>
          <w:sz w:val="24"/>
          <w:szCs w:val="24"/>
          <w:lang w:val="en-GB"/>
        </w:rPr>
      </w:pPr>
    </w:p>
    <w:p>
      <w:pPr>
        <w:pStyle w:val="3"/>
        <w:spacing w:line="480" w:lineRule="auto"/>
        <w:jc w:val="center"/>
        <w:rPr>
          <w:rFonts w:ascii="Times New Roman" w:hAnsi="Times New Roman" w:eastAsia="Times New Roman" w:cs="Times New Roman"/>
          <w:sz w:val="24"/>
          <w:szCs w:val="24"/>
          <w:lang w:val="en-GB"/>
        </w:rPr>
      </w:pPr>
    </w:p>
    <w:p>
      <w:pPr>
        <w:pStyle w:val="3"/>
        <w:spacing w:line="480" w:lineRule="auto"/>
        <w:jc w:val="center"/>
        <w:rPr>
          <w:rFonts w:ascii="Times New Roman" w:hAnsi="Times New Roman" w:eastAsia="Times New Roman" w:cs="Times New Roman"/>
          <w:i/>
          <w:sz w:val="24"/>
          <w:szCs w:val="24"/>
          <w:lang w:val="en-GB"/>
        </w:rPr>
      </w:pPr>
    </w:p>
    <w:p>
      <w:pPr>
        <w:pStyle w:val="3"/>
        <w:spacing w:line="480" w:lineRule="auto"/>
        <w:rPr>
          <w:rFonts w:ascii="Times New Roman" w:hAnsi="Times New Roman" w:eastAsia="Times New Roman" w:cs="Times New Roman"/>
          <w:sz w:val="24"/>
          <w:szCs w:val="24"/>
          <w:u w:val="single"/>
          <w:lang w:val="en-GB"/>
        </w:rPr>
      </w:pPr>
      <w:r>
        <w:rPr>
          <w:lang w:val="en-GB"/>
        </w:rPr>
        <w:br w:type="page"/>
      </w:r>
    </w:p>
    <w:p>
      <w:pPr>
        <w:pStyle w:val="2"/>
        <w:spacing w:line="480" w:lineRule="auto"/>
        <w:rPr>
          <w:lang w:val="en-GB"/>
        </w:rPr>
      </w:pPr>
      <w:bookmarkStart w:id="0" w:name="_Toc105847441"/>
      <w:r>
        <w:rPr>
          <w:lang w:val="en-GB"/>
        </w:rPr>
        <w:t>Introduction</w:t>
      </w:r>
      <w:bookmarkEnd w:id="0"/>
      <w:r>
        <w:rPr>
          <w:lang w:val="en-GB"/>
        </w:rPr>
        <w:t xml:space="preserve"> </w:t>
      </w:r>
    </w:p>
    <w:p>
      <w:pPr>
        <w:pStyle w:val="3"/>
        <w:spacing w:line="48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The Supreme Court is highly committed to offering open and fair access to justice for every individual, and the court stands for criminal and civil law cases (Bloom, 2020). However, the major purpose of the Supreme Court is to stay unbiased, and neutral in terms of providing legal solutions, following the part of justice, and truth in order to maintain a positive, and diverse outcome for the entire country.  In order to elaborate on the diversity, and fair justice, the Supreme Court also illustrates that accessibility is also one of the vital factors for their activities.</w:t>
      </w:r>
    </w:p>
    <w:p>
      <w:pPr>
        <w:pStyle w:val="3"/>
        <w:spacing w:line="600" w:lineRule="auto"/>
        <w:jc w:val="both"/>
        <w:rPr>
          <w:rFonts w:ascii="Times New Roman" w:hAnsi="Times New Roman" w:eastAsia="Times New Roman" w:cs="Times New Roman"/>
          <w:sz w:val="24"/>
          <w:szCs w:val="24"/>
          <w:lang w:val="en-GB"/>
        </w:rPr>
      </w:pPr>
    </w:p>
    <w:p>
      <w:pPr>
        <w:pStyle w:val="2"/>
        <w:spacing w:line="480" w:lineRule="auto"/>
        <w:rPr>
          <w:lang w:val="en-GB"/>
        </w:rPr>
      </w:pPr>
      <w:bookmarkStart w:id="1" w:name="_uw9hpi16lwt9" w:colFirst="0" w:colLast="0"/>
      <w:bookmarkEnd w:id="1"/>
      <w:bookmarkStart w:id="2" w:name="_Toc105847442"/>
      <w:r>
        <w:rPr>
          <w:lang w:val="en-GB"/>
        </w:rPr>
        <w:t>Discussion</w:t>
      </w:r>
      <w:bookmarkEnd w:id="2"/>
    </w:p>
    <w:p>
      <w:pPr>
        <w:spacing w:line="480" w:lineRule="auto"/>
        <w:rPr>
          <w:rFonts w:cs="Times New Roman"/>
          <w:szCs w:val="24"/>
          <w:lang w:val="en-GB"/>
        </w:rPr>
      </w:pPr>
      <w:r>
        <w:rPr>
          <w:rFonts w:cs="Times New Roman"/>
          <w:szCs w:val="24"/>
          <w:lang w:val="en-GB"/>
        </w:rPr>
        <w:t>With specific reference to Supreme Court Justices, to what extent do you agree with the stance that diversity is of little importance?</w:t>
      </w:r>
    </w:p>
    <w:p>
      <w:pPr>
        <w:spacing w:line="480" w:lineRule="auto"/>
        <w:rPr>
          <w:rFonts w:cs="Times New Roman"/>
          <w:szCs w:val="24"/>
          <w:lang w:val="en-GB"/>
        </w:rPr>
      </w:pPr>
      <w:bookmarkStart w:id="3" w:name="_f9ac5462rnb" w:colFirst="0" w:colLast="0"/>
      <w:bookmarkEnd w:id="3"/>
      <w:r>
        <w:rPr>
          <w:rFonts w:cs="Times New Roman"/>
          <w:szCs w:val="24"/>
          <w:lang w:val="en-GB"/>
        </w:rPr>
        <w:t>The role of Supreme Court Justice</w:t>
      </w:r>
    </w:p>
    <w:p>
      <w:pPr>
        <w:pStyle w:val="3"/>
        <w:spacing w:line="48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The Supreme Court within the judicial system of U.K acts as the ultimate judge who provides the legal solution between a citizen, and the state. As opined by Fallon, (2018), Supreme Court is one of the elementary pillars of U.K. constitution, and the role of the Supreme Court judge is to offer and maintain the constitutional rights of the citizens and their services. However, the primary role of U.K. Supreme Court can be listed into three categories as The Supreme Court in U.K. offers justice to the major case conflicts that have formed between the two governments agencies, more specifically, the federal government agencies along with state governmental cases. The court also takes care of the words conveyed through the major presidential actions (Feldman, 2020). Within the UK legal system, the Supreme Court carries approximately 12 justice bodies that illustrate certain beliefs to keep the diverse force. As per the current legal system, the Appellate Committee of the House of Lords has been eliminated from the essential power level and the entire structure of the Supreme Court in U.K. has been redesigned. Currently, 12 justice bodies have been performed as the free authority, and have zero control over them through the separate parliamentarian body or governmental agencies.</w:t>
      </w:r>
    </w:p>
    <w:p>
      <w:pPr>
        <w:spacing w:line="480" w:lineRule="auto"/>
        <w:rPr>
          <w:rFonts w:cs="Times New Roman"/>
          <w:szCs w:val="24"/>
          <w:lang w:val="en-GB"/>
        </w:rPr>
      </w:pPr>
      <w:bookmarkStart w:id="4" w:name="_2hc0pvdcjmjb" w:colFirst="0" w:colLast="0"/>
      <w:bookmarkEnd w:id="4"/>
      <w:r>
        <w:rPr>
          <w:rFonts w:cs="Times New Roman"/>
          <w:szCs w:val="24"/>
          <w:lang w:val="en-GB"/>
        </w:rPr>
        <w:t xml:space="preserve">The powers of the Supreme Court </w:t>
      </w:r>
    </w:p>
    <w:p>
      <w:pPr>
        <w:pStyle w:val="3"/>
        <w:spacing w:line="48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As per U.K legal system, it has been witnessed that parliamentary dominion holds a doctrine, and U.K Supreme Court has kept it under the power boundaries. Even in some cases, the Supreme Court of U.K. legal system requires it to deliver its legal mechanism within the constitutional remedies put through in the United Kingdom, and it has no legal obligations in terms of putting the judicial review over the other countries’ governmental bodies. However, the Supreme Court of U.K. needs to maintain separate legislative limitations that have been decided by the parliamentary functionalities but these legal bodies have zero level of control over the Supreme Court in decision-making activities (Haglin </w:t>
      </w:r>
      <w:r>
        <w:rPr>
          <w:rFonts w:ascii="Times New Roman" w:hAnsi="Times New Roman" w:eastAsia="Times New Roman" w:cs="Times New Roman"/>
          <w:i/>
          <w:sz w:val="24"/>
          <w:szCs w:val="24"/>
          <w:lang w:val="en-GB"/>
        </w:rPr>
        <w:t>et al</w:t>
      </w:r>
      <w:r>
        <w:rPr>
          <w:rFonts w:ascii="Times New Roman" w:hAnsi="Times New Roman" w:eastAsia="Times New Roman" w:cs="Times New Roman"/>
          <w:sz w:val="24"/>
          <w:szCs w:val="24"/>
          <w:lang w:val="en-GB"/>
        </w:rPr>
        <w:t>., 2018). There are certain amounts of powers of Supreme Court Judges. Within the UK legal market, the Supreme Court could believe appeals that might go against High Court’s verdicts and these verdicts are predominantly formed by other courts, and tribunals in U.K can be restructured, and revised if the pertinent alterations under legislation and law are required or to be specifically for exercising the law.</w:t>
      </w:r>
    </w:p>
    <w:p>
      <w:pPr>
        <w:pStyle w:val="3"/>
        <w:spacing w:line="600" w:lineRule="auto"/>
        <w:jc w:val="both"/>
        <w:rPr>
          <w:rFonts w:ascii="Times New Roman" w:hAnsi="Times New Roman" w:eastAsia="Times New Roman" w:cs="Times New Roman"/>
          <w:sz w:val="24"/>
          <w:szCs w:val="24"/>
          <w:lang w:val="en-GB"/>
        </w:rPr>
      </w:pPr>
    </w:p>
    <w:p>
      <w:pPr>
        <w:pStyle w:val="3"/>
        <w:spacing w:line="48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From the legal perspective of U.K, it can be depicted that the Supreme Court has the major power in terms of interfering with governmental matters if it hampers the individual rights of a citizen. Apart from that, the Supreme Court also holds the power of the state and central government as they could be massively judged if the legal cases are transferred to the Supreme Court (Hemel, 2021). However, the Supreme Court within the premises of U.K. also intervenes in specific cases through the permission of the president as per the case of a specific country’s international or national matters.</w:t>
      </w:r>
    </w:p>
    <w:p>
      <w:pPr>
        <w:pStyle w:val="3"/>
        <w:spacing w:line="60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 </w:t>
      </w:r>
    </w:p>
    <w:p>
      <w:pPr>
        <w:spacing w:line="480" w:lineRule="auto"/>
        <w:rPr>
          <w:lang w:val="en-GB"/>
        </w:rPr>
      </w:pPr>
      <w:bookmarkStart w:id="5" w:name="_bnr0cclzej2" w:colFirst="0" w:colLast="0"/>
      <w:bookmarkEnd w:id="5"/>
      <w:r>
        <w:rPr>
          <w:lang w:val="en-GB"/>
        </w:rPr>
        <w:t xml:space="preserve">The ethnicity and gender of Supreme Court Decisions </w:t>
      </w:r>
    </w:p>
    <w:p>
      <w:pPr>
        <w:pStyle w:val="3"/>
        <w:spacing w:line="48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Various factors are measured within the judicial activities made by the Supreme Court of U.K. However, the factors are not limited to gender or ethnicity; however, these are ideological, legal, personal, and political factors that impact and influence decision-making. The Supreme Court within U.K. legal system believes in offering equal justice to every individual citizen, which could favourably influence the harmony and diversification values constitutionally within the country. The entire Justice System within U.K legal market is highly influenced by the specified activities conducted by the Jurist and the motive of the Judicial activity of SCs is to provide the justice liberties, and rights to the victim if they are proven innocent, and non-innocent (Hitt and Searles, 2018, p. 581). However, in certain legal areas of U.K., it has been witnessed that gender issues have influenced the “Justice-seeking” activities as in some cases female individuals are favoured within the liberal manners in comparison to the male victim.</w:t>
      </w:r>
    </w:p>
    <w:p>
      <w:pPr>
        <w:pStyle w:val="3"/>
        <w:spacing w:line="600" w:lineRule="auto"/>
        <w:jc w:val="both"/>
        <w:rPr>
          <w:rFonts w:ascii="Times New Roman" w:hAnsi="Times New Roman" w:eastAsia="Times New Roman" w:cs="Times New Roman"/>
          <w:sz w:val="24"/>
          <w:szCs w:val="24"/>
          <w:lang w:val="en-GB"/>
        </w:rPr>
      </w:pPr>
    </w:p>
    <w:p>
      <w:pPr>
        <w:spacing w:line="480" w:lineRule="auto"/>
        <w:rPr>
          <w:lang w:val="en-GB"/>
        </w:rPr>
      </w:pPr>
      <w:bookmarkStart w:id="6" w:name="_9k7dsmm0u8gd" w:colFirst="0" w:colLast="0"/>
      <w:bookmarkEnd w:id="6"/>
      <w:r>
        <w:rPr>
          <w:lang w:val="en-GB"/>
        </w:rPr>
        <w:t xml:space="preserve">The selection process for new Supreme Court appointments </w:t>
      </w:r>
    </w:p>
    <w:p>
      <w:pPr>
        <w:pStyle w:val="3"/>
        <w:spacing w:line="48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In terms of the appointment of the judges, the entire appointment procedure is massively committed within the legal perspective of the election commission that is vastly communicated under the legal guidance of the Lord Chancellor rules of UK-based parliament. In the primary stage, the candidates need to be shortlisted which is followed by the selected interviews through the particular court panel (Krewson, 2022).</w:t>
      </w:r>
    </w:p>
    <w:p>
      <w:pPr>
        <w:pStyle w:val="3"/>
        <w:spacing w:line="600" w:lineRule="auto"/>
        <w:jc w:val="both"/>
        <w:rPr>
          <w:rFonts w:ascii="Times New Roman" w:hAnsi="Times New Roman" w:eastAsia="Times New Roman" w:cs="Times New Roman"/>
          <w:b/>
          <w:i/>
          <w:sz w:val="24"/>
          <w:szCs w:val="24"/>
          <w:lang w:val="en-GB"/>
        </w:rPr>
      </w:pPr>
    </w:p>
    <w:p>
      <w:pPr>
        <w:spacing w:line="480" w:lineRule="auto"/>
        <w:rPr>
          <w:lang w:val="en-GB"/>
        </w:rPr>
      </w:pPr>
      <w:bookmarkStart w:id="7" w:name="_6li8q5bak9ym" w:colFirst="0" w:colLast="0"/>
      <w:bookmarkEnd w:id="7"/>
      <w:r>
        <w:rPr>
          <w:lang w:val="en-GB"/>
        </w:rPr>
        <w:t xml:space="preserve">The regulations and statutes to govern this process </w:t>
      </w:r>
    </w:p>
    <w:p>
      <w:pPr>
        <w:pStyle w:val="3"/>
        <w:spacing w:line="48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As per the legal perspectives of the Crime &amp; Court Act, 2013, if the regulatory body discovers specific candidates with similar capabilities, and merits then the legal authority would specify the better one who could majorly engage in the diversification within its court premises and it is just functions. In order to elaborate on the selection procedure, the case of </w:t>
      </w:r>
      <w:r>
        <w:rPr>
          <w:rFonts w:ascii="Times New Roman" w:hAnsi="Times New Roman" w:eastAsia="Times New Roman" w:cs="Times New Roman"/>
          <w:i/>
          <w:sz w:val="24"/>
          <w:szCs w:val="24"/>
          <w:lang w:val="en-GB"/>
        </w:rPr>
        <w:t>HM Treasury vs. Ahmed</w:t>
      </w:r>
      <w:r>
        <w:rPr>
          <w:rFonts w:ascii="Times New Roman" w:hAnsi="Times New Roman" w:eastAsia="Times New Roman" w:cs="Times New Roman"/>
          <w:sz w:val="24"/>
          <w:szCs w:val="24"/>
          <w:lang w:val="en-GB"/>
        </w:rPr>
        <w:t xml:space="preserve"> (2010) is going to be elaborated and based on the nature of this case; this case is specifically elaborated as the constitutional law and human rights case illustrating the legal procedure of the United Nations Act, 1946. The case is resolved around three brothers who are being suspected by the police and regulatory authority in order to have a link with the terrorist activity (</w:t>
      </w:r>
      <w:r>
        <w:rPr>
          <w:rFonts w:ascii="Times New Roman" w:hAnsi="Times New Roman" w:eastAsia="Times New Roman" w:cs="Times New Roman"/>
          <w:color w:val="222222"/>
          <w:sz w:val="24"/>
          <w:szCs w:val="24"/>
          <w:highlight w:val="white"/>
          <w:lang w:val="en-GB"/>
        </w:rPr>
        <w:t xml:space="preserve">Politics Teaching, </w:t>
      </w:r>
      <w:r>
        <w:rPr>
          <w:rFonts w:ascii="Times New Roman" w:hAnsi="Times New Roman" w:eastAsia="Times New Roman" w:cs="Times New Roman"/>
          <w:sz w:val="24"/>
          <w:szCs w:val="24"/>
          <w:lang w:val="en-GB"/>
        </w:rPr>
        <w:t>2022).  However, the three brothers have denied being attached to some terrorist groups, and the treasury board informed that the three candidates are subjected to the asset freeze. One of the important aspects of this case is that none of the suspected candidates is being charged under the Anti-Terrorism Legislation, and within this case, that the Supreme Court in U.K. questioned the judicial review. More specifically, the Supreme Court took the final call and ordered that the asset-freezing order against the three brothers be quashed. As per the above-mentioned case of Ahmed vs. The Treasury, case is considered a remarkable example of both parliamentary sovereignty, and judicial review.</w:t>
      </w:r>
    </w:p>
    <w:p>
      <w:pPr>
        <w:pStyle w:val="3"/>
        <w:spacing w:line="600" w:lineRule="auto"/>
        <w:jc w:val="both"/>
        <w:rPr>
          <w:lang w:val="en-GB"/>
        </w:rPr>
      </w:pPr>
      <w:r>
        <w:rPr>
          <w:rFonts w:ascii="Times New Roman" w:hAnsi="Times New Roman" w:eastAsia="Times New Roman" w:cs="Times New Roman"/>
          <w:sz w:val="24"/>
          <w:szCs w:val="24"/>
          <w:lang w:val="en-GB"/>
        </w:rPr>
        <w:t xml:space="preserve"> </w:t>
      </w:r>
    </w:p>
    <w:p>
      <w:pPr>
        <w:spacing w:line="480" w:lineRule="auto"/>
        <w:rPr>
          <w:lang w:val="en-GB"/>
        </w:rPr>
      </w:pPr>
      <w:r>
        <w:rPr>
          <w:lang w:val="en-GB"/>
        </w:rPr>
        <w:t xml:space="preserve">The demographics of the recent composition of Supreme Court Justices </w:t>
      </w:r>
    </w:p>
    <w:p>
      <w:pPr>
        <w:pStyle w:val="3"/>
        <w:spacing w:line="48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As per U.K judiciary body, 12 members hold the composition of one particular Presidential body and one individual deputy of the president along with 10 justices of U</w:t>
      </w:r>
      <w:r>
        <w:rPr>
          <w:rFonts w:ascii="Times New Roman" w:hAnsi="Times New Roman" w:eastAsia="Times New Roman" w:cs="Times New Roman"/>
          <w:sz w:val="24"/>
          <w:szCs w:val="24"/>
          <w:vertAlign w:val="superscript"/>
          <w:lang w:val="en-GB"/>
        </w:rPr>
        <w:t>.</w:t>
      </w:r>
      <w:r>
        <w:rPr>
          <w:rFonts w:ascii="Times New Roman" w:hAnsi="Times New Roman" w:eastAsia="Times New Roman" w:cs="Times New Roman"/>
          <w:sz w:val="24"/>
          <w:szCs w:val="24"/>
          <w:lang w:val="en-GB"/>
        </w:rPr>
        <w:t xml:space="preserve">K. SC. This specified legal body composition is predominantly operated under section 23 (6) within the Constitutional Reforming Act, 2005 in U.K market. However, both the deputy and president are selected in a different manner within the judiciary board. As per the report provided by the year 2015, the separate Judiciary Board of Wales and England carry approximately 25 percent of the female candidates however; the rate was growing up to 34 percent as per the current judicial composition. Apart from the above-mentioned factor, in the current judiciary system, approximately 6 to 8 percent of verified Judges are from the minority and judicial backgrounds (Morgan, 2021). As per the report of 2021, the combined percentage of white ethnicity within the judiciary body is approximately 91.5 percent, whereas the minorities, ethnic, and black people comprise just above 8.5 percent (Nelson, and Tucker, 2021, p. 770). </w:t>
      </w:r>
    </w:p>
    <w:p>
      <w:pPr>
        <w:spacing w:line="600" w:lineRule="auto"/>
        <w:rPr>
          <w:lang w:val="en-GB"/>
        </w:rPr>
      </w:pPr>
      <w:bookmarkStart w:id="8" w:name="_yf9nrzg1t4zu" w:colFirst="0" w:colLast="0"/>
      <w:bookmarkEnd w:id="8"/>
    </w:p>
    <w:p>
      <w:pPr>
        <w:spacing w:line="480" w:lineRule="auto"/>
        <w:rPr>
          <w:lang w:val="en-GB"/>
        </w:rPr>
      </w:pPr>
      <w:r>
        <w:rPr>
          <w:lang w:val="en-GB"/>
        </w:rPr>
        <w:t xml:space="preserve">The solutions to tackle the problems </w:t>
      </w:r>
    </w:p>
    <w:p>
      <w:pPr>
        <w:pStyle w:val="3"/>
        <w:spacing w:line="48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As per the perspective of the UK judicial system, the judicial activism issues are one of the dominant factors and it has been illustrated here to realize that neither any specific judicial system has been constitutionally adopted nor it has been subjected to any kind of direct legalized approach for any individual case review. In order to understand the problem, the case </w:t>
      </w:r>
      <w:r>
        <w:rPr>
          <w:rFonts w:ascii="Times New Roman" w:hAnsi="Times New Roman" w:eastAsia="Times New Roman" w:cs="Times New Roman"/>
          <w:i/>
          <w:sz w:val="24"/>
          <w:szCs w:val="24"/>
          <w:lang w:val="en-GB"/>
        </w:rPr>
        <w:t xml:space="preserve">Conway vs Rimmer of 1968 </w:t>
      </w:r>
      <w:r>
        <w:rPr>
          <w:rFonts w:ascii="Times New Roman" w:hAnsi="Times New Roman" w:eastAsia="Times New Roman" w:cs="Times New Roman"/>
          <w:sz w:val="24"/>
          <w:szCs w:val="24"/>
          <w:lang w:val="en-GB"/>
        </w:rPr>
        <w:t>could be implemented to identify the specific intervention of the judicial system (</w:t>
      </w:r>
      <w:r>
        <w:rPr>
          <w:rFonts w:ascii="Times New Roman" w:hAnsi="Times New Roman" w:eastAsia="Times New Roman" w:cs="Times New Roman"/>
          <w:color w:val="222222"/>
          <w:sz w:val="24"/>
          <w:szCs w:val="24"/>
          <w:highlight w:val="white"/>
          <w:lang w:val="en-GB"/>
        </w:rPr>
        <w:t xml:space="preserve">Weinshall </w:t>
      </w:r>
      <w:r>
        <w:rPr>
          <w:rFonts w:ascii="Times New Roman" w:hAnsi="Times New Roman" w:eastAsia="Times New Roman" w:cs="Times New Roman"/>
          <w:i/>
          <w:color w:val="222222"/>
          <w:sz w:val="24"/>
          <w:szCs w:val="24"/>
          <w:highlight w:val="white"/>
          <w:lang w:val="en-GB"/>
        </w:rPr>
        <w:t>et al.,</w:t>
      </w:r>
      <w:r>
        <w:rPr>
          <w:rFonts w:ascii="Times New Roman" w:hAnsi="Times New Roman" w:eastAsia="Times New Roman" w:cs="Times New Roman"/>
          <w:color w:val="222222"/>
          <w:sz w:val="24"/>
          <w:szCs w:val="24"/>
          <w:highlight w:val="white"/>
          <w:lang w:val="en-GB"/>
        </w:rPr>
        <w:t xml:space="preserve"> 2018)</w:t>
      </w:r>
      <w:r>
        <w:rPr>
          <w:rFonts w:ascii="Times New Roman" w:hAnsi="Times New Roman" w:eastAsia="Times New Roman" w:cs="Times New Roman"/>
          <w:sz w:val="24"/>
          <w:szCs w:val="24"/>
          <w:lang w:val="en-GB"/>
        </w:rPr>
        <w:t>. Based on the case, Rimmer is a superintendent and Conway was a constable at the Cheshire Constabulary for approximately two years. Based on the case, Rimmer accused Conway of having stolen his torch for which he was warned to be removed from his job position without having any kind of valid evidence. However, the legal session caused the accused to be exposed to his confidential information completely. These specific legal damages were appealed as the judicial activism case where the accused individual would never be found guilty, and the entire legal procedure was turned in his favour. Since this acknowledgment, the judiciary body has appealed to the court in terms of legalizing the judicial activism to be followed constitutionally.</w:t>
      </w:r>
      <w:bookmarkStart w:id="9" w:name="_Toc105847443"/>
    </w:p>
    <w:p>
      <w:pPr>
        <w:pStyle w:val="3"/>
        <w:spacing w:line="600" w:lineRule="auto"/>
        <w:jc w:val="both"/>
        <w:rPr>
          <w:rFonts w:ascii="Times New Roman" w:hAnsi="Times New Roman" w:eastAsia="Times New Roman" w:cs="Times New Roman"/>
          <w:sz w:val="24"/>
          <w:szCs w:val="24"/>
          <w:lang w:val="en-GB"/>
        </w:rPr>
      </w:pPr>
    </w:p>
    <w:p>
      <w:pPr>
        <w:pStyle w:val="2"/>
        <w:rPr>
          <w:lang w:val="en-GB"/>
        </w:rPr>
      </w:pPr>
      <w:r>
        <w:rPr>
          <w:lang w:val="en-GB"/>
        </w:rPr>
        <w:t>Conclusion</w:t>
      </w:r>
      <w:bookmarkEnd w:id="9"/>
      <w:r>
        <w:rPr>
          <w:lang w:val="en-GB"/>
        </w:rPr>
        <w:t xml:space="preserve"> </w:t>
      </w:r>
    </w:p>
    <w:p>
      <w:pPr>
        <w:pStyle w:val="2"/>
        <w:spacing w:line="480" w:lineRule="auto"/>
        <w:rPr>
          <w:lang w:val="en-GB"/>
        </w:rPr>
      </w:pPr>
      <w:bookmarkStart w:id="10" w:name="_6six7mvyraus" w:colFirst="0" w:colLast="0"/>
      <w:bookmarkEnd w:id="10"/>
      <w:bookmarkStart w:id="11" w:name="_Toc105847444"/>
      <w:r>
        <w:rPr>
          <w:b w:val="0"/>
          <w:lang w:val="en-GB"/>
        </w:rPr>
        <w:t>From the above discussion, it can be elaborated that it is very important for the Supreme Court in U.K. to understand the value of diversification within the legal practices and acknowledge the diversity within the different areas of the regulatory body that might help the judges to maintain the uniformity within their legal practices. However, from the above study, the selection procedure OF Supreme Court Judges is elaborated with proper justification, by mentioning the two different cases.</w:t>
      </w:r>
      <w:bookmarkEnd w:id="11"/>
      <w:r>
        <w:rPr>
          <w:b w:val="0"/>
          <w:lang w:val="en-GB"/>
        </w:rPr>
        <w:t xml:space="preserve"> </w:t>
      </w:r>
    </w:p>
    <w:p>
      <w:pPr>
        <w:pStyle w:val="3"/>
        <w:spacing w:line="480" w:lineRule="auto"/>
        <w:jc w:val="both"/>
        <w:rPr>
          <w:rFonts w:ascii="Times New Roman" w:hAnsi="Times New Roman" w:eastAsia="Times New Roman" w:cs="Times New Roman"/>
          <w:b/>
          <w:sz w:val="24"/>
          <w:szCs w:val="24"/>
          <w:lang w:val="en-GB"/>
        </w:rPr>
      </w:pPr>
      <w:r>
        <w:rPr>
          <w:lang w:val="en-GB"/>
        </w:rPr>
        <w:br w:type="page"/>
      </w:r>
    </w:p>
    <w:p>
      <w:pPr>
        <w:pStyle w:val="2"/>
        <w:spacing w:line="480" w:lineRule="auto"/>
        <w:rPr>
          <w:lang w:val="en-GB"/>
        </w:rPr>
      </w:pPr>
      <w:bookmarkStart w:id="12" w:name="_Toc105847445"/>
      <w:r>
        <w:rPr>
          <w:lang w:val="en-GB"/>
        </w:rPr>
        <w:t>References</w:t>
      </w:r>
      <w:bookmarkEnd w:id="12"/>
      <w:r>
        <w:rPr>
          <w:lang w:val="en-GB"/>
        </w:rPr>
        <w:t xml:space="preserve"> </w:t>
      </w:r>
    </w:p>
    <w:p>
      <w:pPr>
        <w:pStyle w:val="3"/>
        <w:spacing w:before="240" w:after="240" w:line="480" w:lineRule="auto"/>
        <w:jc w:val="both"/>
        <w:rPr>
          <w:rFonts w:ascii="Times New Roman" w:hAnsi="Times New Roman" w:eastAsia="Times New Roman" w:cs="Times New Roman"/>
          <w:color w:val="1155CC"/>
          <w:sz w:val="24"/>
          <w:szCs w:val="24"/>
          <w:u w:val="single"/>
          <w:lang w:val="en-GB"/>
        </w:rPr>
      </w:pPr>
      <w:r>
        <w:rPr>
          <w:rFonts w:ascii="Times New Roman" w:hAnsi="Times New Roman" w:eastAsia="Times New Roman" w:cs="Times New Roman"/>
          <w:sz w:val="24"/>
          <w:szCs w:val="24"/>
          <w:lang w:val="en-GB"/>
        </w:rPr>
        <w:t xml:space="preserve">Bloom Jr, L.H., 2020. " Lawyers' Work": Does the Court Have a Legitimacy Crisis?. </w:t>
      </w:r>
      <w:r>
        <w:rPr>
          <w:rFonts w:ascii="Times New Roman" w:hAnsi="Times New Roman" w:eastAsia="Times New Roman" w:cs="Times New Roman"/>
          <w:i/>
          <w:sz w:val="24"/>
          <w:szCs w:val="24"/>
          <w:lang w:val="en-GB"/>
        </w:rPr>
        <w:t>. Mary's LJ</w:t>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i/>
          <w:sz w:val="24"/>
          <w:szCs w:val="24"/>
          <w:lang w:val="en-GB"/>
        </w:rPr>
        <w:t>52</w:t>
      </w:r>
      <w:r>
        <w:rPr>
          <w:rFonts w:ascii="Times New Roman" w:hAnsi="Times New Roman" w:eastAsia="Times New Roman" w:cs="Times New Roman"/>
          <w:sz w:val="24"/>
          <w:szCs w:val="24"/>
          <w:lang w:val="en-GB"/>
        </w:rPr>
        <w:t>, p.285.</w:t>
      </w:r>
      <w:r>
        <w:fldChar w:fldCharType="begin"/>
      </w:r>
      <w:r>
        <w:instrText xml:space="preserve"> HYPERLINK "https://commons.stmarytx.edu/cgi/viewcontent.cgi?article=1103&amp;context=thestmaryslawjournal" \h </w:instrText>
      </w:r>
      <w:r>
        <w:fldChar w:fldCharType="separate"/>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sz w:val="24"/>
          <w:szCs w:val="24"/>
          <w:lang w:val="en-GB"/>
        </w:rPr>
        <w:fldChar w:fldCharType="end"/>
      </w:r>
      <w:r>
        <w:fldChar w:fldCharType="begin"/>
      </w:r>
      <w:r>
        <w:instrText xml:space="preserve"> HYPERLINK "https://commons.stmarytx.edu/cgi/viewcontent.cgi?article=1103&amp;context=thestmaryslawjournal" \h </w:instrText>
      </w:r>
      <w:r>
        <w:fldChar w:fldCharType="separate"/>
      </w:r>
      <w:r>
        <w:rPr>
          <w:rFonts w:ascii="Times New Roman" w:hAnsi="Times New Roman" w:eastAsia="Times New Roman" w:cs="Times New Roman"/>
          <w:color w:val="1155CC"/>
          <w:sz w:val="24"/>
          <w:szCs w:val="24"/>
          <w:u w:val="single"/>
          <w:lang w:val="en-GB"/>
        </w:rPr>
        <w:t>https://commons.stmarytx.edu/cgi/viewcontent.cgi?article=1103&amp;context=thestmaryslawjournal</w:t>
      </w:r>
      <w:r>
        <w:rPr>
          <w:rFonts w:ascii="Times New Roman" w:hAnsi="Times New Roman" w:eastAsia="Times New Roman" w:cs="Times New Roman"/>
          <w:color w:val="1155CC"/>
          <w:sz w:val="24"/>
          <w:szCs w:val="24"/>
          <w:u w:val="single"/>
          <w:lang w:val="en-GB"/>
        </w:rPr>
        <w:fldChar w:fldCharType="end"/>
      </w:r>
    </w:p>
    <w:p>
      <w:pPr>
        <w:pStyle w:val="3"/>
        <w:spacing w:before="240" w:after="240" w:line="480" w:lineRule="auto"/>
        <w:jc w:val="both"/>
        <w:rPr>
          <w:rFonts w:ascii="Times New Roman" w:hAnsi="Times New Roman" w:eastAsia="Times New Roman" w:cs="Times New Roman"/>
          <w:color w:val="1155CC"/>
          <w:sz w:val="24"/>
          <w:szCs w:val="24"/>
          <w:u w:val="single"/>
          <w:lang w:val="en-GB"/>
        </w:rPr>
      </w:pPr>
      <w:r>
        <w:rPr>
          <w:rFonts w:ascii="Times New Roman" w:hAnsi="Times New Roman" w:eastAsia="Times New Roman" w:cs="Times New Roman"/>
          <w:sz w:val="24"/>
          <w:szCs w:val="24"/>
          <w:lang w:val="en-GB"/>
        </w:rPr>
        <w:t xml:space="preserve">Fallon, R.H., 2018. Law and legitimacy in the Supreme Court. In </w:t>
      </w:r>
      <w:r>
        <w:rPr>
          <w:rFonts w:ascii="Times New Roman" w:hAnsi="Times New Roman" w:eastAsia="Times New Roman" w:cs="Times New Roman"/>
          <w:i/>
          <w:sz w:val="24"/>
          <w:szCs w:val="24"/>
          <w:lang w:val="en-GB"/>
        </w:rPr>
        <w:t>Law and Legitimacy in the Supreme Court</w:t>
      </w:r>
      <w:r>
        <w:rPr>
          <w:rFonts w:ascii="Times New Roman" w:hAnsi="Times New Roman" w:eastAsia="Times New Roman" w:cs="Times New Roman"/>
          <w:sz w:val="24"/>
          <w:szCs w:val="24"/>
          <w:lang w:val="en-GB"/>
        </w:rPr>
        <w:t>. Harvard University Press.</w:t>
      </w:r>
      <w:r>
        <w:fldChar w:fldCharType="begin"/>
      </w:r>
      <w:r>
        <w:instrText xml:space="preserve"> HYPERLINK "https://www.degruyter.com/document/doi/10.4159/9780674986114/pdf" \h </w:instrText>
      </w:r>
      <w:r>
        <w:fldChar w:fldCharType="separate"/>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sz w:val="24"/>
          <w:szCs w:val="24"/>
          <w:lang w:val="en-GB"/>
        </w:rPr>
        <w:fldChar w:fldCharType="end"/>
      </w:r>
      <w:r>
        <w:fldChar w:fldCharType="begin"/>
      </w:r>
      <w:r>
        <w:instrText xml:space="preserve"> HYPERLINK "https://www.degruyter.com/document/doi/10.4159/9780674986114/pdf" \h </w:instrText>
      </w:r>
      <w:r>
        <w:fldChar w:fldCharType="separate"/>
      </w:r>
      <w:r>
        <w:rPr>
          <w:rFonts w:ascii="Times New Roman" w:hAnsi="Times New Roman" w:eastAsia="Times New Roman" w:cs="Times New Roman"/>
          <w:color w:val="1155CC"/>
          <w:sz w:val="24"/>
          <w:szCs w:val="24"/>
          <w:u w:val="single"/>
          <w:lang w:val="en-GB"/>
        </w:rPr>
        <w:t>https://www.degruyter.com/document/doi/10.4159/9780674986114/pdf</w:t>
      </w:r>
      <w:r>
        <w:rPr>
          <w:rFonts w:ascii="Times New Roman" w:hAnsi="Times New Roman" w:eastAsia="Times New Roman" w:cs="Times New Roman"/>
          <w:color w:val="1155CC"/>
          <w:sz w:val="24"/>
          <w:szCs w:val="24"/>
          <w:u w:val="single"/>
          <w:lang w:val="en-GB"/>
        </w:rPr>
        <w:fldChar w:fldCharType="end"/>
      </w:r>
    </w:p>
    <w:p>
      <w:pPr>
        <w:pStyle w:val="3"/>
        <w:spacing w:before="240" w:after="240" w:line="480" w:lineRule="auto"/>
        <w:jc w:val="both"/>
        <w:rPr>
          <w:rFonts w:ascii="Times New Roman" w:hAnsi="Times New Roman" w:eastAsia="Times New Roman" w:cs="Times New Roman"/>
          <w:color w:val="1155CC"/>
          <w:sz w:val="24"/>
          <w:szCs w:val="24"/>
          <w:u w:val="single"/>
          <w:lang w:val="en-GB"/>
        </w:rPr>
      </w:pPr>
      <w:r>
        <w:rPr>
          <w:rFonts w:ascii="Times New Roman" w:hAnsi="Times New Roman" w:eastAsia="Times New Roman" w:cs="Times New Roman"/>
          <w:sz w:val="24"/>
          <w:szCs w:val="24"/>
          <w:lang w:val="en-GB"/>
        </w:rPr>
        <w:t xml:space="preserve">Feldman, S.M., 2020. Court-Packing Time? Supreme Court Legitimacy and Positivity Theory. </w:t>
      </w:r>
      <w:r>
        <w:rPr>
          <w:rFonts w:ascii="Times New Roman" w:hAnsi="Times New Roman" w:eastAsia="Times New Roman" w:cs="Times New Roman"/>
          <w:i/>
          <w:sz w:val="24"/>
          <w:szCs w:val="24"/>
          <w:lang w:val="en-GB"/>
        </w:rPr>
        <w:t>Buff. L. Rev.</w:t>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i/>
          <w:sz w:val="24"/>
          <w:szCs w:val="24"/>
          <w:lang w:val="en-GB"/>
        </w:rPr>
        <w:t>68</w:t>
      </w:r>
      <w:r>
        <w:rPr>
          <w:rFonts w:ascii="Times New Roman" w:hAnsi="Times New Roman" w:eastAsia="Times New Roman" w:cs="Times New Roman"/>
          <w:sz w:val="24"/>
          <w:szCs w:val="24"/>
          <w:lang w:val="en-GB"/>
        </w:rPr>
        <w:t>, p.1519.</w:t>
      </w:r>
      <w:r>
        <w:fldChar w:fldCharType="begin"/>
      </w:r>
      <w:r>
        <w:instrText xml:space="preserve"> HYPERLINK "https://digitalcommons.law.buffalo.edu/cgi/viewcontent.cgi?article=4892&amp;context=buffalolawreview" \h </w:instrText>
      </w:r>
      <w:r>
        <w:fldChar w:fldCharType="separate"/>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sz w:val="24"/>
          <w:szCs w:val="24"/>
          <w:lang w:val="en-GB"/>
        </w:rPr>
        <w:fldChar w:fldCharType="end"/>
      </w:r>
      <w:r>
        <w:fldChar w:fldCharType="begin"/>
      </w:r>
      <w:r>
        <w:instrText xml:space="preserve"> HYPERLINK "https://digitalcommons.law.buffalo.edu/cgi/viewcontent.cgi?article=4892&amp;context=buffalolawreview" \h </w:instrText>
      </w:r>
      <w:r>
        <w:fldChar w:fldCharType="separate"/>
      </w:r>
      <w:r>
        <w:rPr>
          <w:rFonts w:ascii="Times New Roman" w:hAnsi="Times New Roman" w:eastAsia="Times New Roman" w:cs="Times New Roman"/>
          <w:color w:val="1155CC"/>
          <w:sz w:val="24"/>
          <w:szCs w:val="24"/>
          <w:u w:val="single"/>
          <w:lang w:val="en-GB"/>
        </w:rPr>
        <w:t>https://digitalcommons.law.buffalo.edu/cgi/viewcontent.cgi?article=4892&amp;context=buffalolawreview</w:t>
      </w:r>
      <w:r>
        <w:rPr>
          <w:rFonts w:ascii="Times New Roman" w:hAnsi="Times New Roman" w:eastAsia="Times New Roman" w:cs="Times New Roman"/>
          <w:color w:val="1155CC"/>
          <w:sz w:val="24"/>
          <w:szCs w:val="24"/>
          <w:u w:val="single"/>
          <w:lang w:val="en-GB"/>
        </w:rPr>
        <w:fldChar w:fldCharType="end"/>
      </w:r>
    </w:p>
    <w:p>
      <w:pPr>
        <w:pStyle w:val="3"/>
        <w:spacing w:before="240" w:after="240" w:line="480" w:lineRule="auto"/>
        <w:jc w:val="both"/>
        <w:rPr>
          <w:rFonts w:ascii="Times New Roman" w:hAnsi="Times New Roman" w:eastAsia="Times New Roman" w:cs="Times New Roman"/>
          <w:color w:val="1155CC"/>
          <w:sz w:val="24"/>
          <w:szCs w:val="24"/>
          <w:u w:val="single"/>
          <w:lang w:val="en-GB"/>
        </w:rPr>
      </w:pPr>
      <w:r>
        <w:rPr>
          <w:rFonts w:ascii="Times New Roman" w:hAnsi="Times New Roman" w:eastAsia="Times New Roman" w:cs="Times New Roman"/>
          <w:sz w:val="24"/>
          <w:szCs w:val="24"/>
          <w:lang w:val="en-GB"/>
        </w:rPr>
        <w:t>Haglin, K., Jordan, S., Merrill, A.H. and Ura, J.D., 2018. Ideology and Public Support for the Supreme Court.</w:t>
      </w:r>
      <w:r>
        <w:fldChar w:fldCharType="begin"/>
      </w:r>
      <w:r>
        <w:instrText xml:space="preserve"> HYPERLINK "https://osf.io/unbmh/download" \h </w:instrText>
      </w:r>
      <w:r>
        <w:fldChar w:fldCharType="separate"/>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sz w:val="24"/>
          <w:szCs w:val="24"/>
          <w:lang w:val="en-GB"/>
        </w:rPr>
        <w:fldChar w:fldCharType="end"/>
      </w:r>
      <w:r>
        <w:fldChar w:fldCharType="begin"/>
      </w:r>
      <w:r>
        <w:instrText xml:space="preserve"> HYPERLINK "https://osf.io/unbmh/download" \h </w:instrText>
      </w:r>
      <w:r>
        <w:fldChar w:fldCharType="separate"/>
      </w:r>
      <w:r>
        <w:rPr>
          <w:rFonts w:ascii="Times New Roman" w:hAnsi="Times New Roman" w:eastAsia="Times New Roman" w:cs="Times New Roman"/>
          <w:color w:val="1155CC"/>
          <w:sz w:val="24"/>
          <w:szCs w:val="24"/>
          <w:u w:val="single"/>
          <w:lang w:val="en-GB"/>
        </w:rPr>
        <w:t>https://osf.io/unbmh/download</w:t>
      </w:r>
      <w:r>
        <w:rPr>
          <w:rFonts w:ascii="Times New Roman" w:hAnsi="Times New Roman" w:eastAsia="Times New Roman" w:cs="Times New Roman"/>
          <w:color w:val="1155CC"/>
          <w:sz w:val="24"/>
          <w:szCs w:val="24"/>
          <w:u w:val="single"/>
          <w:lang w:val="en-GB"/>
        </w:rPr>
        <w:fldChar w:fldCharType="end"/>
      </w:r>
    </w:p>
    <w:p>
      <w:pPr>
        <w:pStyle w:val="3"/>
        <w:spacing w:before="240" w:after="240" w:line="480" w:lineRule="auto"/>
        <w:jc w:val="both"/>
        <w:rPr>
          <w:rFonts w:ascii="Times New Roman" w:hAnsi="Times New Roman" w:eastAsia="Times New Roman" w:cs="Times New Roman"/>
          <w:color w:val="1155CC"/>
          <w:sz w:val="24"/>
          <w:szCs w:val="24"/>
          <w:u w:val="single"/>
          <w:lang w:val="en-GB"/>
        </w:rPr>
      </w:pPr>
      <w:r>
        <w:rPr>
          <w:rFonts w:ascii="Times New Roman" w:hAnsi="Times New Roman" w:eastAsia="Times New Roman" w:cs="Times New Roman"/>
          <w:sz w:val="24"/>
          <w:szCs w:val="24"/>
          <w:lang w:val="en-GB"/>
        </w:rPr>
        <w:t xml:space="preserve">Hemel, D., 2021. Can Structural Changes Fix the Supreme Court?. </w:t>
      </w:r>
      <w:r>
        <w:rPr>
          <w:rFonts w:ascii="Times New Roman" w:hAnsi="Times New Roman" w:eastAsia="Times New Roman" w:cs="Times New Roman"/>
          <w:i/>
          <w:sz w:val="24"/>
          <w:szCs w:val="24"/>
          <w:lang w:val="en-GB"/>
        </w:rPr>
        <w:t>Journal of Economic Perspectives</w:t>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i/>
          <w:sz w:val="24"/>
          <w:szCs w:val="24"/>
          <w:lang w:val="en-GB"/>
        </w:rPr>
        <w:t>35</w:t>
      </w:r>
      <w:r>
        <w:rPr>
          <w:rFonts w:ascii="Times New Roman" w:hAnsi="Times New Roman" w:eastAsia="Times New Roman" w:cs="Times New Roman"/>
          <w:sz w:val="24"/>
          <w:szCs w:val="24"/>
          <w:lang w:val="en-GB"/>
        </w:rPr>
        <w:t>(1), pp.119-42.</w:t>
      </w:r>
      <w:r>
        <w:fldChar w:fldCharType="begin"/>
      </w:r>
      <w:r>
        <w:instrText xml:space="preserve"> HYPERLINK "https://pubs.aeaweb.org/doi/pdfplus/10.1257/jep.35.1.119" \h </w:instrText>
      </w:r>
      <w:r>
        <w:fldChar w:fldCharType="separate"/>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sz w:val="24"/>
          <w:szCs w:val="24"/>
          <w:lang w:val="en-GB"/>
        </w:rPr>
        <w:fldChar w:fldCharType="end"/>
      </w:r>
      <w:r>
        <w:fldChar w:fldCharType="begin"/>
      </w:r>
      <w:r>
        <w:instrText xml:space="preserve"> HYPERLINK "https://pubs.aeaweb.org/doi/pdfplus/10.1257/jep.35.1.119" \h </w:instrText>
      </w:r>
      <w:r>
        <w:fldChar w:fldCharType="separate"/>
      </w:r>
      <w:r>
        <w:rPr>
          <w:rFonts w:ascii="Times New Roman" w:hAnsi="Times New Roman" w:eastAsia="Times New Roman" w:cs="Times New Roman"/>
          <w:color w:val="1155CC"/>
          <w:sz w:val="24"/>
          <w:szCs w:val="24"/>
          <w:u w:val="single"/>
          <w:lang w:val="en-GB"/>
        </w:rPr>
        <w:t>https://pubs.aeaweb.org/doi/pdfplus/10.1257/jep.35.1.119</w:t>
      </w:r>
      <w:r>
        <w:rPr>
          <w:rFonts w:ascii="Times New Roman" w:hAnsi="Times New Roman" w:eastAsia="Times New Roman" w:cs="Times New Roman"/>
          <w:color w:val="1155CC"/>
          <w:sz w:val="24"/>
          <w:szCs w:val="24"/>
          <w:u w:val="single"/>
          <w:lang w:val="en-GB"/>
        </w:rPr>
        <w:fldChar w:fldCharType="end"/>
      </w:r>
    </w:p>
    <w:p>
      <w:pPr>
        <w:pStyle w:val="3"/>
        <w:spacing w:before="240" w:after="240" w:line="480" w:lineRule="auto"/>
        <w:jc w:val="both"/>
        <w:rPr>
          <w:rFonts w:ascii="Times New Roman" w:hAnsi="Times New Roman" w:eastAsia="Times New Roman" w:cs="Times New Roman"/>
          <w:color w:val="1155CC"/>
          <w:sz w:val="24"/>
          <w:szCs w:val="24"/>
          <w:u w:val="single"/>
          <w:lang w:val="en-GB"/>
        </w:rPr>
      </w:pPr>
      <w:r>
        <w:rPr>
          <w:rFonts w:ascii="Times New Roman" w:hAnsi="Times New Roman" w:eastAsia="Times New Roman" w:cs="Times New Roman"/>
          <w:sz w:val="24"/>
          <w:szCs w:val="24"/>
          <w:lang w:val="en-GB"/>
        </w:rPr>
        <w:t xml:space="preserve">Hitt, M.P. and Searles, K., 2018. Media coverage and public approval of the US Supreme Court. </w:t>
      </w:r>
      <w:r>
        <w:rPr>
          <w:rFonts w:ascii="Times New Roman" w:hAnsi="Times New Roman" w:eastAsia="Times New Roman" w:cs="Times New Roman"/>
          <w:i/>
          <w:sz w:val="24"/>
          <w:szCs w:val="24"/>
          <w:lang w:val="en-GB"/>
        </w:rPr>
        <w:t>Political Communication</w:t>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i/>
          <w:sz w:val="24"/>
          <w:szCs w:val="24"/>
          <w:lang w:val="en-GB"/>
        </w:rPr>
        <w:t>35</w:t>
      </w:r>
      <w:r>
        <w:rPr>
          <w:rFonts w:ascii="Times New Roman" w:hAnsi="Times New Roman" w:eastAsia="Times New Roman" w:cs="Times New Roman"/>
          <w:sz w:val="24"/>
          <w:szCs w:val="24"/>
          <w:lang w:val="en-GB"/>
        </w:rPr>
        <w:t>(4), pp.566-586.</w:t>
      </w:r>
      <w:r>
        <w:fldChar w:fldCharType="begin"/>
      </w:r>
      <w:r>
        <w:instrText xml:space="preserve"> HYPERLINK "https://www.researchgate.net/profile/Matthew-Hitt/publication/325352200_Media_Coverage_and_Public_Approval_of_the_US_Supreme_Court/links/5b0d76724585157f87211e67/Media-Coverage-and-Public-Approval-of-the-US-Supreme-Court.pdf" \h </w:instrText>
      </w:r>
      <w:r>
        <w:fldChar w:fldCharType="separate"/>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sz w:val="24"/>
          <w:szCs w:val="24"/>
          <w:lang w:val="en-GB"/>
        </w:rPr>
        <w:fldChar w:fldCharType="end"/>
      </w:r>
      <w:r>
        <w:fldChar w:fldCharType="begin"/>
      </w:r>
      <w:r>
        <w:instrText xml:space="preserve"> HYPERLINK "https://www.researchgate.net/profile/Matthew-Hitt/publication/325352200_Media_Coverage_and_Public_Approval_of_the_US_Supreme_Court/links/5b0d76724585157f87211e67/Media-Coverage-and-Public-Approval-of-the-US-Supreme-Court.pdf" \h </w:instrText>
      </w:r>
      <w:r>
        <w:fldChar w:fldCharType="separate"/>
      </w:r>
      <w:r>
        <w:rPr>
          <w:rFonts w:ascii="Times New Roman" w:hAnsi="Times New Roman" w:eastAsia="Times New Roman" w:cs="Times New Roman"/>
          <w:color w:val="1155CC"/>
          <w:sz w:val="24"/>
          <w:szCs w:val="24"/>
          <w:u w:val="single"/>
          <w:lang w:val="en-GB"/>
        </w:rPr>
        <w:t>https://www.researchgate.net/profile/Matthew-Hitt/publication/325352200_Media_Coverage_and_Public_Approval_of_the_US_Supreme_Court/links/5b0d76724585157f87211e67/Media-Coverage-and-Public-Approval-of-the-US-Supreme-Court.pdf</w:t>
      </w:r>
      <w:r>
        <w:rPr>
          <w:rFonts w:ascii="Times New Roman" w:hAnsi="Times New Roman" w:eastAsia="Times New Roman" w:cs="Times New Roman"/>
          <w:color w:val="1155CC"/>
          <w:sz w:val="24"/>
          <w:szCs w:val="24"/>
          <w:u w:val="single"/>
          <w:lang w:val="en-GB"/>
        </w:rPr>
        <w:fldChar w:fldCharType="end"/>
      </w:r>
    </w:p>
    <w:p>
      <w:pPr>
        <w:pStyle w:val="3"/>
        <w:spacing w:before="240" w:after="240" w:line="480" w:lineRule="auto"/>
        <w:jc w:val="both"/>
        <w:rPr>
          <w:rFonts w:ascii="Times New Roman" w:hAnsi="Times New Roman" w:eastAsia="Times New Roman" w:cs="Times New Roman"/>
          <w:color w:val="1155CC"/>
          <w:sz w:val="24"/>
          <w:szCs w:val="24"/>
          <w:u w:val="single"/>
          <w:lang w:val="en-GB"/>
        </w:rPr>
      </w:pPr>
      <w:r>
        <w:rPr>
          <w:rFonts w:ascii="Times New Roman" w:hAnsi="Times New Roman" w:eastAsia="Times New Roman" w:cs="Times New Roman"/>
          <w:sz w:val="24"/>
          <w:szCs w:val="24"/>
          <w:lang w:val="en-GB"/>
        </w:rPr>
        <w:t xml:space="preserve">Krewson, C.N., 2022. Political Hearings Reinforce Legal Norms: Confirmation Hearings and Views of the United States Supreme Court. </w:t>
      </w:r>
      <w:r>
        <w:rPr>
          <w:rFonts w:ascii="Times New Roman" w:hAnsi="Times New Roman" w:eastAsia="Times New Roman" w:cs="Times New Roman"/>
          <w:i/>
          <w:sz w:val="24"/>
          <w:szCs w:val="24"/>
          <w:lang w:val="en-GB"/>
        </w:rPr>
        <w:t>Political Research Quarterly</w:t>
      </w:r>
      <w:r>
        <w:rPr>
          <w:rFonts w:ascii="Times New Roman" w:hAnsi="Times New Roman" w:eastAsia="Times New Roman" w:cs="Times New Roman"/>
          <w:sz w:val="24"/>
          <w:szCs w:val="24"/>
          <w:lang w:val="en-GB"/>
        </w:rPr>
        <w:t>, p.10659129221094877.</w:t>
      </w:r>
      <w:r>
        <w:fldChar w:fldCharType="begin"/>
      </w:r>
      <w:r>
        <w:instrText xml:space="preserve"> HYPERLINK "https://www.christopherkrewson.com/wp-content/uploads/2022/04/Barret.pdf" \h </w:instrText>
      </w:r>
      <w:r>
        <w:fldChar w:fldCharType="separate"/>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sz w:val="24"/>
          <w:szCs w:val="24"/>
          <w:lang w:val="en-GB"/>
        </w:rPr>
        <w:fldChar w:fldCharType="end"/>
      </w:r>
      <w:r>
        <w:fldChar w:fldCharType="begin"/>
      </w:r>
      <w:r>
        <w:instrText xml:space="preserve"> HYPERLINK "https://www.christopherkrewson.com/wp-content/uploads/2022/04/Barret.pdf" \h </w:instrText>
      </w:r>
      <w:r>
        <w:fldChar w:fldCharType="separate"/>
      </w:r>
      <w:r>
        <w:rPr>
          <w:rFonts w:ascii="Times New Roman" w:hAnsi="Times New Roman" w:eastAsia="Times New Roman" w:cs="Times New Roman"/>
          <w:color w:val="1155CC"/>
          <w:sz w:val="24"/>
          <w:szCs w:val="24"/>
          <w:u w:val="single"/>
          <w:lang w:val="en-GB"/>
        </w:rPr>
        <w:t>https://www.christopherkrewson.com/wp-content/uploads/2022/04/Barret.pdf</w:t>
      </w:r>
      <w:r>
        <w:rPr>
          <w:rFonts w:ascii="Times New Roman" w:hAnsi="Times New Roman" w:eastAsia="Times New Roman" w:cs="Times New Roman"/>
          <w:color w:val="1155CC"/>
          <w:sz w:val="24"/>
          <w:szCs w:val="24"/>
          <w:u w:val="single"/>
          <w:lang w:val="en-GB"/>
        </w:rPr>
        <w:fldChar w:fldCharType="end"/>
      </w:r>
    </w:p>
    <w:p>
      <w:pPr>
        <w:pStyle w:val="3"/>
        <w:spacing w:before="240" w:after="240" w:line="480" w:lineRule="auto"/>
        <w:jc w:val="both"/>
        <w:rPr>
          <w:rFonts w:ascii="Times New Roman" w:hAnsi="Times New Roman" w:eastAsia="Times New Roman" w:cs="Times New Roman"/>
          <w:color w:val="1155CC"/>
          <w:sz w:val="24"/>
          <w:szCs w:val="24"/>
          <w:u w:val="single"/>
          <w:lang w:val="en-GB"/>
        </w:rPr>
      </w:pPr>
      <w:r>
        <w:rPr>
          <w:rFonts w:ascii="Times New Roman" w:hAnsi="Times New Roman" w:eastAsia="Times New Roman" w:cs="Times New Roman"/>
          <w:sz w:val="24"/>
          <w:szCs w:val="24"/>
          <w:lang w:val="en-GB"/>
        </w:rPr>
        <w:t xml:space="preserve">Morgan, K.J., 2021. Experimentally Measuring Responsiveness to Criticisms of the US Supreme Court as Antidemocratic. </w:t>
      </w:r>
      <w:r>
        <w:rPr>
          <w:rFonts w:ascii="Times New Roman" w:hAnsi="Times New Roman" w:eastAsia="Times New Roman" w:cs="Times New Roman"/>
          <w:i/>
          <w:sz w:val="24"/>
          <w:szCs w:val="24"/>
          <w:lang w:val="en-GB"/>
        </w:rPr>
        <w:t>Open Judicial Politics</w:t>
      </w:r>
      <w:r>
        <w:rPr>
          <w:rFonts w:ascii="Times New Roman" w:hAnsi="Times New Roman" w:eastAsia="Times New Roman" w:cs="Times New Roman"/>
          <w:sz w:val="24"/>
          <w:szCs w:val="24"/>
          <w:lang w:val="en-GB"/>
        </w:rPr>
        <w:t>.</w:t>
      </w:r>
      <w:r>
        <w:fldChar w:fldCharType="begin"/>
      </w:r>
      <w:r>
        <w:instrText xml:space="preserve"> HYPERLINK "https://open.oregonstate.education/open-judicial-politics/chapter/experimentally-measuring-responsiveness/" \h </w:instrText>
      </w:r>
      <w:r>
        <w:fldChar w:fldCharType="separate"/>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sz w:val="24"/>
          <w:szCs w:val="24"/>
          <w:lang w:val="en-GB"/>
        </w:rPr>
        <w:fldChar w:fldCharType="end"/>
      </w:r>
      <w:r>
        <w:fldChar w:fldCharType="begin"/>
      </w:r>
      <w:r>
        <w:instrText xml:space="preserve"> HYPERLINK "https://open.oregonstate.education/open-judicial-politics/chapter/experimentally-measuring-responsiveness/" \h </w:instrText>
      </w:r>
      <w:r>
        <w:fldChar w:fldCharType="separate"/>
      </w:r>
      <w:r>
        <w:rPr>
          <w:rFonts w:ascii="Times New Roman" w:hAnsi="Times New Roman" w:eastAsia="Times New Roman" w:cs="Times New Roman"/>
          <w:color w:val="1155CC"/>
          <w:sz w:val="24"/>
          <w:szCs w:val="24"/>
          <w:u w:val="single"/>
          <w:lang w:val="en-GB"/>
        </w:rPr>
        <w:t>https://open.oregonstate.education/open-judicial-politics/chapter/experimentally-measuring-responsiveness/</w:t>
      </w:r>
      <w:r>
        <w:rPr>
          <w:rFonts w:ascii="Times New Roman" w:hAnsi="Times New Roman" w:eastAsia="Times New Roman" w:cs="Times New Roman"/>
          <w:color w:val="1155CC"/>
          <w:sz w:val="24"/>
          <w:szCs w:val="24"/>
          <w:u w:val="single"/>
          <w:lang w:val="en-GB"/>
        </w:rPr>
        <w:fldChar w:fldCharType="end"/>
      </w:r>
    </w:p>
    <w:p>
      <w:pPr>
        <w:pStyle w:val="3"/>
        <w:spacing w:before="240" w:after="240" w:line="480" w:lineRule="auto"/>
        <w:jc w:val="both"/>
        <w:rPr>
          <w:rFonts w:ascii="Times New Roman" w:hAnsi="Times New Roman" w:eastAsia="Times New Roman" w:cs="Times New Roman"/>
          <w:color w:val="1155CC"/>
          <w:sz w:val="24"/>
          <w:szCs w:val="24"/>
          <w:u w:val="single"/>
          <w:lang w:val="en-GB"/>
        </w:rPr>
      </w:pPr>
      <w:r>
        <w:rPr>
          <w:rFonts w:ascii="Times New Roman" w:hAnsi="Times New Roman" w:eastAsia="Times New Roman" w:cs="Times New Roman"/>
          <w:sz w:val="24"/>
          <w:szCs w:val="24"/>
          <w:lang w:val="en-GB"/>
        </w:rPr>
        <w:t xml:space="preserve">Nelson, M.J. and Tucker, P.D., 2021. The Stability and Durability of the US Supreme Court’s Legitimacy. </w:t>
      </w:r>
      <w:r>
        <w:rPr>
          <w:rFonts w:ascii="Times New Roman" w:hAnsi="Times New Roman" w:eastAsia="Times New Roman" w:cs="Times New Roman"/>
          <w:i/>
          <w:sz w:val="24"/>
          <w:szCs w:val="24"/>
          <w:lang w:val="en-GB"/>
        </w:rPr>
        <w:t>The Journal of Politics</w:t>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i/>
          <w:sz w:val="24"/>
          <w:szCs w:val="24"/>
          <w:lang w:val="en-GB"/>
        </w:rPr>
        <w:t>83</w:t>
      </w:r>
      <w:r>
        <w:rPr>
          <w:rFonts w:ascii="Times New Roman" w:hAnsi="Times New Roman" w:eastAsia="Times New Roman" w:cs="Times New Roman"/>
          <w:sz w:val="24"/>
          <w:szCs w:val="24"/>
          <w:lang w:val="en-GB"/>
        </w:rPr>
        <w:t>(2), pp.767-771.</w:t>
      </w:r>
      <w:r>
        <w:fldChar w:fldCharType="begin"/>
      </w:r>
      <w:r>
        <w:instrText xml:space="preserve"> HYPERLINK "https://scholarsphere.psu.edu/resources/9e72dd72-64e0-4141-a856-cbf71c1478c4/downloads/18095" \h </w:instrText>
      </w:r>
      <w:r>
        <w:fldChar w:fldCharType="separate"/>
      </w:r>
      <w:r>
        <w:rPr>
          <w:rFonts w:ascii="Times New Roman" w:hAnsi="Times New Roman" w:eastAsia="Times New Roman" w:cs="Times New Roman"/>
          <w:sz w:val="24"/>
          <w:szCs w:val="24"/>
          <w:lang w:val="en-GB"/>
        </w:rPr>
        <w:t xml:space="preserve"> </w:t>
      </w:r>
      <w:r>
        <w:rPr>
          <w:rFonts w:ascii="Times New Roman" w:hAnsi="Times New Roman" w:eastAsia="Times New Roman" w:cs="Times New Roman"/>
          <w:sz w:val="24"/>
          <w:szCs w:val="24"/>
          <w:lang w:val="en-GB"/>
        </w:rPr>
        <w:fldChar w:fldCharType="end"/>
      </w:r>
      <w:r>
        <w:fldChar w:fldCharType="begin"/>
      </w:r>
      <w:r>
        <w:instrText xml:space="preserve"> HYPERLINK "https://scholarsphere.psu.edu/resources/9e72dd72-64e0-4141-a856-cbf71c1478c4/downloads/18095" \h </w:instrText>
      </w:r>
      <w:r>
        <w:fldChar w:fldCharType="separate"/>
      </w:r>
      <w:r>
        <w:rPr>
          <w:rFonts w:ascii="Times New Roman" w:hAnsi="Times New Roman" w:eastAsia="Times New Roman" w:cs="Times New Roman"/>
          <w:color w:val="1155CC"/>
          <w:sz w:val="24"/>
          <w:szCs w:val="24"/>
          <w:u w:val="single"/>
          <w:lang w:val="en-GB"/>
        </w:rPr>
        <w:t>https://scholarsphere.psu.edu/resources/9e72dd72-64e0-4141-a856-</w:t>
      </w:r>
      <w:bookmarkStart w:id="13" w:name="_GoBack"/>
      <w:bookmarkEnd w:id="13"/>
      <w:r>
        <w:rPr>
          <w:rFonts w:ascii="Times New Roman" w:hAnsi="Times New Roman" w:eastAsia="Times New Roman" w:cs="Times New Roman"/>
          <w:color w:val="1155CC"/>
          <w:sz w:val="24"/>
          <w:szCs w:val="24"/>
          <w:u w:val="single"/>
          <w:lang w:val="en-GB"/>
        </w:rPr>
        <w:t>cbf71c1478c4/downloads/18095</w:t>
      </w:r>
      <w:r>
        <w:rPr>
          <w:rFonts w:ascii="Times New Roman" w:hAnsi="Times New Roman" w:eastAsia="Times New Roman" w:cs="Times New Roman"/>
          <w:color w:val="1155CC"/>
          <w:sz w:val="24"/>
          <w:szCs w:val="24"/>
          <w:u w:val="single"/>
          <w:lang w:val="en-GB"/>
        </w:rPr>
        <w:fldChar w:fldCharType="end"/>
      </w:r>
    </w:p>
    <w:p>
      <w:pPr>
        <w:pStyle w:val="3"/>
        <w:spacing w:before="240" w:after="240" w:line="480" w:lineRule="auto"/>
        <w:jc w:val="both"/>
        <w:rPr>
          <w:rFonts w:ascii="Times New Roman" w:hAnsi="Times New Roman" w:eastAsia="Times New Roman" w:cs="Times New Roman"/>
          <w:color w:val="222222"/>
          <w:sz w:val="24"/>
          <w:szCs w:val="24"/>
          <w:highlight w:val="white"/>
          <w:lang w:val="en-GB"/>
        </w:rPr>
      </w:pPr>
      <w:r>
        <w:rPr>
          <w:rFonts w:ascii="Times New Roman" w:hAnsi="Times New Roman" w:eastAsia="Times New Roman" w:cs="Times New Roman"/>
          <w:color w:val="222222"/>
          <w:sz w:val="24"/>
          <w:szCs w:val="24"/>
          <w:highlight w:val="white"/>
          <w:lang w:val="en-GB"/>
        </w:rPr>
        <w:t xml:space="preserve">Politics Teaching (Currently being rebuilt for September 2022). 2022. </w:t>
      </w:r>
      <w:r>
        <w:rPr>
          <w:rFonts w:ascii="Times New Roman" w:hAnsi="Times New Roman" w:eastAsia="Times New Roman" w:cs="Times New Roman"/>
          <w:i/>
          <w:color w:val="222222"/>
          <w:sz w:val="24"/>
          <w:szCs w:val="24"/>
          <w:highlight w:val="white"/>
          <w:lang w:val="en-GB"/>
        </w:rPr>
        <w:t>HM Treasury v. Ahmed (2010) – Why such a good example?</w:t>
      </w:r>
      <w:r>
        <w:rPr>
          <w:rFonts w:ascii="Times New Roman" w:hAnsi="Times New Roman" w:eastAsia="Times New Roman" w:cs="Times New Roman"/>
          <w:color w:val="222222"/>
          <w:sz w:val="24"/>
          <w:szCs w:val="24"/>
          <w:highlight w:val="white"/>
          <w:lang w:val="en-GB"/>
        </w:rPr>
        <w:t>. [online] Available at: &lt;https://politicsteaching.com/2022/04/17/hm-treasury-v-ahmed-2010-why-such-a-good-example-2/&gt; [Accessed 11 June 2022].</w:t>
      </w:r>
    </w:p>
    <w:p>
      <w:pPr>
        <w:pStyle w:val="3"/>
        <w:spacing w:line="48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Weinshall, K., Sommer, U. and Ritov, Y.A., 2018. Ideological influences on governance and regulation: The comparative case of supreme courts. </w:t>
      </w:r>
      <w:r>
        <w:rPr>
          <w:rFonts w:ascii="Times New Roman" w:hAnsi="Times New Roman" w:cs="Times New Roman"/>
          <w:i/>
          <w:iCs/>
          <w:color w:val="222222"/>
          <w:sz w:val="24"/>
          <w:szCs w:val="24"/>
          <w:shd w:val="clear" w:color="auto" w:fill="FFFFFF"/>
        </w:rPr>
        <w:t>Regulation &amp; Governance</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12</w:t>
      </w:r>
      <w:r>
        <w:rPr>
          <w:rFonts w:ascii="Times New Roman" w:hAnsi="Times New Roman" w:cs="Times New Roman"/>
          <w:color w:val="222222"/>
          <w:sz w:val="24"/>
          <w:szCs w:val="24"/>
          <w:shd w:val="clear" w:color="auto" w:fill="FFFFFF"/>
        </w:rPr>
        <w:t>(3), pp.334-352.</w:t>
      </w:r>
      <w:r>
        <w:t xml:space="preserve"> </w:t>
      </w:r>
      <w:r>
        <w:fldChar w:fldCharType="begin"/>
      </w:r>
      <w:r>
        <w:instrText xml:space="preserve"> HYPERLINK "https://onlinelibrary.wiley.com/doi/abs/10.1111/rego.12145" </w:instrText>
      </w:r>
      <w:r>
        <w:fldChar w:fldCharType="separate"/>
      </w:r>
      <w:r>
        <w:rPr>
          <w:rStyle w:val="12"/>
          <w:rFonts w:ascii="Times New Roman" w:hAnsi="Times New Roman" w:cs="Times New Roman"/>
          <w:sz w:val="24"/>
          <w:szCs w:val="24"/>
          <w:shd w:val="clear" w:color="auto" w:fill="FFFFFF"/>
        </w:rPr>
        <w:t>https://onlinelibrary.wiley.com/doi/abs/10.1111/rego.12145</w:t>
      </w:r>
      <w:r>
        <w:rPr>
          <w:rStyle w:val="12"/>
          <w:rFonts w:ascii="Times New Roman" w:hAnsi="Times New Roman" w:cs="Times New Roman"/>
          <w:sz w:val="24"/>
          <w:szCs w:val="24"/>
          <w:shd w:val="clear" w:color="auto" w:fill="FFFFFF"/>
        </w:rPr>
        <w:fldChar w:fldCharType="end"/>
      </w:r>
    </w:p>
    <w:p>
      <w:pPr>
        <w:pStyle w:val="3"/>
        <w:spacing w:line="480" w:lineRule="auto"/>
        <w:jc w:val="both"/>
        <w:rPr>
          <w:rFonts w:ascii="Times New Roman" w:hAnsi="Times New Roman" w:eastAsia="Times New Roman" w:cs="Times New Roman"/>
          <w:i/>
          <w:sz w:val="24"/>
          <w:szCs w:val="24"/>
          <w:lang w:val="en-GB"/>
        </w:rPr>
      </w:pPr>
      <w:r>
        <w:rPr>
          <w:rFonts w:ascii="Times New Roman" w:hAnsi="Times New Roman" w:cs="Times New Roman"/>
          <w:sz w:val="24"/>
          <w:szCs w:val="24"/>
          <w:lang w:val="en-GB"/>
        </w:rPr>
        <w:br w:type="page"/>
      </w:r>
    </w:p>
    <w:sectPr>
      <w:footerReference r:id="rId5" w:type="default"/>
      <w:pgSz w:w="11909" w:h="16834"/>
      <w:pgMar w:top="1440" w:right="1440" w:bottom="1440" w:left="1440" w:header="720" w:footer="720"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86"/>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jc w:val="right"/>
      <w:rPr>
        <w:rFonts w:ascii="Times New Roman" w:hAnsi="Times New Roman" w:eastAsia="Times New Roman" w:cs="Times New Roman"/>
        <w:sz w:val="24"/>
        <w:szCs w:val="24"/>
      </w:rPr>
    </w:pPr>
    <w:r>
      <w:rPr>
        <w:rFonts w:ascii="Times New Roman" w:hAnsi="Times New Roman" w:eastAsia="Times New Roman" w:cs="Times New Roman"/>
        <w:sz w:val="24"/>
        <w:szCs w:val="24"/>
      </w:rPr>
      <w:fldChar w:fldCharType="begin"/>
    </w:r>
    <w:r>
      <w:rPr>
        <w:rFonts w:ascii="Times New Roman" w:hAnsi="Times New Roman" w:eastAsia="Times New Roman" w:cs="Times New Roman"/>
        <w:sz w:val="24"/>
        <w:szCs w:val="24"/>
      </w:rPr>
      <w:instrText xml:space="preserve">PAGE</w:instrText>
    </w:r>
    <w:r>
      <w:rPr>
        <w:rFonts w:ascii="Times New Roman" w:hAnsi="Times New Roman" w:eastAsia="Times New Roman" w:cs="Times New Roman"/>
        <w:sz w:val="24"/>
        <w:szCs w:val="24"/>
      </w:rPr>
      <w:fldChar w:fldCharType="separate"/>
    </w:r>
    <w:r>
      <w:rPr>
        <w:rFonts w:ascii="Times New Roman" w:hAnsi="Times New Roman" w:eastAsia="Times New Roman" w:cs="Times New Roman"/>
        <w:sz w:val="24"/>
        <w:szCs w:val="24"/>
      </w:rPr>
      <w:t>14</w:t>
    </w:r>
    <w:r>
      <w:rPr>
        <w:rFonts w:ascii="Times New Roman" w:hAnsi="Times New Roman" w:eastAsia="Times New Roman" w:cs="Times New Roman"/>
        <w:sz w:val="24"/>
        <w:szCs w:val="24"/>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documentProtection w:enforcement="0"/>
  <w:defaultTabStop w:val="720"/>
  <w:hyphenationZone w:val="425"/>
  <w:characterSpacingControl w:val="doNotCompress"/>
  <w:footnotePr>
    <w:footnote w:id="0"/>
    <w:footnote w:id="1"/>
  </w:footnotePr>
  <w:endnotePr>
    <w:endnote w:id="0"/>
    <w:endnote w:id="1"/>
  </w:endnotePr>
  <w:compat>
    <w:compatSetting w:name="compatibilityMode" w:uri="http://schemas.microsoft.com/office/word" w:val="12"/>
  </w:compat>
  <w:rsids>
    <w:rsidRoot w:val="00D81653"/>
    <w:rsid w:val="0008512C"/>
    <w:rsid w:val="000C4350"/>
    <w:rsid w:val="00137D65"/>
    <w:rsid w:val="00173402"/>
    <w:rsid w:val="00205D88"/>
    <w:rsid w:val="00283585"/>
    <w:rsid w:val="002D6C93"/>
    <w:rsid w:val="003308A7"/>
    <w:rsid w:val="004428BF"/>
    <w:rsid w:val="004928B6"/>
    <w:rsid w:val="00556F5A"/>
    <w:rsid w:val="005A088C"/>
    <w:rsid w:val="006B43A3"/>
    <w:rsid w:val="007C6D84"/>
    <w:rsid w:val="00843832"/>
    <w:rsid w:val="00964A7B"/>
    <w:rsid w:val="00974B88"/>
    <w:rsid w:val="00A174EC"/>
    <w:rsid w:val="00AC37CA"/>
    <w:rsid w:val="00AF2FDC"/>
    <w:rsid w:val="00B65D69"/>
    <w:rsid w:val="00C25A9A"/>
    <w:rsid w:val="00C30323"/>
    <w:rsid w:val="00D73D2B"/>
    <w:rsid w:val="00D81653"/>
    <w:rsid w:val="00F74716"/>
    <w:rsid w:val="00F84582"/>
    <w:rsid w:val="00FD1E62"/>
    <w:rsid w:val="3F09702D"/>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unhideWhenUsed="0" w:uiPriority="0" w:semiHidden="0" w:name="heading 1"/>
    <w:lsdException w:qFormat="1" w:unhideWhenUsed="0" w:uiPriority="0" w:semiHidden="0" w:name="heading 2"/>
    <w:lsdException w:unhideWhenUsed="0" w:uiPriority="0" w:semiHidden="0" w:name="heading 3"/>
    <w:lsdException w:unhideWhenUsed="0" w:uiPriority="0" w:semiHidden="0" w:name="heading 4"/>
    <w:lsdException w:unhideWhenUsed="0" w:uiPriority="0" w:semiHidden="0" w:name="heading 5"/>
    <w:lsdException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nhideWhenUsed="0" w:uiPriority="99" w:semiHidden="0" w:name="Table Subtle 1"/>
    <w:lsdException w:uiPriority="99" w:name="Table Subtle 2"/>
    <w:lsdException w:uiPriority="99" w:name="Table Web 1"/>
    <w:lsdException w:unhideWhenUsed="0" w:uiPriority="99" w:semiHidden="0" w:name="Table Web 2"/>
    <w:lsdException w:unhideWhenUsed="0" w:uiPriority="99" w:semiHidden="0"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Times New Roman" w:hAnsi="Times New Roman" w:eastAsia="Arial" w:cs="Arial"/>
      <w:b/>
      <w:i/>
      <w:sz w:val="24"/>
      <w:szCs w:val="22"/>
      <w:lang w:val="en-IN" w:eastAsia="en-IN" w:bidi="ar-SA"/>
    </w:rPr>
  </w:style>
  <w:style w:type="paragraph" w:styleId="2">
    <w:name w:val="heading 1"/>
    <w:basedOn w:val="3"/>
    <w:next w:val="3"/>
    <w:uiPriority w:val="0"/>
    <w:pPr>
      <w:keepNext/>
      <w:keepLines/>
      <w:spacing w:line="360" w:lineRule="auto"/>
      <w:jc w:val="both"/>
      <w:outlineLvl w:val="0"/>
    </w:pPr>
    <w:rPr>
      <w:rFonts w:ascii="Times New Roman" w:hAnsi="Times New Roman" w:eastAsia="Times New Roman" w:cs="Times New Roman"/>
      <w:b/>
      <w:sz w:val="24"/>
      <w:szCs w:val="24"/>
    </w:rPr>
  </w:style>
  <w:style w:type="paragraph" w:styleId="4">
    <w:name w:val="heading 2"/>
    <w:basedOn w:val="3"/>
    <w:next w:val="3"/>
    <w:qFormat/>
    <w:uiPriority w:val="0"/>
    <w:pPr>
      <w:keepNext/>
      <w:keepLines/>
      <w:spacing w:before="360" w:after="120"/>
      <w:outlineLvl w:val="1"/>
    </w:pPr>
    <w:rPr>
      <w:sz w:val="32"/>
      <w:szCs w:val="32"/>
    </w:rPr>
  </w:style>
  <w:style w:type="paragraph" w:styleId="5">
    <w:name w:val="heading 3"/>
    <w:basedOn w:val="3"/>
    <w:next w:val="3"/>
    <w:uiPriority w:val="0"/>
    <w:pPr>
      <w:keepNext/>
      <w:keepLines/>
      <w:spacing w:before="320" w:after="80"/>
      <w:outlineLvl w:val="2"/>
    </w:pPr>
    <w:rPr>
      <w:color w:val="434343"/>
      <w:sz w:val="28"/>
      <w:szCs w:val="28"/>
    </w:rPr>
  </w:style>
  <w:style w:type="paragraph" w:styleId="6">
    <w:name w:val="heading 4"/>
    <w:basedOn w:val="3"/>
    <w:next w:val="3"/>
    <w:uiPriority w:val="0"/>
    <w:pPr>
      <w:keepNext/>
      <w:keepLines/>
      <w:spacing w:before="280" w:after="80"/>
      <w:outlineLvl w:val="3"/>
    </w:pPr>
    <w:rPr>
      <w:color w:val="666666"/>
      <w:sz w:val="24"/>
      <w:szCs w:val="24"/>
    </w:rPr>
  </w:style>
  <w:style w:type="paragraph" w:styleId="7">
    <w:name w:val="heading 5"/>
    <w:basedOn w:val="3"/>
    <w:next w:val="3"/>
    <w:uiPriority w:val="0"/>
    <w:pPr>
      <w:keepNext/>
      <w:keepLines/>
      <w:spacing w:before="240" w:after="80"/>
      <w:outlineLvl w:val="4"/>
    </w:pPr>
    <w:rPr>
      <w:color w:val="666666"/>
    </w:rPr>
  </w:style>
  <w:style w:type="paragraph" w:styleId="8">
    <w:name w:val="heading 6"/>
    <w:basedOn w:val="3"/>
    <w:next w:val="3"/>
    <w:uiPriority w:val="0"/>
    <w:pPr>
      <w:keepNext/>
      <w:keepLines/>
      <w:spacing w:before="240" w:after="80"/>
      <w:outlineLvl w:val="5"/>
    </w:pPr>
    <w:rPr>
      <w:i/>
      <w:color w:val="666666"/>
    </w:rPr>
  </w:style>
  <w:style w:type="character" w:default="1" w:styleId="9">
    <w:name w:val="Default Paragraph Font"/>
    <w:semiHidden/>
    <w:unhideWhenUsed/>
    <w:uiPriority w:val="1"/>
  </w:style>
  <w:style w:type="table" w:default="1" w:styleId="10">
    <w:name w:val="Normal Table"/>
    <w:semiHidden/>
    <w:unhideWhenUsed/>
    <w:uiPriority w:val="99"/>
    <w:tblPr>
      <w:tblCellMar>
        <w:top w:w="0" w:type="dxa"/>
        <w:left w:w="108" w:type="dxa"/>
        <w:bottom w:w="0" w:type="dxa"/>
        <w:right w:w="108" w:type="dxa"/>
      </w:tblCellMar>
    </w:tblPr>
  </w:style>
  <w:style w:type="paragraph" w:customStyle="1" w:styleId="3">
    <w:name w:val="Normal1"/>
    <w:qFormat/>
    <w:uiPriority w:val="0"/>
    <w:pPr>
      <w:spacing w:line="276" w:lineRule="auto"/>
    </w:pPr>
    <w:rPr>
      <w:rFonts w:ascii="Arial" w:hAnsi="Arial" w:eastAsia="Arial" w:cs="Arial"/>
      <w:sz w:val="22"/>
      <w:szCs w:val="22"/>
      <w:lang w:val="en-IN" w:eastAsia="en-IN" w:bidi="ar-SA"/>
    </w:rPr>
  </w:style>
  <w:style w:type="paragraph" w:styleId="11">
    <w:name w:val="Balloon Text"/>
    <w:basedOn w:val="1"/>
    <w:link w:val="16"/>
    <w:semiHidden/>
    <w:unhideWhenUsed/>
    <w:uiPriority w:val="99"/>
    <w:pPr>
      <w:spacing w:line="240" w:lineRule="auto"/>
    </w:pPr>
    <w:rPr>
      <w:rFonts w:ascii="Tahoma" w:hAnsi="Tahoma" w:cs="Tahoma"/>
      <w:sz w:val="16"/>
      <w:szCs w:val="16"/>
    </w:rPr>
  </w:style>
  <w:style w:type="character" w:styleId="12">
    <w:name w:val="Hyperlink"/>
    <w:basedOn w:val="9"/>
    <w:unhideWhenUsed/>
    <w:qFormat/>
    <w:uiPriority w:val="99"/>
    <w:rPr>
      <w:color w:val="0000FF" w:themeColor="hyperlink"/>
      <w:u w:val="single"/>
    </w:rPr>
  </w:style>
  <w:style w:type="paragraph" w:styleId="13">
    <w:name w:val="Subtitle"/>
    <w:basedOn w:val="3"/>
    <w:next w:val="3"/>
    <w:uiPriority w:val="0"/>
    <w:pPr>
      <w:keepNext/>
      <w:keepLines/>
      <w:spacing w:after="320"/>
    </w:pPr>
    <w:rPr>
      <w:color w:val="666666"/>
      <w:sz w:val="30"/>
      <w:szCs w:val="30"/>
    </w:rPr>
  </w:style>
  <w:style w:type="paragraph" w:styleId="14">
    <w:name w:val="Title"/>
    <w:basedOn w:val="3"/>
    <w:next w:val="3"/>
    <w:qFormat/>
    <w:uiPriority w:val="0"/>
    <w:pPr>
      <w:keepNext/>
      <w:keepLines/>
      <w:spacing w:after="60"/>
    </w:pPr>
    <w:rPr>
      <w:sz w:val="52"/>
      <w:szCs w:val="52"/>
    </w:rPr>
  </w:style>
  <w:style w:type="paragraph" w:styleId="15">
    <w:name w:val="toc 1"/>
    <w:basedOn w:val="1"/>
    <w:next w:val="1"/>
    <w:unhideWhenUsed/>
    <w:uiPriority w:val="39"/>
    <w:pPr>
      <w:spacing w:after="100"/>
    </w:pPr>
  </w:style>
  <w:style w:type="character" w:customStyle="1" w:styleId="16">
    <w:name w:val="Text în Balon Caracter"/>
    <w:basedOn w:val="9"/>
    <w:link w:val="11"/>
    <w:semiHidden/>
    <w:qFormat/>
    <w:uiPriority w:val="99"/>
    <w:rPr>
      <w:rFonts w:ascii="Tahoma" w:hAnsi="Tahoma" w:cs="Tahoma"/>
      <w:sz w:val="16"/>
      <w:szCs w:val="16"/>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docProps/app.xml><?xml version="1.0" encoding="utf-8"?>
<Properties xmlns="http://schemas.openxmlformats.org/officeDocument/2006/extended-properties" xmlns:vt="http://schemas.openxmlformats.org/officeDocument/2006/docPropsVTypes">
  <Template>Normal.dotm</Template>
  <Pages>1</Pages>
  <Words>2214</Words>
  <Characters>12847</Characters>
  <Lines>107</Lines>
  <Paragraphs>30</Paragraphs>
  <TotalTime>61</TotalTime>
  <ScaleCrop>false</ScaleCrop>
  <LinksUpToDate>false</LinksUpToDate>
  <CharactersWithSpaces>15031</CharactersWithSpaces>
  <Application>WPS Office_11.2.0.11156_F1E327BC-269C-435d-A152-05C5408002CA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2022-06-11T08:03:00Z</dcterms:created>
  <dc:creator>user</dc:creator>
  <cp:lastModifiedBy>florin emil</cp:lastModifiedBy>
  <dcterms:modified xsi:type="dcterms:W3CDTF">2022-06-14T07:36:10Z</dcterms:modified>
  <cp:revision>14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2057-11.2.0.11156</vt:lpwstr>
  </property>
  <property fmtid="{D5CDD505-2E9C-101B-9397-08002B2CF9AE}" pid="3" name="ICV">
    <vt:lpwstr>D47DEEF799414171B9FF8D61A02D40EC</vt:lpwstr>
  </property>
</Properties>
</file>