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6A5170" w14:textId="718621BE" w:rsidR="00C20874" w:rsidRPr="002409F5" w:rsidRDefault="00D75F86" w:rsidP="003F4538">
      <w:pPr>
        <w:spacing w:line="360" w:lineRule="auto"/>
        <w:rPr>
          <w:rFonts w:ascii="Arial" w:hAnsi="Arial" w:cs="Arial"/>
          <w:b/>
          <w:bCs/>
          <w:sz w:val="24"/>
          <w:szCs w:val="24"/>
          <w:u w:val="single"/>
        </w:rPr>
      </w:pPr>
      <w:r w:rsidRPr="002409F5">
        <w:rPr>
          <w:rFonts w:ascii="Arial" w:hAnsi="Arial" w:cs="Arial"/>
          <w:b/>
          <w:bCs/>
          <w:sz w:val="24"/>
          <w:szCs w:val="24"/>
          <w:u w:val="single"/>
        </w:rPr>
        <w:t>Looking forward: A critical analysis of literacy, numeracy and digital competence as cross curricular responsibilities. (2500 Words)</w:t>
      </w:r>
    </w:p>
    <w:p w14:paraId="0F2B7E36" w14:textId="00132E96" w:rsidR="00AE1A5C" w:rsidRDefault="00D20B48" w:rsidP="003F4538">
      <w:pPr>
        <w:spacing w:line="360" w:lineRule="auto"/>
        <w:rPr>
          <w:rFonts w:ascii="Arial" w:hAnsi="Arial" w:cs="Arial"/>
          <w:sz w:val="24"/>
          <w:szCs w:val="24"/>
        </w:rPr>
      </w:pPr>
      <w:bookmarkStart w:id="0" w:name="_Hlk27705019"/>
      <w:r w:rsidRPr="00E35F3B">
        <w:rPr>
          <w:rFonts w:ascii="Arial" w:hAnsi="Arial" w:cs="Arial"/>
          <w:sz w:val="24"/>
          <w:szCs w:val="24"/>
        </w:rPr>
        <w:t xml:space="preserve">Cross curricular, this is the term used to denote when certain subject specific skills are taught and used across many subject or parts </w:t>
      </w:r>
      <w:r w:rsidR="00E35F3B" w:rsidRPr="00E35F3B">
        <w:rPr>
          <w:rFonts w:ascii="Arial" w:hAnsi="Arial" w:cs="Arial"/>
          <w:sz w:val="24"/>
          <w:szCs w:val="24"/>
        </w:rPr>
        <w:t>o</w:t>
      </w:r>
      <w:r w:rsidRPr="00E35F3B">
        <w:rPr>
          <w:rFonts w:ascii="Arial" w:hAnsi="Arial" w:cs="Arial"/>
          <w:sz w:val="24"/>
          <w:szCs w:val="24"/>
        </w:rPr>
        <w:t xml:space="preserve">f the curriculum. </w:t>
      </w:r>
      <w:r w:rsidR="007C35A2" w:rsidRPr="00E35F3B">
        <w:rPr>
          <w:rFonts w:ascii="Arial" w:hAnsi="Arial" w:cs="Arial"/>
          <w:sz w:val="24"/>
          <w:szCs w:val="24"/>
        </w:rPr>
        <w:t xml:space="preserve"> </w:t>
      </w:r>
      <w:bookmarkEnd w:id="0"/>
      <w:r w:rsidR="00E35F3B" w:rsidRPr="00E35F3B">
        <w:rPr>
          <w:rFonts w:ascii="Arial" w:hAnsi="Arial" w:cs="Arial"/>
          <w:sz w:val="24"/>
          <w:szCs w:val="24"/>
        </w:rPr>
        <w:t>Within Donaldson</w:t>
      </w:r>
      <w:r w:rsidR="00227C01">
        <w:rPr>
          <w:rFonts w:ascii="Arial" w:hAnsi="Arial" w:cs="Arial"/>
          <w:sz w:val="24"/>
          <w:szCs w:val="24"/>
        </w:rPr>
        <w:t>’</w:t>
      </w:r>
      <w:r w:rsidR="00E35F3B" w:rsidRPr="00E35F3B">
        <w:rPr>
          <w:rFonts w:ascii="Arial" w:hAnsi="Arial" w:cs="Arial"/>
          <w:sz w:val="24"/>
          <w:szCs w:val="24"/>
        </w:rPr>
        <w:t xml:space="preserve">s </w:t>
      </w:r>
      <w:r w:rsidR="00E35F3B">
        <w:rPr>
          <w:rFonts w:ascii="Arial" w:hAnsi="Arial" w:cs="Arial"/>
          <w:sz w:val="24"/>
          <w:szCs w:val="24"/>
        </w:rPr>
        <w:t xml:space="preserve">2015 Successful Futures report he discusses how there are over arching skills which link between certain areas of learning and experience. Areas of learning and experience are where the traditional subject is moving to, including experience alongside ‘traditional learning’. Donaldson (2015) mentions that there are cross-curricular skills in communication which over arches almost all subjects and more specialised shared skills. </w:t>
      </w:r>
      <w:r w:rsidR="00227C01">
        <w:rPr>
          <w:rFonts w:ascii="Arial" w:hAnsi="Arial" w:cs="Arial"/>
          <w:sz w:val="24"/>
          <w:szCs w:val="24"/>
        </w:rPr>
        <w:t>Following on from Professor Donaldson’s review of the Welsh curriculum it was suggested that Literacy, Numeracy and Digital Competence become cross curricular responsibilities. That the skills within these Areas of Learning and Experience should be embedded across all areas of the curriculum and that teachers are now respon</w:t>
      </w:r>
      <w:bookmarkStart w:id="1" w:name="_GoBack"/>
      <w:bookmarkEnd w:id="1"/>
      <w:r w:rsidR="00227C01">
        <w:rPr>
          <w:rFonts w:ascii="Arial" w:hAnsi="Arial" w:cs="Arial"/>
          <w:sz w:val="24"/>
          <w:szCs w:val="24"/>
        </w:rPr>
        <w:t>sible for doing so.</w:t>
      </w:r>
    </w:p>
    <w:p w14:paraId="7AEEE457" w14:textId="0F6B24C4" w:rsidR="00C92CC9" w:rsidRPr="002D713F" w:rsidRDefault="00C92CC9" w:rsidP="003F4538">
      <w:pPr>
        <w:spacing w:line="360" w:lineRule="auto"/>
        <w:rPr>
          <w:rFonts w:ascii="Arial" w:hAnsi="Arial" w:cs="Arial"/>
          <w:color w:val="000000" w:themeColor="text1"/>
          <w:sz w:val="24"/>
          <w:szCs w:val="24"/>
        </w:rPr>
      </w:pPr>
      <w:r w:rsidRPr="002D713F">
        <w:rPr>
          <w:rFonts w:ascii="Arial" w:hAnsi="Arial" w:cs="Arial"/>
          <w:color w:val="000000" w:themeColor="text1"/>
          <w:sz w:val="24"/>
          <w:szCs w:val="24"/>
        </w:rPr>
        <w:t xml:space="preserve">Within this essay I will briefly touch on the Literacy and Numeracy Framework and the Digital competency framework and start to look at some of Barnes (2015) cross curricular models and the benefits and limitations of them. </w:t>
      </w:r>
      <w:r w:rsidR="00FA320D" w:rsidRPr="002D713F">
        <w:rPr>
          <w:rFonts w:ascii="Arial" w:hAnsi="Arial" w:cs="Arial"/>
          <w:color w:val="000000" w:themeColor="text1"/>
          <w:sz w:val="24"/>
          <w:szCs w:val="24"/>
        </w:rPr>
        <w:t>I will discuss subject knowledge of the teacher and how that can affect how well a skill is cover</w:t>
      </w:r>
      <w:r w:rsidR="009831A0" w:rsidRPr="002D713F">
        <w:rPr>
          <w:rFonts w:ascii="Arial" w:hAnsi="Arial" w:cs="Arial"/>
          <w:color w:val="000000" w:themeColor="text1"/>
          <w:sz w:val="24"/>
          <w:szCs w:val="24"/>
        </w:rPr>
        <w:t>ed</w:t>
      </w:r>
      <w:r w:rsidR="00FA320D" w:rsidRPr="002D713F">
        <w:rPr>
          <w:rFonts w:ascii="Arial" w:hAnsi="Arial" w:cs="Arial"/>
          <w:color w:val="000000" w:themeColor="text1"/>
          <w:sz w:val="24"/>
          <w:szCs w:val="24"/>
        </w:rPr>
        <w:t xml:space="preserve"> in a cross curricular manner and research whether there are other countries around the world who have implemented this teaching strategy in an effective way.</w:t>
      </w:r>
    </w:p>
    <w:p w14:paraId="7700CD38" w14:textId="5CFD9BAA" w:rsidR="00227C01" w:rsidRDefault="00227C01" w:rsidP="003F4538">
      <w:pPr>
        <w:spacing w:line="360" w:lineRule="auto"/>
        <w:rPr>
          <w:rFonts w:ascii="Arial" w:hAnsi="Arial" w:cs="Arial"/>
          <w:sz w:val="24"/>
          <w:szCs w:val="24"/>
        </w:rPr>
      </w:pPr>
      <w:r>
        <w:rPr>
          <w:rFonts w:ascii="Arial" w:hAnsi="Arial" w:cs="Arial"/>
          <w:sz w:val="24"/>
          <w:szCs w:val="24"/>
        </w:rPr>
        <w:t xml:space="preserve">To help teachers embed some of these skills the Literacy and Numeracy Framework and the Digital Competence framework were put together. </w:t>
      </w:r>
      <w:r w:rsidR="00211A1A">
        <w:rPr>
          <w:rFonts w:ascii="Arial" w:hAnsi="Arial" w:cs="Arial"/>
          <w:sz w:val="24"/>
          <w:szCs w:val="24"/>
        </w:rPr>
        <w:t xml:space="preserve">They were developed in their current format to allow ease of access for teachers, available both in English and Welsh. The LNF is split into two components, Literacy and Numeracy with the numeracy portion identical in both English and Welsh. With the Literacy part there are slight differences owing to </w:t>
      </w:r>
      <w:r w:rsidR="007C612E">
        <w:rPr>
          <w:rFonts w:ascii="Arial" w:hAnsi="Arial" w:cs="Arial"/>
          <w:sz w:val="24"/>
          <w:szCs w:val="24"/>
        </w:rPr>
        <w:t xml:space="preserve">the additional grammatical rules the Welsh Language </w:t>
      </w:r>
      <w:proofErr w:type="gramStart"/>
      <w:r w:rsidR="007C612E">
        <w:rPr>
          <w:rFonts w:ascii="Arial" w:hAnsi="Arial" w:cs="Arial"/>
          <w:sz w:val="24"/>
          <w:szCs w:val="24"/>
        </w:rPr>
        <w:t>has to</w:t>
      </w:r>
      <w:proofErr w:type="gramEnd"/>
      <w:r w:rsidR="007C612E">
        <w:rPr>
          <w:rFonts w:ascii="Arial" w:hAnsi="Arial" w:cs="Arial"/>
          <w:sz w:val="24"/>
          <w:szCs w:val="24"/>
        </w:rPr>
        <w:t xml:space="preserve"> follow</w:t>
      </w:r>
      <w:r w:rsidR="00DF1DCE">
        <w:rPr>
          <w:rFonts w:ascii="Arial" w:hAnsi="Arial" w:cs="Arial"/>
          <w:sz w:val="24"/>
          <w:szCs w:val="24"/>
        </w:rPr>
        <w:t>. Split into year groups ranging from nursery to year 9 with both lower and upper allowances for children who may be below nursey level or children who are presenting at above year 9 level. The Digital competence framework follows the same format with the use of digital technology as its focus, it has been designed to show exactly what level of skill students should be at their age.</w:t>
      </w:r>
    </w:p>
    <w:p w14:paraId="11B748DA" w14:textId="70CAA361" w:rsidR="00DF1DCE" w:rsidRDefault="00DF1DCE" w:rsidP="003F4538">
      <w:pPr>
        <w:spacing w:line="360" w:lineRule="auto"/>
        <w:rPr>
          <w:rFonts w:ascii="Arial" w:hAnsi="Arial" w:cs="Arial"/>
          <w:sz w:val="24"/>
          <w:szCs w:val="24"/>
        </w:rPr>
      </w:pPr>
      <w:r>
        <w:rPr>
          <w:rFonts w:ascii="Arial" w:hAnsi="Arial" w:cs="Arial"/>
          <w:sz w:val="24"/>
          <w:szCs w:val="24"/>
        </w:rPr>
        <w:lastRenderedPageBreak/>
        <w:t>W</w:t>
      </w:r>
      <w:r w:rsidR="00BF2513">
        <w:rPr>
          <w:rFonts w:ascii="Arial" w:hAnsi="Arial" w:cs="Arial"/>
          <w:sz w:val="24"/>
          <w:szCs w:val="24"/>
        </w:rPr>
        <w:t xml:space="preserve">hen the 2008 curriculum was introduced, primary schools had not introduced the foundation phase aw we now know it. Schooling was much more traditional where children were sat at desks more to learn their skills. With the foundation phase being introduced in 2010 the 3-7 portion of primary school became less regimented, more learning through play based. From my time in school I have witnessed </w:t>
      </w:r>
      <w:r w:rsidR="00E66FF9">
        <w:rPr>
          <w:rFonts w:ascii="Arial" w:hAnsi="Arial" w:cs="Arial"/>
          <w:sz w:val="24"/>
          <w:szCs w:val="24"/>
        </w:rPr>
        <w:t>first-hand</w:t>
      </w:r>
      <w:r w:rsidR="00BF2513">
        <w:rPr>
          <w:rFonts w:ascii="Arial" w:hAnsi="Arial" w:cs="Arial"/>
          <w:sz w:val="24"/>
          <w:szCs w:val="24"/>
        </w:rPr>
        <w:t xml:space="preserve"> that certain children learn better through doing, that certain skills, to allow them to be understood</w:t>
      </w:r>
      <w:r w:rsidR="00E66FF9">
        <w:rPr>
          <w:rFonts w:ascii="Arial" w:hAnsi="Arial" w:cs="Arial"/>
          <w:sz w:val="24"/>
          <w:szCs w:val="24"/>
        </w:rPr>
        <w:t>,</w:t>
      </w:r>
      <w:r w:rsidR="00BF2513">
        <w:rPr>
          <w:rFonts w:ascii="Arial" w:hAnsi="Arial" w:cs="Arial"/>
          <w:sz w:val="24"/>
          <w:szCs w:val="24"/>
        </w:rPr>
        <w:t xml:space="preserve"> should be taught through play or through practical application. This is backed up by </w:t>
      </w:r>
      <w:r w:rsidR="00E66FF9">
        <w:rPr>
          <w:rFonts w:ascii="Arial" w:hAnsi="Arial" w:cs="Arial"/>
          <w:sz w:val="24"/>
          <w:szCs w:val="24"/>
        </w:rPr>
        <w:t>Grigg (20), Kerry (2011) and Rowley and Cooper (2009) who all agree that pupils engage more through rich, meaningful experiences. Barnes (2015) notes that any experiences children have in a learning context should be so powerful</w:t>
      </w:r>
      <w:r w:rsidR="00C92CC9">
        <w:rPr>
          <w:rFonts w:ascii="Arial" w:hAnsi="Arial" w:cs="Arial"/>
          <w:sz w:val="24"/>
          <w:szCs w:val="24"/>
        </w:rPr>
        <w:t xml:space="preserve"> that they generate subject knowledge and engagement in a topic or theme alongside many high level personal and social skills. </w:t>
      </w:r>
    </w:p>
    <w:p w14:paraId="28EAB9D9" w14:textId="12CF9409" w:rsidR="00C92CC9" w:rsidRDefault="00C92CC9" w:rsidP="003F4538">
      <w:pPr>
        <w:spacing w:line="360" w:lineRule="auto"/>
        <w:rPr>
          <w:rFonts w:ascii="Arial" w:hAnsi="Arial" w:cs="Arial"/>
          <w:sz w:val="24"/>
          <w:szCs w:val="24"/>
        </w:rPr>
      </w:pPr>
      <w:r>
        <w:rPr>
          <w:rFonts w:ascii="Arial" w:hAnsi="Arial" w:cs="Arial"/>
          <w:sz w:val="24"/>
          <w:szCs w:val="24"/>
        </w:rPr>
        <w:t xml:space="preserve">With Wales bringing in a cross curricular approach to teaching literacy, numeracy and digital competence it is important that teachers understand the ways of teaching in a cross curricular manner. </w:t>
      </w:r>
      <w:r w:rsidR="00FA320D">
        <w:rPr>
          <w:rFonts w:ascii="Arial" w:hAnsi="Arial" w:cs="Arial"/>
          <w:sz w:val="24"/>
          <w:szCs w:val="24"/>
        </w:rPr>
        <w:t xml:space="preserve">In 2015 Professor Jonathan Barnes published his book ‘Cross Curricular learning 3-14’. Within chapter 2 he suggests 8 models or ways to teach skills and knowledge in a cross curricular way. His 8 are; Tokenistic, </w:t>
      </w:r>
      <w:r w:rsidR="00D93579">
        <w:rPr>
          <w:rFonts w:ascii="Arial" w:hAnsi="Arial" w:cs="Arial"/>
          <w:sz w:val="24"/>
          <w:szCs w:val="24"/>
        </w:rPr>
        <w:t>H</w:t>
      </w:r>
      <w:r w:rsidR="00FA320D">
        <w:rPr>
          <w:rFonts w:ascii="Arial" w:hAnsi="Arial" w:cs="Arial"/>
          <w:sz w:val="24"/>
          <w:szCs w:val="24"/>
        </w:rPr>
        <w:t xml:space="preserve">ierarchical, Single transferable subject, Thematic, Multi-disciplinary, Inter-disciplinary, Opportunistic </w:t>
      </w:r>
      <w:r w:rsidR="00D93579">
        <w:rPr>
          <w:rFonts w:ascii="Arial" w:hAnsi="Arial" w:cs="Arial"/>
          <w:sz w:val="24"/>
          <w:szCs w:val="24"/>
        </w:rPr>
        <w:t xml:space="preserve">and Double focus. Barnes (2015) explains these models in a simple way, hoping for understanding on how to deliver curriculum content using some of his observed methods. </w:t>
      </w:r>
      <w:r w:rsidR="0009639F">
        <w:rPr>
          <w:rFonts w:ascii="Arial" w:hAnsi="Arial" w:cs="Arial"/>
          <w:sz w:val="24"/>
          <w:szCs w:val="24"/>
        </w:rPr>
        <w:t xml:space="preserve">There are benefits and limitations to </w:t>
      </w:r>
      <w:proofErr w:type="gramStart"/>
      <w:r w:rsidR="0009639F">
        <w:rPr>
          <w:rFonts w:ascii="Arial" w:hAnsi="Arial" w:cs="Arial"/>
          <w:sz w:val="24"/>
          <w:szCs w:val="24"/>
        </w:rPr>
        <w:t>all of</w:t>
      </w:r>
      <w:proofErr w:type="gramEnd"/>
      <w:r w:rsidR="0009639F">
        <w:rPr>
          <w:rFonts w:ascii="Arial" w:hAnsi="Arial" w:cs="Arial"/>
          <w:sz w:val="24"/>
          <w:szCs w:val="24"/>
        </w:rPr>
        <w:t xml:space="preserve"> these models and they will be discussed throughout this essay.</w:t>
      </w:r>
    </w:p>
    <w:p w14:paraId="0E2BF30A" w14:textId="1CD63F3B" w:rsidR="00D93579" w:rsidRDefault="00D93579" w:rsidP="003F4538">
      <w:pPr>
        <w:spacing w:line="360" w:lineRule="auto"/>
        <w:rPr>
          <w:rFonts w:ascii="Arial" w:hAnsi="Arial" w:cs="Arial"/>
          <w:sz w:val="24"/>
          <w:szCs w:val="24"/>
        </w:rPr>
      </w:pPr>
      <w:r>
        <w:rPr>
          <w:rFonts w:ascii="Arial" w:hAnsi="Arial" w:cs="Arial"/>
          <w:sz w:val="24"/>
          <w:szCs w:val="24"/>
        </w:rPr>
        <w:t xml:space="preserve">The tokenistic method is as it sounds, a token gesture towards cross curricular teaching. It is sliding a skill from another area in to say that it has been done, it is giving a theme from a problem but not learning any more about the theme. There are often increases of tokenistic cross curricular teaching during times of the year where there are holidays of note, </w:t>
      </w:r>
      <w:r w:rsidR="00881F20">
        <w:rPr>
          <w:rFonts w:ascii="Arial" w:hAnsi="Arial" w:cs="Arial"/>
          <w:sz w:val="24"/>
          <w:szCs w:val="24"/>
        </w:rPr>
        <w:t xml:space="preserve">for example </w:t>
      </w:r>
      <w:r>
        <w:rPr>
          <w:rFonts w:ascii="Arial" w:hAnsi="Arial" w:cs="Arial"/>
          <w:sz w:val="24"/>
          <w:szCs w:val="24"/>
        </w:rPr>
        <w:t xml:space="preserve">when </w:t>
      </w:r>
      <w:r w:rsidR="00881F20">
        <w:rPr>
          <w:rFonts w:ascii="Arial" w:hAnsi="Arial" w:cs="Arial"/>
          <w:sz w:val="24"/>
          <w:szCs w:val="24"/>
        </w:rPr>
        <w:t>E</w:t>
      </w:r>
      <w:r>
        <w:rPr>
          <w:rFonts w:ascii="Arial" w:hAnsi="Arial" w:cs="Arial"/>
          <w:sz w:val="24"/>
          <w:szCs w:val="24"/>
        </w:rPr>
        <w:t xml:space="preserve">aster, Christmas, Halloween comes around. Simply giving children a maths problem sheet with a Christmas theme does not count as cross curricular if the children are not actually learning anything more about Christmas, if they are just improving on one specific skill. </w:t>
      </w:r>
      <w:r w:rsidR="0009639F">
        <w:rPr>
          <w:rFonts w:ascii="Arial" w:hAnsi="Arial" w:cs="Arial"/>
          <w:sz w:val="24"/>
          <w:szCs w:val="24"/>
        </w:rPr>
        <w:t xml:space="preserve">There are few benefits to using this model, it is one of the easiest ones to implement as often it has no real effect on a child’s learning. A practitioner also needs to have little or no knowledge of the other subject or theme being used to implement it. However, it is </w:t>
      </w:r>
      <w:r w:rsidR="0009639F">
        <w:rPr>
          <w:rFonts w:ascii="Arial" w:hAnsi="Arial" w:cs="Arial"/>
          <w:sz w:val="24"/>
          <w:szCs w:val="24"/>
        </w:rPr>
        <w:lastRenderedPageBreak/>
        <w:t xml:space="preserve">not a model that students get much out of, no real cross- curricular learning is </w:t>
      </w:r>
      <w:proofErr w:type="gramStart"/>
      <w:r w:rsidR="0009639F">
        <w:rPr>
          <w:rFonts w:ascii="Arial" w:hAnsi="Arial" w:cs="Arial"/>
          <w:sz w:val="24"/>
          <w:szCs w:val="24"/>
        </w:rPr>
        <w:t>actually happening</w:t>
      </w:r>
      <w:proofErr w:type="gramEnd"/>
      <w:r w:rsidR="0009639F">
        <w:rPr>
          <w:rFonts w:ascii="Arial" w:hAnsi="Arial" w:cs="Arial"/>
          <w:sz w:val="24"/>
          <w:szCs w:val="24"/>
        </w:rPr>
        <w:t xml:space="preserve">. </w:t>
      </w:r>
    </w:p>
    <w:p w14:paraId="2B0F01EA" w14:textId="69EA45F3" w:rsidR="00000EAD" w:rsidRDefault="00881F20" w:rsidP="003F4538">
      <w:pPr>
        <w:spacing w:line="360" w:lineRule="auto"/>
        <w:rPr>
          <w:rFonts w:ascii="Arial" w:hAnsi="Arial" w:cs="Arial"/>
          <w:sz w:val="24"/>
          <w:szCs w:val="24"/>
        </w:rPr>
      </w:pPr>
      <w:r>
        <w:rPr>
          <w:rFonts w:ascii="Arial" w:hAnsi="Arial" w:cs="Arial"/>
          <w:sz w:val="24"/>
          <w:szCs w:val="24"/>
        </w:rPr>
        <w:t xml:space="preserve">Another of Barnes (2015) models is the hierarchical </w:t>
      </w:r>
      <w:r w:rsidR="009C2981">
        <w:rPr>
          <w:rFonts w:ascii="Arial" w:hAnsi="Arial" w:cs="Arial"/>
          <w:sz w:val="24"/>
          <w:szCs w:val="24"/>
        </w:rPr>
        <w:t xml:space="preserve">model, this is when one subject is used to enhance the overall learning of another subject, learning a skill on the side to support another overarching skill. </w:t>
      </w:r>
      <w:r w:rsidR="0009639F">
        <w:rPr>
          <w:rFonts w:ascii="Arial" w:hAnsi="Arial" w:cs="Arial"/>
          <w:sz w:val="24"/>
          <w:szCs w:val="24"/>
        </w:rPr>
        <w:t xml:space="preserve">This model allows for </w:t>
      </w:r>
      <w:proofErr w:type="gramStart"/>
      <w:r w:rsidR="0009639F">
        <w:rPr>
          <w:rFonts w:ascii="Arial" w:hAnsi="Arial" w:cs="Arial"/>
          <w:sz w:val="24"/>
          <w:szCs w:val="24"/>
        </w:rPr>
        <w:t>really good</w:t>
      </w:r>
      <w:proofErr w:type="gramEnd"/>
      <w:r w:rsidR="0009639F">
        <w:rPr>
          <w:rFonts w:ascii="Arial" w:hAnsi="Arial" w:cs="Arial"/>
          <w:sz w:val="24"/>
          <w:szCs w:val="24"/>
        </w:rPr>
        <w:t xml:space="preserve"> progression in one specific skill or subject area</w:t>
      </w:r>
      <w:r w:rsidR="00AF1E11">
        <w:rPr>
          <w:rFonts w:ascii="Arial" w:hAnsi="Arial" w:cs="Arial"/>
          <w:sz w:val="24"/>
          <w:szCs w:val="24"/>
        </w:rPr>
        <w:t xml:space="preserve">, teacher subject knowledge for the main skill needs to be strong but the secondary skill does not need to be as strong. This can allow for this model to be highly accessible to teachers who struggle with certain subject knowledge. On the side of the limitations, only one skill is largely improved upon, this can leave the other skill on the side, not having been improved as much as the first one. This may mean certain skill areas go un-visited or get forgotten about. </w:t>
      </w:r>
    </w:p>
    <w:p w14:paraId="39E1A0FD" w14:textId="7575E54F" w:rsidR="00000EAD" w:rsidRDefault="009C2981" w:rsidP="003F4538">
      <w:pPr>
        <w:spacing w:line="360" w:lineRule="auto"/>
        <w:rPr>
          <w:rFonts w:ascii="Arial" w:hAnsi="Arial" w:cs="Arial"/>
          <w:sz w:val="24"/>
          <w:szCs w:val="24"/>
        </w:rPr>
      </w:pPr>
      <w:r>
        <w:rPr>
          <w:rFonts w:ascii="Arial" w:hAnsi="Arial" w:cs="Arial"/>
          <w:sz w:val="24"/>
          <w:szCs w:val="24"/>
        </w:rPr>
        <w:t>He also discusses using a single transferable skill as a way of cross curricular teaching. This is when</w:t>
      </w:r>
      <w:r w:rsidR="00000EAD">
        <w:rPr>
          <w:rFonts w:ascii="Arial" w:hAnsi="Arial" w:cs="Arial"/>
          <w:sz w:val="24"/>
          <w:szCs w:val="24"/>
        </w:rPr>
        <w:t xml:space="preserve">, as suggested, one skill is explicitly taught and then it is put into practice through ideas and experiences throughout other subjects or areas of the curriculum. </w:t>
      </w:r>
    </w:p>
    <w:p w14:paraId="6451B970" w14:textId="5A3AF84C" w:rsidR="00881F20" w:rsidRDefault="00000EAD" w:rsidP="003F4538">
      <w:pPr>
        <w:spacing w:line="360" w:lineRule="auto"/>
        <w:rPr>
          <w:rFonts w:ascii="Arial" w:hAnsi="Arial" w:cs="Arial"/>
          <w:sz w:val="24"/>
          <w:szCs w:val="24"/>
        </w:rPr>
      </w:pPr>
      <w:r>
        <w:rPr>
          <w:rFonts w:ascii="Arial" w:hAnsi="Arial" w:cs="Arial"/>
          <w:sz w:val="24"/>
          <w:szCs w:val="24"/>
        </w:rPr>
        <w:t>The next approach is a thematic approach. Using an overarching theme to generate exploration through different ideas and skills associated through different subject are</w:t>
      </w:r>
      <w:r w:rsidR="0086357B">
        <w:rPr>
          <w:rFonts w:ascii="Arial" w:hAnsi="Arial" w:cs="Arial"/>
          <w:sz w:val="24"/>
          <w:szCs w:val="24"/>
        </w:rPr>
        <w:t>as. Where an explicit skill may be taught but then enhanced alongside other ideas under the same theme in a different subject.</w:t>
      </w:r>
      <w:r w:rsidR="00AF1E11">
        <w:rPr>
          <w:rFonts w:ascii="Arial" w:hAnsi="Arial" w:cs="Arial"/>
          <w:sz w:val="24"/>
          <w:szCs w:val="24"/>
        </w:rPr>
        <w:t xml:space="preserve"> This can be hugely engaging for younger children, who often engage and motive with a theme, playing more on their imaginations and that learning through play style. This model can be a challenge for teachers, especially new or younger ones, due to the wide subject knowledge needed to cover the whole of a theme well. For more experienced teachers who have covered the same or a similar theme before this may not present such a challenge. Using a theme to work to allows children to grasp knowledge and make connections between new ideas and old ones they may already have. </w:t>
      </w:r>
    </w:p>
    <w:p w14:paraId="3167262F" w14:textId="157709BA" w:rsidR="00DF7439" w:rsidRDefault="00DF7439" w:rsidP="003F4538">
      <w:pPr>
        <w:spacing w:line="360" w:lineRule="auto"/>
        <w:rPr>
          <w:rFonts w:ascii="Arial" w:hAnsi="Arial" w:cs="Arial"/>
          <w:sz w:val="24"/>
          <w:szCs w:val="24"/>
        </w:rPr>
      </w:pPr>
      <w:r>
        <w:rPr>
          <w:rFonts w:ascii="Arial" w:hAnsi="Arial" w:cs="Arial"/>
          <w:sz w:val="24"/>
          <w:szCs w:val="24"/>
        </w:rPr>
        <w:t>With Multi-disciplinary cross curricular teaching you are aiming to improve subject skill and knowledge in two or more subject areas, with the help of a powerful, shared experience. The students start with an underlying knowledge of the skills or ideas they will be improving before the experience and then experience then helps to solidify and expand those skills and ideas.</w:t>
      </w:r>
      <w:r w:rsidR="00AF1E11">
        <w:rPr>
          <w:rFonts w:ascii="Arial" w:hAnsi="Arial" w:cs="Arial"/>
          <w:sz w:val="24"/>
          <w:szCs w:val="24"/>
        </w:rPr>
        <w:t xml:space="preserve"> </w:t>
      </w:r>
      <w:r>
        <w:rPr>
          <w:rFonts w:ascii="Arial" w:hAnsi="Arial" w:cs="Arial"/>
          <w:sz w:val="24"/>
          <w:szCs w:val="24"/>
        </w:rPr>
        <w:t xml:space="preserve">Inter-disciplinary is </w:t>
      </w:r>
      <w:proofErr w:type="gramStart"/>
      <w:r>
        <w:rPr>
          <w:rFonts w:ascii="Arial" w:hAnsi="Arial" w:cs="Arial"/>
          <w:sz w:val="24"/>
          <w:szCs w:val="24"/>
        </w:rPr>
        <w:t>similar to</w:t>
      </w:r>
      <w:proofErr w:type="gramEnd"/>
      <w:r>
        <w:rPr>
          <w:rFonts w:ascii="Arial" w:hAnsi="Arial" w:cs="Arial"/>
          <w:sz w:val="24"/>
          <w:szCs w:val="24"/>
        </w:rPr>
        <w:t xml:space="preserve"> the multi- disciplinary in there is a powerful shared experience involved. However, here the </w:t>
      </w:r>
      <w:r>
        <w:rPr>
          <w:rFonts w:ascii="Arial" w:hAnsi="Arial" w:cs="Arial"/>
          <w:sz w:val="24"/>
          <w:szCs w:val="24"/>
        </w:rPr>
        <w:lastRenderedPageBreak/>
        <w:t>experience normally happens first with the students having little or no knowledge of the skills they will learn. Inter- disciplinary is aimed to increase creative thinking and connection making between two or more subjects to give an overall better understanding of multiple skills gained.</w:t>
      </w:r>
      <w:r w:rsidR="00AF1E11">
        <w:rPr>
          <w:rFonts w:ascii="Arial" w:hAnsi="Arial" w:cs="Arial"/>
          <w:sz w:val="24"/>
          <w:szCs w:val="24"/>
        </w:rPr>
        <w:t xml:space="preserve"> </w:t>
      </w:r>
      <w:proofErr w:type="gramStart"/>
      <w:r w:rsidR="00AF1E11">
        <w:rPr>
          <w:rFonts w:ascii="Arial" w:hAnsi="Arial" w:cs="Arial"/>
          <w:sz w:val="24"/>
          <w:szCs w:val="24"/>
        </w:rPr>
        <w:t>Both of the models</w:t>
      </w:r>
      <w:proofErr w:type="gramEnd"/>
      <w:r w:rsidR="00AF1E11">
        <w:rPr>
          <w:rFonts w:ascii="Arial" w:hAnsi="Arial" w:cs="Arial"/>
          <w:sz w:val="24"/>
          <w:szCs w:val="24"/>
        </w:rPr>
        <w:t xml:space="preserve"> rely on excellent teacher knowledge throughout </w:t>
      </w:r>
      <w:r w:rsidR="00FA6B4B">
        <w:rPr>
          <w:rFonts w:ascii="Arial" w:hAnsi="Arial" w:cs="Arial"/>
          <w:sz w:val="24"/>
          <w:szCs w:val="24"/>
        </w:rPr>
        <w:t xml:space="preserve">to improve skills and knowledge from all of the chosen subject areas, this may cause problems for some practitioners but can be overcome by continued personal development, planning and organisation. This is supported by both </w:t>
      </w:r>
      <w:proofErr w:type="spellStart"/>
      <w:r w:rsidR="00FA6B4B">
        <w:rPr>
          <w:rFonts w:ascii="Arial" w:hAnsi="Arial" w:cs="Arial"/>
          <w:sz w:val="24"/>
          <w:szCs w:val="24"/>
        </w:rPr>
        <w:t>Oftsed</w:t>
      </w:r>
      <w:proofErr w:type="spellEnd"/>
      <w:r w:rsidR="00FA6B4B">
        <w:rPr>
          <w:rFonts w:ascii="Arial" w:hAnsi="Arial" w:cs="Arial"/>
          <w:sz w:val="24"/>
          <w:szCs w:val="24"/>
        </w:rPr>
        <w:t xml:space="preserve"> (2010) and Roth (2000). </w:t>
      </w:r>
      <w:proofErr w:type="gramStart"/>
      <w:r w:rsidR="00FA6B4B">
        <w:rPr>
          <w:rFonts w:ascii="Arial" w:hAnsi="Arial" w:cs="Arial"/>
          <w:sz w:val="24"/>
          <w:szCs w:val="24"/>
        </w:rPr>
        <w:t>Both of these</w:t>
      </w:r>
      <w:proofErr w:type="gramEnd"/>
      <w:r w:rsidR="00FA6B4B">
        <w:rPr>
          <w:rFonts w:ascii="Arial" w:hAnsi="Arial" w:cs="Arial"/>
          <w:sz w:val="24"/>
          <w:szCs w:val="24"/>
        </w:rPr>
        <w:t xml:space="preserve"> methods involve a powerful, shared experience and this is an excellent way for children to learn, as seen by the foundation phase philosophy. </w:t>
      </w:r>
    </w:p>
    <w:p w14:paraId="52178571" w14:textId="6D6F9919" w:rsidR="00DF7439" w:rsidRDefault="00DF7439" w:rsidP="003F4538">
      <w:pPr>
        <w:spacing w:line="360" w:lineRule="auto"/>
        <w:rPr>
          <w:rFonts w:ascii="Arial" w:hAnsi="Arial" w:cs="Arial"/>
          <w:sz w:val="24"/>
          <w:szCs w:val="24"/>
        </w:rPr>
      </w:pPr>
      <w:r>
        <w:rPr>
          <w:rFonts w:ascii="Arial" w:hAnsi="Arial" w:cs="Arial"/>
          <w:sz w:val="24"/>
          <w:szCs w:val="24"/>
        </w:rPr>
        <w:t xml:space="preserve">Opportunistic cross curricular teaching can be one of the most difficult models to plan for as it is nearly completely child led. </w:t>
      </w:r>
      <w:r w:rsidR="00FB01A4">
        <w:rPr>
          <w:rFonts w:ascii="Arial" w:hAnsi="Arial" w:cs="Arial"/>
          <w:sz w:val="24"/>
          <w:szCs w:val="24"/>
        </w:rPr>
        <w:t xml:space="preserve">It may often start with a scenario, problem or theme and from there it is the choice of the students as to where the sessions go, what they learn and which skills they progress. For opportunistic cross curricular teaching teachers may sometimes guide students in a certain direction if they are wanting them to learn something specific within the theme, however it would be up to the children to decide how this happened. </w:t>
      </w:r>
      <w:r w:rsidR="00FA6B4B">
        <w:rPr>
          <w:rFonts w:ascii="Arial" w:hAnsi="Arial" w:cs="Arial"/>
          <w:sz w:val="24"/>
          <w:szCs w:val="24"/>
        </w:rPr>
        <w:t>This is another model that falls in line with Wales’ foundation phase philosophy of being child led and learning through play, both of which are widely supported by Bruce</w:t>
      </w:r>
      <w:r w:rsidR="001622E9">
        <w:rPr>
          <w:rFonts w:ascii="Arial" w:hAnsi="Arial" w:cs="Arial"/>
          <w:sz w:val="24"/>
          <w:szCs w:val="24"/>
        </w:rPr>
        <w:t>, Piaget, Montessori and many others</w:t>
      </w:r>
      <w:r w:rsidR="00FA6B4B">
        <w:rPr>
          <w:rFonts w:ascii="Arial" w:hAnsi="Arial" w:cs="Arial"/>
          <w:sz w:val="24"/>
          <w:szCs w:val="24"/>
        </w:rPr>
        <w:t xml:space="preserve"> in Pound (2006) </w:t>
      </w:r>
      <w:r w:rsidR="001622E9">
        <w:rPr>
          <w:rFonts w:ascii="Arial" w:hAnsi="Arial" w:cs="Arial"/>
          <w:sz w:val="24"/>
          <w:szCs w:val="24"/>
        </w:rPr>
        <w:t>and Grigg (2015).</w:t>
      </w:r>
    </w:p>
    <w:p w14:paraId="6779267E" w14:textId="60B72D52" w:rsidR="00FB01A4" w:rsidRDefault="00FB01A4" w:rsidP="003F4538">
      <w:pPr>
        <w:spacing w:line="360" w:lineRule="auto"/>
        <w:rPr>
          <w:rFonts w:ascii="Arial" w:hAnsi="Arial" w:cs="Arial"/>
          <w:sz w:val="24"/>
          <w:szCs w:val="24"/>
        </w:rPr>
      </w:pPr>
      <w:r>
        <w:rPr>
          <w:rFonts w:ascii="Arial" w:hAnsi="Arial" w:cs="Arial"/>
          <w:sz w:val="24"/>
          <w:szCs w:val="24"/>
        </w:rPr>
        <w:t xml:space="preserve">With the double-focus method teachers aim to promote balance across many or all subjects being covered and focuses both on the teaching and learning taking place. </w:t>
      </w:r>
      <w:r w:rsidR="0009639F">
        <w:rPr>
          <w:rFonts w:ascii="Arial" w:hAnsi="Arial" w:cs="Arial"/>
          <w:sz w:val="24"/>
          <w:szCs w:val="24"/>
        </w:rPr>
        <w:t xml:space="preserve">This is a model that may last a whole </w:t>
      </w:r>
      <w:proofErr w:type="gramStart"/>
      <w:r w:rsidR="0009639F">
        <w:rPr>
          <w:rFonts w:ascii="Arial" w:hAnsi="Arial" w:cs="Arial"/>
          <w:sz w:val="24"/>
          <w:szCs w:val="24"/>
        </w:rPr>
        <w:t>term</w:t>
      </w:r>
      <w:proofErr w:type="gramEnd"/>
      <w:r w:rsidR="0009639F">
        <w:rPr>
          <w:rFonts w:ascii="Arial" w:hAnsi="Arial" w:cs="Arial"/>
          <w:sz w:val="24"/>
          <w:szCs w:val="24"/>
        </w:rPr>
        <w:t xml:space="preserve"> or a school may use all year long, skills are taught and then used back and forth in multiple lessons or subjects throughout the year.</w:t>
      </w:r>
      <w:r w:rsidR="001622E9">
        <w:rPr>
          <w:rFonts w:ascii="Arial" w:hAnsi="Arial" w:cs="Arial"/>
          <w:sz w:val="24"/>
          <w:szCs w:val="24"/>
        </w:rPr>
        <w:t xml:space="preserve"> </w:t>
      </w:r>
    </w:p>
    <w:p w14:paraId="6E529427" w14:textId="166A6085" w:rsidR="001622E9" w:rsidRDefault="001622E9" w:rsidP="003F4538">
      <w:pPr>
        <w:spacing w:line="360" w:lineRule="auto"/>
        <w:rPr>
          <w:rFonts w:ascii="Arial" w:hAnsi="Arial" w:cs="Arial"/>
          <w:sz w:val="24"/>
          <w:szCs w:val="24"/>
        </w:rPr>
      </w:pPr>
      <w:r>
        <w:rPr>
          <w:rFonts w:ascii="Arial" w:hAnsi="Arial" w:cs="Arial"/>
          <w:sz w:val="24"/>
          <w:szCs w:val="24"/>
        </w:rPr>
        <w:t xml:space="preserve">Numeracy in a cross curricular context is something that, in my opinion, we see more in the foundation phase than we do in Key stage 2 and I believe this is due to the more structured nature of the higher primary years. When children are in the foundation </w:t>
      </w:r>
      <w:proofErr w:type="gramStart"/>
      <w:r>
        <w:rPr>
          <w:rFonts w:ascii="Arial" w:hAnsi="Arial" w:cs="Arial"/>
          <w:sz w:val="24"/>
          <w:szCs w:val="24"/>
        </w:rPr>
        <w:t>phase</w:t>
      </w:r>
      <w:proofErr w:type="gramEnd"/>
      <w:r>
        <w:rPr>
          <w:rFonts w:ascii="Arial" w:hAnsi="Arial" w:cs="Arial"/>
          <w:sz w:val="24"/>
          <w:szCs w:val="24"/>
        </w:rPr>
        <w:t xml:space="preserve"> they are using the skills they have been explicitly taught in a maths session across much of their enhanced provision, carrying it across then to their own free-play time. This allows for a much more natural way of cross curricular learning and the cementing of skills and ideas in a child’s brain. All linking back once again to </w:t>
      </w:r>
      <w:r>
        <w:rPr>
          <w:rFonts w:ascii="Arial" w:hAnsi="Arial" w:cs="Arial"/>
          <w:sz w:val="24"/>
          <w:szCs w:val="24"/>
        </w:rPr>
        <w:lastRenderedPageBreak/>
        <w:t xml:space="preserve">having that experience and practical application. I also believe that it is easier to teach numeracy and maths in a more cross curricular way when a child is younger as the content itself is not as complicated. </w:t>
      </w:r>
      <w:proofErr w:type="gramStart"/>
      <w:r>
        <w:rPr>
          <w:rFonts w:ascii="Arial" w:hAnsi="Arial" w:cs="Arial"/>
          <w:sz w:val="24"/>
          <w:szCs w:val="24"/>
        </w:rPr>
        <w:t>However</w:t>
      </w:r>
      <w:proofErr w:type="gramEnd"/>
      <w:r>
        <w:rPr>
          <w:rFonts w:ascii="Arial" w:hAnsi="Arial" w:cs="Arial"/>
          <w:sz w:val="24"/>
          <w:szCs w:val="24"/>
        </w:rPr>
        <w:t xml:space="preserve"> through practice observed by myself on teaching experience, children grasp much harder or complicated problems if they are able to look at t</w:t>
      </w:r>
      <w:r w:rsidR="009831A0">
        <w:rPr>
          <w:rFonts w:ascii="Arial" w:hAnsi="Arial" w:cs="Arial"/>
          <w:sz w:val="24"/>
          <w:szCs w:val="24"/>
        </w:rPr>
        <w:t>h</w:t>
      </w:r>
      <w:r>
        <w:rPr>
          <w:rFonts w:ascii="Arial" w:hAnsi="Arial" w:cs="Arial"/>
          <w:sz w:val="24"/>
          <w:szCs w:val="24"/>
        </w:rPr>
        <w:t xml:space="preserve">em in a real world scenario. For example, many children struggle while learning fractions, but if you talk about sharing food, pizza, a prime example then children start to grasp the concept more firmly. Many maths and numeracy skills learnt in your primary education you will take with you and use </w:t>
      </w:r>
      <w:proofErr w:type="gramStart"/>
      <w:r>
        <w:rPr>
          <w:rFonts w:ascii="Arial" w:hAnsi="Arial" w:cs="Arial"/>
          <w:sz w:val="24"/>
          <w:szCs w:val="24"/>
        </w:rPr>
        <w:t>on a daily basis</w:t>
      </w:r>
      <w:proofErr w:type="gramEnd"/>
      <w:r>
        <w:rPr>
          <w:rFonts w:ascii="Arial" w:hAnsi="Arial" w:cs="Arial"/>
          <w:sz w:val="24"/>
          <w:szCs w:val="24"/>
        </w:rPr>
        <w:t xml:space="preserve"> in your adult life. This is another reason that children do not just see maths in their maths lessons, but out and about in the real world around them. </w:t>
      </w:r>
    </w:p>
    <w:p w14:paraId="09E7DF82" w14:textId="6F2E5E0E" w:rsidR="001622E9" w:rsidRDefault="001622E9" w:rsidP="003F4538">
      <w:pPr>
        <w:spacing w:line="360" w:lineRule="auto"/>
        <w:rPr>
          <w:rFonts w:ascii="Arial" w:hAnsi="Arial" w:cs="Arial"/>
          <w:sz w:val="24"/>
          <w:szCs w:val="24"/>
        </w:rPr>
      </w:pPr>
      <w:r>
        <w:rPr>
          <w:rFonts w:ascii="Arial" w:hAnsi="Arial" w:cs="Arial"/>
          <w:sz w:val="24"/>
          <w:szCs w:val="24"/>
        </w:rPr>
        <w:t>Literacy; reading, writing and speaking are also skills that you will use on a daily basis for the rest of your life</w:t>
      </w:r>
      <w:r w:rsidR="00262539">
        <w:rPr>
          <w:rFonts w:ascii="Arial" w:hAnsi="Arial" w:cs="Arial"/>
          <w:sz w:val="24"/>
          <w:szCs w:val="24"/>
        </w:rPr>
        <w:t xml:space="preserve"> and when we start listing these things as skills we learn and practise purely in our </w:t>
      </w:r>
      <w:r w:rsidR="009831A0">
        <w:rPr>
          <w:rFonts w:ascii="Arial" w:hAnsi="Arial" w:cs="Arial"/>
          <w:sz w:val="24"/>
          <w:szCs w:val="24"/>
        </w:rPr>
        <w:t>English</w:t>
      </w:r>
      <w:r w:rsidR="00262539">
        <w:rPr>
          <w:rFonts w:ascii="Arial" w:hAnsi="Arial" w:cs="Arial"/>
          <w:sz w:val="24"/>
          <w:szCs w:val="24"/>
        </w:rPr>
        <w:t xml:space="preserve"> lessons then children may struggle to grasp why. There are certain skills that we may look at in school that we never use again, some people for example will never write a report after they leave education, however some students may chose to go into careers where report writing is a large part and they may be writing about any number of subjects. I feel like certain aspects of the Literacy and Numeracy Framework are </w:t>
      </w:r>
      <w:proofErr w:type="gramStart"/>
      <w:r w:rsidR="00262539">
        <w:rPr>
          <w:rFonts w:ascii="Arial" w:hAnsi="Arial" w:cs="Arial"/>
          <w:sz w:val="24"/>
          <w:szCs w:val="24"/>
        </w:rPr>
        <w:t>fairly easy</w:t>
      </w:r>
      <w:proofErr w:type="gramEnd"/>
      <w:r w:rsidR="00262539">
        <w:rPr>
          <w:rFonts w:ascii="Arial" w:hAnsi="Arial" w:cs="Arial"/>
          <w:sz w:val="24"/>
          <w:szCs w:val="24"/>
        </w:rPr>
        <w:t xml:space="preserve"> to embed into other areas of learning once the explicit skill has been taught, whereas other skills may simply stay within that </w:t>
      </w:r>
      <w:r w:rsidR="009831A0">
        <w:rPr>
          <w:rFonts w:ascii="Arial" w:hAnsi="Arial" w:cs="Arial"/>
          <w:sz w:val="24"/>
          <w:szCs w:val="24"/>
        </w:rPr>
        <w:t>English</w:t>
      </w:r>
      <w:r w:rsidR="00262539">
        <w:rPr>
          <w:rFonts w:ascii="Arial" w:hAnsi="Arial" w:cs="Arial"/>
          <w:sz w:val="24"/>
          <w:szCs w:val="24"/>
        </w:rPr>
        <w:t xml:space="preserve"> lesson.</w:t>
      </w:r>
    </w:p>
    <w:p w14:paraId="60DB39BE" w14:textId="0AE6D602" w:rsidR="001307CA" w:rsidRDefault="001307CA" w:rsidP="003F4538">
      <w:pPr>
        <w:spacing w:line="360" w:lineRule="auto"/>
        <w:rPr>
          <w:rFonts w:ascii="Arial" w:hAnsi="Arial" w:cs="Arial"/>
          <w:sz w:val="24"/>
          <w:szCs w:val="24"/>
        </w:rPr>
      </w:pPr>
      <w:r>
        <w:rPr>
          <w:rFonts w:ascii="Arial" w:hAnsi="Arial" w:cs="Arial"/>
          <w:sz w:val="24"/>
          <w:szCs w:val="24"/>
        </w:rPr>
        <w:t>Digital competence is a harder thing for schools to deliver in a cross curricular way</w:t>
      </w:r>
      <w:r w:rsidR="002409F5">
        <w:rPr>
          <w:rFonts w:ascii="Arial" w:hAnsi="Arial" w:cs="Arial"/>
          <w:sz w:val="24"/>
          <w:szCs w:val="24"/>
        </w:rPr>
        <w:t xml:space="preserve">, as much of the time they can be limited by resources. Some school have far greater amounts of technology available to them, when other schools only have a computer room to use once a week. This can limit the ease of access for students who may wish to use technology to further their own learning or skills. </w:t>
      </w:r>
    </w:p>
    <w:p w14:paraId="281BE206" w14:textId="42F68EF6" w:rsidR="00262539" w:rsidRDefault="009831A0" w:rsidP="003F4538">
      <w:pPr>
        <w:spacing w:line="360" w:lineRule="auto"/>
        <w:rPr>
          <w:rFonts w:ascii="Arial" w:hAnsi="Arial" w:cs="Arial"/>
          <w:sz w:val="24"/>
          <w:szCs w:val="24"/>
        </w:rPr>
      </w:pPr>
      <w:r>
        <w:rPr>
          <w:rFonts w:ascii="Arial" w:hAnsi="Arial" w:cs="Arial"/>
          <w:sz w:val="24"/>
          <w:szCs w:val="24"/>
        </w:rPr>
        <w:t>Professor Donaldson in his 2015 report notes that Literacy and numeracy are universally acknowledged to be the essential foundations of education. This thought is echoed by education authorities in Melbourne, Australia where there have been numerous attempts to share cross curricular learning and teaching styles as it allows students and teachers to positively change the learning process. As effective practise in Australia they urge their staff to share cross curricular planning of lessons and skills</w:t>
      </w:r>
      <w:r w:rsidR="001307CA">
        <w:rPr>
          <w:rFonts w:ascii="Arial" w:hAnsi="Arial" w:cs="Arial"/>
          <w:sz w:val="24"/>
          <w:szCs w:val="24"/>
        </w:rPr>
        <w:t xml:space="preserve"> to lessen each staff members workload and allow them to deliver cross </w:t>
      </w:r>
      <w:r w:rsidR="001307CA">
        <w:rPr>
          <w:rFonts w:ascii="Arial" w:hAnsi="Arial" w:cs="Arial"/>
          <w:sz w:val="24"/>
          <w:szCs w:val="24"/>
        </w:rPr>
        <w:lastRenderedPageBreak/>
        <w:t xml:space="preserve">curricular skills effectively, teacher magazine AU (2016). In France, Erasmus has funded projects showing excellent practise of cross curricular work and has seen many different examples from both primary and secondary ages, </w:t>
      </w:r>
      <w:proofErr w:type="gramStart"/>
      <w:r w:rsidR="001307CA">
        <w:rPr>
          <w:rFonts w:ascii="Arial" w:hAnsi="Arial" w:cs="Arial"/>
          <w:sz w:val="24"/>
          <w:szCs w:val="24"/>
        </w:rPr>
        <w:t>Timmerman</w:t>
      </w:r>
      <w:r w:rsidR="002409F5">
        <w:rPr>
          <w:rFonts w:ascii="Arial" w:hAnsi="Arial" w:cs="Arial"/>
          <w:sz w:val="24"/>
          <w:szCs w:val="24"/>
        </w:rPr>
        <w:t>(</w:t>
      </w:r>
      <w:proofErr w:type="gramEnd"/>
      <w:r w:rsidR="002409F5">
        <w:rPr>
          <w:rFonts w:ascii="Arial" w:hAnsi="Arial" w:cs="Arial"/>
          <w:sz w:val="24"/>
          <w:szCs w:val="24"/>
        </w:rPr>
        <w:t>2016)</w:t>
      </w:r>
      <w:r w:rsidR="001307CA">
        <w:rPr>
          <w:rFonts w:ascii="Arial" w:hAnsi="Arial" w:cs="Arial"/>
          <w:sz w:val="24"/>
          <w:szCs w:val="24"/>
        </w:rPr>
        <w:t>.</w:t>
      </w:r>
    </w:p>
    <w:p w14:paraId="07D7395B" w14:textId="07C374B1" w:rsidR="007343B5" w:rsidRDefault="007343B5" w:rsidP="003F4538">
      <w:pPr>
        <w:spacing w:line="360" w:lineRule="auto"/>
        <w:rPr>
          <w:rFonts w:ascii="Arial" w:hAnsi="Arial" w:cs="Arial"/>
          <w:sz w:val="24"/>
          <w:szCs w:val="24"/>
        </w:rPr>
      </w:pPr>
      <w:r>
        <w:rPr>
          <w:rFonts w:ascii="Arial" w:hAnsi="Arial" w:cs="Arial"/>
          <w:sz w:val="24"/>
          <w:szCs w:val="24"/>
        </w:rPr>
        <w:t xml:space="preserve">For Welsh schools moving forward into this new curriculum of Donaldson they need to be acutely aware of how they are teaching Numeracy, Literacy and Digital Competence. Especially </w:t>
      </w:r>
      <w:proofErr w:type="gramStart"/>
      <w:r>
        <w:rPr>
          <w:rFonts w:ascii="Arial" w:hAnsi="Arial" w:cs="Arial"/>
          <w:sz w:val="24"/>
          <w:szCs w:val="24"/>
        </w:rPr>
        <w:t>in regards to</w:t>
      </w:r>
      <w:proofErr w:type="gramEnd"/>
      <w:r>
        <w:rPr>
          <w:rFonts w:ascii="Arial" w:hAnsi="Arial" w:cs="Arial"/>
          <w:sz w:val="24"/>
          <w:szCs w:val="24"/>
        </w:rPr>
        <w:t xml:space="preserve"> digital competence as it is becoming more and more in the forefront that todays teachers and teaching children to take up jobs and careers that are yet to exist. In this 21</w:t>
      </w:r>
      <w:r w:rsidRPr="007343B5">
        <w:rPr>
          <w:rFonts w:ascii="Arial" w:hAnsi="Arial" w:cs="Arial"/>
          <w:sz w:val="24"/>
          <w:szCs w:val="24"/>
          <w:vertAlign w:val="superscript"/>
        </w:rPr>
        <w:t>st</w:t>
      </w:r>
      <w:r>
        <w:rPr>
          <w:rFonts w:ascii="Arial" w:hAnsi="Arial" w:cs="Arial"/>
          <w:sz w:val="24"/>
          <w:szCs w:val="24"/>
        </w:rPr>
        <w:t xml:space="preserve"> century digital technology is moving along faster than we can keep up with, schools need to do their very best to ensure children are learning how to be consumers of technology. That children are developing the skills and knowledge needed for them to become creative learners now and throughout their lives. </w:t>
      </w:r>
    </w:p>
    <w:p w14:paraId="70606D49" w14:textId="2BDD5CA9" w:rsidR="007343B5" w:rsidRDefault="007343B5" w:rsidP="003F4538">
      <w:pPr>
        <w:spacing w:line="360" w:lineRule="auto"/>
        <w:rPr>
          <w:rFonts w:ascii="Arial" w:hAnsi="Arial" w:cs="Arial"/>
          <w:sz w:val="24"/>
          <w:szCs w:val="24"/>
        </w:rPr>
      </w:pPr>
      <w:r>
        <w:rPr>
          <w:rFonts w:ascii="Arial" w:hAnsi="Arial" w:cs="Arial"/>
          <w:sz w:val="24"/>
          <w:szCs w:val="24"/>
        </w:rPr>
        <w:t xml:space="preserve">Trainee teachers that are currently in initial teacher training are in a great place to ensure they have the knowledge themselves to teach these children in the best way. Universities are at the forefront of the changes happening in technology alongside some of the large companies. University is where the some of the people who are writing the new curriculum are working, they are there to share their expertise. </w:t>
      </w:r>
    </w:p>
    <w:p w14:paraId="7045C129" w14:textId="48C11359" w:rsidR="007343B5" w:rsidRDefault="007343B5" w:rsidP="003F4538">
      <w:pPr>
        <w:spacing w:line="360" w:lineRule="auto"/>
        <w:rPr>
          <w:rFonts w:ascii="Arial" w:hAnsi="Arial" w:cs="Arial"/>
          <w:sz w:val="24"/>
          <w:szCs w:val="24"/>
        </w:rPr>
      </w:pPr>
      <w:r>
        <w:rPr>
          <w:rFonts w:ascii="Arial" w:hAnsi="Arial" w:cs="Arial"/>
          <w:sz w:val="24"/>
          <w:szCs w:val="24"/>
        </w:rPr>
        <w:t xml:space="preserve">As a personal target for myself going on to teach in a cross curricular fashion, I am aiming to try and imbed digital competence throughout my lessons wherever I can, children need to be able to use this technology. This will mean that I will have to ensure that my own subject knowledge is sound, so this is another target for myself, to improve my knowledge on current, new and emerging technology. Another target I will set myself is to try and improve my use of skills covered explicitly in lessons within the enhanced provision areas of my classroom. </w:t>
      </w:r>
    </w:p>
    <w:p w14:paraId="32101FB7" w14:textId="6FF6134E" w:rsidR="0063319B" w:rsidRDefault="0063319B" w:rsidP="003F4538">
      <w:pPr>
        <w:spacing w:line="360" w:lineRule="auto"/>
        <w:rPr>
          <w:rFonts w:ascii="Arial" w:hAnsi="Arial" w:cs="Arial"/>
          <w:sz w:val="24"/>
          <w:szCs w:val="24"/>
        </w:rPr>
      </w:pPr>
      <w:proofErr w:type="gramStart"/>
      <w:r>
        <w:rPr>
          <w:rFonts w:ascii="Arial" w:hAnsi="Arial" w:cs="Arial"/>
          <w:sz w:val="24"/>
          <w:szCs w:val="24"/>
        </w:rPr>
        <w:t>Overall</w:t>
      </w:r>
      <w:proofErr w:type="gramEnd"/>
      <w:r>
        <w:rPr>
          <w:rFonts w:ascii="Arial" w:hAnsi="Arial" w:cs="Arial"/>
          <w:sz w:val="24"/>
          <w:szCs w:val="24"/>
        </w:rPr>
        <w:t xml:space="preserve"> I feel my subject knowledge in Numeracy and Literacy is good enough to teach in a cross curricular fashion within the foundation phase. If I was to teach in Key stage 2 then I would need to ensure I was more familiar with the skills and subject knowledge needed. </w:t>
      </w:r>
    </w:p>
    <w:p w14:paraId="239F9362" w14:textId="633405B2" w:rsidR="0063319B" w:rsidRDefault="0063319B" w:rsidP="003F4538">
      <w:pPr>
        <w:spacing w:line="360" w:lineRule="auto"/>
        <w:rPr>
          <w:rFonts w:ascii="Arial" w:hAnsi="Arial" w:cs="Arial"/>
          <w:sz w:val="24"/>
          <w:szCs w:val="24"/>
        </w:rPr>
      </w:pPr>
      <w:r>
        <w:rPr>
          <w:rFonts w:ascii="Arial" w:hAnsi="Arial" w:cs="Arial"/>
          <w:sz w:val="24"/>
          <w:szCs w:val="24"/>
        </w:rPr>
        <w:t xml:space="preserve">Throughout this essay I have looked at cross curricular responsibilities, the LNF and how it is accessible for practitioners in Wales. I have looks at the models Barnes (2015) suggests for teaching in a cross curricular way and some of their benefits and </w:t>
      </w:r>
      <w:r>
        <w:rPr>
          <w:rFonts w:ascii="Arial" w:hAnsi="Arial" w:cs="Arial"/>
          <w:sz w:val="24"/>
          <w:szCs w:val="24"/>
        </w:rPr>
        <w:lastRenderedPageBreak/>
        <w:t>limitations. I have briefly mentioned how Australia are showing good practise in cross curricular teaching and finally mentioned some of my own personal targets.</w:t>
      </w:r>
    </w:p>
    <w:p w14:paraId="5DCB5734" w14:textId="5CDD420D" w:rsidR="002D713F" w:rsidRDefault="002D713F" w:rsidP="003F4538">
      <w:pPr>
        <w:spacing w:line="360" w:lineRule="auto"/>
        <w:rPr>
          <w:rFonts w:ascii="Arial" w:hAnsi="Arial" w:cs="Arial"/>
          <w:sz w:val="24"/>
          <w:szCs w:val="24"/>
        </w:rPr>
      </w:pPr>
    </w:p>
    <w:p w14:paraId="2F3BD699" w14:textId="25A4784F" w:rsidR="002D713F" w:rsidRDefault="002D713F" w:rsidP="003F4538">
      <w:pPr>
        <w:spacing w:line="360" w:lineRule="auto"/>
        <w:rPr>
          <w:rFonts w:ascii="Arial" w:hAnsi="Arial" w:cs="Arial"/>
          <w:sz w:val="24"/>
          <w:szCs w:val="24"/>
        </w:rPr>
      </w:pPr>
    </w:p>
    <w:p w14:paraId="31A8488A" w14:textId="1FF3A7CF" w:rsidR="002D713F" w:rsidRDefault="002D713F" w:rsidP="003F4538">
      <w:pPr>
        <w:spacing w:line="360" w:lineRule="auto"/>
        <w:rPr>
          <w:rFonts w:ascii="Arial" w:hAnsi="Arial" w:cs="Arial"/>
          <w:sz w:val="24"/>
          <w:szCs w:val="24"/>
        </w:rPr>
      </w:pPr>
    </w:p>
    <w:p w14:paraId="61796339" w14:textId="08E0764D" w:rsidR="002D713F" w:rsidRDefault="002D713F" w:rsidP="003F4538">
      <w:pPr>
        <w:spacing w:line="360" w:lineRule="auto"/>
        <w:rPr>
          <w:rFonts w:ascii="Arial" w:hAnsi="Arial" w:cs="Arial"/>
          <w:sz w:val="24"/>
          <w:szCs w:val="24"/>
        </w:rPr>
      </w:pPr>
    </w:p>
    <w:p w14:paraId="26270D5D" w14:textId="433874C3" w:rsidR="002D713F" w:rsidRDefault="002D713F" w:rsidP="003F4538">
      <w:pPr>
        <w:spacing w:line="360" w:lineRule="auto"/>
        <w:rPr>
          <w:rFonts w:ascii="Arial" w:hAnsi="Arial" w:cs="Arial"/>
          <w:sz w:val="24"/>
          <w:szCs w:val="24"/>
        </w:rPr>
      </w:pPr>
    </w:p>
    <w:p w14:paraId="67E43DB8" w14:textId="3A20B6BA" w:rsidR="002D713F" w:rsidRDefault="002D713F" w:rsidP="003F4538">
      <w:pPr>
        <w:spacing w:line="360" w:lineRule="auto"/>
        <w:rPr>
          <w:rFonts w:ascii="Arial" w:hAnsi="Arial" w:cs="Arial"/>
          <w:sz w:val="24"/>
          <w:szCs w:val="24"/>
        </w:rPr>
      </w:pPr>
    </w:p>
    <w:p w14:paraId="140ED337" w14:textId="17C9B010" w:rsidR="002D713F" w:rsidRDefault="002D713F" w:rsidP="003F4538">
      <w:pPr>
        <w:spacing w:line="360" w:lineRule="auto"/>
        <w:rPr>
          <w:rFonts w:ascii="Arial" w:hAnsi="Arial" w:cs="Arial"/>
          <w:sz w:val="24"/>
          <w:szCs w:val="24"/>
        </w:rPr>
      </w:pPr>
    </w:p>
    <w:p w14:paraId="2F740970" w14:textId="119AED4D" w:rsidR="002D713F" w:rsidRDefault="002D713F" w:rsidP="003F4538">
      <w:pPr>
        <w:spacing w:line="360" w:lineRule="auto"/>
        <w:rPr>
          <w:rFonts w:ascii="Arial" w:hAnsi="Arial" w:cs="Arial"/>
          <w:sz w:val="24"/>
          <w:szCs w:val="24"/>
        </w:rPr>
      </w:pPr>
    </w:p>
    <w:p w14:paraId="7F8E4DC1" w14:textId="1149DA74" w:rsidR="002D713F" w:rsidRDefault="002D713F" w:rsidP="003F4538">
      <w:pPr>
        <w:spacing w:line="360" w:lineRule="auto"/>
        <w:rPr>
          <w:rFonts w:ascii="Arial" w:hAnsi="Arial" w:cs="Arial"/>
          <w:sz w:val="24"/>
          <w:szCs w:val="24"/>
        </w:rPr>
      </w:pPr>
    </w:p>
    <w:p w14:paraId="594E5900" w14:textId="2DB92C11" w:rsidR="002D713F" w:rsidRDefault="002D713F" w:rsidP="003F4538">
      <w:pPr>
        <w:spacing w:line="360" w:lineRule="auto"/>
        <w:rPr>
          <w:rFonts w:ascii="Arial" w:hAnsi="Arial" w:cs="Arial"/>
          <w:sz w:val="24"/>
          <w:szCs w:val="24"/>
        </w:rPr>
      </w:pPr>
    </w:p>
    <w:p w14:paraId="33DC6490" w14:textId="290AC0BB" w:rsidR="002D713F" w:rsidRDefault="002D713F" w:rsidP="003F4538">
      <w:pPr>
        <w:spacing w:line="360" w:lineRule="auto"/>
        <w:rPr>
          <w:rFonts w:ascii="Arial" w:hAnsi="Arial" w:cs="Arial"/>
          <w:sz w:val="24"/>
          <w:szCs w:val="24"/>
        </w:rPr>
      </w:pPr>
    </w:p>
    <w:p w14:paraId="1C90864D" w14:textId="6F7CEC92" w:rsidR="002D713F" w:rsidRDefault="002D713F" w:rsidP="003F4538">
      <w:pPr>
        <w:spacing w:line="360" w:lineRule="auto"/>
        <w:rPr>
          <w:rFonts w:ascii="Arial" w:hAnsi="Arial" w:cs="Arial"/>
          <w:sz w:val="24"/>
          <w:szCs w:val="24"/>
        </w:rPr>
      </w:pPr>
    </w:p>
    <w:p w14:paraId="268C8A83" w14:textId="78AA8599" w:rsidR="002D713F" w:rsidRDefault="002D713F" w:rsidP="003F4538">
      <w:pPr>
        <w:spacing w:line="360" w:lineRule="auto"/>
        <w:rPr>
          <w:rFonts w:ascii="Arial" w:hAnsi="Arial" w:cs="Arial"/>
          <w:sz w:val="24"/>
          <w:szCs w:val="24"/>
        </w:rPr>
      </w:pPr>
    </w:p>
    <w:p w14:paraId="40D43FC2" w14:textId="299ED503" w:rsidR="002D713F" w:rsidRDefault="002D713F" w:rsidP="003F4538">
      <w:pPr>
        <w:spacing w:line="360" w:lineRule="auto"/>
        <w:rPr>
          <w:rFonts w:ascii="Arial" w:hAnsi="Arial" w:cs="Arial"/>
          <w:sz w:val="24"/>
          <w:szCs w:val="24"/>
        </w:rPr>
      </w:pPr>
    </w:p>
    <w:p w14:paraId="4D5E9E45" w14:textId="41EA9029" w:rsidR="002D713F" w:rsidRDefault="002D713F" w:rsidP="003F4538">
      <w:pPr>
        <w:spacing w:line="360" w:lineRule="auto"/>
        <w:rPr>
          <w:rFonts w:ascii="Arial" w:hAnsi="Arial" w:cs="Arial"/>
          <w:sz w:val="24"/>
          <w:szCs w:val="24"/>
        </w:rPr>
      </w:pPr>
    </w:p>
    <w:p w14:paraId="5EA95F97" w14:textId="22C516DF" w:rsidR="002D713F" w:rsidRDefault="002D713F" w:rsidP="003F4538">
      <w:pPr>
        <w:spacing w:line="360" w:lineRule="auto"/>
        <w:rPr>
          <w:rFonts w:ascii="Arial" w:hAnsi="Arial" w:cs="Arial"/>
          <w:sz w:val="24"/>
          <w:szCs w:val="24"/>
        </w:rPr>
      </w:pPr>
    </w:p>
    <w:p w14:paraId="7E0B3BE1" w14:textId="100522E6" w:rsidR="002D713F" w:rsidRDefault="002D713F" w:rsidP="003F4538">
      <w:pPr>
        <w:spacing w:line="360" w:lineRule="auto"/>
        <w:rPr>
          <w:rFonts w:ascii="Arial" w:hAnsi="Arial" w:cs="Arial"/>
          <w:sz w:val="24"/>
          <w:szCs w:val="24"/>
        </w:rPr>
      </w:pPr>
    </w:p>
    <w:p w14:paraId="30188448" w14:textId="379796DF" w:rsidR="002D713F" w:rsidRDefault="002D713F" w:rsidP="003F4538">
      <w:pPr>
        <w:spacing w:line="360" w:lineRule="auto"/>
        <w:rPr>
          <w:rFonts w:ascii="Arial" w:hAnsi="Arial" w:cs="Arial"/>
          <w:sz w:val="24"/>
          <w:szCs w:val="24"/>
        </w:rPr>
      </w:pPr>
    </w:p>
    <w:p w14:paraId="4D83C53F" w14:textId="5332F2BA" w:rsidR="002D713F" w:rsidRDefault="002D713F" w:rsidP="003F4538">
      <w:pPr>
        <w:spacing w:line="360" w:lineRule="auto"/>
        <w:rPr>
          <w:rFonts w:ascii="Arial" w:hAnsi="Arial" w:cs="Arial"/>
          <w:sz w:val="24"/>
          <w:szCs w:val="24"/>
        </w:rPr>
      </w:pPr>
    </w:p>
    <w:p w14:paraId="6496B88A" w14:textId="0532605A" w:rsidR="002D713F" w:rsidRDefault="002D713F" w:rsidP="003F4538">
      <w:pPr>
        <w:spacing w:line="360" w:lineRule="auto"/>
        <w:rPr>
          <w:rFonts w:ascii="Arial" w:hAnsi="Arial" w:cs="Arial"/>
          <w:sz w:val="24"/>
          <w:szCs w:val="24"/>
        </w:rPr>
      </w:pPr>
    </w:p>
    <w:p w14:paraId="78A7047B" w14:textId="3A63CDD5" w:rsidR="002D713F" w:rsidRDefault="002D713F" w:rsidP="003F4538">
      <w:pPr>
        <w:spacing w:line="360" w:lineRule="auto"/>
        <w:rPr>
          <w:rFonts w:ascii="Arial" w:hAnsi="Arial" w:cs="Arial"/>
          <w:sz w:val="24"/>
          <w:szCs w:val="24"/>
        </w:rPr>
      </w:pPr>
    </w:p>
    <w:p w14:paraId="21DC34A1" w14:textId="17DBCC92" w:rsidR="002D713F" w:rsidRDefault="002D713F" w:rsidP="003F4538">
      <w:pPr>
        <w:spacing w:line="360" w:lineRule="auto"/>
        <w:rPr>
          <w:rFonts w:ascii="Arial" w:hAnsi="Arial" w:cs="Arial"/>
          <w:sz w:val="24"/>
          <w:szCs w:val="24"/>
        </w:rPr>
      </w:pPr>
    </w:p>
    <w:p w14:paraId="6643CCD6" w14:textId="521618BD" w:rsidR="002D713F" w:rsidRDefault="002D713F" w:rsidP="003F4538">
      <w:pPr>
        <w:spacing w:line="360" w:lineRule="auto"/>
        <w:rPr>
          <w:rFonts w:ascii="Arial" w:hAnsi="Arial" w:cs="Arial"/>
          <w:sz w:val="24"/>
          <w:szCs w:val="24"/>
        </w:rPr>
      </w:pPr>
    </w:p>
    <w:p w14:paraId="245E19D8" w14:textId="77777777" w:rsidR="002D713F" w:rsidRPr="005F39E6" w:rsidRDefault="002D713F" w:rsidP="002D713F">
      <w:pPr>
        <w:rPr>
          <w:rFonts w:ascii="Arial" w:hAnsi="Arial" w:cs="Arial"/>
          <w:sz w:val="20"/>
          <w:szCs w:val="20"/>
          <w:u w:val="single"/>
        </w:rPr>
      </w:pPr>
      <w:r w:rsidRPr="005F39E6">
        <w:rPr>
          <w:rFonts w:ascii="Arial" w:hAnsi="Arial" w:cs="Arial"/>
          <w:sz w:val="20"/>
          <w:szCs w:val="20"/>
          <w:u w:val="single"/>
        </w:rPr>
        <w:lastRenderedPageBreak/>
        <w:t>Reference list</w:t>
      </w:r>
    </w:p>
    <w:p w14:paraId="49123F85" w14:textId="77777777" w:rsidR="002D713F" w:rsidRPr="005F39E6" w:rsidRDefault="002D713F" w:rsidP="002D713F">
      <w:pPr>
        <w:rPr>
          <w:rFonts w:ascii="Arial" w:hAnsi="Arial" w:cs="Arial"/>
          <w:sz w:val="20"/>
          <w:szCs w:val="20"/>
        </w:rPr>
      </w:pPr>
    </w:p>
    <w:p w14:paraId="5C1BB92A" w14:textId="77777777" w:rsidR="002D713F" w:rsidRPr="005F39E6" w:rsidRDefault="002D713F" w:rsidP="002D713F">
      <w:pPr>
        <w:spacing w:after="180" w:line="240" w:lineRule="auto"/>
        <w:ind w:left="450" w:hanging="450"/>
        <w:rPr>
          <w:rFonts w:ascii="Arial" w:eastAsia="Times New Roman" w:hAnsi="Arial" w:cs="Arial"/>
          <w:color w:val="000000"/>
          <w:sz w:val="20"/>
          <w:szCs w:val="20"/>
          <w:lang w:eastAsia="en-GB"/>
        </w:rPr>
      </w:pPr>
      <w:r w:rsidRPr="005F39E6">
        <w:rPr>
          <w:rFonts w:ascii="Arial" w:eastAsia="Times New Roman" w:hAnsi="Arial" w:cs="Arial"/>
          <w:color w:val="000000"/>
          <w:sz w:val="20"/>
          <w:szCs w:val="20"/>
          <w:lang w:eastAsia="en-GB"/>
        </w:rPr>
        <w:t>Australian Council for Educational Research - ACER. (2019). </w:t>
      </w:r>
      <w:r w:rsidRPr="005F39E6">
        <w:rPr>
          <w:rFonts w:ascii="Arial" w:eastAsia="Times New Roman" w:hAnsi="Arial" w:cs="Arial"/>
          <w:i/>
          <w:iCs/>
          <w:color w:val="000000"/>
          <w:sz w:val="20"/>
          <w:szCs w:val="20"/>
          <w:lang w:eastAsia="en-GB"/>
        </w:rPr>
        <w:t>Implementing a cross-curricular approach</w:t>
      </w:r>
      <w:r w:rsidRPr="005F39E6">
        <w:rPr>
          <w:rFonts w:ascii="Arial" w:eastAsia="Times New Roman" w:hAnsi="Arial" w:cs="Arial"/>
          <w:color w:val="000000"/>
          <w:sz w:val="20"/>
          <w:szCs w:val="20"/>
          <w:lang w:eastAsia="en-GB"/>
        </w:rPr>
        <w:t xml:space="preserve">. [online] Available at: https://www.teachermagazine.com.au/articles/implementing-a-cross-curricular-approach </w:t>
      </w:r>
    </w:p>
    <w:p w14:paraId="2E9B7705" w14:textId="77777777" w:rsidR="002D713F" w:rsidRPr="005F39E6" w:rsidRDefault="002D713F" w:rsidP="002D713F">
      <w:pPr>
        <w:rPr>
          <w:rFonts w:ascii="Arial" w:hAnsi="Arial" w:cs="Arial"/>
          <w:sz w:val="20"/>
          <w:szCs w:val="20"/>
        </w:rPr>
      </w:pPr>
      <w:r w:rsidRPr="005F39E6">
        <w:rPr>
          <w:rFonts w:ascii="Arial" w:hAnsi="Arial" w:cs="Arial"/>
          <w:sz w:val="20"/>
          <w:szCs w:val="20"/>
        </w:rPr>
        <w:t xml:space="preserve">Available at https://hwb.gov.wales/curriculum-for-wales-2008/national-literacy-and-numeracy- https://hwb.gov.wales/curriculum-for-wales-2008/national-literacy-and-numeracy- </w:t>
      </w:r>
      <w:r w:rsidRPr="005F39E6">
        <w:rPr>
          <w:rFonts w:ascii="Arial" w:hAnsi="Arial" w:cs="Arial"/>
          <w:sz w:val="20"/>
          <w:szCs w:val="20"/>
        </w:rPr>
        <w:t>WA</w:t>
      </w:r>
      <w:r w:rsidRPr="005F39E6">
        <w:rPr>
          <w:rFonts w:ascii="Arial" w:hAnsi="Arial" w:cs="Arial"/>
          <w:sz w:val="20"/>
          <w:szCs w:val="20"/>
        </w:rPr>
        <w:t>G (2015)</w:t>
      </w:r>
      <w:r w:rsidRPr="005F39E6">
        <w:rPr>
          <w:rFonts w:ascii="Arial" w:hAnsi="Arial" w:cs="Arial"/>
          <w:sz w:val="20"/>
          <w:szCs w:val="20"/>
        </w:rPr>
        <w:t xml:space="preserve"> WAG. Foundation Phase Framework. Cardiff. WAG Available at: </w:t>
      </w:r>
      <w:hyperlink r:id="rId6" w:history="1">
        <w:r w:rsidRPr="005F39E6">
          <w:rPr>
            <w:rFonts w:ascii="Arial" w:hAnsi="Arial" w:cs="Arial"/>
            <w:sz w:val="20"/>
            <w:szCs w:val="20"/>
          </w:rPr>
          <w:t>https://hwb.gov.wales/storage/d5d8e39c-b534-40cb-a3f5-7e2e126d8077/foundation-phase-framework.pdf</w:t>
        </w:r>
      </w:hyperlink>
    </w:p>
    <w:p w14:paraId="1D31D0D6" w14:textId="77777777" w:rsidR="002D713F" w:rsidRPr="005F39E6" w:rsidRDefault="002D713F" w:rsidP="002D713F">
      <w:pPr>
        <w:pStyle w:val="NormalWeb"/>
        <w:spacing w:before="0" w:beforeAutospacing="0" w:after="180" w:afterAutospacing="0"/>
        <w:ind w:left="450" w:hanging="450"/>
        <w:rPr>
          <w:rFonts w:ascii="Arial" w:hAnsi="Arial" w:cs="Arial"/>
          <w:color w:val="000000"/>
          <w:sz w:val="20"/>
          <w:szCs w:val="20"/>
        </w:rPr>
      </w:pPr>
      <w:r w:rsidRPr="005F39E6">
        <w:rPr>
          <w:rFonts w:ascii="Arial" w:hAnsi="Arial" w:cs="Arial"/>
          <w:color w:val="000000"/>
          <w:sz w:val="20"/>
          <w:szCs w:val="20"/>
        </w:rPr>
        <w:t>Barnes, J. (2015). </w:t>
      </w:r>
      <w:r w:rsidRPr="005F39E6">
        <w:rPr>
          <w:rFonts w:ascii="Arial" w:hAnsi="Arial" w:cs="Arial"/>
          <w:i/>
          <w:iCs/>
          <w:color w:val="000000"/>
          <w:sz w:val="20"/>
          <w:szCs w:val="20"/>
        </w:rPr>
        <w:t>Cross-curricular learning 3-14</w:t>
      </w:r>
      <w:r w:rsidRPr="005F39E6">
        <w:rPr>
          <w:rFonts w:ascii="Arial" w:hAnsi="Arial" w:cs="Arial"/>
          <w:color w:val="000000"/>
          <w:sz w:val="20"/>
          <w:szCs w:val="20"/>
        </w:rPr>
        <w:t>. 3rd ed. London: Sage.</w:t>
      </w:r>
    </w:p>
    <w:p w14:paraId="1B25694D" w14:textId="77777777" w:rsidR="002D713F" w:rsidRPr="005F39E6" w:rsidRDefault="002D713F" w:rsidP="002D713F">
      <w:pPr>
        <w:rPr>
          <w:rFonts w:ascii="Arial" w:hAnsi="Arial" w:cs="Arial"/>
          <w:sz w:val="20"/>
          <w:szCs w:val="20"/>
        </w:rPr>
      </w:pPr>
      <w:r w:rsidRPr="005F39E6">
        <w:rPr>
          <w:rFonts w:ascii="Arial" w:hAnsi="Arial" w:cs="Arial"/>
          <w:sz w:val="20"/>
          <w:szCs w:val="20"/>
        </w:rPr>
        <w:t>Blandford, S and Knowles, C. (2009). Developing Professional Practice 0-7. Harlow: Pearson.</w:t>
      </w:r>
    </w:p>
    <w:p w14:paraId="0545745C" w14:textId="77777777" w:rsidR="002D713F" w:rsidRPr="005F39E6" w:rsidRDefault="002D713F" w:rsidP="002D713F">
      <w:pPr>
        <w:spacing w:after="180" w:line="240" w:lineRule="auto"/>
        <w:ind w:left="450" w:hanging="450"/>
        <w:rPr>
          <w:rFonts w:ascii="Arial" w:eastAsia="Times New Roman" w:hAnsi="Arial" w:cs="Arial"/>
          <w:color w:val="000000"/>
          <w:sz w:val="20"/>
          <w:szCs w:val="20"/>
          <w:lang w:eastAsia="en-GB"/>
        </w:rPr>
      </w:pPr>
      <w:r w:rsidRPr="005F39E6">
        <w:rPr>
          <w:rFonts w:ascii="Arial" w:eastAsia="Times New Roman" w:hAnsi="Arial" w:cs="Arial"/>
          <w:color w:val="000000"/>
          <w:sz w:val="20"/>
          <w:szCs w:val="20"/>
          <w:lang w:eastAsia="en-GB"/>
        </w:rPr>
        <w:t xml:space="preserve">Ciep.fr. (2019). [online] Available at: https://www.ciep.fr/sites/default/files/atoms/files/crosscut-cross-curricular-teaching-how-does-it-work-synthesis.pdf </w:t>
      </w:r>
    </w:p>
    <w:p w14:paraId="548DA88A" w14:textId="77777777" w:rsidR="002D713F" w:rsidRPr="005F39E6" w:rsidRDefault="002D713F" w:rsidP="002D713F">
      <w:pPr>
        <w:rPr>
          <w:rFonts w:ascii="Arial" w:hAnsi="Arial" w:cs="Arial"/>
          <w:sz w:val="20"/>
          <w:szCs w:val="20"/>
        </w:rPr>
      </w:pPr>
      <w:proofErr w:type="spellStart"/>
      <w:r w:rsidRPr="005F39E6">
        <w:rPr>
          <w:rFonts w:ascii="Arial" w:hAnsi="Arial" w:cs="Arial"/>
          <w:sz w:val="20"/>
          <w:szCs w:val="20"/>
        </w:rPr>
        <w:t>Didau</w:t>
      </w:r>
      <w:proofErr w:type="spellEnd"/>
      <w:r w:rsidRPr="005F39E6">
        <w:rPr>
          <w:rFonts w:ascii="Arial" w:hAnsi="Arial" w:cs="Arial"/>
          <w:sz w:val="20"/>
          <w:szCs w:val="20"/>
        </w:rPr>
        <w:t>, D. (2015). The Secret of Literacy. Carmarthen: Independent Thinking Press.</w:t>
      </w:r>
    </w:p>
    <w:p w14:paraId="59879C09" w14:textId="77777777" w:rsidR="002D713F" w:rsidRPr="005F39E6" w:rsidRDefault="002D713F" w:rsidP="002D713F">
      <w:pPr>
        <w:pStyle w:val="NormalWeb"/>
        <w:spacing w:before="0" w:beforeAutospacing="0" w:after="180" w:afterAutospacing="0"/>
        <w:ind w:left="450" w:hanging="450"/>
        <w:rPr>
          <w:rFonts w:ascii="Arial" w:hAnsi="Arial" w:cs="Arial"/>
          <w:color w:val="000000"/>
          <w:sz w:val="20"/>
          <w:szCs w:val="20"/>
        </w:rPr>
      </w:pPr>
      <w:r w:rsidRPr="005F39E6">
        <w:rPr>
          <w:rFonts w:ascii="Arial" w:hAnsi="Arial" w:cs="Arial"/>
          <w:color w:val="000000"/>
          <w:sz w:val="20"/>
          <w:szCs w:val="20"/>
        </w:rPr>
        <w:t>Donaldson, G. (2015). </w:t>
      </w:r>
      <w:r w:rsidRPr="005F39E6">
        <w:rPr>
          <w:rFonts w:ascii="Arial" w:hAnsi="Arial" w:cs="Arial"/>
          <w:i/>
          <w:iCs/>
          <w:color w:val="000000"/>
          <w:sz w:val="20"/>
          <w:szCs w:val="20"/>
        </w:rPr>
        <w:t>Successful Futures: Independent Review of Curriculum and Assessment in Wales</w:t>
      </w:r>
      <w:r w:rsidRPr="005F39E6">
        <w:rPr>
          <w:rFonts w:ascii="Arial" w:hAnsi="Arial" w:cs="Arial"/>
          <w:color w:val="000000"/>
          <w:sz w:val="20"/>
          <w:szCs w:val="20"/>
        </w:rPr>
        <w:t>. Cardiff: Welsh Government.</w:t>
      </w:r>
    </w:p>
    <w:p w14:paraId="4279E04F" w14:textId="77777777" w:rsidR="002D713F" w:rsidRPr="005F39E6" w:rsidRDefault="002D713F" w:rsidP="002D713F">
      <w:pPr>
        <w:spacing w:after="180" w:line="240" w:lineRule="auto"/>
        <w:ind w:left="450" w:hanging="450"/>
        <w:rPr>
          <w:rFonts w:ascii="Arial" w:eastAsia="Times New Roman" w:hAnsi="Arial" w:cs="Arial"/>
          <w:color w:val="000000"/>
          <w:sz w:val="20"/>
          <w:szCs w:val="20"/>
          <w:lang w:eastAsia="en-GB"/>
        </w:rPr>
      </w:pPr>
      <w:proofErr w:type="spellStart"/>
      <w:r w:rsidRPr="005F39E6">
        <w:rPr>
          <w:rFonts w:ascii="Arial" w:eastAsia="Times New Roman" w:hAnsi="Arial" w:cs="Arial"/>
          <w:color w:val="000000"/>
          <w:sz w:val="20"/>
          <w:szCs w:val="20"/>
          <w:lang w:eastAsia="en-GB"/>
        </w:rPr>
        <w:t>Estyn.gov.wales</w:t>
      </w:r>
      <w:proofErr w:type="spellEnd"/>
      <w:r w:rsidRPr="005F39E6">
        <w:rPr>
          <w:rFonts w:ascii="Arial" w:eastAsia="Times New Roman" w:hAnsi="Arial" w:cs="Arial"/>
          <w:color w:val="000000"/>
          <w:sz w:val="20"/>
          <w:szCs w:val="20"/>
          <w:lang w:eastAsia="en-GB"/>
        </w:rPr>
        <w:t>. (2019). </w:t>
      </w:r>
      <w:r w:rsidRPr="005F39E6">
        <w:rPr>
          <w:rFonts w:ascii="Arial" w:eastAsia="Times New Roman" w:hAnsi="Arial" w:cs="Arial"/>
          <w:i/>
          <w:iCs/>
          <w:color w:val="000000"/>
          <w:sz w:val="20"/>
          <w:szCs w:val="20"/>
          <w:lang w:eastAsia="en-GB"/>
        </w:rPr>
        <w:t>Providing enriched experiences to develop skills | Estyn</w:t>
      </w:r>
      <w:r w:rsidRPr="005F39E6">
        <w:rPr>
          <w:rFonts w:ascii="Arial" w:eastAsia="Times New Roman" w:hAnsi="Arial" w:cs="Arial"/>
          <w:color w:val="000000"/>
          <w:sz w:val="20"/>
          <w:szCs w:val="20"/>
          <w:lang w:eastAsia="en-GB"/>
        </w:rPr>
        <w:t xml:space="preserve">. [online] Available at: https://www.estyn.gov.wales/effective-practice/providing-enriched-experiences-develop-skills </w:t>
      </w:r>
    </w:p>
    <w:p w14:paraId="589F04C6" w14:textId="77777777" w:rsidR="002D713F" w:rsidRPr="005F39E6" w:rsidRDefault="002D713F" w:rsidP="002D713F">
      <w:pPr>
        <w:rPr>
          <w:rFonts w:ascii="Arial" w:hAnsi="Arial" w:cs="Arial"/>
          <w:sz w:val="20"/>
          <w:szCs w:val="20"/>
        </w:rPr>
      </w:pPr>
      <w:r w:rsidRPr="005F39E6">
        <w:rPr>
          <w:rFonts w:ascii="Arial" w:hAnsi="Arial" w:cs="Arial"/>
          <w:sz w:val="20"/>
          <w:szCs w:val="20"/>
        </w:rPr>
        <w:t>framework-curriculum-for-wales-2008-version/</w:t>
      </w:r>
    </w:p>
    <w:p w14:paraId="6787041B" w14:textId="77777777" w:rsidR="002D713F" w:rsidRPr="005F39E6" w:rsidRDefault="002D713F" w:rsidP="002D713F">
      <w:pPr>
        <w:rPr>
          <w:rFonts w:ascii="Arial" w:hAnsi="Arial" w:cs="Arial"/>
          <w:color w:val="000000"/>
          <w:sz w:val="20"/>
          <w:szCs w:val="20"/>
          <w:shd w:val="clear" w:color="auto" w:fill="FFFFFF"/>
        </w:rPr>
      </w:pPr>
      <w:r w:rsidRPr="005F39E6">
        <w:rPr>
          <w:rFonts w:ascii="Arial" w:hAnsi="Arial" w:cs="Arial"/>
          <w:color w:val="000000"/>
          <w:sz w:val="20"/>
          <w:szCs w:val="20"/>
          <w:shd w:val="clear" w:color="auto" w:fill="FFFFFF"/>
        </w:rPr>
        <w:t>Grigg, R. (2015). </w:t>
      </w:r>
      <w:r w:rsidRPr="005F39E6">
        <w:rPr>
          <w:rFonts w:ascii="Arial" w:hAnsi="Arial" w:cs="Arial"/>
          <w:i/>
          <w:iCs/>
          <w:color w:val="000000"/>
          <w:sz w:val="20"/>
          <w:szCs w:val="20"/>
          <w:shd w:val="clear" w:color="auto" w:fill="FFFFFF"/>
        </w:rPr>
        <w:t>Becoming an Outstanding Primary School Teacher</w:t>
      </w:r>
      <w:r w:rsidRPr="005F39E6">
        <w:rPr>
          <w:rFonts w:ascii="Arial" w:hAnsi="Arial" w:cs="Arial"/>
          <w:color w:val="000000"/>
          <w:sz w:val="20"/>
          <w:szCs w:val="20"/>
          <w:shd w:val="clear" w:color="auto" w:fill="FFFFFF"/>
        </w:rPr>
        <w:t>. 2nd ed. London: Routledge</w:t>
      </w:r>
    </w:p>
    <w:p w14:paraId="41B57A64" w14:textId="77777777" w:rsidR="002D713F" w:rsidRPr="005F39E6" w:rsidRDefault="002D713F" w:rsidP="002D713F">
      <w:pPr>
        <w:pStyle w:val="NormalWeb"/>
        <w:spacing w:before="0" w:beforeAutospacing="0" w:after="180" w:afterAutospacing="0"/>
        <w:ind w:left="450" w:hanging="450"/>
        <w:rPr>
          <w:rFonts w:ascii="Arial" w:hAnsi="Arial" w:cs="Arial"/>
          <w:color w:val="000000"/>
          <w:sz w:val="20"/>
          <w:szCs w:val="20"/>
        </w:rPr>
      </w:pPr>
      <w:r w:rsidRPr="005F39E6">
        <w:rPr>
          <w:rFonts w:ascii="Arial" w:hAnsi="Arial" w:cs="Arial"/>
          <w:color w:val="000000"/>
          <w:sz w:val="20"/>
          <w:szCs w:val="20"/>
        </w:rPr>
        <w:t>Hattie, J. (2012). </w:t>
      </w:r>
      <w:r w:rsidRPr="005F39E6">
        <w:rPr>
          <w:rFonts w:ascii="Arial" w:hAnsi="Arial" w:cs="Arial"/>
          <w:i/>
          <w:iCs/>
          <w:color w:val="000000"/>
          <w:sz w:val="20"/>
          <w:szCs w:val="20"/>
        </w:rPr>
        <w:t>Visible Learning for Teachers</w:t>
      </w:r>
      <w:r w:rsidRPr="005F39E6">
        <w:rPr>
          <w:rFonts w:ascii="Arial" w:hAnsi="Arial" w:cs="Arial"/>
          <w:color w:val="000000"/>
          <w:sz w:val="20"/>
          <w:szCs w:val="20"/>
        </w:rPr>
        <w:t>. London: Routledge.</w:t>
      </w:r>
    </w:p>
    <w:p w14:paraId="6A252E75" w14:textId="77777777" w:rsidR="002D713F" w:rsidRPr="005F39E6" w:rsidRDefault="002D713F" w:rsidP="002D713F">
      <w:pPr>
        <w:spacing w:after="180" w:line="240" w:lineRule="auto"/>
        <w:ind w:left="450" w:hanging="450"/>
        <w:rPr>
          <w:rFonts w:ascii="Arial" w:eastAsia="Times New Roman" w:hAnsi="Arial" w:cs="Arial"/>
          <w:color w:val="000000"/>
          <w:sz w:val="20"/>
          <w:szCs w:val="20"/>
          <w:lang w:eastAsia="en-GB"/>
        </w:rPr>
      </w:pPr>
      <w:proofErr w:type="spellStart"/>
      <w:r w:rsidRPr="005F39E6">
        <w:rPr>
          <w:rFonts w:ascii="Arial" w:eastAsia="Times New Roman" w:hAnsi="Arial" w:cs="Arial"/>
          <w:color w:val="000000"/>
          <w:sz w:val="20"/>
          <w:szCs w:val="20"/>
          <w:lang w:eastAsia="en-GB"/>
        </w:rPr>
        <w:t>Hwb.gov.wales</w:t>
      </w:r>
      <w:proofErr w:type="spellEnd"/>
      <w:r w:rsidRPr="005F39E6">
        <w:rPr>
          <w:rFonts w:ascii="Arial" w:eastAsia="Times New Roman" w:hAnsi="Arial" w:cs="Arial"/>
          <w:color w:val="000000"/>
          <w:sz w:val="20"/>
          <w:szCs w:val="20"/>
          <w:lang w:eastAsia="en-GB"/>
        </w:rPr>
        <w:t>. (2019). </w:t>
      </w:r>
      <w:r w:rsidRPr="005F39E6">
        <w:rPr>
          <w:rFonts w:ascii="Arial" w:eastAsia="Times New Roman" w:hAnsi="Arial" w:cs="Arial"/>
          <w:i/>
          <w:iCs/>
          <w:color w:val="000000"/>
          <w:sz w:val="20"/>
          <w:szCs w:val="20"/>
          <w:lang w:eastAsia="en-GB"/>
        </w:rPr>
        <w:t xml:space="preserve">Languages, Literacy and Communication: - </w:t>
      </w:r>
      <w:proofErr w:type="spellStart"/>
      <w:r w:rsidRPr="005F39E6">
        <w:rPr>
          <w:rFonts w:ascii="Arial" w:eastAsia="Times New Roman" w:hAnsi="Arial" w:cs="Arial"/>
          <w:i/>
          <w:iCs/>
          <w:color w:val="000000"/>
          <w:sz w:val="20"/>
          <w:szCs w:val="20"/>
          <w:lang w:eastAsia="en-GB"/>
        </w:rPr>
        <w:t>Hwb</w:t>
      </w:r>
      <w:proofErr w:type="spellEnd"/>
      <w:r w:rsidRPr="005F39E6">
        <w:rPr>
          <w:rFonts w:ascii="Arial" w:eastAsia="Times New Roman" w:hAnsi="Arial" w:cs="Arial"/>
          <w:color w:val="000000"/>
          <w:sz w:val="20"/>
          <w:szCs w:val="20"/>
          <w:lang w:eastAsia="en-GB"/>
        </w:rPr>
        <w:t xml:space="preserve">. [online] Available at: https://hwb.gov.wales/draft-curriculum-for-wales-2022/languages-literacy-and-communication/#developing-a-broad-and-balanced-curriculum </w:t>
      </w:r>
    </w:p>
    <w:p w14:paraId="2F74406E" w14:textId="77777777" w:rsidR="002D713F" w:rsidRPr="005F39E6" w:rsidRDefault="002D713F" w:rsidP="002D713F">
      <w:pPr>
        <w:rPr>
          <w:rFonts w:ascii="Arial" w:hAnsi="Arial" w:cs="Arial"/>
          <w:sz w:val="20"/>
          <w:szCs w:val="20"/>
        </w:rPr>
      </w:pPr>
      <w:r w:rsidRPr="005F39E6">
        <w:rPr>
          <w:rFonts w:ascii="Arial" w:hAnsi="Arial" w:cs="Arial"/>
          <w:sz w:val="20"/>
          <w:szCs w:val="20"/>
        </w:rPr>
        <w:t>Kolb, D. (2015). Experiential learning. New Jersey: Pearson.</w:t>
      </w:r>
    </w:p>
    <w:p w14:paraId="19D89474" w14:textId="77777777" w:rsidR="002D713F" w:rsidRPr="005F39E6" w:rsidRDefault="002D713F" w:rsidP="002D713F">
      <w:pPr>
        <w:spacing w:after="180" w:line="240" w:lineRule="auto"/>
        <w:ind w:left="450" w:hanging="450"/>
        <w:rPr>
          <w:rFonts w:ascii="Arial" w:eastAsia="Times New Roman" w:hAnsi="Arial" w:cs="Arial"/>
          <w:color w:val="000000"/>
          <w:sz w:val="20"/>
          <w:szCs w:val="20"/>
          <w:lang w:eastAsia="en-GB"/>
        </w:rPr>
      </w:pPr>
      <w:r w:rsidRPr="005F39E6">
        <w:rPr>
          <w:rFonts w:ascii="Arial" w:eastAsia="Times New Roman" w:hAnsi="Arial" w:cs="Arial"/>
          <w:color w:val="000000"/>
          <w:sz w:val="20"/>
          <w:szCs w:val="20"/>
          <w:lang w:eastAsia="en-GB"/>
        </w:rPr>
        <w:t>Oecd.org. (n.d.). </w:t>
      </w:r>
      <w:r w:rsidRPr="005F39E6">
        <w:rPr>
          <w:rFonts w:ascii="Arial" w:eastAsia="Times New Roman" w:hAnsi="Arial" w:cs="Arial"/>
          <w:i/>
          <w:iCs/>
          <w:color w:val="000000"/>
          <w:sz w:val="20"/>
          <w:szCs w:val="20"/>
          <w:lang w:eastAsia="en-GB"/>
        </w:rPr>
        <w:t>The Welsh Education Reform</w:t>
      </w:r>
      <w:r w:rsidRPr="005F39E6">
        <w:rPr>
          <w:rFonts w:ascii="Arial" w:eastAsia="Times New Roman" w:hAnsi="Arial" w:cs="Arial"/>
          <w:color w:val="000000"/>
          <w:sz w:val="20"/>
          <w:szCs w:val="20"/>
          <w:lang w:eastAsia="en-GB"/>
        </w:rPr>
        <w:t xml:space="preserve">. [online] Available at: http://www.oecd.org/education/The-Welsh-Education-Reform-Journey.pdf </w:t>
      </w:r>
    </w:p>
    <w:p w14:paraId="24C3ED79" w14:textId="77777777" w:rsidR="002D713F" w:rsidRPr="005F39E6" w:rsidRDefault="002D713F" w:rsidP="002D713F">
      <w:pPr>
        <w:pStyle w:val="NormalWeb"/>
        <w:spacing w:before="0" w:beforeAutospacing="0" w:after="180" w:afterAutospacing="0"/>
        <w:ind w:left="450" w:hanging="450"/>
        <w:rPr>
          <w:rFonts w:ascii="Arial" w:hAnsi="Arial" w:cs="Arial"/>
          <w:color w:val="000000"/>
          <w:sz w:val="20"/>
          <w:szCs w:val="20"/>
        </w:rPr>
      </w:pPr>
      <w:r w:rsidRPr="005F39E6">
        <w:rPr>
          <w:rFonts w:ascii="Arial" w:hAnsi="Arial" w:cs="Arial"/>
          <w:color w:val="000000"/>
          <w:sz w:val="20"/>
          <w:szCs w:val="20"/>
        </w:rPr>
        <w:t>Pound, L. (2006). </w:t>
      </w:r>
      <w:r w:rsidRPr="005F39E6">
        <w:rPr>
          <w:rFonts w:ascii="Arial" w:hAnsi="Arial" w:cs="Arial"/>
          <w:i/>
          <w:iCs/>
          <w:color w:val="000000"/>
          <w:sz w:val="20"/>
          <w:szCs w:val="20"/>
        </w:rPr>
        <w:t>How Children Learn</w:t>
      </w:r>
      <w:r w:rsidRPr="005F39E6">
        <w:rPr>
          <w:rFonts w:ascii="Arial" w:hAnsi="Arial" w:cs="Arial"/>
          <w:color w:val="000000"/>
          <w:sz w:val="20"/>
          <w:szCs w:val="20"/>
        </w:rPr>
        <w:t>. London: MA Education Ltd.</w:t>
      </w:r>
    </w:p>
    <w:p w14:paraId="0B7A11CD" w14:textId="77777777" w:rsidR="002D713F" w:rsidRPr="005F39E6" w:rsidRDefault="002D713F" w:rsidP="002D713F">
      <w:pPr>
        <w:pStyle w:val="NormalWeb"/>
        <w:spacing w:before="0" w:beforeAutospacing="0" w:after="180" w:afterAutospacing="0"/>
        <w:ind w:left="450" w:hanging="450"/>
        <w:rPr>
          <w:rFonts w:ascii="Arial" w:hAnsi="Arial" w:cs="Arial"/>
          <w:color w:val="000000"/>
          <w:sz w:val="20"/>
          <w:szCs w:val="20"/>
        </w:rPr>
      </w:pPr>
      <w:r w:rsidRPr="005F39E6">
        <w:rPr>
          <w:rFonts w:ascii="Arial" w:hAnsi="Arial" w:cs="Arial"/>
          <w:color w:val="000000"/>
          <w:sz w:val="20"/>
          <w:szCs w:val="20"/>
        </w:rPr>
        <w:t>Pound, L. (2008). </w:t>
      </w:r>
      <w:r w:rsidRPr="005F39E6">
        <w:rPr>
          <w:rFonts w:ascii="Arial" w:hAnsi="Arial" w:cs="Arial"/>
          <w:i/>
          <w:iCs/>
          <w:color w:val="000000"/>
          <w:sz w:val="20"/>
          <w:szCs w:val="20"/>
        </w:rPr>
        <w:t>How Children Learn - Book 2</w:t>
      </w:r>
      <w:r w:rsidRPr="005F39E6">
        <w:rPr>
          <w:rFonts w:ascii="Arial" w:hAnsi="Arial" w:cs="Arial"/>
          <w:color w:val="000000"/>
          <w:sz w:val="20"/>
          <w:szCs w:val="20"/>
        </w:rPr>
        <w:t>. London: MA Education Ltd.</w:t>
      </w:r>
    </w:p>
    <w:p w14:paraId="6509ACF4" w14:textId="77777777" w:rsidR="002D713F" w:rsidRPr="005F39E6" w:rsidRDefault="002D713F" w:rsidP="002D713F">
      <w:pPr>
        <w:pStyle w:val="NormalWeb"/>
        <w:spacing w:before="0" w:beforeAutospacing="0" w:after="180" w:afterAutospacing="0"/>
        <w:ind w:left="450" w:hanging="450"/>
        <w:rPr>
          <w:rFonts w:ascii="Arial" w:hAnsi="Arial" w:cs="Arial"/>
          <w:color w:val="000000"/>
          <w:sz w:val="20"/>
          <w:szCs w:val="20"/>
        </w:rPr>
      </w:pPr>
      <w:r w:rsidRPr="005F39E6">
        <w:rPr>
          <w:rFonts w:ascii="Arial" w:hAnsi="Arial" w:cs="Arial"/>
          <w:color w:val="000000"/>
          <w:sz w:val="20"/>
          <w:szCs w:val="20"/>
        </w:rPr>
        <w:t>Pound, L. (2009). </w:t>
      </w:r>
      <w:r w:rsidRPr="005F39E6">
        <w:rPr>
          <w:rFonts w:ascii="Arial" w:hAnsi="Arial" w:cs="Arial"/>
          <w:i/>
          <w:iCs/>
          <w:color w:val="000000"/>
          <w:sz w:val="20"/>
          <w:szCs w:val="20"/>
        </w:rPr>
        <w:t>How Children Learn - Book 3</w:t>
      </w:r>
      <w:r w:rsidRPr="005F39E6">
        <w:rPr>
          <w:rFonts w:ascii="Arial" w:hAnsi="Arial" w:cs="Arial"/>
          <w:color w:val="000000"/>
          <w:sz w:val="20"/>
          <w:szCs w:val="20"/>
        </w:rPr>
        <w:t>. London: MA Education Ltd.</w:t>
      </w:r>
    </w:p>
    <w:p w14:paraId="3F3CF16B" w14:textId="77777777" w:rsidR="002D713F" w:rsidRPr="005F39E6" w:rsidRDefault="002D713F" w:rsidP="002D713F">
      <w:pPr>
        <w:rPr>
          <w:rStyle w:val="Hyperlink"/>
          <w:rFonts w:ascii="Arial" w:hAnsi="Arial" w:cs="Arial"/>
          <w:sz w:val="20"/>
          <w:szCs w:val="20"/>
        </w:rPr>
      </w:pPr>
      <w:r w:rsidRPr="005F39E6">
        <w:rPr>
          <w:rFonts w:ascii="Arial" w:hAnsi="Arial" w:cs="Arial"/>
          <w:sz w:val="20"/>
          <w:szCs w:val="20"/>
        </w:rPr>
        <w:t xml:space="preserve">UNCRC Right 29 at </w:t>
      </w:r>
      <w:hyperlink r:id="rId7" w:history="1">
        <w:r w:rsidRPr="005F39E6">
          <w:rPr>
            <w:rStyle w:val="Hyperlink"/>
            <w:rFonts w:ascii="Arial" w:hAnsi="Arial" w:cs="Arial"/>
            <w:sz w:val="20"/>
            <w:szCs w:val="20"/>
          </w:rPr>
          <w:t>https://www.togetherscotland.org.uk/news-and-events/news/2019/08/new-child-friendly-version-of-the-uncrc-published-by-unicef/</w:t>
        </w:r>
      </w:hyperlink>
    </w:p>
    <w:p w14:paraId="20067B7A" w14:textId="77777777" w:rsidR="002D713F" w:rsidRPr="005F39E6" w:rsidRDefault="002D713F" w:rsidP="002D713F">
      <w:pPr>
        <w:rPr>
          <w:rFonts w:ascii="Arial" w:hAnsi="Arial" w:cs="Arial"/>
          <w:sz w:val="20"/>
          <w:szCs w:val="20"/>
        </w:rPr>
      </w:pPr>
      <w:r w:rsidRPr="005F39E6">
        <w:rPr>
          <w:rFonts w:ascii="Arial" w:hAnsi="Arial" w:cs="Arial"/>
          <w:sz w:val="20"/>
          <w:szCs w:val="20"/>
        </w:rPr>
        <w:t xml:space="preserve">WAG (2015) Digital Competence Framework. Cardiff. WAG Available at </w:t>
      </w:r>
      <w:hyperlink r:id="rId8" w:anchor="eyJpIjpbeyJhIjoxfV0sImMiOlt7ImEiOjB9LHsiYSI6MH0seyJhIjowfSx7ImEiOjB9LHsiYSI6MH0seyJhIjowfSx7ImEiOjB9LHsiYSI6MX0seyJhIjowfSx7ImEiOjB9LHsiYSI6MH0seyJhIjowfSx7ImEiOjB9LHsiYSI6MH0seyJhIjowfSx7ImEiOjB9LHsiYSI6MH1dfQ==" w:history="1">
        <w:r w:rsidRPr="005F39E6">
          <w:rPr>
            <w:rStyle w:val="Hyperlink"/>
            <w:rFonts w:ascii="Arial" w:hAnsi="Arial" w:cs="Arial"/>
            <w:sz w:val="20"/>
            <w:szCs w:val="20"/>
          </w:rPr>
          <w:t>https://hwb.gov.wales/curriculum-for-wales-2008/digital-competence-framework-curriculum-for-wales-2008-version/framework/#eyJpIjpbeyJhIjoxfV0sImMiOlt7ImEiOjB9LHsiYSI6MH0seyJhIjowfSx7ImEiOjB9LHsiYSI6MH0seyJhIjowfSx7ImEiOjB9LHsiYSI6MX0seyJhIjowfSx7ImEiOjB9LHsiYSI6MH0seyJhIjowfSx7ImEiOjB9LHsiYSI6MH0seyJhIjowfSx7ImEiOjB9LHsiYSI6MH1dfQ==</w:t>
        </w:r>
      </w:hyperlink>
    </w:p>
    <w:p w14:paraId="33BBB67C" w14:textId="77777777" w:rsidR="002D713F" w:rsidRPr="005F39E6" w:rsidRDefault="002D713F" w:rsidP="002D713F">
      <w:pPr>
        <w:rPr>
          <w:rFonts w:ascii="Arial" w:hAnsi="Arial" w:cs="Arial"/>
          <w:sz w:val="20"/>
          <w:szCs w:val="20"/>
        </w:rPr>
      </w:pPr>
      <w:r w:rsidRPr="005F39E6">
        <w:rPr>
          <w:rFonts w:ascii="Arial" w:hAnsi="Arial" w:cs="Arial"/>
          <w:sz w:val="20"/>
          <w:szCs w:val="20"/>
        </w:rPr>
        <w:t xml:space="preserve">WAG (2015) Foundation Phase Framework. Cardiff. WAG Available at: </w:t>
      </w:r>
      <w:hyperlink r:id="rId9" w:history="1">
        <w:r w:rsidRPr="005F39E6">
          <w:rPr>
            <w:rFonts w:ascii="Arial" w:hAnsi="Arial" w:cs="Arial"/>
            <w:sz w:val="20"/>
            <w:szCs w:val="20"/>
          </w:rPr>
          <w:t>https://hwb.gov.wales/storage/d5d8e39c-b534-40cb-a3f5-7e2e126d8077/foundation-phase-framework.pdf</w:t>
        </w:r>
      </w:hyperlink>
    </w:p>
    <w:p w14:paraId="4354919B" w14:textId="77777777" w:rsidR="002D713F" w:rsidRPr="005F39E6" w:rsidRDefault="002D713F" w:rsidP="002D713F">
      <w:pPr>
        <w:rPr>
          <w:rFonts w:ascii="Arial" w:hAnsi="Arial" w:cs="Arial"/>
          <w:sz w:val="20"/>
          <w:szCs w:val="20"/>
        </w:rPr>
      </w:pPr>
      <w:r w:rsidRPr="005F39E6">
        <w:rPr>
          <w:rFonts w:ascii="Arial" w:hAnsi="Arial" w:cs="Arial"/>
          <w:sz w:val="20"/>
          <w:szCs w:val="20"/>
        </w:rPr>
        <w:t xml:space="preserve">WAG (2015) Literacy and Numeracy Framework. Cardiff. WAG </w:t>
      </w:r>
    </w:p>
    <w:p w14:paraId="1E62C9FE" w14:textId="77777777" w:rsidR="002D713F" w:rsidRPr="005F39E6" w:rsidRDefault="002D713F" w:rsidP="002D713F">
      <w:pPr>
        <w:rPr>
          <w:rFonts w:ascii="Arial" w:hAnsi="Arial" w:cs="Arial"/>
          <w:sz w:val="20"/>
          <w:szCs w:val="20"/>
        </w:rPr>
      </w:pPr>
      <w:r w:rsidRPr="005F39E6">
        <w:rPr>
          <w:rFonts w:ascii="Arial" w:hAnsi="Arial" w:cs="Arial"/>
          <w:sz w:val="20"/>
          <w:szCs w:val="20"/>
        </w:rPr>
        <w:lastRenderedPageBreak/>
        <w:t xml:space="preserve">WAG (2019) Draft Statutory Guidance Area of Learning Language literacy and communication. Cardiff. WAG. Available at: </w:t>
      </w:r>
      <w:hyperlink r:id="rId10" w:history="1">
        <w:r w:rsidRPr="005F39E6">
          <w:rPr>
            <w:rStyle w:val="Hyperlink"/>
            <w:rFonts w:ascii="Arial" w:hAnsi="Arial" w:cs="Arial"/>
            <w:sz w:val="20"/>
            <w:szCs w:val="20"/>
          </w:rPr>
          <w:t>https://hwb.gov.wales/draft-curriculum-for-wales-2022</w:t>
        </w:r>
      </w:hyperlink>
    </w:p>
    <w:p w14:paraId="4EEBD137" w14:textId="77777777" w:rsidR="002D713F" w:rsidRPr="005F39E6" w:rsidRDefault="002D713F" w:rsidP="002D713F">
      <w:pPr>
        <w:rPr>
          <w:rFonts w:ascii="Arial" w:hAnsi="Arial" w:cs="Arial"/>
          <w:sz w:val="20"/>
          <w:szCs w:val="20"/>
        </w:rPr>
      </w:pPr>
      <w:r w:rsidRPr="005F39E6">
        <w:rPr>
          <w:rFonts w:ascii="Arial" w:hAnsi="Arial" w:cs="Arial"/>
          <w:sz w:val="20"/>
          <w:szCs w:val="20"/>
        </w:rPr>
        <w:t xml:space="preserve">WAG (2019) Draft Statutory Guidance Area of Maths and Numeracy. Cardiff. </w:t>
      </w:r>
      <w:proofErr w:type="spellStart"/>
      <w:r w:rsidRPr="005F39E6">
        <w:rPr>
          <w:rFonts w:ascii="Arial" w:hAnsi="Arial" w:cs="Arial"/>
          <w:sz w:val="20"/>
          <w:szCs w:val="20"/>
        </w:rPr>
        <w:t>WAG.Available</w:t>
      </w:r>
      <w:proofErr w:type="spellEnd"/>
      <w:r w:rsidRPr="005F39E6">
        <w:rPr>
          <w:rFonts w:ascii="Arial" w:hAnsi="Arial" w:cs="Arial"/>
          <w:sz w:val="20"/>
          <w:szCs w:val="20"/>
        </w:rPr>
        <w:t xml:space="preserve"> at: </w:t>
      </w:r>
      <w:hyperlink r:id="rId11" w:history="1">
        <w:r w:rsidRPr="005F39E6">
          <w:rPr>
            <w:rStyle w:val="Hyperlink"/>
            <w:rFonts w:ascii="Arial" w:hAnsi="Arial" w:cs="Arial"/>
            <w:sz w:val="20"/>
            <w:szCs w:val="20"/>
          </w:rPr>
          <w:t>https://hwb.gov.wales/draft-curriculum-for-wales-2022</w:t>
        </w:r>
      </w:hyperlink>
    </w:p>
    <w:p w14:paraId="559A87F1" w14:textId="77777777" w:rsidR="002D713F" w:rsidRPr="00E35F3B" w:rsidRDefault="002D713F" w:rsidP="003F4538">
      <w:pPr>
        <w:spacing w:line="360" w:lineRule="auto"/>
        <w:rPr>
          <w:rFonts w:ascii="Arial" w:hAnsi="Arial" w:cs="Arial"/>
          <w:sz w:val="24"/>
          <w:szCs w:val="24"/>
        </w:rPr>
      </w:pPr>
    </w:p>
    <w:sectPr w:rsidR="002D713F" w:rsidRPr="00E35F3B">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FAE7BE" w14:textId="77777777" w:rsidR="00F06BB3" w:rsidRDefault="00F06BB3" w:rsidP="003F4538">
      <w:pPr>
        <w:spacing w:after="0" w:line="240" w:lineRule="auto"/>
      </w:pPr>
      <w:r>
        <w:separator/>
      </w:r>
    </w:p>
  </w:endnote>
  <w:endnote w:type="continuationSeparator" w:id="0">
    <w:p w14:paraId="6EBD4276" w14:textId="77777777" w:rsidR="00F06BB3" w:rsidRDefault="00F06BB3" w:rsidP="003F45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0B56C6" w14:textId="77777777" w:rsidR="00F06BB3" w:rsidRDefault="00F06BB3" w:rsidP="003F4538">
      <w:pPr>
        <w:spacing w:after="0" w:line="240" w:lineRule="auto"/>
      </w:pPr>
      <w:r>
        <w:separator/>
      </w:r>
    </w:p>
  </w:footnote>
  <w:footnote w:type="continuationSeparator" w:id="0">
    <w:p w14:paraId="099DB4DB" w14:textId="77777777" w:rsidR="00F06BB3" w:rsidRDefault="00F06BB3" w:rsidP="003F45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D514E8" w14:textId="6DD27902" w:rsidR="003F4538" w:rsidRDefault="009671E0">
    <w:pPr>
      <w:pStyle w:val="Header"/>
    </w:pPr>
    <w:r>
      <w:t>ECAD 6012</w:t>
    </w:r>
    <w:r>
      <w:tab/>
    </w:r>
    <w:r>
      <w:ptab w:relativeTo="margin" w:alignment="right" w:leader="none"/>
    </w:r>
    <w:r>
      <w:t>1706432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4538"/>
    <w:rsid w:val="00000EAD"/>
    <w:rsid w:val="00032447"/>
    <w:rsid w:val="0009639F"/>
    <w:rsid w:val="000A4374"/>
    <w:rsid w:val="001307CA"/>
    <w:rsid w:val="001622E9"/>
    <w:rsid w:val="001E51A3"/>
    <w:rsid w:val="00211A1A"/>
    <w:rsid w:val="00227C01"/>
    <w:rsid w:val="002409F5"/>
    <w:rsid w:val="00262539"/>
    <w:rsid w:val="002D713F"/>
    <w:rsid w:val="003F4538"/>
    <w:rsid w:val="00415EC4"/>
    <w:rsid w:val="004415D8"/>
    <w:rsid w:val="004D0FB3"/>
    <w:rsid w:val="005810F5"/>
    <w:rsid w:val="00616F1C"/>
    <w:rsid w:val="0063319B"/>
    <w:rsid w:val="007160DC"/>
    <w:rsid w:val="007343B5"/>
    <w:rsid w:val="007865E8"/>
    <w:rsid w:val="007C35A2"/>
    <w:rsid w:val="007C612E"/>
    <w:rsid w:val="008212B9"/>
    <w:rsid w:val="0086357B"/>
    <w:rsid w:val="00881F20"/>
    <w:rsid w:val="0091165C"/>
    <w:rsid w:val="009671E0"/>
    <w:rsid w:val="009831A0"/>
    <w:rsid w:val="009C2981"/>
    <w:rsid w:val="00AD21C5"/>
    <w:rsid w:val="00AE1A5C"/>
    <w:rsid w:val="00AF1E11"/>
    <w:rsid w:val="00BB4499"/>
    <w:rsid w:val="00BD061A"/>
    <w:rsid w:val="00BF2513"/>
    <w:rsid w:val="00C20874"/>
    <w:rsid w:val="00C341B9"/>
    <w:rsid w:val="00C37F43"/>
    <w:rsid w:val="00C92CC9"/>
    <w:rsid w:val="00D20B48"/>
    <w:rsid w:val="00D75F86"/>
    <w:rsid w:val="00D93579"/>
    <w:rsid w:val="00DF1DCE"/>
    <w:rsid w:val="00DF7439"/>
    <w:rsid w:val="00E35F3B"/>
    <w:rsid w:val="00E66FF9"/>
    <w:rsid w:val="00EE28B2"/>
    <w:rsid w:val="00EF06CE"/>
    <w:rsid w:val="00EF0958"/>
    <w:rsid w:val="00F02361"/>
    <w:rsid w:val="00F06BB3"/>
    <w:rsid w:val="00F41560"/>
    <w:rsid w:val="00F51034"/>
    <w:rsid w:val="00F94CAB"/>
    <w:rsid w:val="00FA274D"/>
    <w:rsid w:val="00FA320D"/>
    <w:rsid w:val="00FA6B4B"/>
    <w:rsid w:val="00FB01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3438BB"/>
  <w15:chartTrackingRefBased/>
  <w15:docId w15:val="{997F44F8-8377-4A25-9CF7-9C77E13643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F45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4538"/>
  </w:style>
  <w:style w:type="paragraph" w:styleId="Footer">
    <w:name w:val="footer"/>
    <w:basedOn w:val="Normal"/>
    <w:link w:val="FooterChar"/>
    <w:uiPriority w:val="99"/>
    <w:unhideWhenUsed/>
    <w:rsid w:val="003F45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4538"/>
  </w:style>
  <w:style w:type="character" w:styleId="Hyperlink">
    <w:name w:val="Hyperlink"/>
    <w:basedOn w:val="DefaultParagraphFont"/>
    <w:uiPriority w:val="99"/>
    <w:unhideWhenUsed/>
    <w:rsid w:val="00C341B9"/>
    <w:rPr>
      <w:color w:val="0000FF"/>
      <w:u w:val="single"/>
    </w:rPr>
  </w:style>
  <w:style w:type="paragraph" w:styleId="NormalWeb">
    <w:name w:val="Normal (Web)"/>
    <w:basedOn w:val="Normal"/>
    <w:uiPriority w:val="99"/>
    <w:unhideWhenUsed/>
    <w:rsid w:val="002D713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curriculum-for-wales-2008/digital-competence-framework-curriculum-for-wales-2008-version/framework/"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togetherscotland.org.uk/news-and-events/news/2019/08/new-child-friendly-version-of-the-uncrc-published-by-unicef/" TargetMode="Externa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hwb.gov.wales/storage/d5d8e39c-b534-40cb-a3f5-7e2e126d8077/foundation-phase-framework.pdf" TargetMode="External"/><Relationship Id="rId11" Type="http://schemas.openxmlformats.org/officeDocument/2006/relationships/hyperlink" Target="https://hwb.gov.wales/draft-curriculum-for-wales-2022" TargetMode="External"/><Relationship Id="rId5" Type="http://schemas.openxmlformats.org/officeDocument/2006/relationships/endnotes" Target="endnotes.xml"/><Relationship Id="rId10" Type="http://schemas.openxmlformats.org/officeDocument/2006/relationships/hyperlink" Target="https://hwb.gov.wales/draft-curriculum-for-wales-2022" TargetMode="External"/><Relationship Id="rId4" Type="http://schemas.openxmlformats.org/officeDocument/2006/relationships/footnotes" Target="footnotes.xml"/><Relationship Id="rId9" Type="http://schemas.openxmlformats.org/officeDocument/2006/relationships/hyperlink" Target="https://hwb.gov.wales/storage/d5d8e39c-b534-40cb-a3f5-7e2e126d8077/foundation-phase-framework.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3560</TotalTime>
  <Pages>9</Pages>
  <Words>2898</Words>
  <Characters>16522</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 </cp:lastModifiedBy>
  <cp:revision>12</cp:revision>
  <dcterms:created xsi:type="dcterms:W3CDTF">2019-11-04T16:31:00Z</dcterms:created>
  <dcterms:modified xsi:type="dcterms:W3CDTF">2019-12-20T21:59:00Z</dcterms:modified>
</cp:coreProperties>
</file>