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6AE85" w14:textId="74B6D642" w:rsidR="00E97A9E" w:rsidRDefault="00C62745">
      <w:r>
        <w:fldChar w:fldCharType="begin"/>
      </w:r>
      <w:r>
        <w:instrText>HYPERLINK "</w:instrText>
      </w:r>
      <w:r w:rsidRPr="00C62745">
        <w:instrText>https://sloanreview.mit.edu/article/the-hidden-opportunity-in-paradoxes/</w:instrText>
      </w:r>
      <w:r>
        <w:instrText>"</w:instrText>
      </w:r>
      <w:r>
        <w:fldChar w:fldCharType="separate"/>
      </w:r>
      <w:r w:rsidRPr="0090186A">
        <w:rPr>
          <w:rStyle w:val="Hyperlink"/>
        </w:rPr>
        <w:t>https://sloanreview.mit.edu/article/the-hidden-opportunity-in-paradoxes/</w:t>
      </w:r>
      <w:r>
        <w:fldChar w:fldCharType="end"/>
      </w:r>
    </w:p>
    <w:p w14:paraId="20B77CAC" w14:textId="77777777" w:rsidR="00C62745" w:rsidRDefault="00C62745"/>
    <w:p w14:paraId="329E8E44" w14:textId="77777777" w:rsidR="00C62745" w:rsidRPr="00C62745" w:rsidRDefault="00C62745" w:rsidP="00C62745">
      <w:pPr>
        <w:spacing w:after="0" w:line="240" w:lineRule="auto"/>
        <w:rPr>
          <w:rFonts w:ascii="Times New Roman" w:eastAsia="Times New Roman" w:hAnsi="Times New Roman" w:cs="Times New Roman"/>
          <w:kern w:val="0"/>
          <w:sz w:val="24"/>
          <w:szCs w:val="24"/>
          <w:lang w:eastAsia="en-GB"/>
          <w14:ligatures w14:val="none"/>
        </w:rPr>
      </w:pPr>
      <w:hyperlink r:id="rId5" w:history="1">
        <w:r w:rsidRPr="00C62745">
          <w:rPr>
            <w:rFonts w:ascii="Times New Roman" w:eastAsia="Times New Roman" w:hAnsi="Times New Roman" w:cs="Times New Roman"/>
            <w:b/>
            <w:bCs/>
            <w:caps/>
            <w:color w:val="005B9C"/>
            <w:spacing w:val="15"/>
            <w:kern w:val="0"/>
            <w:sz w:val="24"/>
            <w:szCs w:val="24"/>
            <w:u w:val="single"/>
            <w:lang w:eastAsia="en-GB"/>
            <w14:ligatures w14:val="none"/>
          </w:rPr>
          <w:t>MAGAZINE WINTER 2024 ISSUE</w:t>
        </w:r>
      </w:hyperlink>
      <w:r w:rsidRPr="00C62745">
        <w:rPr>
          <w:rFonts w:ascii="Times New Roman" w:eastAsia="Times New Roman" w:hAnsi="Times New Roman" w:cs="Times New Roman"/>
          <w:kern w:val="0"/>
          <w:sz w:val="24"/>
          <w:szCs w:val="24"/>
          <w:lang w:eastAsia="en-GB"/>
          <w14:ligatures w14:val="none"/>
        </w:rPr>
        <w:t> </w:t>
      </w:r>
      <w:hyperlink r:id="rId6" w:history="1">
        <w:r w:rsidRPr="00C62745">
          <w:rPr>
            <w:rFonts w:ascii="Times New Roman" w:eastAsia="Times New Roman" w:hAnsi="Times New Roman" w:cs="Times New Roman"/>
            <w:b/>
            <w:bCs/>
            <w:caps/>
            <w:color w:val="005B9C"/>
            <w:spacing w:val="15"/>
            <w:kern w:val="0"/>
            <w:sz w:val="24"/>
            <w:szCs w:val="24"/>
            <w:u w:val="single"/>
            <w:lang w:eastAsia="en-GB"/>
            <w14:ligatures w14:val="none"/>
          </w:rPr>
          <w:t>RESEARCH HIGHLIGHT</w:t>
        </w:r>
      </w:hyperlink>
    </w:p>
    <w:p w14:paraId="07C49322" w14:textId="77777777" w:rsidR="00C62745" w:rsidRPr="00C62745" w:rsidRDefault="00C62745" w:rsidP="00C62745">
      <w:pPr>
        <w:spacing w:before="150" w:after="150" w:line="240" w:lineRule="auto"/>
        <w:outlineLvl w:val="0"/>
        <w:rPr>
          <w:rFonts w:ascii="Times New Roman" w:eastAsia="Times New Roman" w:hAnsi="Times New Roman" w:cs="Times New Roman"/>
          <w:b/>
          <w:bCs/>
          <w:kern w:val="36"/>
          <w:sz w:val="48"/>
          <w:szCs w:val="48"/>
          <w:lang w:eastAsia="en-GB"/>
          <w14:ligatures w14:val="none"/>
        </w:rPr>
      </w:pPr>
      <w:r w:rsidRPr="00C62745">
        <w:rPr>
          <w:rFonts w:ascii="Times New Roman" w:eastAsia="Times New Roman" w:hAnsi="Times New Roman" w:cs="Times New Roman"/>
          <w:b/>
          <w:bCs/>
          <w:kern w:val="36"/>
          <w:sz w:val="48"/>
          <w:szCs w:val="48"/>
          <w:lang w:eastAsia="en-GB"/>
          <w14:ligatures w14:val="none"/>
        </w:rPr>
        <w:t>The Hidden Opportunity in Paradoxes</w:t>
      </w:r>
    </w:p>
    <w:p w14:paraId="1B4D3D52" w14:textId="77777777" w:rsidR="00C62745" w:rsidRPr="00C62745" w:rsidRDefault="00C62745" w:rsidP="00C62745">
      <w:pPr>
        <w:spacing w:line="240" w:lineRule="auto"/>
        <w:rPr>
          <w:rFonts w:ascii="Times New Roman" w:eastAsia="Times New Roman" w:hAnsi="Times New Roman" w:cs="Times New Roman"/>
          <w:kern w:val="0"/>
          <w:sz w:val="24"/>
          <w:szCs w:val="24"/>
          <w:lang w:eastAsia="en-GB"/>
          <w14:ligatures w14:val="none"/>
        </w:rPr>
      </w:pPr>
      <w:r w:rsidRPr="00C62745">
        <w:rPr>
          <w:rFonts w:ascii="Times New Roman" w:eastAsia="Times New Roman" w:hAnsi="Times New Roman" w:cs="Times New Roman"/>
          <w:kern w:val="0"/>
          <w:sz w:val="24"/>
          <w:szCs w:val="24"/>
          <w:lang w:eastAsia="en-GB"/>
          <w14:ligatures w14:val="none"/>
        </w:rPr>
        <w:t>When faced with impossible choices, organizations that embrace seemingly contradictory options expand the scope of what’s possible.</w:t>
      </w:r>
    </w:p>
    <w:p w14:paraId="646DFA55" w14:textId="77777777" w:rsidR="00C62745" w:rsidRDefault="00C62745" w:rsidP="00C62745">
      <w:pPr>
        <w:spacing w:after="0" w:line="240" w:lineRule="auto"/>
        <w:rPr>
          <w:rFonts w:ascii="Times New Roman" w:eastAsia="Times New Roman" w:hAnsi="Times New Roman" w:cs="Times New Roman"/>
          <w:kern w:val="0"/>
          <w:sz w:val="24"/>
          <w:szCs w:val="24"/>
          <w:lang w:eastAsia="en-GB"/>
          <w14:ligatures w14:val="none"/>
        </w:rPr>
      </w:pPr>
      <w:hyperlink r:id="rId7" w:anchor="article-authors" w:history="1">
        <w:r w:rsidRPr="00C62745">
          <w:rPr>
            <w:rFonts w:ascii="Times New Roman" w:eastAsia="Times New Roman" w:hAnsi="Times New Roman" w:cs="Times New Roman"/>
            <w:b/>
            <w:bCs/>
            <w:color w:val="000000"/>
            <w:kern w:val="0"/>
            <w:sz w:val="24"/>
            <w:szCs w:val="24"/>
            <w:u w:val="single"/>
            <w:lang w:eastAsia="en-GB"/>
            <w14:ligatures w14:val="none"/>
          </w:rPr>
          <w:t xml:space="preserve">Scott D. </w:t>
        </w:r>
        <w:proofErr w:type="spellStart"/>
        <w:r w:rsidRPr="00C62745">
          <w:rPr>
            <w:rFonts w:ascii="Times New Roman" w:eastAsia="Times New Roman" w:hAnsi="Times New Roman" w:cs="Times New Roman"/>
            <w:b/>
            <w:bCs/>
            <w:color w:val="000000"/>
            <w:kern w:val="0"/>
            <w:sz w:val="24"/>
            <w:szCs w:val="24"/>
            <w:u w:val="single"/>
            <w:lang w:eastAsia="en-GB"/>
            <w14:ligatures w14:val="none"/>
          </w:rPr>
          <w:t>Anthony</w:t>
        </w:r>
      </w:hyperlink>
      <w:proofErr w:type="spellEnd"/>
    </w:p>
    <w:p w14:paraId="5557C1D6" w14:textId="77777777" w:rsidR="00C62745" w:rsidRDefault="00C62745" w:rsidP="00C62745">
      <w:pPr>
        <w:spacing w:after="0" w:line="240" w:lineRule="auto"/>
        <w:rPr>
          <w:rFonts w:ascii="Times New Roman" w:eastAsia="Times New Roman" w:hAnsi="Times New Roman" w:cs="Times New Roman"/>
          <w:kern w:val="0"/>
          <w:sz w:val="24"/>
          <w:szCs w:val="24"/>
          <w:lang w:eastAsia="en-GB"/>
          <w14:ligatures w14:val="none"/>
        </w:rPr>
      </w:pPr>
    </w:p>
    <w:p w14:paraId="72D36A1B" w14:textId="77777777" w:rsidR="00C62745" w:rsidRDefault="00C62745" w:rsidP="00C62745">
      <w:pPr>
        <w:spacing w:after="0" w:line="240" w:lineRule="auto"/>
        <w:rPr>
          <w:rFonts w:ascii="Times New Roman" w:eastAsia="Times New Roman" w:hAnsi="Times New Roman" w:cs="Times New Roman"/>
          <w:kern w:val="0"/>
          <w:sz w:val="24"/>
          <w:szCs w:val="24"/>
          <w:lang w:eastAsia="en-GB"/>
          <w14:ligatures w14:val="none"/>
        </w:rPr>
      </w:pPr>
      <w:r w:rsidRPr="00C62745">
        <w:rPr>
          <w:rFonts w:ascii="Times New Roman" w:eastAsia="Times New Roman" w:hAnsi="Times New Roman" w:cs="Times New Roman"/>
          <w:kern w:val="0"/>
          <w:sz w:val="24"/>
          <w:szCs w:val="24"/>
          <w:lang w:eastAsia="en-GB"/>
          <w14:ligatures w14:val="none"/>
        </w:rPr>
        <w:t>December 12, 2023</w:t>
      </w:r>
    </w:p>
    <w:p w14:paraId="5B282D66" w14:textId="22B41D43" w:rsidR="00C62745" w:rsidRPr="00C62745" w:rsidRDefault="00C62745" w:rsidP="00C62745">
      <w:pPr>
        <w:spacing w:after="0" w:line="240" w:lineRule="auto"/>
        <w:rPr>
          <w:rFonts w:ascii="Times New Roman" w:eastAsia="Times New Roman" w:hAnsi="Times New Roman" w:cs="Times New Roman"/>
          <w:kern w:val="0"/>
          <w:sz w:val="24"/>
          <w:szCs w:val="24"/>
          <w:lang w:eastAsia="en-GB"/>
          <w14:ligatures w14:val="none"/>
        </w:rPr>
      </w:pPr>
      <w:r w:rsidRPr="00C62745">
        <w:rPr>
          <w:rFonts w:ascii="Times New Roman" w:eastAsia="Times New Roman" w:hAnsi="Times New Roman" w:cs="Times New Roman"/>
          <w:spacing w:val="5"/>
          <w:kern w:val="0"/>
          <w:sz w:val="24"/>
          <w:szCs w:val="24"/>
          <w:lang w:eastAsia="en-GB"/>
          <w14:ligatures w14:val="none"/>
        </w:rPr>
        <w:t>Reading Time: 16 min </w:t>
      </w:r>
    </w:p>
    <w:p w14:paraId="2F628A5B" w14:textId="1CE9994E" w:rsidR="00C62745" w:rsidRPr="00C62745" w:rsidRDefault="00C62745" w:rsidP="00C62745">
      <w:pPr>
        <w:spacing w:after="0" w:line="240" w:lineRule="auto"/>
        <w:rPr>
          <w:rFonts w:ascii="benton-sans" w:eastAsia="Times New Roman" w:hAnsi="benton-sans" w:cs="Times New Roman"/>
          <w:b/>
          <w:bCs/>
          <w:color w:val="000000"/>
          <w:kern w:val="0"/>
          <w:sz w:val="27"/>
          <w:szCs w:val="27"/>
          <w:lang w:eastAsia="en-GB"/>
          <w14:ligatures w14:val="none"/>
        </w:rPr>
      </w:pPr>
    </w:p>
    <w:p w14:paraId="726298E7" w14:textId="77777777" w:rsidR="00C62745" w:rsidRPr="00C62745" w:rsidRDefault="00C62745" w:rsidP="00C62745">
      <w:pPr>
        <w:spacing w:after="150" w:line="240" w:lineRule="auto"/>
        <w:outlineLvl w:val="3"/>
        <w:rPr>
          <w:rFonts w:ascii="benton-sans" w:eastAsia="Times New Roman" w:hAnsi="benton-sans" w:cs="Times New Roman"/>
          <w:b/>
          <w:bCs/>
          <w:color w:val="000000"/>
          <w:kern w:val="0"/>
          <w:sz w:val="24"/>
          <w:szCs w:val="24"/>
          <w:lang w:eastAsia="en-GB"/>
          <w14:ligatures w14:val="none"/>
        </w:rPr>
      </w:pPr>
      <w:r w:rsidRPr="00C62745">
        <w:rPr>
          <w:rFonts w:ascii="benton-sans" w:eastAsia="Times New Roman" w:hAnsi="benton-sans" w:cs="Times New Roman"/>
          <w:b/>
          <w:bCs/>
          <w:color w:val="000000"/>
          <w:kern w:val="0"/>
          <w:sz w:val="24"/>
          <w:szCs w:val="24"/>
          <w:lang w:eastAsia="en-GB"/>
          <w14:ligatures w14:val="none"/>
        </w:rPr>
        <w:t>The Research</w:t>
      </w:r>
    </w:p>
    <w:p w14:paraId="4B90B992" w14:textId="77777777" w:rsidR="00C62745" w:rsidRPr="00C62745" w:rsidRDefault="00C62745" w:rsidP="00C62745">
      <w:pPr>
        <w:spacing w:after="18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The author reviewed relevant academic literature; conducted in-depth interviews with executives, advisers, and intrapreneurs with firsthand experience in organizational paradox; and conducted analysis using systems psychodynamics (a set of tools to study the interaction between structures, norms, and practices of groups and the cognitions, motivations, and emotions of group members) as part of INSEAD’s Executive Master in Change program.</w:t>
      </w:r>
    </w:p>
    <w:p w14:paraId="0A2C065C" w14:textId="77777777"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Leading an organization demands that we confront a constant array of choices. Should we invest in this market or that one? Should we offer luxury products or mass-market goods? Should we provide incentives to individuals or teams? Should we recruit university graduates exclusively or look for nongraduates with specialized skills? While these choices can require careful consideration, they are essentially straightforward. The really hard choices that leaders will face in our increasingly complex world, argue some management thinkers, represent a different kind of problem altogether: the paradox.</w:t>
      </w:r>
    </w:p>
    <w:p w14:paraId="55FCB59D"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Many of us are likely to have encountered the idea of paradox primarily in the context of art or philosophy. Defined by the </w:t>
      </w:r>
      <w:r w:rsidRPr="00C62745">
        <w:rPr>
          <w:rFonts w:ascii="benton-sans" w:eastAsia="Times New Roman" w:hAnsi="benton-sans" w:cs="Times New Roman"/>
          <w:i/>
          <w:iCs/>
          <w:color w:val="000000"/>
          <w:kern w:val="0"/>
          <w:sz w:val="27"/>
          <w:szCs w:val="27"/>
          <w:lang w:eastAsia="en-GB"/>
          <w14:ligatures w14:val="none"/>
        </w:rPr>
        <w:t>Oxford Pocket Dictionary of Current English</w:t>
      </w:r>
      <w:r w:rsidRPr="00C62745">
        <w:rPr>
          <w:rFonts w:ascii="benton-sans" w:eastAsia="Times New Roman" w:hAnsi="benton-sans" w:cs="Times New Roman"/>
          <w:color w:val="000000"/>
          <w:kern w:val="0"/>
          <w:sz w:val="27"/>
          <w:szCs w:val="27"/>
          <w:lang w:eastAsia="en-GB"/>
          <w14:ligatures w14:val="none"/>
        </w:rPr>
        <w:t> as “a seemingly absurd or self-contradictory statement or proposition that when investigated or explained may prove to be well founded or true,” the word </w:t>
      </w:r>
      <w:r w:rsidRPr="00C62745">
        <w:rPr>
          <w:rFonts w:ascii="benton-sans" w:eastAsia="Times New Roman" w:hAnsi="benton-sans" w:cs="Times New Roman"/>
          <w:i/>
          <w:iCs/>
          <w:color w:val="000000"/>
          <w:kern w:val="0"/>
          <w:sz w:val="27"/>
          <w:szCs w:val="27"/>
          <w:lang w:eastAsia="en-GB"/>
          <w14:ligatures w14:val="none"/>
        </w:rPr>
        <w:t>paradox</w:t>
      </w:r>
      <w:r w:rsidRPr="00C62745">
        <w:rPr>
          <w:rFonts w:ascii="benton-sans" w:eastAsia="Times New Roman" w:hAnsi="benton-sans" w:cs="Times New Roman"/>
          <w:color w:val="000000"/>
          <w:kern w:val="0"/>
          <w:sz w:val="27"/>
          <w:szCs w:val="27"/>
          <w:lang w:eastAsia="en-GB"/>
          <w14:ligatures w14:val="none"/>
        </w:rPr>
        <w:t> might bring to mind examples like the Socratic statement “I know that I know nothing.” Paradoxes can be interesting to ponder, but we don’t often consider how they might expand our thinking as organizational leaders. That is changing in important ways.</w:t>
      </w:r>
    </w:p>
    <w:p w14:paraId="5AD018BB" w14:textId="77777777" w:rsidR="00C62745" w:rsidRPr="00C62745" w:rsidRDefault="00C62745" w:rsidP="00C62745">
      <w:pPr>
        <w:shd w:val="clear" w:color="auto" w:fill="005B9C"/>
        <w:spacing w:after="0" w:line="240" w:lineRule="auto"/>
        <w:outlineLvl w:val="2"/>
        <w:rPr>
          <w:rFonts w:ascii="benton-sans" w:eastAsia="Times New Roman" w:hAnsi="benton-sans" w:cs="Times New Roman"/>
          <w:b/>
          <w:bCs/>
          <w:color w:val="FFFFFF"/>
          <w:kern w:val="0"/>
          <w:sz w:val="36"/>
          <w:szCs w:val="36"/>
          <w:lang w:eastAsia="en-GB"/>
          <w14:ligatures w14:val="none"/>
        </w:rPr>
      </w:pPr>
      <w:r w:rsidRPr="00C62745">
        <w:rPr>
          <w:rFonts w:ascii="benton-sans" w:eastAsia="Times New Roman" w:hAnsi="benton-sans" w:cs="Times New Roman"/>
          <w:b/>
          <w:bCs/>
          <w:color w:val="FFFFFF"/>
          <w:kern w:val="0"/>
          <w:sz w:val="36"/>
          <w:szCs w:val="36"/>
          <w:lang w:eastAsia="en-GB"/>
          <w14:ligatures w14:val="none"/>
        </w:rPr>
        <w:t>Get Updates on Transformative Leadership</w:t>
      </w:r>
    </w:p>
    <w:p w14:paraId="7C51AFD2" w14:textId="77777777" w:rsidR="00C62745" w:rsidRPr="00C62745" w:rsidRDefault="00C62745" w:rsidP="00C62745">
      <w:pPr>
        <w:shd w:val="clear" w:color="auto" w:fill="005B9C"/>
        <w:spacing w:after="300" w:line="240" w:lineRule="auto"/>
        <w:rPr>
          <w:rFonts w:ascii="benton-sans" w:eastAsia="Times New Roman" w:hAnsi="benton-sans" w:cs="Times New Roman"/>
          <w:color w:val="FFFFFF"/>
          <w:kern w:val="0"/>
          <w:sz w:val="27"/>
          <w:szCs w:val="27"/>
          <w:lang w:eastAsia="en-GB"/>
          <w14:ligatures w14:val="none"/>
        </w:rPr>
      </w:pPr>
      <w:r w:rsidRPr="00C62745">
        <w:rPr>
          <w:rFonts w:ascii="benton-sans" w:eastAsia="Times New Roman" w:hAnsi="benton-sans" w:cs="Times New Roman"/>
          <w:color w:val="FFFFFF"/>
          <w:kern w:val="0"/>
          <w:sz w:val="27"/>
          <w:szCs w:val="27"/>
          <w:lang w:eastAsia="en-GB"/>
          <w14:ligatures w14:val="none"/>
        </w:rPr>
        <w:t>Evidence-based resources that can help you lead your team more effectively, delivered to your inbox monthly.</w:t>
      </w:r>
    </w:p>
    <w:p w14:paraId="64D30F16" w14:textId="77777777" w:rsidR="00C62745" w:rsidRPr="00C62745" w:rsidRDefault="00C62745" w:rsidP="00C62745">
      <w:pPr>
        <w:pBdr>
          <w:bottom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62745">
        <w:rPr>
          <w:rFonts w:ascii="Arial" w:eastAsia="Times New Roman" w:hAnsi="Arial" w:cs="Arial"/>
          <w:vanish/>
          <w:kern w:val="0"/>
          <w:sz w:val="16"/>
          <w:szCs w:val="16"/>
          <w:lang w:eastAsia="en-GB"/>
          <w14:ligatures w14:val="none"/>
        </w:rPr>
        <w:lastRenderedPageBreak/>
        <w:t>Top of Form</w:t>
      </w:r>
    </w:p>
    <w:p w14:paraId="0FF6AC51" w14:textId="77777777" w:rsidR="00C62745" w:rsidRPr="00C62745" w:rsidRDefault="00C62745" w:rsidP="00C62745">
      <w:pPr>
        <w:shd w:val="clear" w:color="auto" w:fill="005B9C"/>
        <w:spacing w:after="0" w:line="240" w:lineRule="auto"/>
        <w:rPr>
          <w:rFonts w:ascii="benton-sans" w:eastAsia="Times New Roman" w:hAnsi="benton-sans" w:cs="Times New Roman"/>
          <w:color w:val="FFFFFF"/>
          <w:kern w:val="0"/>
          <w:sz w:val="27"/>
          <w:szCs w:val="27"/>
          <w:lang w:eastAsia="en-GB"/>
          <w14:ligatures w14:val="none"/>
        </w:rPr>
      </w:pPr>
      <w:r w:rsidRPr="00C62745">
        <w:rPr>
          <w:rFonts w:ascii="benton-sans" w:eastAsia="Times New Roman" w:hAnsi="benton-sans" w:cs="Times New Roman"/>
          <w:color w:val="FFFFFF"/>
          <w:kern w:val="0"/>
          <w:sz w:val="27"/>
          <w:szCs w:val="27"/>
          <w:lang w:eastAsia="en-GB"/>
          <w14:ligatures w14:val="none"/>
        </w:rPr>
        <w:t>SIGN UP</w:t>
      </w:r>
    </w:p>
    <w:p w14:paraId="053D536E" w14:textId="77777777" w:rsidR="00C62745" w:rsidRPr="00C62745" w:rsidRDefault="00C62745" w:rsidP="00C62745">
      <w:pPr>
        <w:pBdr>
          <w:top w:val="single" w:sz="6" w:space="1" w:color="auto"/>
        </w:pBdr>
        <w:spacing w:after="0" w:line="240" w:lineRule="auto"/>
        <w:jc w:val="center"/>
        <w:rPr>
          <w:rFonts w:ascii="Arial" w:eastAsia="Times New Roman" w:hAnsi="Arial" w:cs="Arial"/>
          <w:vanish/>
          <w:kern w:val="0"/>
          <w:sz w:val="16"/>
          <w:szCs w:val="16"/>
          <w:lang w:eastAsia="en-GB"/>
          <w14:ligatures w14:val="none"/>
        </w:rPr>
      </w:pPr>
      <w:r w:rsidRPr="00C62745">
        <w:rPr>
          <w:rFonts w:ascii="Arial" w:eastAsia="Times New Roman" w:hAnsi="Arial" w:cs="Arial"/>
          <w:vanish/>
          <w:kern w:val="0"/>
          <w:sz w:val="16"/>
          <w:szCs w:val="16"/>
          <w:lang w:eastAsia="en-GB"/>
          <w14:ligatures w14:val="none"/>
        </w:rPr>
        <w:t>Bottom of Form</w:t>
      </w:r>
    </w:p>
    <w:p w14:paraId="1CB658B0" w14:textId="77777777" w:rsidR="00C62745" w:rsidRPr="00C62745" w:rsidRDefault="00C62745" w:rsidP="00C62745">
      <w:pPr>
        <w:shd w:val="clear" w:color="auto" w:fill="005B9C"/>
        <w:spacing w:line="240" w:lineRule="auto"/>
        <w:rPr>
          <w:rFonts w:ascii="benton-sans" w:eastAsia="Times New Roman" w:hAnsi="benton-sans" w:cs="Times New Roman"/>
          <w:color w:val="FFFFFF"/>
          <w:kern w:val="0"/>
          <w:sz w:val="27"/>
          <w:szCs w:val="27"/>
          <w:lang w:eastAsia="en-GB"/>
          <w14:ligatures w14:val="none"/>
        </w:rPr>
      </w:pPr>
      <w:hyperlink r:id="rId8" w:history="1">
        <w:r w:rsidRPr="00C62745">
          <w:rPr>
            <w:rFonts w:ascii="benton-sans" w:eastAsia="Times New Roman" w:hAnsi="benton-sans" w:cs="Times New Roman"/>
            <w:color w:val="FFFFFF"/>
            <w:kern w:val="0"/>
            <w:sz w:val="27"/>
            <w:szCs w:val="27"/>
            <w:u w:val="single"/>
            <w:bdr w:val="none" w:sz="0" w:space="0" w:color="auto" w:frame="1"/>
            <w:lang w:eastAsia="en-GB"/>
            <w14:ligatures w14:val="none"/>
          </w:rPr>
          <w:t>Privacy Policy</w:t>
        </w:r>
      </w:hyperlink>
    </w:p>
    <w:p w14:paraId="1A75147B"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In their book </w:t>
      </w:r>
      <w:r w:rsidRPr="00C62745">
        <w:rPr>
          <w:rFonts w:ascii="benton-sans" w:eastAsia="Times New Roman" w:hAnsi="benton-sans" w:cs="Times New Roman"/>
          <w:i/>
          <w:iCs/>
          <w:color w:val="000000"/>
          <w:kern w:val="0"/>
          <w:sz w:val="27"/>
          <w:szCs w:val="27"/>
          <w:lang w:eastAsia="en-GB"/>
          <w14:ligatures w14:val="none"/>
        </w:rPr>
        <w:t>Both/And Thinking</w:t>
      </w:r>
      <w:r w:rsidRPr="00C62745">
        <w:rPr>
          <w:rFonts w:ascii="benton-sans" w:eastAsia="Times New Roman" w:hAnsi="benton-sans" w:cs="Times New Roman"/>
          <w:color w:val="000000"/>
          <w:kern w:val="0"/>
          <w:sz w:val="27"/>
          <w:szCs w:val="27"/>
          <w:lang w:eastAsia="en-GB"/>
          <w14:ligatures w14:val="none"/>
        </w:rPr>
        <w:t>, business scholars Wendy K. Smith and Marianne W. Lewis define paradoxes as “persistent, interdependent contradictions.”</w:t>
      </w:r>
      <w:hyperlink r:id="rId9" w:anchor="ref1"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w:t>
        </w:r>
      </w:hyperlink>
      <w:r w:rsidRPr="00C62745">
        <w:rPr>
          <w:rFonts w:ascii="benton-sans" w:eastAsia="Times New Roman" w:hAnsi="benton-sans" w:cs="Times New Roman"/>
          <w:color w:val="000000"/>
          <w:kern w:val="0"/>
          <w:sz w:val="27"/>
          <w:szCs w:val="27"/>
          <w:lang w:eastAsia="en-GB"/>
          <w14:ligatures w14:val="none"/>
        </w:rPr>
        <w:t> That means they contain at least two elements that relate to each other but appear to contradict. London Business School professor Herminia Ibarra described the “</w:t>
      </w:r>
      <w:hyperlink r:id="rId10" w:history="1">
        <w:r w:rsidRPr="00C62745">
          <w:rPr>
            <w:rFonts w:ascii="benton-sans" w:eastAsia="Times New Roman" w:hAnsi="benton-sans" w:cs="Times New Roman"/>
            <w:color w:val="000000"/>
            <w:kern w:val="0"/>
            <w:sz w:val="27"/>
            <w:szCs w:val="27"/>
            <w:u w:val="single"/>
            <w:lang w:eastAsia="en-GB"/>
            <w14:ligatures w14:val="none"/>
          </w:rPr>
          <w:t>authenticity paradox</w:t>
        </w:r>
      </w:hyperlink>
      <w:r w:rsidRPr="00C62745">
        <w:rPr>
          <w:rFonts w:ascii="benton-sans" w:eastAsia="Times New Roman" w:hAnsi="benton-sans" w:cs="Times New Roman"/>
          <w:color w:val="000000"/>
          <w:kern w:val="0"/>
          <w:sz w:val="27"/>
          <w:szCs w:val="27"/>
          <w:lang w:eastAsia="en-GB"/>
          <w14:ligatures w14:val="none"/>
        </w:rPr>
        <w:t>”: Leaders are told to be authentic in order to succeed, but an authentic leader can struggle to develop because they get fixated on being true to themself instead of what is required to succeed.</w:t>
      </w:r>
      <w:hyperlink r:id="rId11" w:anchor="ref2"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2</w:t>
        </w:r>
      </w:hyperlink>
      <w:r w:rsidRPr="00C62745">
        <w:rPr>
          <w:rFonts w:ascii="benton-sans" w:eastAsia="Times New Roman" w:hAnsi="benton-sans" w:cs="Times New Roman"/>
          <w:color w:val="000000"/>
          <w:kern w:val="0"/>
          <w:sz w:val="27"/>
          <w:szCs w:val="27"/>
          <w:lang w:eastAsia="en-GB"/>
          <w14:ligatures w14:val="none"/>
        </w:rPr>
        <w:t> Some scholars assert that the very idea of an organization has a seeming paradox at its heart </w:t>
      </w:r>
      <w:hyperlink r:id="rId12" w:history="1">
        <w:r w:rsidRPr="00C62745">
          <w:rPr>
            <w:rFonts w:ascii="benton-sans" w:eastAsia="Times New Roman" w:hAnsi="benton-sans" w:cs="Times New Roman"/>
            <w:color w:val="000000"/>
            <w:kern w:val="0"/>
            <w:sz w:val="27"/>
            <w:szCs w:val="27"/>
            <w:u w:val="single"/>
            <w:lang w:eastAsia="en-GB"/>
            <w14:ligatures w14:val="none"/>
          </w:rPr>
          <w:t>because</w:t>
        </w:r>
      </w:hyperlink>
      <w:r w:rsidRPr="00C62745">
        <w:rPr>
          <w:rFonts w:ascii="benton-sans" w:eastAsia="Times New Roman" w:hAnsi="benton-sans" w:cs="Times New Roman"/>
          <w:color w:val="000000"/>
          <w:kern w:val="0"/>
          <w:sz w:val="27"/>
          <w:szCs w:val="27"/>
          <w:lang w:eastAsia="en-GB"/>
          <w14:ligatures w14:val="none"/>
        </w:rPr>
        <w:t> “on the one hand it contains free, creative, independent human subjects; on the other hand, the relation between these subjects aspires to be one of organization, order, and control.”</w:t>
      </w:r>
      <w:hyperlink r:id="rId13" w:anchor="ref3"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3</w:t>
        </w:r>
      </w:hyperlink>
      <w:r w:rsidRPr="00C62745">
        <w:rPr>
          <w:rFonts w:ascii="benton-sans" w:eastAsia="Times New Roman" w:hAnsi="benton-sans" w:cs="Times New Roman"/>
          <w:color w:val="000000"/>
          <w:kern w:val="0"/>
          <w:sz w:val="27"/>
          <w:szCs w:val="27"/>
          <w:lang w:eastAsia="en-GB"/>
          <w14:ligatures w14:val="none"/>
        </w:rPr>
        <w:t> Innovation seems acutely paradoxical. To resolve Clayton Christensen’s famous innovator’s dilemma, you need to both listen to and ignore your best customers. Sustain and disrupt your current business model. Support and undermine your current value network. More broadly, today’s leaders have to build inclusive and unique cultures that empower and direct employees while striking work-life balances for employees with very diverse desires.</w:t>
      </w:r>
    </w:p>
    <w:p w14:paraId="3D22BB1A"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189F8389" w14:textId="77777777" w:rsidR="00C62745" w:rsidRPr="00C62745" w:rsidRDefault="00C62745" w:rsidP="00C62745">
      <w:pPr>
        <w:spacing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An authentic leader can struggle to develop because they get fixated on being true to themself instead of what is required to succeed.</w:t>
      </w:r>
    </w:p>
    <w:p w14:paraId="3A85D1DF" w14:textId="77777777"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Such apparent paradoxes can arise at the level of an individual, team, organization, and even the larger context in which an organization operates, like an industry, a state, or an entire society. But if a paradox is something that is fundamentally unresolvable, does that mean these business challenges are insurmountable?</w:t>
      </w:r>
    </w:p>
    <w:p w14:paraId="3AD12D35" w14:textId="77777777" w:rsidR="00C62745" w:rsidRPr="00C62745" w:rsidRDefault="00C62745" w:rsidP="00C62745">
      <w:pPr>
        <w:spacing w:before="750" w:after="240" w:line="240" w:lineRule="auto"/>
        <w:outlineLvl w:val="2"/>
        <w:rPr>
          <w:rFonts w:ascii="benton-sans" w:eastAsia="Times New Roman" w:hAnsi="benton-sans" w:cs="Times New Roman"/>
          <w:b/>
          <w:bCs/>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A Paradoxical Industry</w:t>
      </w:r>
    </w:p>
    <w:p w14:paraId="05C011E4"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The energy industry seems to be in a particularly acute moment of paradox. A </w:t>
      </w:r>
      <w:hyperlink r:id="rId14" w:history="1">
        <w:r w:rsidRPr="00C62745">
          <w:rPr>
            <w:rFonts w:ascii="benton-sans" w:eastAsia="Times New Roman" w:hAnsi="benton-sans" w:cs="Times New Roman"/>
            <w:color w:val="000000"/>
            <w:kern w:val="0"/>
            <w:sz w:val="27"/>
            <w:szCs w:val="27"/>
            <w:u w:val="single"/>
            <w:lang w:eastAsia="en-GB"/>
            <w14:ligatures w14:val="none"/>
          </w:rPr>
          <w:t>report</w:t>
        </w:r>
      </w:hyperlink>
      <w:r w:rsidRPr="00C62745">
        <w:rPr>
          <w:rFonts w:ascii="benton-sans" w:eastAsia="Times New Roman" w:hAnsi="benton-sans" w:cs="Times New Roman"/>
          <w:color w:val="000000"/>
          <w:kern w:val="0"/>
          <w:sz w:val="27"/>
          <w:szCs w:val="27"/>
          <w:lang w:eastAsia="en-GB"/>
          <w14:ligatures w14:val="none"/>
        </w:rPr>
        <w:t> from Royal Dutch Shell called sectors like commercial transport, power, manufacturing, and energy “paradox industries” with “huge pressures to increase their output </w:t>
      </w:r>
      <w:r w:rsidRPr="00C62745">
        <w:rPr>
          <w:rFonts w:ascii="benton-sans" w:eastAsia="Times New Roman" w:hAnsi="benton-sans" w:cs="Times New Roman"/>
          <w:i/>
          <w:iCs/>
          <w:color w:val="000000"/>
          <w:kern w:val="0"/>
          <w:sz w:val="27"/>
          <w:szCs w:val="27"/>
          <w:lang w:eastAsia="en-GB"/>
          <w14:ligatures w14:val="none"/>
        </w:rPr>
        <w:t>and</w:t>
      </w:r>
      <w:r w:rsidRPr="00C62745">
        <w:rPr>
          <w:rFonts w:ascii="benton-sans" w:eastAsia="Times New Roman" w:hAnsi="benton-sans" w:cs="Times New Roman"/>
          <w:color w:val="000000"/>
          <w:kern w:val="0"/>
          <w:sz w:val="27"/>
          <w:szCs w:val="27"/>
          <w:lang w:eastAsia="en-GB"/>
          <w14:ligatures w14:val="none"/>
        </w:rPr>
        <w:t> reduce their impact on our planet. To grow in size </w:t>
      </w:r>
      <w:r w:rsidRPr="00C62745">
        <w:rPr>
          <w:rFonts w:ascii="benton-sans" w:eastAsia="Times New Roman" w:hAnsi="benton-sans" w:cs="Times New Roman"/>
          <w:i/>
          <w:iCs/>
          <w:color w:val="000000"/>
          <w:kern w:val="0"/>
          <w:sz w:val="27"/>
          <w:szCs w:val="27"/>
          <w:lang w:eastAsia="en-GB"/>
          <w14:ligatures w14:val="none"/>
        </w:rPr>
        <w:t>and</w:t>
      </w:r>
      <w:r w:rsidRPr="00C62745">
        <w:rPr>
          <w:rFonts w:ascii="benton-sans" w:eastAsia="Times New Roman" w:hAnsi="benton-sans" w:cs="Times New Roman"/>
          <w:color w:val="000000"/>
          <w:kern w:val="0"/>
          <w:sz w:val="27"/>
          <w:szCs w:val="27"/>
          <w:lang w:eastAsia="en-GB"/>
          <w14:ligatures w14:val="none"/>
        </w:rPr>
        <w:t> shrink their footprint. To automate </w:t>
      </w:r>
      <w:r w:rsidRPr="00C62745">
        <w:rPr>
          <w:rFonts w:ascii="benton-sans" w:eastAsia="Times New Roman" w:hAnsi="benton-sans" w:cs="Times New Roman"/>
          <w:i/>
          <w:iCs/>
          <w:color w:val="000000"/>
          <w:kern w:val="0"/>
          <w:sz w:val="27"/>
          <w:szCs w:val="27"/>
          <w:lang w:eastAsia="en-GB"/>
          <w14:ligatures w14:val="none"/>
        </w:rPr>
        <w:t>and</w:t>
      </w:r>
      <w:r w:rsidRPr="00C62745">
        <w:rPr>
          <w:rFonts w:ascii="benton-sans" w:eastAsia="Times New Roman" w:hAnsi="benton-sans" w:cs="Times New Roman"/>
          <w:color w:val="000000"/>
          <w:kern w:val="0"/>
          <w:sz w:val="27"/>
          <w:szCs w:val="27"/>
          <w:lang w:eastAsia="en-GB"/>
          <w14:ligatures w14:val="none"/>
        </w:rPr>
        <w:t> create jobs.”</w:t>
      </w:r>
      <w:hyperlink r:id="rId15" w:anchor="ref4"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4</w:t>
        </w:r>
      </w:hyperlink>
      <w:r w:rsidRPr="00C62745">
        <w:rPr>
          <w:rFonts w:ascii="benton-sans" w:eastAsia="Times New Roman" w:hAnsi="benton-sans" w:cs="Times New Roman"/>
          <w:color w:val="000000"/>
          <w:kern w:val="0"/>
          <w:sz w:val="27"/>
          <w:szCs w:val="27"/>
          <w:lang w:eastAsia="en-GB"/>
          <w14:ligatures w14:val="none"/>
        </w:rPr>
        <w:t xml:space="preserve"> The stakes are high. Activist investors have suggested that these tensions are so intractable that Shell ought to split into three companies. In June 2023, Shell’s newly appointed CEO announced plans to be “ruthless” in capital allocation, cutting some investments in renewable technologies and increasing investment in fossil fuels. “Ultimately what we need to do is to be able to generate long-term </w:t>
      </w:r>
      <w:r w:rsidRPr="00C62745">
        <w:rPr>
          <w:rFonts w:ascii="benton-sans" w:eastAsia="Times New Roman" w:hAnsi="benton-sans" w:cs="Times New Roman"/>
          <w:color w:val="000000"/>
          <w:kern w:val="0"/>
          <w:sz w:val="27"/>
          <w:szCs w:val="27"/>
          <w:lang w:eastAsia="en-GB"/>
          <w14:ligatures w14:val="none"/>
        </w:rPr>
        <w:lastRenderedPageBreak/>
        <w:t>value for our shareholders,” said CEO Wael Sawan. “The answer cannot be, ‘I am going to invest [in clean energy projects] and have poor returns and that’s going to vindicate my conscience.’ That’s wrong.”</w:t>
      </w:r>
      <w:hyperlink r:id="rId16" w:anchor="ref5"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5</w:t>
        </w:r>
      </w:hyperlink>
    </w:p>
    <w:p w14:paraId="347AFDD1" w14:textId="77777777"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What options do Shell and other energy companies have in the face of a seeming unreconcilable paradox? Consider the contrasting approaches taken by two other major energy companies.</w:t>
      </w:r>
    </w:p>
    <w:p w14:paraId="6D681849"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In the late 1990s, oil and gas giant BP attempted (and failed) to rebrand itself as “Beyond Petroleum” and invested billions in wind and solar projects, many of which were later </w:t>
      </w:r>
      <w:hyperlink r:id="rId17" w:history="1">
        <w:r w:rsidRPr="00C62745">
          <w:rPr>
            <w:rFonts w:ascii="benton-sans" w:eastAsia="Times New Roman" w:hAnsi="benton-sans" w:cs="Times New Roman"/>
            <w:color w:val="000000"/>
            <w:kern w:val="0"/>
            <w:sz w:val="27"/>
            <w:szCs w:val="27"/>
            <w:u w:val="single"/>
            <w:lang w:eastAsia="en-GB"/>
            <w14:ligatures w14:val="none"/>
          </w:rPr>
          <w:t>shut down</w:t>
        </w:r>
      </w:hyperlink>
      <w:r w:rsidRPr="00C62745">
        <w:rPr>
          <w:rFonts w:ascii="benton-sans" w:eastAsia="Times New Roman" w:hAnsi="benton-sans" w:cs="Times New Roman"/>
          <w:color w:val="000000"/>
          <w:kern w:val="0"/>
          <w:sz w:val="27"/>
          <w:szCs w:val="27"/>
          <w:lang w:eastAsia="en-GB"/>
          <w14:ligatures w14:val="none"/>
        </w:rPr>
        <w:t> or spun off. In February 2020, BP attempted another push toward clean energy, as CEO Bernard Looney </w:t>
      </w:r>
      <w:hyperlink r:id="rId18" w:history="1">
        <w:r w:rsidRPr="00C62745">
          <w:rPr>
            <w:rFonts w:ascii="benton-sans" w:eastAsia="Times New Roman" w:hAnsi="benton-sans" w:cs="Times New Roman"/>
            <w:color w:val="000000"/>
            <w:kern w:val="0"/>
            <w:sz w:val="27"/>
            <w:szCs w:val="27"/>
            <w:u w:val="single"/>
            <w:lang w:eastAsia="en-GB"/>
            <w14:ligatures w14:val="none"/>
          </w:rPr>
          <w:t>announced</w:t>
        </w:r>
      </w:hyperlink>
      <w:r w:rsidRPr="00C62745">
        <w:rPr>
          <w:rFonts w:ascii="benton-sans" w:eastAsia="Times New Roman" w:hAnsi="benton-sans" w:cs="Times New Roman"/>
          <w:color w:val="000000"/>
          <w:kern w:val="0"/>
          <w:sz w:val="27"/>
          <w:szCs w:val="27"/>
          <w:lang w:eastAsia="en-GB"/>
          <w14:ligatures w14:val="none"/>
        </w:rPr>
        <w:t> plans to slash the company’s oil output by 40%, sell $25 billion in fossil-fuel assets, and boost its capacity to generate electricity from renewable sources twentyfold. It acknowledged that its clean energy business was losing money and would continue to lose money until at least 2025. But when energy prices surged three years later, Looney </w:t>
      </w:r>
      <w:hyperlink r:id="rId19" w:history="1">
        <w:r w:rsidRPr="00C62745">
          <w:rPr>
            <w:rFonts w:ascii="benton-sans" w:eastAsia="Times New Roman" w:hAnsi="benton-sans" w:cs="Times New Roman"/>
            <w:color w:val="000000"/>
            <w:kern w:val="0"/>
            <w:sz w:val="27"/>
            <w:szCs w:val="27"/>
            <w:u w:val="single"/>
            <w:lang w:eastAsia="en-GB"/>
            <w14:ligatures w14:val="none"/>
          </w:rPr>
          <w:t>announced</w:t>
        </w:r>
      </w:hyperlink>
      <w:r w:rsidRPr="00C62745">
        <w:rPr>
          <w:rFonts w:ascii="benton-sans" w:eastAsia="Times New Roman" w:hAnsi="benton-sans" w:cs="Times New Roman"/>
          <w:color w:val="000000"/>
          <w:kern w:val="0"/>
          <w:sz w:val="27"/>
          <w:szCs w:val="27"/>
          <w:lang w:eastAsia="en-GB"/>
          <w14:ligatures w14:val="none"/>
        </w:rPr>
        <w:t> plans to slow the planned cuts and scale back spending on renewables. While BP’s leaders stressed that the company was reviewing, not ending, its commitment to shifting its portfolio, the story seemed eerily reminiscent of its first foray into clean energy.</w:t>
      </w:r>
      <w:hyperlink r:id="rId20" w:anchor="ref6"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6</w:t>
        </w:r>
      </w:hyperlink>
    </w:p>
    <w:p w14:paraId="17C68214"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4D788ECC" w14:textId="7870BB18"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BP’s recent history may be said to typify an either/or mindset in action. That is, when you see the apparent tension between two parts of a paradox, you choose one or the other. BP approached renewable energy as fundamentally opposed to fossil fuels, aggressively ramping up (or marketing) the former at the expense of the latter — an approach that was doomed to snap back when circumstances changed.</w:t>
      </w:r>
    </w:p>
    <w:p w14:paraId="250AFFB4"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In contrast, Danish energy company Ørsted has taken a both/and approach, wading right into the contradictions of a paradox to find a solution that unites parts that seem to be in tension. In 2009, management announced that the company (then known as DONG Energy) would seek to generate 85% of heat and power from renewable sources by 2040. It explored investment in offshore wind and began to wean itself off coal. By 2019, it had become the world’s largest offshore wind-energy producer, achieving its aggressive target 21 years ahead of plan. In 2019, it sold off its coal business and its liquified natural gas unit. While it no longer produces gas, it continues to play in the space as an infrastructure provider and trader, with a spokesperson </w:t>
      </w:r>
      <w:hyperlink r:id="rId21" w:history="1">
        <w:r w:rsidRPr="00C62745">
          <w:rPr>
            <w:rFonts w:ascii="benton-sans" w:eastAsia="Times New Roman" w:hAnsi="benton-sans" w:cs="Times New Roman"/>
            <w:color w:val="000000"/>
            <w:kern w:val="0"/>
            <w:sz w:val="27"/>
            <w:szCs w:val="27"/>
            <w:u w:val="single"/>
            <w:lang w:eastAsia="en-GB"/>
            <w14:ligatures w14:val="none"/>
          </w:rPr>
          <w:t>noting</w:t>
        </w:r>
      </w:hyperlink>
      <w:r w:rsidRPr="00C62745">
        <w:rPr>
          <w:rFonts w:ascii="benton-sans" w:eastAsia="Times New Roman" w:hAnsi="benton-sans" w:cs="Times New Roman"/>
          <w:color w:val="000000"/>
          <w:kern w:val="0"/>
          <w:sz w:val="27"/>
          <w:szCs w:val="27"/>
          <w:lang w:eastAsia="en-GB"/>
          <w14:ligatures w14:val="none"/>
        </w:rPr>
        <w:t> in 2019, “There’ll be a long transition period leading up to a 100% green energy system, during which society can’t do without gas. Gas is the least harmful fossil fuel available to support the transition to green energy, and we’ll continue to trade gas for years to come.”</w:t>
      </w:r>
      <w:hyperlink r:id="rId22" w:anchor="ref7"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7</w:t>
        </w:r>
      </w:hyperlink>
    </w:p>
    <w:p w14:paraId="7EB11D91"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32005CD5" w14:textId="35790492"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lastRenderedPageBreak/>
        <w:t>Companies should, of course, dynamically adjust their strategies based on market conditions. But, more broadly, they ought to rethink the limiting perception that there is a tension between pursuing short-term returns and longer-term strategic reorientation. A stream of academic research has repeatedly shown that the perceived trade-off between pursuing planet-friendly policies and maximizing financial returns is a false one. In his book </w:t>
      </w:r>
      <w:r w:rsidRPr="00C62745">
        <w:rPr>
          <w:rFonts w:ascii="benton-sans" w:eastAsia="Times New Roman" w:hAnsi="benton-sans" w:cs="Times New Roman"/>
          <w:i/>
          <w:iCs/>
          <w:color w:val="000000"/>
          <w:kern w:val="0"/>
          <w:sz w:val="27"/>
          <w:szCs w:val="27"/>
          <w:lang w:eastAsia="en-GB"/>
          <w14:ligatures w14:val="none"/>
        </w:rPr>
        <w:t>Purpose + Profit</w:t>
      </w:r>
      <w:r w:rsidRPr="00C62745">
        <w:rPr>
          <w:rFonts w:ascii="benton-sans" w:eastAsia="Times New Roman" w:hAnsi="benton-sans" w:cs="Times New Roman"/>
          <w:color w:val="000000"/>
          <w:kern w:val="0"/>
          <w:sz w:val="27"/>
          <w:szCs w:val="27"/>
          <w:lang w:eastAsia="en-GB"/>
          <w14:ligatures w14:val="none"/>
        </w:rPr>
        <w:t>, Harvard Business School professor George Serafeim describes a study that showed purpose-driven companies that took an integrated view of sustainability issues received a risk-adjusted boost of 6% in their share returns.</w:t>
      </w:r>
      <w:hyperlink r:id="rId23" w:anchor="ref8"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8</w:t>
        </w:r>
      </w:hyperlink>
    </w:p>
    <w:p w14:paraId="7BE3EBDD"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52F612F2" w14:textId="6BC83D48"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A proven path to beating the market. And one that also does good for the planet. Simple, right? Unfortunately, no.</w:t>
      </w:r>
    </w:p>
    <w:p w14:paraId="4541B743" w14:textId="77777777" w:rsidR="00C62745" w:rsidRPr="00C62745" w:rsidRDefault="00C62745" w:rsidP="00C62745">
      <w:pPr>
        <w:spacing w:before="750" w:after="240" w:line="240" w:lineRule="auto"/>
        <w:outlineLvl w:val="2"/>
        <w:rPr>
          <w:rFonts w:ascii="benton-sans" w:eastAsia="Times New Roman" w:hAnsi="benton-sans" w:cs="Times New Roman"/>
          <w:b/>
          <w:bCs/>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The Polarizing Power of Paradox</w:t>
      </w:r>
    </w:p>
    <w:p w14:paraId="05206E05"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Paradoxes are complex, adaptive, system-level issues with rampant uncertainty. That’s </w:t>
      </w:r>
      <w:hyperlink r:id="rId24" w:history="1">
        <w:r w:rsidRPr="00C62745">
          <w:rPr>
            <w:rFonts w:ascii="benton-sans" w:eastAsia="Times New Roman" w:hAnsi="benton-sans" w:cs="Times New Roman"/>
            <w:color w:val="000000"/>
            <w:kern w:val="0"/>
            <w:sz w:val="27"/>
            <w:szCs w:val="27"/>
            <w:u w:val="single"/>
            <w:lang w:eastAsia="en-GB"/>
            <w14:ligatures w14:val="none"/>
          </w:rPr>
          <w:t>why</w:t>
        </w:r>
      </w:hyperlink>
      <w:r w:rsidRPr="00C62745">
        <w:rPr>
          <w:rFonts w:ascii="benton-sans" w:eastAsia="Times New Roman" w:hAnsi="benton-sans" w:cs="Times New Roman"/>
          <w:color w:val="000000"/>
          <w:kern w:val="0"/>
          <w:sz w:val="27"/>
          <w:szCs w:val="27"/>
          <w:lang w:eastAsia="en-GB"/>
          <w14:ligatures w14:val="none"/>
        </w:rPr>
        <w:t> the innovator’s dilemma has proved to be so stubborn despite two decades of work by practitioners and thought leaders.</w:t>
      </w:r>
      <w:hyperlink r:id="rId25" w:anchor="ref9"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9</w:t>
        </w:r>
      </w:hyperlink>
      <w:r w:rsidRPr="00C62745">
        <w:rPr>
          <w:rFonts w:ascii="benton-sans" w:eastAsia="Times New Roman" w:hAnsi="benton-sans" w:cs="Times New Roman"/>
          <w:color w:val="000000"/>
          <w:kern w:val="0"/>
          <w:sz w:val="27"/>
          <w:szCs w:val="27"/>
          <w:lang w:eastAsia="en-GB"/>
          <w14:ligatures w14:val="none"/>
        </w:rPr>
        <w:t> Humans suffer from a predictable range of biases and blind spots that make pursuing both/and solutions challenging. Confirmation bias causes leaders to ignore evidence that goes against their existing beliefs. Loss aversion and the status quo bias means people prefer avoiding risks over taking them. Hierarchy and groupthink make it hard for groups to see their way through complexity.</w:t>
      </w:r>
    </w:p>
    <w:p w14:paraId="309F0EFD"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48295FC7" w14:textId="71DC6F19"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One recurrent finding from academic research conducted over the past two decades is that paradox produces polarizing reactions. My own research has corroborated this finding.</w:t>
      </w:r>
      <w:hyperlink r:id="rId26" w:anchor="ref10"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10</w:t>
        </w:r>
      </w:hyperlink>
      <w:r w:rsidRPr="00C62745">
        <w:rPr>
          <w:rFonts w:ascii="benton-sans" w:eastAsia="Times New Roman" w:hAnsi="benton-sans" w:cs="Times New Roman"/>
          <w:color w:val="000000"/>
          <w:kern w:val="0"/>
          <w:sz w:val="27"/>
          <w:szCs w:val="27"/>
          <w:lang w:eastAsia="en-GB"/>
          <w14:ligatures w14:val="none"/>
        </w:rPr>
        <w:t> I conducted a dozen in-depth interviews with business leaders who found themselves confronting paradoxes that scholars like Smith and Lewis have identified, such as the tension between pursuing profits and purpose, sustaining current operations and driving disruptive growth, and rewarding individual performance and encouraging equity. (See “The Research.”)</w:t>
      </w:r>
    </w:p>
    <w:p w14:paraId="109979E0"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764C2457" w14:textId="610ED1F4"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On the positive side, these kinds of paradoxes produced feelings of curiosity, excitement, and engagement. One of my research subjects, who confronted paradox daily in his role leading an innovation unit within a highly conservative company, described how even </w:t>
      </w:r>
      <w:r w:rsidRPr="00C62745">
        <w:rPr>
          <w:rFonts w:ascii="benton-sans" w:eastAsia="Times New Roman" w:hAnsi="benton-sans" w:cs="Times New Roman"/>
          <w:i/>
          <w:iCs/>
          <w:color w:val="000000"/>
          <w:kern w:val="0"/>
          <w:sz w:val="27"/>
          <w:szCs w:val="27"/>
          <w:lang w:eastAsia="en-GB"/>
          <w14:ligatures w14:val="none"/>
        </w:rPr>
        <w:t>discussing</w:t>
      </w:r>
      <w:r w:rsidRPr="00C62745">
        <w:rPr>
          <w:rFonts w:ascii="benton-sans" w:eastAsia="Times New Roman" w:hAnsi="benton-sans" w:cs="Times New Roman"/>
          <w:color w:val="000000"/>
          <w:kern w:val="0"/>
          <w:sz w:val="27"/>
          <w:szCs w:val="27"/>
          <w:lang w:eastAsia="en-GB"/>
          <w14:ligatures w14:val="none"/>
        </w:rPr>
        <w:t xml:space="preserve"> paradox makes him feel “stimulated, like in the middle of a great chess game.” An executive who helped launch two billion-dollar businesses within a large consumer goods company described how finding a “point off the line” (data that didn’t conform to expectations) was exciting because it opened up the possibility of a new </w:t>
      </w:r>
      <w:r w:rsidRPr="00C62745">
        <w:rPr>
          <w:rFonts w:ascii="benton-sans" w:eastAsia="Times New Roman" w:hAnsi="benton-sans" w:cs="Times New Roman"/>
          <w:color w:val="000000"/>
          <w:kern w:val="0"/>
          <w:sz w:val="27"/>
          <w:szCs w:val="27"/>
          <w:lang w:eastAsia="en-GB"/>
          <w14:ligatures w14:val="none"/>
        </w:rPr>
        <w:lastRenderedPageBreak/>
        <w:t>path to a solution. Another executive described how, as a university president, he confronted the seeming paradox between high-quality, campus-based education and accessible, affordable online programs. The executive formed and led several special-purpose teams. One ensured that both on-campus and online offerings met rigorous academic standards. Another helped on-campus professors learn from online educators and vice versa. Beyond transforming his institute, the executive noted how the effort sparked personal growth: “At an organizational level I’m more effective, and at a personal level I’m either a better person or I’m at least a more self-aware person.”</w:t>
      </w:r>
    </w:p>
    <w:p w14:paraId="77D4E742"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621B0FA5" w14:textId="6AE53FFE"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However, </w:t>
      </w:r>
      <w:hyperlink r:id="rId27" w:history="1">
        <w:r w:rsidRPr="00C62745">
          <w:rPr>
            <w:rFonts w:ascii="benton-sans" w:eastAsia="Times New Roman" w:hAnsi="benton-sans" w:cs="Times New Roman"/>
            <w:color w:val="000000"/>
            <w:kern w:val="0"/>
            <w:sz w:val="27"/>
            <w:szCs w:val="27"/>
            <w:u w:val="single"/>
            <w:lang w:eastAsia="en-GB"/>
            <w14:ligatures w14:val="none"/>
          </w:rPr>
          <w:t>research</w:t>
        </w:r>
      </w:hyperlink>
      <w:r w:rsidRPr="00C62745">
        <w:rPr>
          <w:rFonts w:ascii="benton-sans" w:eastAsia="Times New Roman" w:hAnsi="benton-sans" w:cs="Times New Roman"/>
          <w:color w:val="000000"/>
          <w:kern w:val="0"/>
          <w:sz w:val="27"/>
          <w:szCs w:val="27"/>
          <w:lang w:eastAsia="en-GB"/>
          <w14:ligatures w14:val="none"/>
        </w:rPr>
        <w:t> also suggests that paradoxes can foster “anxiety, uncertainty, and ambiguity, leaving individuals feeling threatened and defensive.”</w:t>
      </w:r>
      <w:hyperlink r:id="rId28" w:anchor="ref11"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11</w:t>
        </w:r>
      </w:hyperlink>
      <w:r w:rsidRPr="00C62745">
        <w:rPr>
          <w:rFonts w:ascii="benton-sans" w:eastAsia="Times New Roman" w:hAnsi="benton-sans" w:cs="Times New Roman"/>
          <w:color w:val="000000"/>
          <w:kern w:val="0"/>
          <w:sz w:val="27"/>
          <w:szCs w:val="27"/>
          <w:lang w:eastAsia="en-GB"/>
          <w14:ligatures w14:val="none"/>
        </w:rPr>
        <w:t> A former CEO who drove strategic transformation at two organizations described how confronting paradox raised fundamental questions about the organization’s identity: Having to make choices that invalidate aspects of that identity could have a cascading impact on individuals who connect to the organization’s old identity.</w:t>
      </w:r>
    </w:p>
    <w:p w14:paraId="76F95D8F"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43341877" w14:textId="3DB8D613"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One practitioner described the paradox of seeking to innovate within a law firm. “The work that I do is paradoxical in nature,” the lawyer said, “because we’re meant to be doing innovation, which by definition is new, but if it’s too new, nobody actually wants to do it because they want to see some proof, or they want some reassurance that it’s going to work.” While a lawyer breaking from the practice of making decisions based on past precedent may seem trivial, such a break would require the lawyer to question a fundamental piece of themselves and their organization. The lost-in-paradox lawyer was left demotivated and frustrated: “I’m stuck in the middle. I’m not in a position to say, ‘Let’s go and change these structures that are impeding our work’ … [or] to say, ‘Let’s be honest about what we’re doing and clearly state that … we’re not actually doing groundbreaking stuff,’ so it feels disempowering.”</w:t>
      </w:r>
    </w:p>
    <w:p w14:paraId="409B59CF" w14:textId="77777777" w:rsidR="00C62745" w:rsidRPr="00C62745" w:rsidRDefault="00C62745" w:rsidP="00C62745">
      <w:pPr>
        <w:spacing w:before="750" w:after="240" w:line="240" w:lineRule="auto"/>
        <w:outlineLvl w:val="2"/>
        <w:rPr>
          <w:rFonts w:ascii="benton-sans" w:eastAsia="Times New Roman" w:hAnsi="benton-sans" w:cs="Times New Roman"/>
          <w:b/>
          <w:bCs/>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Is It Really a Paradox?</w:t>
      </w:r>
    </w:p>
    <w:p w14:paraId="22D1261B"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While classic philosophical paradoxes are unsolvable within their logical constraints, paradoxical problems in business can yield to solutions when leaders think beyond apparent constraints — or “out of the </w:t>
      </w:r>
      <w:r w:rsidRPr="00C62745">
        <w:rPr>
          <w:rFonts w:ascii="benton-sans" w:eastAsia="Times New Roman" w:hAnsi="benton-sans" w:cs="Times New Roman"/>
          <w:i/>
          <w:iCs/>
          <w:color w:val="000000"/>
          <w:kern w:val="0"/>
          <w:sz w:val="27"/>
          <w:szCs w:val="27"/>
          <w:lang w:eastAsia="en-GB"/>
          <w14:ligatures w14:val="none"/>
        </w:rPr>
        <w:t>para</w:t>
      </w:r>
      <w:r w:rsidRPr="00C62745">
        <w:rPr>
          <w:rFonts w:ascii="benton-sans" w:eastAsia="Times New Roman" w:hAnsi="benton-sans" w:cs="Times New Roman"/>
          <w:color w:val="000000"/>
          <w:kern w:val="0"/>
          <w:sz w:val="27"/>
          <w:szCs w:val="27"/>
          <w:lang w:eastAsia="en-GB"/>
          <w14:ligatures w14:val="none"/>
        </w:rPr>
        <w:t>-box,” if you will. Christensen called his first book </w:t>
      </w:r>
      <w:r w:rsidRPr="00C62745">
        <w:rPr>
          <w:rFonts w:ascii="benton-sans" w:eastAsia="Times New Roman" w:hAnsi="benton-sans" w:cs="Times New Roman"/>
          <w:i/>
          <w:iCs/>
          <w:color w:val="000000"/>
          <w:kern w:val="0"/>
          <w:sz w:val="27"/>
          <w:szCs w:val="27"/>
          <w:lang w:eastAsia="en-GB"/>
          <w14:ligatures w14:val="none"/>
        </w:rPr>
        <w:t>The Innovator’s Dilemma</w:t>
      </w:r>
      <w:r w:rsidRPr="00C62745">
        <w:rPr>
          <w:rFonts w:ascii="benton-sans" w:eastAsia="Times New Roman" w:hAnsi="benton-sans" w:cs="Times New Roman"/>
          <w:color w:val="000000"/>
          <w:kern w:val="0"/>
          <w:sz w:val="27"/>
          <w:szCs w:val="27"/>
          <w:lang w:eastAsia="en-GB"/>
          <w14:ligatures w14:val="none"/>
        </w:rPr>
        <w:t>, not </w:t>
      </w:r>
      <w:r w:rsidRPr="00C62745">
        <w:rPr>
          <w:rFonts w:ascii="benton-sans" w:eastAsia="Times New Roman" w:hAnsi="benton-sans" w:cs="Times New Roman"/>
          <w:i/>
          <w:iCs/>
          <w:color w:val="000000"/>
          <w:kern w:val="0"/>
          <w:sz w:val="27"/>
          <w:szCs w:val="27"/>
          <w:lang w:eastAsia="en-GB"/>
          <w14:ligatures w14:val="none"/>
        </w:rPr>
        <w:t>The Innovator’s Paradox</w:t>
      </w:r>
      <w:r w:rsidRPr="00C62745">
        <w:rPr>
          <w:rFonts w:ascii="benton-sans" w:eastAsia="Times New Roman" w:hAnsi="benton-sans" w:cs="Times New Roman"/>
          <w:color w:val="000000"/>
          <w:kern w:val="0"/>
          <w:sz w:val="27"/>
          <w:szCs w:val="27"/>
          <w:lang w:eastAsia="en-GB"/>
          <w14:ligatures w14:val="none"/>
        </w:rPr>
        <w:t>. The challenges of disruptive change are vexing, but like the perceived paradoxes facing modern executives, they are solvable. There’s no law of nature that says law firms have to use past precedent when looking at innovation projects. Individuals can change a group and remain a part of it; individuals can change themselves without losing their sense of self.</w:t>
      </w:r>
    </w:p>
    <w:p w14:paraId="75427431"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4CAF8D5C" w14:textId="57871BCD"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Consider some of the other seemingly irreconcilable tensions that have been resolved:</w:t>
      </w:r>
    </w:p>
    <w:p w14:paraId="05CEDB11" w14:textId="77777777" w:rsidR="00C62745" w:rsidRPr="00C62745" w:rsidRDefault="00C62745" w:rsidP="00C62745">
      <w:pPr>
        <w:pStyle w:val="ListParagraph"/>
        <w:numPr>
          <w:ilvl w:val="0"/>
          <w:numId w:val="6"/>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It was generally accepted that profitable manufacturing required making trade-offs between cost, quality, and speed — until Toyota showed that those trade-offs were false.</w:t>
      </w:r>
    </w:p>
    <w:p w14:paraId="6BB6CA14" w14:textId="77777777" w:rsidR="00C62745" w:rsidRPr="00C62745" w:rsidRDefault="00C62745" w:rsidP="00C62745">
      <w:pPr>
        <w:pStyle w:val="ListParagraph"/>
        <w:numPr>
          <w:ilvl w:val="0"/>
          <w:numId w:val="6"/>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It was common knowledge that manufacturing had inherent randomness that required extensive quality control — until the Six Sigma movement showed that a tightly designed and managed process could produce highly predictable outputs.</w:t>
      </w:r>
    </w:p>
    <w:p w14:paraId="5E73563A" w14:textId="77777777" w:rsidR="00C62745" w:rsidRPr="00C62745" w:rsidRDefault="00C62745" w:rsidP="00C62745">
      <w:pPr>
        <w:pStyle w:val="ListParagraph"/>
        <w:numPr>
          <w:ilvl w:val="0"/>
          <w:numId w:val="6"/>
        </w:num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Leaders believed they naturally had to adopt stricter control mechanisms as organizations grew in order to prevent employee malfeasance — until Netflix showed that “no rules rules.”</w:t>
      </w:r>
      <w:hyperlink r:id="rId29" w:anchor="ref12"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12</w:t>
        </w:r>
      </w:hyperlink>
    </w:p>
    <w:p w14:paraId="20CB4149" w14:textId="77777777" w:rsidR="00C62745" w:rsidRDefault="00C62745" w:rsidP="00C62745">
      <w:pPr>
        <w:spacing w:after="120" w:line="240" w:lineRule="auto"/>
        <w:rPr>
          <w:rFonts w:ascii="benton-sans" w:eastAsia="Times New Roman" w:hAnsi="benton-sans" w:cs="Times New Roman"/>
          <w:color w:val="000000"/>
          <w:kern w:val="0"/>
          <w:sz w:val="27"/>
          <w:szCs w:val="27"/>
          <w:lang w:eastAsia="en-GB"/>
          <w14:ligatures w14:val="none"/>
        </w:rPr>
      </w:pPr>
    </w:p>
    <w:p w14:paraId="46324E49" w14:textId="77777777" w:rsidR="00C62745" w:rsidRDefault="00C62745" w:rsidP="00C62745">
      <w:pPr>
        <w:pStyle w:val="ListParagraph"/>
        <w:numPr>
          <w:ilvl w:val="0"/>
          <w:numId w:val="6"/>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Environmental activists and business leaders knew that sustainability and profitability were incompatible goals — until Unilever’s Sustainable Living Plan delivered on its commitment to double revenue while halving the company’s environmental footprint.</w:t>
      </w:r>
    </w:p>
    <w:p w14:paraId="12F20E4E" w14:textId="77777777" w:rsidR="00C62745" w:rsidRPr="00C62745" w:rsidRDefault="00C62745" w:rsidP="00C62745">
      <w:pPr>
        <w:pStyle w:val="ListParagraph"/>
        <w:rPr>
          <w:rFonts w:ascii="benton-sans" w:eastAsia="Times New Roman" w:hAnsi="benton-sans" w:cs="Times New Roman"/>
          <w:color w:val="000000"/>
          <w:kern w:val="0"/>
          <w:sz w:val="27"/>
          <w:szCs w:val="27"/>
          <w:lang w:eastAsia="en-GB"/>
          <w14:ligatures w14:val="none"/>
        </w:rPr>
      </w:pPr>
    </w:p>
    <w:p w14:paraId="20AA805E" w14:textId="4CF09FE1" w:rsidR="00C62745" w:rsidRPr="00C62745" w:rsidRDefault="00C62745" w:rsidP="00C62745">
      <w:p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Executives can, of course, choose to follow either/or approaches. Or they can use the following techniques to seek opportunities to find both/and solutions.</w:t>
      </w:r>
    </w:p>
    <w:p w14:paraId="3E0D9798" w14:textId="77777777" w:rsidR="00C62745" w:rsidRDefault="00C62745" w:rsidP="00C62745">
      <w:pPr>
        <w:spacing w:after="0" w:line="240" w:lineRule="auto"/>
        <w:rPr>
          <w:rFonts w:ascii="benton-sans" w:eastAsia="Times New Roman" w:hAnsi="benton-sans" w:cs="Times New Roman"/>
          <w:b/>
          <w:bCs/>
          <w:color w:val="000000"/>
          <w:kern w:val="0"/>
          <w:sz w:val="27"/>
          <w:szCs w:val="27"/>
          <w:lang w:eastAsia="en-GB"/>
          <w14:ligatures w14:val="none"/>
        </w:rPr>
      </w:pPr>
    </w:p>
    <w:p w14:paraId="480B4E6B" w14:textId="24612678"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Shift perspectives.</w:t>
      </w:r>
      <w:r w:rsidRPr="00C62745">
        <w:rPr>
          <w:rFonts w:ascii="benton-sans" w:eastAsia="Times New Roman" w:hAnsi="benton-sans" w:cs="Times New Roman"/>
          <w:color w:val="000000"/>
          <w:kern w:val="0"/>
          <w:sz w:val="27"/>
          <w:szCs w:val="27"/>
          <w:lang w:eastAsia="en-GB"/>
          <w14:ligatures w14:val="none"/>
        </w:rPr>
        <w:t> Consider the concept of work-life balance. In the exact minute that you read this sentence, you can’t be in balance, because you are doing one thing or another. Now, zoom out and imagine that you estimate that your life expectancy is 80 years. That’s about 700,000 living hours. Let’s say you are a </w:t>
      </w:r>
      <w:r w:rsidRPr="00C62745">
        <w:rPr>
          <w:rFonts w:ascii="benton-sans" w:eastAsia="Times New Roman" w:hAnsi="benton-sans" w:cs="Times New Roman"/>
          <w:i/>
          <w:iCs/>
          <w:color w:val="000000"/>
          <w:kern w:val="0"/>
          <w:sz w:val="27"/>
          <w:szCs w:val="27"/>
          <w:lang w:eastAsia="en-GB"/>
          <w14:ligatures w14:val="none"/>
        </w:rPr>
        <w:t>really</w:t>
      </w:r>
      <w:r w:rsidRPr="00C62745">
        <w:rPr>
          <w:rFonts w:ascii="benton-sans" w:eastAsia="Times New Roman" w:hAnsi="benton-sans" w:cs="Times New Roman"/>
          <w:color w:val="000000"/>
          <w:kern w:val="0"/>
          <w:sz w:val="27"/>
          <w:szCs w:val="27"/>
          <w:lang w:eastAsia="en-GB"/>
          <w14:ligatures w14:val="none"/>
        </w:rPr>
        <w:t> hard worker, averaging 50 hours a week, 50 weeks a year, for 50 years. That’s 125,000 hours. So you work only 18% of your living hours. Balance! Those extreme answers are not particularly useful, but consider the possibilities opened up by taking a quarterly perspective. That time frame allows rituals such as a weekend family retreat, decision rules such as having no more than 10 days of travel in a quarter, or more rigorous time-boxing, such as dedicating blocks of time for family activities.</w:t>
      </w:r>
    </w:p>
    <w:p w14:paraId="2B8E774E"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74CC4884" w14:textId="2A7D7F6E"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Similarly, a shift in time horizon can reframe the renewable-energy tensions described previously. Consider one </w:t>
      </w:r>
      <w:hyperlink r:id="rId30" w:history="1">
        <w:r w:rsidRPr="00C62745">
          <w:rPr>
            <w:rFonts w:ascii="benton-sans" w:eastAsia="Times New Roman" w:hAnsi="benton-sans" w:cs="Times New Roman"/>
            <w:color w:val="000000"/>
            <w:kern w:val="0"/>
            <w:sz w:val="27"/>
            <w:szCs w:val="27"/>
            <w:u w:val="single"/>
            <w:lang w:eastAsia="en-GB"/>
            <w14:ligatures w14:val="none"/>
          </w:rPr>
          <w:t>study</w:t>
        </w:r>
      </w:hyperlink>
      <w:r w:rsidRPr="00C62745">
        <w:rPr>
          <w:rFonts w:ascii="benton-sans" w:eastAsia="Times New Roman" w:hAnsi="benton-sans" w:cs="Times New Roman"/>
          <w:color w:val="000000"/>
          <w:kern w:val="0"/>
          <w:sz w:val="27"/>
          <w:szCs w:val="27"/>
          <w:lang w:eastAsia="en-GB"/>
          <w14:ligatures w14:val="none"/>
        </w:rPr>
        <w:t> contrasting five organizations operating in the oil sands of Alberta, Canada.</w:t>
      </w:r>
      <w:hyperlink r:id="rId31" w:anchor="ref13"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13</w:t>
        </w:r>
      </w:hyperlink>
      <w:r w:rsidRPr="00C62745">
        <w:rPr>
          <w:rFonts w:ascii="benton-sans" w:eastAsia="Times New Roman" w:hAnsi="benton-sans" w:cs="Times New Roman"/>
          <w:color w:val="000000"/>
          <w:kern w:val="0"/>
          <w:sz w:val="27"/>
          <w:szCs w:val="27"/>
          <w:lang w:eastAsia="en-GB"/>
          <w14:ligatures w14:val="none"/>
        </w:rPr>
        <w:t xml:space="preserve"> All of the companies faced apparent paradoxical tensions in terms of their temporal (short- versus long-term) and philosophical (business versus society) orientations. Some companies viewed these issues as either/or poles that forced a choice. They prioritized practices that </w:t>
      </w:r>
      <w:proofErr w:type="spellStart"/>
      <w:r w:rsidRPr="00C62745">
        <w:rPr>
          <w:rFonts w:ascii="benton-sans" w:eastAsia="Times New Roman" w:hAnsi="benton-sans" w:cs="Times New Roman"/>
          <w:color w:val="000000"/>
          <w:kern w:val="0"/>
          <w:sz w:val="27"/>
          <w:szCs w:val="27"/>
          <w:lang w:eastAsia="en-GB"/>
          <w14:ligatures w14:val="none"/>
        </w:rPr>
        <w:t>favored</w:t>
      </w:r>
      <w:proofErr w:type="spellEnd"/>
      <w:r w:rsidRPr="00C62745">
        <w:rPr>
          <w:rFonts w:ascii="benton-sans" w:eastAsia="Times New Roman" w:hAnsi="benton-sans" w:cs="Times New Roman"/>
          <w:color w:val="000000"/>
          <w:kern w:val="0"/>
          <w:sz w:val="27"/>
          <w:szCs w:val="27"/>
          <w:lang w:eastAsia="en-GB"/>
          <w14:ligatures w14:val="none"/>
        </w:rPr>
        <w:t xml:space="preserve"> efficiency, such as quantitative planning, and </w:t>
      </w:r>
      <w:r w:rsidRPr="00C62745">
        <w:rPr>
          <w:rFonts w:ascii="benton-sans" w:eastAsia="Times New Roman" w:hAnsi="benton-sans" w:cs="Times New Roman"/>
          <w:color w:val="000000"/>
          <w:kern w:val="0"/>
          <w:sz w:val="27"/>
          <w:szCs w:val="27"/>
          <w:lang w:eastAsia="en-GB"/>
          <w14:ligatures w14:val="none"/>
        </w:rPr>
        <w:lastRenderedPageBreak/>
        <w:t>minimized interactions with stakeholders, which led to what the researchers described as “temporal myopia” that resulted in the “narrowing of the solution space.”</w:t>
      </w:r>
    </w:p>
    <w:p w14:paraId="5C06F480" w14:textId="77777777"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Those that stepped back, shifted perspectives, and considered the interconnections between issues engaged multiple stakeholders and sought avenues for cross-collaboration. This approach allowed them to develop integrated solutions with greater potential for long-term benefits for all relevant stakeholders — including themselves.</w:t>
      </w:r>
    </w:p>
    <w:p w14:paraId="11DEB8C8"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One way to shift perspectives and find those points off the line that point to novel solutions to a problem is to run a series of thought experiments that play with constraints. That can involve </w:t>
      </w:r>
      <w:r w:rsidRPr="00C62745">
        <w:rPr>
          <w:rFonts w:ascii="benton-sans" w:eastAsia="Times New Roman" w:hAnsi="benton-sans" w:cs="Times New Roman"/>
          <w:i/>
          <w:iCs/>
          <w:color w:val="000000"/>
          <w:kern w:val="0"/>
          <w:sz w:val="27"/>
          <w:szCs w:val="27"/>
          <w:lang w:eastAsia="en-GB"/>
          <w14:ligatures w14:val="none"/>
        </w:rPr>
        <w:t>removing</w:t>
      </w:r>
      <w:r w:rsidRPr="00C62745">
        <w:rPr>
          <w:rFonts w:ascii="benton-sans" w:eastAsia="Times New Roman" w:hAnsi="benton-sans" w:cs="Times New Roman"/>
          <w:color w:val="000000"/>
          <w:kern w:val="0"/>
          <w:sz w:val="27"/>
          <w:szCs w:val="27"/>
          <w:lang w:eastAsia="en-GB"/>
          <w14:ligatures w14:val="none"/>
        </w:rPr>
        <w:t> a constraint, such as asking how you would approach an apparent paradox differently if you had infinite time or infinite resources, or </w:t>
      </w:r>
      <w:r w:rsidRPr="00C62745">
        <w:rPr>
          <w:rFonts w:ascii="benton-sans" w:eastAsia="Times New Roman" w:hAnsi="benton-sans" w:cs="Times New Roman"/>
          <w:i/>
          <w:iCs/>
          <w:color w:val="000000"/>
          <w:kern w:val="0"/>
          <w:sz w:val="27"/>
          <w:szCs w:val="27"/>
          <w:lang w:eastAsia="en-GB"/>
          <w14:ligatures w14:val="none"/>
        </w:rPr>
        <w:t>imposing</w:t>
      </w:r>
      <w:r w:rsidRPr="00C62745">
        <w:rPr>
          <w:rFonts w:ascii="benton-sans" w:eastAsia="Times New Roman" w:hAnsi="benton-sans" w:cs="Times New Roman"/>
          <w:color w:val="000000"/>
          <w:kern w:val="0"/>
          <w:sz w:val="27"/>
          <w:szCs w:val="27"/>
          <w:lang w:eastAsia="en-GB"/>
          <w14:ligatures w14:val="none"/>
        </w:rPr>
        <w:t> a constraint, such as imagining what you would do if the government suddenly outlawed the use of a particular raw material. While it might feel like imposing constraints would limit creativity, research consistently shows that constraints can focus problem-solving energy and boost creativity. One technique that can help spur these thought experiments is what Hal Gregersen </w:t>
      </w:r>
      <w:hyperlink r:id="rId32" w:history="1">
        <w:r w:rsidRPr="00C62745">
          <w:rPr>
            <w:rFonts w:ascii="benton-sans" w:eastAsia="Times New Roman" w:hAnsi="benton-sans" w:cs="Times New Roman"/>
            <w:color w:val="000000"/>
            <w:kern w:val="0"/>
            <w:sz w:val="27"/>
            <w:szCs w:val="27"/>
            <w:u w:val="single"/>
            <w:lang w:eastAsia="en-GB"/>
            <w14:ligatures w14:val="none"/>
          </w:rPr>
          <w:t>calls</w:t>
        </w:r>
      </w:hyperlink>
      <w:r w:rsidRPr="00C62745">
        <w:rPr>
          <w:rFonts w:ascii="benton-sans" w:eastAsia="Times New Roman" w:hAnsi="benton-sans" w:cs="Times New Roman"/>
          <w:color w:val="000000"/>
          <w:kern w:val="0"/>
          <w:sz w:val="27"/>
          <w:szCs w:val="27"/>
          <w:lang w:eastAsia="en-GB"/>
          <w14:ligatures w14:val="none"/>
        </w:rPr>
        <w:t> a “question burst,” where you brainstorm not for answers, but for provocative questions.</w:t>
      </w:r>
      <w:hyperlink r:id="rId33" w:anchor="ref14"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14</w:t>
        </w:r>
      </w:hyperlink>
    </w:p>
    <w:p w14:paraId="3C537905" w14:textId="77777777" w:rsidR="00C62745" w:rsidRDefault="00C62745" w:rsidP="00C62745">
      <w:pPr>
        <w:spacing w:after="0" w:line="240" w:lineRule="auto"/>
        <w:rPr>
          <w:rFonts w:ascii="benton-sans" w:eastAsia="Times New Roman" w:hAnsi="benton-sans" w:cs="Times New Roman"/>
          <w:b/>
          <w:bCs/>
          <w:color w:val="000000"/>
          <w:kern w:val="0"/>
          <w:sz w:val="27"/>
          <w:szCs w:val="27"/>
          <w:lang w:eastAsia="en-GB"/>
          <w14:ligatures w14:val="none"/>
        </w:rPr>
      </w:pPr>
    </w:p>
    <w:p w14:paraId="286381D0" w14:textId="1383A4BC"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Adopt a paradox mindset.</w:t>
      </w:r>
      <w:r w:rsidRPr="00C62745">
        <w:rPr>
          <w:rFonts w:ascii="benton-sans" w:eastAsia="Times New Roman" w:hAnsi="benton-sans" w:cs="Times New Roman"/>
          <w:color w:val="000000"/>
          <w:kern w:val="0"/>
          <w:sz w:val="27"/>
          <w:szCs w:val="27"/>
          <w:lang w:eastAsia="en-GB"/>
          <w14:ligatures w14:val="none"/>
        </w:rPr>
        <w:t> Adopting a mindset that views apparent paradoxes as opportunities boosts creativity and organizational performance, according to </w:t>
      </w:r>
      <w:hyperlink r:id="rId34" w:history="1">
        <w:r w:rsidRPr="00C62745">
          <w:rPr>
            <w:rFonts w:ascii="benton-sans" w:eastAsia="Times New Roman" w:hAnsi="benton-sans" w:cs="Times New Roman"/>
            <w:color w:val="000000"/>
            <w:kern w:val="0"/>
            <w:sz w:val="27"/>
            <w:szCs w:val="27"/>
            <w:u w:val="single"/>
            <w:lang w:eastAsia="en-GB"/>
            <w14:ligatures w14:val="none"/>
          </w:rPr>
          <w:t>research</w:t>
        </w:r>
      </w:hyperlink>
      <w:r w:rsidRPr="00C62745">
        <w:rPr>
          <w:rFonts w:ascii="benton-sans" w:eastAsia="Times New Roman" w:hAnsi="benton-sans" w:cs="Times New Roman"/>
          <w:color w:val="000000"/>
          <w:kern w:val="0"/>
          <w:sz w:val="27"/>
          <w:szCs w:val="27"/>
          <w:lang w:eastAsia="en-GB"/>
          <w14:ligatures w14:val="none"/>
        </w:rPr>
        <w:t>.</w:t>
      </w:r>
      <w:hyperlink r:id="rId35" w:anchor="ref15"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15</w:t>
        </w:r>
      </w:hyperlink>
      <w:r w:rsidRPr="00C62745">
        <w:rPr>
          <w:rFonts w:ascii="benton-sans" w:eastAsia="Times New Roman" w:hAnsi="benton-sans" w:cs="Times New Roman"/>
          <w:color w:val="000000"/>
          <w:kern w:val="0"/>
          <w:sz w:val="27"/>
          <w:szCs w:val="27"/>
          <w:lang w:eastAsia="en-GB"/>
          <w14:ligatures w14:val="none"/>
        </w:rPr>
        <w:t> People who demonstrate a </w:t>
      </w:r>
      <w:r w:rsidRPr="00C62745">
        <w:rPr>
          <w:rFonts w:ascii="benton-sans" w:eastAsia="Times New Roman" w:hAnsi="benton-sans" w:cs="Times New Roman"/>
          <w:i/>
          <w:iCs/>
          <w:color w:val="000000"/>
          <w:kern w:val="0"/>
          <w:sz w:val="27"/>
          <w:szCs w:val="27"/>
          <w:lang w:eastAsia="en-GB"/>
          <w14:ligatures w14:val="none"/>
        </w:rPr>
        <w:t>paradox mindset</w:t>
      </w:r>
      <w:r w:rsidRPr="00C62745">
        <w:rPr>
          <w:rFonts w:ascii="benton-sans" w:eastAsia="Times New Roman" w:hAnsi="benton-sans" w:cs="Times New Roman"/>
          <w:color w:val="000000"/>
          <w:kern w:val="0"/>
          <w:sz w:val="27"/>
          <w:szCs w:val="27"/>
          <w:lang w:eastAsia="en-GB"/>
          <w14:ligatures w14:val="none"/>
        </w:rPr>
        <w:t> agree with statements such as “Tension between ideas energizes me” and “I am comfortable working on tasks that contradict each other.” The paradox mindset can be approached in three ways. First, leaders can be </w:t>
      </w:r>
      <w:r w:rsidRPr="00C62745">
        <w:rPr>
          <w:rFonts w:ascii="benton-sans" w:eastAsia="Times New Roman" w:hAnsi="benton-sans" w:cs="Times New Roman"/>
          <w:i/>
          <w:iCs/>
          <w:color w:val="000000"/>
          <w:kern w:val="0"/>
          <w:sz w:val="27"/>
          <w:szCs w:val="27"/>
          <w:lang w:eastAsia="en-GB"/>
          <w14:ligatures w14:val="none"/>
        </w:rPr>
        <w:t>screened</w:t>
      </w:r>
      <w:r w:rsidRPr="00C62745">
        <w:rPr>
          <w:rFonts w:ascii="benton-sans" w:eastAsia="Times New Roman" w:hAnsi="benton-sans" w:cs="Times New Roman"/>
          <w:color w:val="000000"/>
          <w:kern w:val="0"/>
          <w:sz w:val="27"/>
          <w:szCs w:val="27"/>
          <w:lang w:eastAsia="en-GB"/>
          <w14:ligatures w14:val="none"/>
        </w:rPr>
        <w:t> to identify those predisposed to have a paradox mindset by having them complete a short </w:t>
      </w:r>
      <w:hyperlink r:id="rId36" w:history="1">
        <w:r w:rsidRPr="00C62745">
          <w:rPr>
            <w:rFonts w:ascii="benton-sans" w:eastAsia="Times New Roman" w:hAnsi="benton-sans" w:cs="Times New Roman"/>
            <w:color w:val="000000"/>
            <w:kern w:val="0"/>
            <w:sz w:val="27"/>
            <w:szCs w:val="27"/>
            <w:u w:val="single"/>
            <w:lang w:eastAsia="en-GB"/>
            <w14:ligatures w14:val="none"/>
          </w:rPr>
          <w:t>diagnostic</w:t>
        </w:r>
      </w:hyperlink>
      <w:r w:rsidRPr="00C62745">
        <w:rPr>
          <w:rFonts w:ascii="benton-sans" w:eastAsia="Times New Roman" w:hAnsi="benton-sans" w:cs="Times New Roman"/>
          <w:color w:val="000000"/>
          <w:kern w:val="0"/>
          <w:sz w:val="27"/>
          <w:szCs w:val="27"/>
          <w:lang w:eastAsia="en-GB"/>
          <w14:ligatures w14:val="none"/>
        </w:rPr>
        <w:t>.</w:t>
      </w:r>
      <w:hyperlink r:id="rId37" w:anchor="ref16"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16</w:t>
        </w:r>
      </w:hyperlink>
      <w:r w:rsidRPr="00C62745">
        <w:rPr>
          <w:rFonts w:ascii="benton-sans" w:eastAsia="Times New Roman" w:hAnsi="benton-sans" w:cs="Times New Roman"/>
          <w:color w:val="000000"/>
          <w:kern w:val="0"/>
          <w:sz w:val="27"/>
          <w:szCs w:val="27"/>
          <w:lang w:eastAsia="en-GB"/>
          <w14:ligatures w14:val="none"/>
        </w:rPr>
        <w:t> Second, the items on the diagnostic can be used as </w:t>
      </w:r>
      <w:r w:rsidRPr="00C62745">
        <w:rPr>
          <w:rFonts w:ascii="benton-sans" w:eastAsia="Times New Roman" w:hAnsi="benton-sans" w:cs="Times New Roman"/>
          <w:i/>
          <w:iCs/>
          <w:color w:val="000000"/>
          <w:kern w:val="0"/>
          <w:sz w:val="27"/>
          <w:szCs w:val="27"/>
          <w:lang w:eastAsia="en-GB"/>
          <w14:ligatures w14:val="none"/>
        </w:rPr>
        <w:t>prompts</w:t>
      </w:r>
      <w:r w:rsidRPr="00C62745">
        <w:rPr>
          <w:rFonts w:ascii="benton-sans" w:eastAsia="Times New Roman" w:hAnsi="benton-sans" w:cs="Times New Roman"/>
          <w:color w:val="000000"/>
          <w:kern w:val="0"/>
          <w:sz w:val="27"/>
          <w:szCs w:val="27"/>
          <w:lang w:eastAsia="en-GB"/>
          <w14:ligatures w14:val="none"/>
        </w:rPr>
        <w:t> before a group discussion to help people consider multiple possibilities when discussing an apparent paradox. Research shows that simply starting a meeting by stating that tensions create possibilities helps a group adopt more of a paradox mindset.</w:t>
      </w:r>
    </w:p>
    <w:p w14:paraId="0C77C209" w14:textId="77777777" w:rsidR="00C62745" w:rsidRPr="00C62745" w:rsidRDefault="00C62745" w:rsidP="00C62745">
      <w:pPr>
        <w:spacing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Research consistently shows that constraints can focus problem-solving energy and boost creativity.</w:t>
      </w:r>
    </w:p>
    <w:p w14:paraId="695B92F5"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Finally, there can be conscious efforts to help people </w:t>
      </w:r>
      <w:r w:rsidRPr="00C62745">
        <w:rPr>
          <w:rFonts w:ascii="benton-sans" w:eastAsia="Times New Roman" w:hAnsi="benton-sans" w:cs="Times New Roman"/>
          <w:i/>
          <w:iCs/>
          <w:color w:val="000000"/>
          <w:kern w:val="0"/>
          <w:sz w:val="27"/>
          <w:szCs w:val="27"/>
          <w:lang w:eastAsia="en-GB"/>
          <w14:ligatures w14:val="none"/>
        </w:rPr>
        <w:t>develop</w:t>
      </w:r>
      <w:r w:rsidRPr="00C62745">
        <w:rPr>
          <w:rFonts w:ascii="benton-sans" w:eastAsia="Times New Roman" w:hAnsi="benton-sans" w:cs="Times New Roman"/>
          <w:color w:val="000000"/>
          <w:kern w:val="0"/>
          <w:sz w:val="27"/>
          <w:szCs w:val="27"/>
          <w:lang w:eastAsia="en-GB"/>
          <w14:ligatures w14:val="none"/>
        </w:rPr>
        <w:t> a paradox mindset. Experience in dynamic circumstances or on challenging problems builds what is </w:t>
      </w:r>
      <w:hyperlink r:id="rId38" w:history="1">
        <w:r w:rsidRPr="00C62745">
          <w:rPr>
            <w:rFonts w:ascii="benton-sans" w:eastAsia="Times New Roman" w:hAnsi="benton-sans" w:cs="Times New Roman"/>
            <w:color w:val="000000"/>
            <w:kern w:val="0"/>
            <w:sz w:val="27"/>
            <w:szCs w:val="27"/>
            <w:u w:val="single"/>
            <w:lang w:eastAsia="en-GB"/>
            <w14:ligatures w14:val="none"/>
          </w:rPr>
          <w:t>known</w:t>
        </w:r>
      </w:hyperlink>
      <w:r w:rsidRPr="00C62745">
        <w:rPr>
          <w:rFonts w:ascii="benton-sans" w:eastAsia="Times New Roman" w:hAnsi="benton-sans" w:cs="Times New Roman"/>
          <w:color w:val="000000"/>
          <w:kern w:val="0"/>
          <w:sz w:val="27"/>
          <w:szCs w:val="27"/>
          <w:lang w:eastAsia="en-GB"/>
          <w14:ligatures w14:val="none"/>
        </w:rPr>
        <w:t> as </w:t>
      </w:r>
      <w:r w:rsidRPr="00C62745">
        <w:rPr>
          <w:rFonts w:ascii="benton-sans" w:eastAsia="Times New Roman" w:hAnsi="benton-sans" w:cs="Times New Roman"/>
          <w:i/>
          <w:iCs/>
          <w:color w:val="000000"/>
          <w:kern w:val="0"/>
          <w:sz w:val="27"/>
          <w:szCs w:val="27"/>
          <w:lang w:eastAsia="en-GB"/>
          <w14:ligatures w14:val="none"/>
        </w:rPr>
        <w:t>cognitive complexity</w:t>
      </w:r>
      <w:r w:rsidRPr="00C62745">
        <w:rPr>
          <w:rFonts w:ascii="benton-sans" w:eastAsia="Times New Roman" w:hAnsi="benton-sans" w:cs="Times New Roman"/>
          <w:color w:val="000000"/>
          <w:kern w:val="0"/>
          <w:sz w:val="27"/>
          <w:szCs w:val="27"/>
          <w:lang w:eastAsia="en-GB"/>
          <w14:ligatures w14:val="none"/>
        </w:rPr>
        <w:t> (the ability to consider multiple possibilities with nuance), a key enabler of a paradox mindset.</w:t>
      </w:r>
      <w:hyperlink r:id="rId39" w:anchor="ref17"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17</w:t>
        </w:r>
      </w:hyperlink>
      <w:r w:rsidRPr="00C62745">
        <w:rPr>
          <w:rFonts w:ascii="benton-sans" w:eastAsia="Times New Roman" w:hAnsi="benton-sans" w:cs="Times New Roman"/>
          <w:color w:val="000000"/>
          <w:kern w:val="0"/>
          <w:sz w:val="27"/>
          <w:szCs w:val="27"/>
          <w:lang w:eastAsia="en-GB"/>
          <w14:ligatures w14:val="none"/>
        </w:rPr>
        <w:t xml:space="preserve"> Development plans that give high-potential leaders experience launching new products, working in emerging markets, or building new organizational capabilities help to prepare them to confront future paradoxes. </w:t>
      </w:r>
      <w:r w:rsidRPr="00C62745">
        <w:rPr>
          <w:rFonts w:ascii="benton-sans" w:eastAsia="Times New Roman" w:hAnsi="benton-sans" w:cs="Times New Roman"/>
          <w:color w:val="000000"/>
          <w:kern w:val="0"/>
          <w:sz w:val="27"/>
          <w:szCs w:val="27"/>
          <w:lang w:eastAsia="en-GB"/>
          <w14:ligatures w14:val="none"/>
        </w:rPr>
        <w:lastRenderedPageBreak/>
        <w:t>More broadly, individuals can consider going on a paradox quest, consciously doing something that would be unusual for them, such as the following:</w:t>
      </w:r>
    </w:p>
    <w:p w14:paraId="35CE95AF"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7921A9FA" w14:textId="77777777" w:rsidR="00C62745" w:rsidRPr="00C62745" w:rsidRDefault="00C62745" w:rsidP="00C62745">
      <w:pPr>
        <w:pStyle w:val="ListParagraph"/>
        <w:numPr>
          <w:ilvl w:val="0"/>
          <w:numId w:val="7"/>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Taking an art class, learning a musical instrument, or learning a new language.</w:t>
      </w:r>
    </w:p>
    <w:p w14:paraId="1B82C805" w14:textId="77777777" w:rsidR="00C62745" w:rsidRPr="00C62745" w:rsidRDefault="00C62745" w:rsidP="00C62745">
      <w:pPr>
        <w:pStyle w:val="ListParagraph"/>
        <w:numPr>
          <w:ilvl w:val="0"/>
          <w:numId w:val="7"/>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Doing an extreme activity, such as skydiving.</w:t>
      </w:r>
    </w:p>
    <w:p w14:paraId="03402663" w14:textId="77777777" w:rsidR="00C62745" w:rsidRPr="00C62745" w:rsidRDefault="00C62745" w:rsidP="00C62745">
      <w:pPr>
        <w:pStyle w:val="ListParagraph"/>
        <w:numPr>
          <w:ilvl w:val="0"/>
          <w:numId w:val="7"/>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Volunteering or participating in a socially oriented activity.</w:t>
      </w:r>
    </w:p>
    <w:p w14:paraId="2FC5612D" w14:textId="422DD6C3" w:rsidR="00C62745" w:rsidRPr="00C62745" w:rsidRDefault="00C62745" w:rsidP="00C62745">
      <w:pPr>
        <w:pStyle w:val="ListParagraph"/>
        <w:numPr>
          <w:ilvl w:val="0"/>
          <w:numId w:val="7"/>
        </w:numPr>
        <w:spacing w:after="1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Enrolling in an online program to develop a new skill, like coding.</w:t>
      </w:r>
    </w:p>
    <w:p w14:paraId="2CCC0F44" w14:textId="77777777" w:rsidR="00C62745" w:rsidRDefault="00C62745" w:rsidP="00C62745">
      <w:pPr>
        <w:spacing w:after="0" w:line="240" w:lineRule="auto"/>
        <w:rPr>
          <w:rFonts w:ascii="benton-sans" w:eastAsia="Times New Roman" w:hAnsi="benton-sans" w:cs="Times New Roman"/>
          <w:b/>
          <w:bCs/>
          <w:color w:val="000000"/>
          <w:kern w:val="0"/>
          <w:sz w:val="27"/>
          <w:szCs w:val="27"/>
          <w:lang w:eastAsia="en-GB"/>
          <w14:ligatures w14:val="none"/>
        </w:rPr>
      </w:pPr>
    </w:p>
    <w:p w14:paraId="4BFA9195" w14:textId="7394C164"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Hold a paradox sparring session.</w:t>
      </w:r>
      <w:r w:rsidRPr="00C62745">
        <w:rPr>
          <w:rFonts w:ascii="benton-sans" w:eastAsia="Times New Roman" w:hAnsi="benton-sans" w:cs="Times New Roman"/>
          <w:color w:val="000000"/>
          <w:kern w:val="0"/>
          <w:sz w:val="27"/>
          <w:szCs w:val="27"/>
          <w:lang w:eastAsia="en-GB"/>
          <w14:ligatures w14:val="none"/>
        </w:rPr>
        <w:t xml:space="preserve"> Boxers use sparring sessions to train. The goal isn’t to knock their opponent out but to practice form and response. A paradox sparring session is a purposeful place to bat around ideas and challenge assumptions. For example, in the early 2000s, a reorganization led to confusion within the iconic Danish toymaker Lego. Managers were being asked to do things that felt contradictory, such as simultaneously focusing on developing people and meeting stringent production targets. Lewis and fellow academic Lotte S. </w:t>
      </w:r>
      <w:proofErr w:type="spellStart"/>
      <w:r w:rsidRPr="00C62745">
        <w:rPr>
          <w:rFonts w:ascii="benton-sans" w:eastAsia="Times New Roman" w:hAnsi="benton-sans" w:cs="Times New Roman"/>
          <w:color w:val="000000"/>
          <w:kern w:val="0"/>
          <w:sz w:val="27"/>
          <w:szCs w:val="27"/>
          <w:lang w:eastAsia="en-GB"/>
          <w14:ligatures w14:val="none"/>
        </w:rPr>
        <w:t>Lüscher</w:t>
      </w:r>
      <w:proofErr w:type="spellEnd"/>
      <w:r w:rsidRPr="00C62745">
        <w:rPr>
          <w:rFonts w:ascii="benton-sans" w:eastAsia="Times New Roman" w:hAnsi="benton-sans" w:cs="Times New Roman"/>
          <w:color w:val="000000"/>
          <w:kern w:val="0"/>
          <w:sz w:val="27"/>
          <w:szCs w:val="27"/>
          <w:lang w:eastAsia="en-GB"/>
          <w14:ligatures w14:val="none"/>
        </w:rPr>
        <w:t xml:space="preserve"> led the group through a series of sparring sessions to discuss the apparent tensions.</w:t>
      </w:r>
      <w:hyperlink r:id="rId40" w:anchor="ref18" w:history="1">
        <w:r w:rsidRPr="00C62745">
          <w:rPr>
            <w:rFonts w:ascii="benton-sans" w:eastAsia="Times New Roman" w:hAnsi="benton-sans" w:cs="Times New Roman"/>
            <w:b/>
            <w:bCs/>
            <w:color w:val="005B9C"/>
            <w:kern w:val="0"/>
            <w:sz w:val="27"/>
            <w:szCs w:val="27"/>
            <w:u w:val="single"/>
            <w:bdr w:val="none" w:sz="0" w:space="0" w:color="auto" w:frame="1"/>
            <w:lang w:eastAsia="en-GB"/>
            <w14:ligatures w14:val="none"/>
          </w:rPr>
          <w:t>18</w:t>
        </w:r>
      </w:hyperlink>
    </w:p>
    <w:p w14:paraId="72CAE975" w14:textId="77777777"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66AFD113" w14:textId="4749BC55" w:rsid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Sparring sessions </w:t>
      </w:r>
      <w:hyperlink r:id="rId41" w:history="1">
        <w:r w:rsidRPr="00C62745">
          <w:rPr>
            <w:rFonts w:ascii="benton-sans" w:eastAsia="Times New Roman" w:hAnsi="benton-sans" w:cs="Times New Roman"/>
            <w:color w:val="000000"/>
            <w:kern w:val="0"/>
            <w:sz w:val="27"/>
            <w:szCs w:val="27"/>
            <w:u w:val="single"/>
            <w:lang w:eastAsia="en-GB"/>
            <w14:ligatures w14:val="none"/>
          </w:rPr>
          <w:t>should</w:t>
        </w:r>
      </w:hyperlink>
      <w:r w:rsidRPr="00C62745">
        <w:rPr>
          <w:rFonts w:ascii="benton-sans" w:eastAsia="Times New Roman" w:hAnsi="benton-sans" w:cs="Times New Roman"/>
          <w:color w:val="000000"/>
          <w:kern w:val="0"/>
          <w:sz w:val="27"/>
          <w:szCs w:val="27"/>
          <w:lang w:eastAsia="en-GB"/>
          <w14:ligatures w14:val="none"/>
        </w:rPr>
        <w:t> challenge participants with four types of questions:</w:t>
      </w:r>
    </w:p>
    <w:p w14:paraId="448BA181"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01F4BED7" w14:textId="77777777" w:rsidR="00C62745" w:rsidRPr="00C62745" w:rsidRDefault="00C62745" w:rsidP="00C62745">
      <w:pPr>
        <w:pStyle w:val="ListParagraph"/>
        <w:numPr>
          <w:ilvl w:val="0"/>
          <w:numId w:val="8"/>
        </w:num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i/>
          <w:iCs/>
          <w:color w:val="000000"/>
          <w:kern w:val="0"/>
          <w:sz w:val="27"/>
          <w:szCs w:val="27"/>
          <w:lang w:eastAsia="en-GB"/>
          <w14:ligatures w14:val="none"/>
        </w:rPr>
        <w:t>Linear</w:t>
      </w:r>
      <w:r w:rsidRPr="00C62745">
        <w:rPr>
          <w:rFonts w:ascii="benton-sans" w:eastAsia="Times New Roman" w:hAnsi="benton-sans" w:cs="Times New Roman"/>
          <w:color w:val="000000"/>
          <w:kern w:val="0"/>
          <w:sz w:val="27"/>
          <w:szCs w:val="27"/>
          <w:lang w:eastAsia="en-GB"/>
          <w14:ligatures w14:val="none"/>
        </w:rPr>
        <w:t> questions, such as “What are your concerns?” encourage explanation and bring logic to the surface.</w:t>
      </w:r>
    </w:p>
    <w:p w14:paraId="0A9154FA"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2549F807" w14:textId="77777777" w:rsidR="00C62745" w:rsidRPr="00C62745" w:rsidRDefault="00C62745" w:rsidP="00C62745">
      <w:pPr>
        <w:pStyle w:val="ListParagraph"/>
        <w:numPr>
          <w:ilvl w:val="0"/>
          <w:numId w:val="8"/>
        </w:num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i/>
          <w:iCs/>
          <w:color w:val="000000"/>
          <w:kern w:val="0"/>
          <w:sz w:val="27"/>
          <w:szCs w:val="27"/>
          <w:lang w:eastAsia="en-GB"/>
          <w14:ligatures w14:val="none"/>
        </w:rPr>
        <w:t>Circular</w:t>
      </w:r>
      <w:r w:rsidRPr="00C62745">
        <w:rPr>
          <w:rFonts w:ascii="benton-sans" w:eastAsia="Times New Roman" w:hAnsi="benton-sans" w:cs="Times New Roman"/>
          <w:color w:val="000000"/>
          <w:kern w:val="0"/>
          <w:sz w:val="27"/>
          <w:szCs w:val="27"/>
          <w:lang w:eastAsia="en-GB"/>
          <w14:ligatures w14:val="none"/>
        </w:rPr>
        <w:t> questions, such as “What do you think others think?” explore other perspectives and home in on polarities.</w:t>
      </w:r>
    </w:p>
    <w:p w14:paraId="33197ADC"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21BCE7AF" w14:textId="77777777" w:rsidR="00C62745" w:rsidRPr="00C62745" w:rsidRDefault="00C62745" w:rsidP="00C62745">
      <w:pPr>
        <w:pStyle w:val="ListParagraph"/>
        <w:numPr>
          <w:ilvl w:val="0"/>
          <w:numId w:val="8"/>
        </w:num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i/>
          <w:iCs/>
          <w:color w:val="000000"/>
          <w:kern w:val="0"/>
          <w:sz w:val="27"/>
          <w:szCs w:val="27"/>
          <w:lang w:eastAsia="en-GB"/>
          <w14:ligatures w14:val="none"/>
        </w:rPr>
        <w:t>Reflexive</w:t>
      </w:r>
      <w:r w:rsidRPr="00C62745">
        <w:rPr>
          <w:rFonts w:ascii="benton-sans" w:eastAsia="Times New Roman" w:hAnsi="benton-sans" w:cs="Times New Roman"/>
          <w:color w:val="000000"/>
          <w:kern w:val="0"/>
          <w:sz w:val="27"/>
          <w:szCs w:val="27"/>
          <w:lang w:eastAsia="en-GB"/>
          <w14:ligatures w14:val="none"/>
        </w:rPr>
        <w:t> questions, such as “What does what you say imply?” seek opportunities to critique and connect existing options.</w:t>
      </w:r>
    </w:p>
    <w:p w14:paraId="3824CCD6"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p>
    <w:p w14:paraId="6710E576" w14:textId="77777777" w:rsidR="00C62745" w:rsidRPr="00C62745" w:rsidRDefault="00C62745" w:rsidP="00C62745">
      <w:pPr>
        <w:pStyle w:val="ListParagraph"/>
        <w:numPr>
          <w:ilvl w:val="0"/>
          <w:numId w:val="8"/>
        </w:num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i/>
          <w:iCs/>
          <w:color w:val="000000"/>
          <w:kern w:val="0"/>
          <w:sz w:val="27"/>
          <w:szCs w:val="27"/>
          <w:lang w:eastAsia="en-GB"/>
          <w14:ligatures w14:val="none"/>
        </w:rPr>
        <w:t>Strategic</w:t>
      </w:r>
      <w:r w:rsidRPr="00C62745">
        <w:rPr>
          <w:rFonts w:ascii="benton-sans" w:eastAsia="Times New Roman" w:hAnsi="benton-sans" w:cs="Times New Roman"/>
          <w:color w:val="000000"/>
          <w:kern w:val="0"/>
          <w:sz w:val="27"/>
          <w:szCs w:val="27"/>
          <w:lang w:eastAsia="en-GB"/>
          <w14:ligatures w14:val="none"/>
        </w:rPr>
        <w:t> questions, such as “Is what you say realistic?” motivate more expansive solutions.</w:t>
      </w:r>
    </w:p>
    <w:p w14:paraId="3E66BEB7"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0E3FC540" w14:textId="70B72DD9"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 xml:space="preserve">This approach helps to tease a perceived paradox out of a seeming mess, creating opportunities to explore potential novel solutions to transcend it. For example, Lego challenged managers to drive performance and allow teams to be more self-managed. A sparring session devoted to the seemingly paradoxical question of how managers could both let go of and retain control led to specific solutions, such as alignment around goals and degrees of freedom for teams, more regular dialogue between managers and teams, and focused investment to teach teams how to solve problems. Lego ultimately </w:t>
      </w:r>
      <w:r w:rsidRPr="00C62745">
        <w:rPr>
          <w:rFonts w:ascii="benton-sans" w:eastAsia="Times New Roman" w:hAnsi="benton-sans" w:cs="Times New Roman"/>
          <w:color w:val="000000"/>
          <w:kern w:val="0"/>
          <w:sz w:val="27"/>
          <w:szCs w:val="27"/>
          <w:lang w:eastAsia="en-GB"/>
          <w14:ligatures w14:val="none"/>
        </w:rPr>
        <w:lastRenderedPageBreak/>
        <w:t>created a list titled “11 Paradoxes of Leadership” to help future leaders develop practical solutions to vexing challenges on their own.</w:t>
      </w:r>
    </w:p>
    <w:p w14:paraId="3F7ED283" w14:textId="77777777" w:rsidR="00C62745" w:rsidRPr="00C62745" w:rsidRDefault="00C62745" w:rsidP="00C62745">
      <w:pPr>
        <w:spacing w:before="720" w:after="72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pict w14:anchorId="2488E3F9">
          <v:rect id="_x0000_i1025" style="width:275.25pt;height:1.5pt" o:hrpct="0" o:hralign="center" o:hrstd="t" o:hr="t" fillcolor="#a0a0a0" stroked="f"/>
        </w:pict>
      </w:r>
    </w:p>
    <w:p w14:paraId="69D19852" w14:textId="0D468084"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Organizational paradoxes are ultimately illusions. They are artificial constructs, sometimes of a system, many times of the mind. They fail to meet the definition of a paradox because they are not irreconcilable. Yet these illusionary obstacles persist as groups and individuals protect themselves from the perceived challenges of addressing them. They demand engagement because the process of engagement reveals the illusion, develops a deeper sense of self, and builds an organization’s capabilities. One of my research subjects, a former Silicon Valley executive researching the human side of transformational change, began our interview by saying, “Continual creativity comes from paradox. … All great meaning comes from grappling with paradox.”</w:t>
      </w:r>
    </w:p>
    <w:p w14:paraId="28CD80A5" w14:textId="77777777"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Leaders who feel like they are facing a paradox should ask themselves four questions:</w:t>
      </w:r>
    </w:p>
    <w:p w14:paraId="6ECD0145" w14:textId="77777777" w:rsidR="00C62745" w:rsidRPr="00C62745" w:rsidRDefault="00C62745" w:rsidP="00C62745">
      <w:pPr>
        <w:pStyle w:val="ListParagraph"/>
        <w:numPr>
          <w:ilvl w:val="0"/>
          <w:numId w:val="9"/>
        </w:numPr>
        <w:spacing w:after="105"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Is the perceived paradox truly a law of nature, or a difficult choice?</w:t>
      </w:r>
    </w:p>
    <w:p w14:paraId="2F778978" w14:textId="77777777" w:rsidR="00C62745" w:rsidRDefault="00C62745" w:rsidP="00C62745">
      <w:pPr>
        <w:spacing w:after="105" w:line="240" w:lineRule="auto"/>
        <w:rPr>
          <w:rFonts w:ascii="benton-sans" w:eastAsia="Times New Roman" w:hAnsi="benton-sans" w:cs="Times New Roman"/>
          <w:color w:val="000000"/>
          <w:kern w:val="0"/>
          <w:sz w:val="27"/>
          <w:szCs w:val="27"/>
          <w:lang w:eastAsia="en-GB"/>
          <w14:ligatures w14:val="none"/>
        </w:rPr>
      </w:pPr>
    </w:p>
    <w:p w14:paraId="49B6B145" w14:textId="306BB7D1" w:rsidR="00C62745" w:rsidRPr="00C62745" w:rsidRDefault="00C62745" w:rsidP="00C62745">
      <w:pPr>
        <w:pStyle w:val="ListParagraph"/>
        <w:numPr>
          <w:ilvl w:val="0"/>
          <w:numId w:val="9"/>
        </w:numPr>
        <w:spacing w:after="105"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Am I imposing a constraint that is creating the perceived paradox?</w:t>
      </w:r>
    </w:p>
    <w:p w14:paraId="43957584" w14:textId="77777777" w:rsidR="00C62745" w:rsidRDefault="00C62745" w:rsidP="00C62745">
      <w:pPr>
        <w:spacing w:after="105" w:line="240" w:lineRule="auto"/>
        <w:rPr>
          <w:rFonts w:ascii="benton-sans" w:eastAsia="Times New Roman" w:hAnsi="benton-sans" w:cs="Times New Roman"/>
          <w:color w:val="000000"/>
          <w:kern w:val="0"/>
          <w:sz w:val="27"/>
          <w:szCs w:val="27"/>
          <w:lang w:eastAsia="en-GB"/>
          <w14:ligatures w14:val="none"/>
        </w:rPr>
      </w:pPr>
    </w:p>
    <w:p w14:paraId="00BB91FE" w14:textId="17E19172" w:rsidR="00C62745" w:rsidRPr="00C62745" w:rsidRDefault="00C62745" w:rsidP="00C62745">
      <w:pPr>
        <w:pStyle w:val="ListParagraph"/>
        <w:numPr>
          <w:ilvl w:val="0"/>
          <w:numId w:val="9"/>
        </w:numPr>
        <w:spacing w:after="105"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Am I hesitating to act because the perceived paradox is the result of the system I helped to construct, perpetuate, and potentially benefit from?</w:t>
      </w:r>
    </w:p>
    <w:p w14:paraId="3C9B1156" w14:textId="77777777" w:rsidR="00C62745" w:rsidRDefault="00C62745" w:rsidP="00C62745">
      <w:pPr>
        <w:spacing w:after="105" w:line="240" w:lineRule="auto"/>
        <w:rPr>
          <w:rFonts w:ascii="benton-sans" w:eastAsia="Times New Roman" w:hAnsi="benton-sans" w:cs="Times New Roman"/>
          <w:color w:val="000000"/>
          <w:kern w:val="0"/>
          <w:sz w:val="27"/>
          <w:szCs w:val="27"/>
          <w:lang w:eastAsia="en-GB"/>
          <w14:ligatures w14:val="none"/>
        </w:rPr>
      </w:pPr>
    </w:p>
    <w:p w14:paraId="36DC5C4B" w14:textId="0C2683CD" w:rsidR="00C62745" w:rsidRPr="00C62745" w:rsidRDefault="00C62745" w:rsidP="00C62745">
      <w:pPr>
        <w:pStyle w:val="ListParagraph"/>
        <w:numPr>
          <w:ilvl w:val="0"/>
          <w:numId w:val="9"/>
        </w:numPr>
        <w:spacing w:after="105"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Does a different frame reveal the paradox as an illusion?</w:t>
      </w:r>
    </w:p>
    <w:p w14:paraId="34483033" w14:textId="77777777" w:rsid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p>
    <w:p w14:paraId="3ECD8ABB" w14:textId="757F6B66" w:rsidR="00C62745" w:rsidRPr="00C62745" w:rsidRDefault="00C62745" w:rsidP="00C62745">
      <w:pPr>
        <w:spacing w:after="24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There’s no doubt that tackling perceived paradoxes presents challenges and requires work. It may feel easier for leaders to collectively shrug their shoulders and say, “What can I do? It is just too hard.” They can do better. Perceived paradoxes can be dissected and transcended, turning helplessness into empowerment. Make the paradox choice to turn either/</w:t>
      </w:r>
      <w:proofErr w:type="spellStart"/>
      <w:r w:rsidRPr="00C62745">
        <w:rPr>
          <w:rFonts w:ascii="benton-sans" w:eastAsia="Times New Roman" w:hAnsi="benton-sans" w:cs="Times New Roman"/>
          <w:color w:val="000000"/>
          <w:kern w:val="0"/>
          <w:sz w:val="27"/>
          <w:szCs w:val="27"/>
          <w:lang w:eastAsia="en-GB"/>
          <w14:ligatures w14:val="none"/>
        </w:rPr>
        <w:t>ors</w:t>
      </w:r>
      <w:proofErr w:type="spellEnd"/>
      <w:r w:rsidRPr="00C62745">
        <w:rPr>
          <w:rFonts w:ascii="benton-sans" w:eastAsia="Times New Roman" w:hAnsi="benton-sans" w:cs="Times New Roman"/>
          <w:color w:val="000000"/>
          <w:kern w:val="0"/>
          <w:sz w:val="27"/>
          <w:szCs w:val="27"/>
          <w:lang w:eastAsia="en-GB"/>
          <w14:ligatures w14:val="none"/>
        </w:rPr>
        <w:t xml:space="preserve"> into both/ands.</w:t>
      </w:r>
      <w:r w:rsidRPr="00C62745">
        <w:rPr>
          <w:rFonts w:ascii="benton-sans" w:eastAsia="Times New Roman" w:hAnsi="benton-sans" w:cs="Times New Roman"/>
          <w:color w:val="000000"/>
          <w:kern w:val="0"/>
          <w:sz w:val="27"/>
          <w:szCs w:val="27"/>
          <w:lang w:eastAsia="en-GB"/>
          <w14:ligatures w14:val="none"/>
        </w:rPr>
        <w:t> </w:t>
      </w:r>
    </w:p>
    <w:p w14:paraId="6E4FF2EF" w14:textId="77777777" w:rsidR="00C62745" w:rsidRPr="00C62745" w:rsidRDefault="00C62745" w:rsidP="00C62745">
      <w:pPr>
        <w:spacing w:after="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C62745">
        <w:rPr>
          <w:rFonts w:ascii="benton-sans" w:eastAsia="Times New Roman" w:hAnsi="benton-sans" w:cs="Times New Roman"/>
          <w:b/>
          <w:bCs/>
          <w:caps/>
          <w:color w:val="000000"/>
          <w:spacing w:val="15"/>
          <w:kern w:val="0"/>
          <w:sz w:val="24"/>
          <w:szCs w:val="24"/>
          <w:lang w:eastAsia="en-GB"/>
          <w14:ligatures w14:val="none"/>
        </w:rPr>
        <w:t>ABOUT THE AUTHOR</w:t>
      </w:r>
    </w:p>
    <w:p w14:paraId="0C27B436" w14:textId="77777777" w:rsidR="00C62745" w:rsidRPr="00C62745" w:rsidRDefault="00C62745" w:rsidP="00C62745">
      <w:pPr>
        <w:spacing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color w:val="000000"/>
          <w:kern w:val="0"/>
          <w:sz w:val="27"/>
          <w:szCs w:val="27"/>
          <w:lang w:eastAsia="en-GB"/>
          <w14:ligatures w14:val="none"/>
        </w:rPr>
        <w:t>Scott D. Anthony (</w:t>
      </w:r>
      <w:hyperlink r:id="rId42" w:history="1">
        <w:r w:rsidRPr="00C62745">
          <w:rPr>
            <w:rFonts w:ascii="benton-sans" w:eastAsia="Times New Roman" w:hAnsi="benton-sans" w:cs="Times New Roman"/>
            <w:color w:val="000000"/>
            <w:kern w:val="0"/>
            <w:sz w:val="27"/>
            <w:szCs w:val="27"/>
            <w:u w:val="single"/>
            <w:lang w:eastAsia="en-GB"/>
            <w14:ligatures w14:val="none"/>
          </w:rPr>
          <w:t>@scottdanthony</w:t>
        </w:r>
      </w:hyperlink>
      <w:r w:rsidRPr="00C62745">
        <w:rPr>
          <w:rFonts w:ascii="benton-sans" w:eastAsia="Times New Roman" w:hAnsi="benton-sans" w:cs="Times New Roman"/>
          <w:color w:val="000000"/>
          <w:kern w:val="0"/>
          <w:sz w:val="27"/>
          <w:szCs w:val="27"/>
          <w:lang w:eastAsia="en-GB"/>
          <w14:ligatures w14:val="none"/>
        </w:rPr>
        <w:t xml:space="preserve">) is a clinical professor at the Tuck School of Business at Dartmouth College and a managing director and managing partner </w:t>
      </w:r>
      <w:r w:rsidRPr="00C62745">
        <w:rPr>
          <w:rFonts w:ascii="benton-sans" w:eastAsia="Times New Roman" w:hAnsi="benton-sans" w:cs="Times New Roman"/>
          <w:color w:val="000000"/>
          <w:kern w:val="0"/>
          <w:sz w:val="27"/>
          <w:szCs w:val="27"/>
          <w:lang w:eastAsia="en-GB"/>
          <w14:ligatures w14:val="none"/>
        </w:rPr>
        <w:lastRenderedPageBreak/>
        <w:t xml:space="preserve">emeritus at growth strategy consultancy </w:t>
      </w:r>
      <w:proofErr w:type="spellStart"/>
      <w:r w:rsidRPr="00C62745">
        <w:rPr>
          <w:rFonts w:ascii="benton-sans" w:eastAsia="Times New Roman" w:hAnsi="benton-sans" w:cs="Times New Roman"/>
          <w:color w:val="000000"/>
          <w:kern w:val="0"/>
          <w:sz w:val="27"/>
          <w:szCs w:val="27"/>
          <w:lang w:eastAsia="en-GB"/>
          <w14:ligatures w14:val="none"/>
        </w:rPr>
        <w:t>Innosight</w:t>
      </w:r>
      <w:proofErr w:type="spellEnd"/>
      <w:r w:rsidRPr="00C62745">
        <w:rPr>
          <w:rFonts w:ascii="benton-sans" w:eastAsia="Times New Roman" w:hAnsi="benton-sans" w:cs="Times New Roman"/>
          <w:color w:val="000000"/>
          <w:kern w:val="0"/>
          <w:sz w:val="27"/>
          <w:szCs w:val="27"/>
          <w:lang w:eastAsia="en-GB"/>
          <w14:ligatures w14:val="none"/>
        </w:rPr>
        <w:t>. He is a coauthor of </w:t>
      </w:r>
      <w:r w:rsidRPr="00C62745">
        <w:rPr>
          <w:rFonts w:ascii="benton-sans" w:eastAsia="Times New Roman" w:hAnsi="benton-sans" w:cs="Times New Roman"/>
          <w:i/>
          <w:iCs/>
          <w:color w:val="000000"/>
          <w:kern w:val="0"/>
          <w:sz w:val="27"/>
          <w:szCs w:val="27"/>
          <w:lang w:eastAsia="en-GB"/>
          <w14:ligatures w14:val="none"/>
        </w:rPr>
        <w:t>Eat, Sleep, Innovate</w:t>
      </w:r>
      <w:r w:rsidRPr="00C62745">
        <w:rPr>
          <w:rFonts w:ascii="benton-sans" w:eastAsia="Times New Roman" w:hAnsi="benton-sans" w:cs="Times New Roman"/>
          <w:color w:val="000000"/>
          <w:kern w:val="0"/>
          <w:sz w:val="27"/>
          <w:szCs w:val="27"/>
          <w:lang w:eastAsia="en-GB"/>
          <w14:ligatures w14:val="none"/>
        </w:rPr>
        <w:t> (Harvard Business Review Press, 2020).</w:t>
      </w:r>
    </w:p>
    <w:p w14:paraId="6A3938FB" w14:textId="77777777" w:rsidR="00C62745" w:rsidRPr="00C62745" w:rsidRDefault="00C62745" w:rsidP="00C62745">
      <w:pPr>
        <w:spacing w:after="120" w:line="240" w:lineRule="auto"/>
        <w:outlineLvl w:val="3"/>
        <w:rPr>
          <w:rFonts w:ascii="benton-sans" w:eastAsia="Times New Roman" w:hAnsi="benton-sans" w:cs="Times New Roman"/>
          <w:b/>
          <w:bCs/>
          <w:caps/>
          <w:color w:val="000000"/>
          <w:spacing w:val="15"/>
          <w:kern w:val="0"/>
          <w:sz w:val="24"/>
          <w:szCs w:val="24"/>
          <w:lang w:eastAsia="en-GB"/>
          <w14:ligatures w14:val="none"/>
        </w:rPr>
      </w:pPr>
      <w:r w:rsidRPr="00C62745">
        <w:rPr>
          <w:rFonts w:ascii="benton-sans" w:eastAsia="Times New Roman" w:hAnsi="benton-sans" w:cs="Times New Roman"/>
          <w:b/>
          <w:bCs/>
          <w:caps/>
          <w:color w:val="000000"/>
          <w:spacing w:val="15"/>
          <w:kern w:val="0"/>
          <w:sz w:val="24"/>
          <w:szCs w:val="24"/>
          <w:lang w:eastAsia="en-GB"/>
          <w14:ligatures w14:val="none"/>
        </w:rPr>
        <w:t>REFERENCES</w:t>
      </w:r>
    </w:p>
    <w:p w14:paraId="304BEC52"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w:t>
      </w:r>
      <w:r w:rsidRPr="00C62745">
        <w:rPr>
          <w:rFonts w:ascii="benton-sans" w:eastAsia="Times New Roman" w:hAnsi="benton-sans" w:cs="Times New Roman"/>
          <w:color w:val="000000"/>
          <w:kern w:val="0"/>
          <w:sz w:val="27"/>
          <w:szCs w:val="27"/>
          <w:lang w:eastAsia="en-GB"/>
          <w14:ligatures w14:val="none"/>
        </w:rPr>
        <w:t> W.K. Smith and M.W. Lewis, “Both/And Thinking: Embracing Creative Tensions to Solve Your Toughest Problems” (Boston: Harvard Business Review Press, 2022).</w:t>
      </w:r>
    </w:p>
    <w:p w14:paraId="6BB5D848"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2.</w:t>
      </w:r>
      <w:r w:rsidRPr="00C62745">
        <w:rPr>
          <w:rFonts w:ascii="benton-sans" w:eastAsia="Times New Roman" w:hAnsi="benton-sans" w:cs="Times New Roman"/>
          <w:color w:val="000000"/>
          <w:kern w:val="0"/>
          <w:sz w:val="27"/>
          <w:szCs w:val="27"/>
          <w:lang w:eastAsia="en-GB"/>
          <w14:ligatures w14:val="none"/>
        </w:rPr>
        <w:t> H. Ibarra, “The Authenticity Paradox,” Harvard Business Review 93, no. 1-2 (January-February 2015): 52-59.</w:t>
      </w:r>
    </w:p>
    <w:p w14:paraId="3A3741D6"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3.</w:t>
      </w:r>
      <w:r w:rsidRPr="00C62745">
        <w:rPr>
          <w:rFonts w:ascii="benton-sans" w:eastAsia="Times New Roman" w:hAnsi="benton-sans" w:cs="Times New Roman"/>
          <w:color w:val="000000"/>
          <w:kern w:val="0"/>
          <w:sz w:val="27"/>
          <w:szCs w:val="27"/>
          <w:lang w:eastAsia="en-GB"/>
          <w14:ligatures w14:val="none"/>
        </w:rPr>
        <w:t> S.R. Clegg, J.V. da Cunha, and M.P. e Cunha, “Management Paradoxes: A Relational View,” Human Relations 55, no. 5 (May 2002): 483-503.</w:t>
      </w:r>
    </w:p>
    <w:p w14:paraId="74E575FF"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4.</w:t>
      </w:r>
      <w:r w:rsidRPr="00C62745">
        <w:rPr>
          <w:rFonts w:ascii="benton-sans" w:eastAsia="Times New Roman" w:hAnsi="benton-sans" w:cs="Times New Roman"/>
          <w:color w:val="000000"/>
          <w:kern w:val="0"/>
          <w:sz w:val="27"/>
          <w:szCs w:val="27"/>
          <w:lang w:eastAsia="en-GB"/>
          <w14:ligatures w14:val="none"/>
        </w:rPr>
        <w:t> “Under Pressure: Leading in Paradox Industries,” PDF file (Shell Lubricant Solutions, 2021), www.shell.com.</w:t>
      </w:r>
    </w:p>
    <w:p w14:paraId="21ECADE0"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5.</w:t>
      </w:r>
      <w:r w:rsidRPr="00C62745">
        <w:rPr>
          <w:rFonts w:ascii="benton-sans" w:eastAsia="Times New Roman" w:hAnsi="benton-sans" w:cs="Times New Roman"/>
          <w:color w:val="000000"/>
          <w:kern w:val="0"/>
          <w:sz w:val="27"/>
          <w:szCs w:val="27"/>
          <w:lang w:eastAsia="en-GB"/>
          <w14:ligatures w14:val="none"/>
        </w:rPr>
        <w:t> T. Wilson, “Shell Chief Sets ‘Ruthless’ New Course to Catch Up With U.S. Rivals,” Financial Times, June 18, 2023, www.ft.com.</w:t>
      </w:r>
    </w:p>
    <w:p w14:paraId="0FD73621"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6.</w:t>
      </w:r>
      <w:r w:rsidRPr="00C62745">
        <w:rPr>
          <w:rFonts w:ascii="benton-sans" w:eastAsia="Times New Roman" w:hAnsi="benton-sans" w:cs="Times New Roman"/>
          <w:color w:val="000000"/>
          <w:kern w:val="0"/>
          <w:sz w:val="27"/>
          <w:szCs w:val="27"/>
          <w:lang w:eastAsia="en-GB"/>
          <w14:ligatures w14:val="none"/>
        </w:rPr>
        <w:t xml:space="preserve"> For more on BP, see R. Bousso, “Special Report: BP Gambles Big on Fast Transition From Oil to Renewables,” Reuters, Sept. 20, 2021, www.reuters.com; R. Bousso, S. Nasralla, and S. </w:t>
      </w:r>
      <w:proofErr w:type="spellStart"/>
      <w:r w:rsidRPr="00C62745">
        <w:rPr>
          <w:rFonts w:ascii="benton-sans" w:eastAsia="Times New Roman" w:hAnsi="benton-sans" w:cs="Times New Roman"/>
          <w:color w:val="000000"/>
          <w:kern w:val="0"/>
          <w:sz w:val="27"/>
          <w:szCs w:val="27"/>
          <w:lang w:eastAsia="en-GB"/>
          <w14:ligatures w14:val="none"/>
        </w:rPr>
        <w:t>Mcfarlane</w:t>
      </w:r>
      <w:proofErr w:type="spellEnd"/>
      <w:r w:rsidRPr="00C62745">
        <w:rPr>
          <w:rFonts w:ascii="benton-sans" w:eastAsia="Times New Roman" w:hAnsi="benton-sans" w:cs="Times New Roman"/>
          <w:color w:val="000000"/>
          <w:kern w:val="0"/>
          <w:sz w:val="27"/>
          <w:szCs w:val="27"/>
          <w:lang w:eastAsia="en-GB"/>
          <w14:ligatures w14:val="none"/>
        </w:rPr>
        <w:t>, “Insight: Inside BP’s Plan to Reset Renewables as Oil and Gas Boom,” Reuters, March 7, 2023, www.reuters.com; and “BP Turns Out Lights at Solar Business,” Reuters, Dec. 21, 2021, www.reuters.com.</w:t>
      </w:r>
    </w:p>
    <w:p w14:paraId="4E445BF7"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7.</w:t>
      </w:r>
      <w:r w:rsidRPr="00C62745">
        <w:rPr>
          <w:rFonts w:ascii="benton-sans" w:eastAsia="Times New Roman" w:hAnsi="benton-sans" w:cs="Times New Roman"/>
          <w:color w:val="000000"/>
          <w:kern w:val="0"/>
          <w:sz w:val="27"/>
          <w:szCs w:val="27"/>
          <w:lang w:eastAsia="en-GB"/>
          <w14:ligatures w14:val="none"/>
        </w:rPr>
        <w:t xml:space="preserve"> For more on Ørsted, see J. Parnell, “Orsted Sells LNG Unit, but Says Its Natural Gas Business Isn’t Going Anywhere,” Greentech Media, Dec. 19, 2019, www.greentechmedia.com; and S.D. Anthony, A. Trotter, R. Bell, et al., “The Transformation 20: Strategic Change Rankings for 2019,” PDF file (Boston: </w:t>
      </w:r>
      <w:proofErr w:type="spellStart"/>
      <w:r w:rsidRPr="00C62745">
        <w:rPr>
          <w:rFonts w:ascii="benton-sans" w:eastAsia="Times New Roman" w:hAnsi="benton-sans" w:cs="Times New Roman"/>
          <w:color w:val="000000"/>
          <w:kern w:val="0"/>
          <w:sz w:val="27"/>
          <w:szCs w:val="27"/>
          <w:lang w:eastAsia="en-GB"/>
          <w14:ligatures w14:val="none"/>
        </w:rPr>
        <w:t>Innosight</w:t>
      </w:r>
      <w:proofErr w:type="spellEnd"/>
      <w:r w:rsidRPr="00C62745">
        <w:rPr>
          <w:rFonts w:ascii="benton-sans" w:eastAsia="Times New Roman" w:hAnsi="benton-sans" w:cs="Times New Roman"/>
          <w:color w:val="000000"/>
          <w:kern w:val="0"/>
          <w:sz w:val="27"/>
          <w:szCs w:val="27"/>
          <w:lang w:eastAsia="en-GB"/>
          <w14:ligatures w14:val="none"/>
        </w:rPr>
        <w:t>, September 2019), www.innosight.com.</w:t>
      </w:r>
    </w:p>
    <w:p w14:paraId="2F88F39D"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8.</w:t>
      </w:r>
      <w:r w:rsidRPr="00C62745">
        <w:rPr>
          <w:rFonts w:ascii="benton-sans" w:eastAsia="Times New Roman" w:hAnsi="benton-sans" w:cs="Times New Roman"/>
          <w:color w:val="000000"/>
          <w:kern w:val="0"/>
          <w:sz w:val="27"/>
          <w:szCs w:val="27"/>
          <w:lang w:eastAsia="en-GB"/>
          <w14:ligatures w14:val="none"/>
        </w:rPr>
        <w:t> G. Serafeim, “Purpose and Profit: How Business Can Lift Up the World” (New York: HarperCollins Leadership, 2022).</w:t>
      </w:r>
    </w:p>
    <w:p w14:paraId="33F6A28E"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9.</w:t>
      </w:r>
      <w:r w:rsidRPr="00C62745">
        <w:rPr>
          <w:rFonts w:ascii="benton-sans" w:eastAsia="Times New Roman" w:hAnsi="benton-sans" w:cs="Times New Roman"/>
          <w:color w:val="000000"/>
          <w:kern w:val="0"/>
          <w:sz w:val="27"/>
          <w:szCs w:val="27"/>
          <w:lang w:eastAsia="en-GB"/>
          <w14:ligatures w14:val="none"/>
        </w:rPr>
        <w:t> S.D. Anthony and M. Putz, “How Leaders Delude Themselves About Disruption,” MIT Sloan Management Review 61, no. 3 (spring 2020): 35-42.</w:t>
      </w:r>
    </w:p>
    <w:p w14:paraId="17C6F73B"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10.</w:t>
      </w:r>
      <w:r w:rsidRPr="00C62745">
        <w:rPr>
          <w:rFonts w:ascii="benton-sans" w:eastAsia="Times New Roman" w:hAnsi="benton-sans" w:cs="Times New Roman"/>
          <w:color w:val="000000"/>
          <w:kern w:val="0"/>
          <w:sz w:val="27"/>
          <w:szCs w:val="27"/>
          <w:lang w:eastAsia="en-GB"/>
          <w14:ligatures w14:val="none"/>
        </w:rPr>
        <w:t> S.D. Anthony, “The Paradox of Paradoxes: Why the Perceived Paradoxes Facing Organizational Leaders Are Material Illusions That Simultaneously Attract and Repel,” PDF file (Singapore: INSEAD, July 1, 2021).</w:t>
      </w:r>
    </w:p>
    <w:p w14:paraId="47075D83"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11.</w:t>
      </w:r>
      <w:r w:rsidRPr="00C62745">
        <w:rPr>
          <w:rFonts w:ascii="benton-sans" w:eastAsia="Times New Roman" w:hAnsi="benton-sans" w:cs="Times New Roman"/>
          <w:color w:val="000000"/>
          <w:kern w:val="0"/>
          <w:sz w:val="27"/>
          <w:szCs w:val="27"/>
          <w:lang w:eastAsia="en-GB"/>
          <w14:ligatures w14:val="none"/>
        </w:rPr>
        <w:t> J. Schad, M.W. Lewis, S. Raisch, et al., “Paradox Research in Management Science: Looking Back to Move Forward,” Academy of Management Annals 10, no. 1 (January 2016): 5-64.</w:t>
      </w:r>
    </w:p>
    <w:p w14:paraId="009B4495"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12.</w:t>
      </w:r>
      <w:r w:rsidRPr="00C62745">
        <w:rPr>
          <w:rFonts w:ascii="benton-sans" w:eastAsia="Times New Roman" w:hAnsi="benton-sans" w:cs="Times New Roman"/>
          <w:color w:val="000000"/>
          <w:kern w:val="0"/>
          <w:sz w:val="27"/>
          <w:szCs w:val="27"/>
          <w:lang w:eastAsia="en-GB"/>
          <w14:ligatures w14:val="none"/>
        </w:rPr>
        <w:t xml:space="preserve"> R. Hastings and E. Meyer, “No Rules </w:t>
      </w:r>
      <w:proofErr w:type="spellStart"/>
      <w:r w:rsidRPr="00C62745">
        <w:rPr>
          <w:rFonts w:ascii="benton-sans" w:eastAsia="Times New Roman" w:hAnsi="benton-sans" w:cs="Times New Roman"/>
          <w:color w:val="000000"/>
          <w:kern w:val="0"/>
          <w:sz w:val="27"/>
          <w:szCs w:val="27"/>
          <w:lang w:eastAsia="en-GB"/>
          <w14:ligatures w14:val="none"/>
        </w:rPr>
        <w:t>Rules</w:t>
      </w:r>
      <w:proofErr w:type="spellEnd"/>
      <w:r w:rsidRPr="00C62745">
        <w:rPr>
          <w:rFonts w:ascii="benton-sans" w:eastAsia="Times New Roman" w:hAnsi="benton-sans" w:cs="Times New Roman"/>
          <w:color w:val="000000"/>
          <w:kern w:val="0"/>
          <w:sz w:val="27"/>
          <w:szCs w:val="27"/>
          <w:lang w:eastAsia="en-GB"/>
          <w14:ligatures w14:val="none"/>
        </w:rPr>
        <w:t>: Netflix and the Culture of Reinvention” (New York: Penguin, 2020).</w:t>
      </w:r>
    </w:p>
    <w:p w14:paraId="5FA2C15F"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13.</w:t>
      </w:r>
      <w:r w:rsidRPr="00C62745">
        <w:rPr>
          <w:rFonts w:ascii="benton-sans" w:eastAsia="Times New Roman" w:hAnsi="benton-sans" w:cs="Times New Roman"/>
          <w:color w:val="000000"/>
          <w:kern w:val="0"/>
          <w:sz w:val="27"/>
          <w:szCs w:val="27"/>
          <w:lang w:eastAsia="en-GB"/>
          <w14:ligatures w14:val="none"/>
        </w:rPr>
        <w:t> N. Slawinski and P. Bansal, “Short on Time: Intertemporal Tensions in Business Sustainability,” Organization Science 26, no. 2 (March-April 2015): 531-549.</w:t>
      </w:r>
    </w:p>
    <w:p w14:paraId="01E15107"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14.</w:t>
      </w:r>
      <w:r w:rsidRPr="00C62745">
        <w:rPr>
          <w:rFonts w:ascii="benton-sans" w:eastAsia="Times New Roman" w:hAnsi="benton-sans" w:cs="Times New Roman"/>
          <w:color w:val="000000"/>
          <w:kern w:val="0"/>
          <w:sz w:val="27"/>
          <w:szCs w:val="27"/>
          <w:lang w:eastAsia="en-GB"/>
          <w14:ligatures w14:val="none"/>
        </w:rPr>
        <w:t> H. Gregersen, “Better Brainstorming,” Harvard Business Review 96, no. 2 (March-April 2018): 66-71.</w:t>
      </w:r>
    </w:p>
    <w:p w14:paraId="3BEE2D9E"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lastRenderedPageBreak/>
        <w:t>15.</w:t>
      </w:r>
      <w:r w:rsidRPr="00C62745">
        <w:rPr>
          <w:rFonts w:ascii="benton-sans" w:eastAsia="Times New Roman" w:hAnsi="benton-sans" w:cs="Times New Roman"/>
          <w:color w:val="000000"/>
          <w:kern w:val="0"/>
          <w:sz w:val="27"/>
          <w:szCs w:val="27"/>
          <w:lang w:eastAsia="en-GB"/>
          <w14:ligatures w14:val="none"/>
        </w:rPr>
        <w:t> E. Miron-Spektor, A. Ingram, J. Keller, et al., “</w:t>
      </w:r>
      <w:proofErr w:type="spellStart"/>
      <w:r w:rsidRPr="00C62745">
        <w:rPr>
          <w:rFonts w:ascii="benton-sans" w:eastAsia="Times New Roman" w:hAnsi="benton-sans" w:cs="Times New Roman"/>
          <w:color w:val="000000"/>
          <w:kern w:val="0"/>
          <w:sz w:val="27"/>
          <w:szCs w:val="27"/>
          <w:lang w:eastAsia="en-GB"/>
          <w14:ligatures w14:val="none"/>
        </w:rPr>
        <w:t>Microfoundations</w:t>
      </w:r>
      <w:proofErr w:type="spellEnd"/>
      <w:r w:rsidRPr="00C62745">
        <w:rPr>
          <w:rFonts w:ascii="benton-sans" w:eastAsia="Times New Roman" w:hAnsi="benton-sans" w:cs="Times New Roman"/>
          <w:color w:val="000000"/>
          <w:kern w:val="0"/>
          <w:sz w:val="27"/>
          <w:szCs w:val="27"/>
          <w:lang w:eastAsia="en-GB"/>
          <w14:ligatures w14:val="none"/>
        </w:rPr>
        <w:t xml:space="preserve"> of Organizational Paradox: The Problem Is How We Think About the Problem,” Academy of Management Journal 61, no. 1 (February 2018): 26-45.</w:t>
      </w:r>
    </w:p>
    <w:p w14:paraId="3B58E975"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16.</w:t>
      </w:r>
      <w:r w:rsidRPr="00C62745">
        <w:rPr>
          <w:rFonts w:ascii="benton-sans" w:eastAsia="Times New Roman" w:hAnsi="benton-sans" w:cs="Times New Roman"/>
          <w:color w:val="000000"/>
          <w:kern w:val="0"/>
          <w:sz w:val="27"/>
          <w:szCs w:val="27"/>
          <w:lang w:eastAsia="en-GB"/>
          <w14:ligatures w14:val="none"/>
        </w:rPr>
        <w:t> See “Paradox Mindset Inventory” at https://paradox.lerner.udel​.edu.</w:t>
      </w:r>
    </w:p>
    <w:p w14:paraId="5D00FCED" w14:textId="77777777" w:rsidR="00C62745" w:rsidRPr="00C62745" w:rsidRDefault="00C62745" w:rsidP="00C62745">
      <w:pPr>
        <w:spacing w:after="0"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17.</w:t>
      </w:r>
      <w:r w:rsidRPr="00C62745">
        <w:rPr>
          <w:rFonts w:ascii="benton-sans" w:eastAsia="Times New Roman" w:hAnsi="benton-sans" w:cs="Times New Roman"/>
          <w:color w:val="000000"/>
          <w:kern w:val="0"/>
          <w:sz w:val="27"/>
          <w:szCs w:val="27"/>
          <w:lang w:eastAsia="en-GB"/>
          <w14:ligatures w14:val="none"/>
        </w:rPr>
        <w:t> S. Malhotra and J.S. Harrison, “A Blessing and a Curse: How Chief Executive Officer Cognitive Complexity Influences Firm Performance Under Varying Industry Conditions,” Strategic Management Journal 43, no. 13 (December 2022): 2809-2828.</w:t>
      </w:r>
    </w:p>
    <w:p w14:paraId="09F3FE9F" w14:textId="77777777" w:rsidR="00C62745" w:rsidRPr="00C62745" w:rsidRDefault="00C62745" w:rsidP="00C62745">
      <w:pPr>
        <w:spacing w:line="240" w:lineRule="auto"/>
        <w:rPr>
          <w:rFonts w:ascii="benton-sans" w:eastAsia="Times New Roman" w:hAnsi="benton-sans" w:cs="Times New Roman"/>
          <w:color w:val="000000"/>
          <w:kern w:val="0"/>
          <w:sz w:val="27"/>
          <w:szCs w:val="27"/>
          <w:lang w:eastAsia="en-GB"/>
          <w14:ligatures w14:val="none"/>
        </w:rPr>
      </w:pPr>
      <w:r w:rsidRPr="00C62745">
        <w:rPr>
          <w:rFonts w:ascii="benton-sans" w:eastAsia="Times New Roman" w:hAnsi="benton-sans" w:cs="Times New Roman"/>
          <w:b/>
          <w:bCs/>
          <w:color w:val="000000"/>
          <w:kern w:val="0"/>
          <w:sz w:val="27"/>
          <w:szCs w:val="27"/>
          <w:lang w:eastAsia="en-GB"/>
          <w14:ligatures w14:val="none"/>
        </w:rPr>
        <w:t>18.</w:t>
      </w:r>
      <w:r w:rsidRPr="00C62745">
        <w:rPr>
          <w:rFonts w:ascii="benton-sans" w:eastAsia="Times New Roman" w:hAnsi="benton-sans" w:cs="Times New Roman"/>
          <w:color w:val="000000"/>
          <w:kern w:val="0"/>
          <w:sz w:val="27"/>
          <w:szCs w:val="27"/>
          <w:lang w:eastAsia="en-GB"/>
          <w14:ligatures w14:val="none"/>
        </w:rPr>
        <w:t xml:space="preserve"> L.S. </w:t>
      </w:r>
      <w:proofErr w:type="spellStart"/>
      <w:r w:rsidRPr="00C62745">
        <w:rPr>
          <w:rFonts w:ascii="benton-sans" w:eastAsia="Times New Roman" w:hAnsi="benton-sans" w:cs="Times New Roman"/>
          <w:color w:val="000000"/>
          <w:kern w:val="0"/>
          <w:sz w:val="27"/>
          <w:szCs w:val="27"/>
          <w:lang w:eastAsia="en-GB"/>
          <w14:ligatures w14:val="none"/>
        </w:rPr>
        <w:t>Lüscher</w:t>
      </w:r>
      <w:proofErr w:type="spellEnd"/>
      <w:r w:rsidRPr="00C62745">
        <w:rPr>
          <w:rFonts w:ascii="benton-sans" w:eastAsia="Times New Roman" w:hAnsi="benton-sans" w:cs="Times New Roman"/>
          <w:color w:val="000000"/>
          <w:kern w:val="0"/>
          <w:sz w:val="27"/>
          <w:szCs w:val="27"/>
          <w:lang w:eastAsia="en-GB"/>
          <w14:ligatures w14:val="none"/>
        </w:rPr>
        <w:t xml:space="preserve"> and M.W. Lewis, “Organizational Change and Managerial Sensemaking: Working Through Paradox,” Academy of Management Journal 51, no. 2 (April 2008): 221-240.</w:t>
      </w:r>
    </w:p>
    <w:p w14:paraId="7AFDF40D" w14:textId="77777777" w:rsidR="00C62745" w:rsidRDefault="00C62745"/>
    <w:sectPr w:rsidR="00C627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enton-sans">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24220"/>
    <w:multiLevelType w:val="multilevel"/>
    <w:tmpl w:val="FBD84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C311DE"/>
    <w:multiLevelType w:val="multilevel"/>
    <w:tmpl w:val="30C8DA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95C017B"/>
    <w:multiLevelType w:val="multilevel"/>
    <w:tmpl w:val="D7962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07E59"/>
    <w:multiLevelType w:val="hybridMultilevel"/>
    <w:tmpl w:val="F10AA9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EE4928"/>
    <w:multiLevelType w:val="hybridMultilevel"/>
    <w:tmpl w:val="8B56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FA60AB"/>
    <w:multiLevelType w:val="hybridMultilevel"/>
    <w:tmpl w:val="785AB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5E224E"/>
    <w:multiLevelType w:val="multilevel"/>
    <w:tmpl w:val="947E1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7CB0585"/>
    <w:multiLevelType w:val="multilevel"/>
    <w:tmpl w:val="DC5E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5A54B1"/>
    <w:multiLevelType w:val="hybridMultilevel"/>
    <w:tmpl w:val="ADCE6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4307673">
    <w:abstractNumId w:val="7"/>
  </w:num>
  <w:num w:numId="2" w16cid:durableId="1884367208">
    <w:abstractNumId w:val="2"/>
  </w:num>
  <w:num w:numId="3" w16cid:durableId="829756873">
    <w:abstractNumId w:val="6"/>
  </w:num>
  <w:num w:numId="4" w16cid:durableId="1297881178">
    <w:abstractNumId w:val="0"/>
  </w:num>
  <w:num w:numId="5" w16cid:durableId="1190290720">
    <w:abstractNumId w:val="1"/>
  </w:num>
  <w:num w:numId="6" w16cid:durableId="1093546788">
    <w:abstractNumId w:val="4"/>
  </w:num>
  <w:num w:numId="7" w16cid:durableId="149563273">
    <w:abstractNumId w:val="5"/>
  </w:num>
  <w:num w:numId="8" w16cid:durableId="198053748">
    <w:abstractNumId w:val="8"/>
  </w:num>
  <w:num w:numId="9" w16cid:durableId="11841307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745"/>
    <w:rsid w:val="00C62745"/>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936480"/>
  <w15:chartTrackingRefBased/>
  <w15:docId w15:val="{B4F265D4-03EB-4443-9E00-4F6365B22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62745"/>
    <w:rPr>
      <w:color w:val="0563C1" w:themeColor="hyperlink"/>
      <w:u w:val="single"/>
    </w:rPr>
  </w:style>
  <w:style w:type="character" w:styleId="UnresolvedMention">
    <w:name w:val="Unresolved Mention"/>
    <w:basedOn w:val="DefaultParagraphFont"/>
    <w:uiPriority w:val="99"/>
    <w:semiHidden/>
    <w:unhideWhenUsed/>
    <w:rsid w:val="00C62745"/>
    <w:rPr>
      <w:color w:val="605E5C"/>
      <w:shd w:val="clear" w:color="auto" w:fill="E1DFDD"/>
    </w:rPr>
  </w:style>
  <w:style w:type="paragraph" w:styleId="ListParagraph">
    <w:name w:val="List Paragraph"/>
    <w:basedOn w:val="Normal"/>
    <w:uiPriority w:val="34"/>
    <w:qFormat/>
    <w:rsid w:val="00C627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253567">
      <w:bodyDiv w:val="1"/>
      <w:marLeft w:val="0"/>
      <w:marRight w:val="0"/>
      <w:marTop w:val="0"/>
      <w:marBottom w:val="0"/>
      <w:divBdr>
        <w:top w:val="none" w:sz="0" w:space="0" w:color="auto"/>
        <w:left w:val="none" w:sz="0" w:space="0" w:color="auto"/>
        <w:bottom w:val="none" w:sz="0" w:space="0" w:color="auto"/>
        <w:right w:val="none" w:sz="0" w:space="0" w:color="auto"/>
      </w:divBdr>
      <w:divsChild>
        <w:div w:id="1930968158">
          <w:marLeft w:val="0"/>
          <w:marRight w:val="0"/>
          <w:marTop w:val="0"/>
          <w:marBottom w:val="375"/>
          <w:divBdr>
            <w:top w:val="none" w:sz="0" w:space="0" w:color="auto"/>
            <w:left w:val="none" w:sz="0" w:space="0" w:color="auto"/>
            <w:bottom w:val="none" w:sz="0" w:space="0" w:color="auto"/>
            <w:right w:val="none" w:sz="0" w:space="0" w:color="auto"/>
          </w:divBdr>
        </w:div>
        <w:div w:id="1965571953">
          <w:marLeft w:val="0"/>
          <w:marRight w:val="0"/>
          <w:marTop w:val="0"/>
          <w:marBottom w:val="0"/>
          <w:divBdr>
            <w:top w:val="none" w:sz="0" w:space="0" w:color="auto"/>
            <w:left w:val="none" w:sz="0" w:space="0" w:color="auto"/>
            <w:bottom w:val="none" w:sz="0" w:space="0" w:color="auto"/>
            <w:right w:val="none" w:sz="0" w:space="0" w:color="auto"/>
          </w:divBdr>
        </w:div>
        <w:div w:id="280571064">
          <w:marLeft w:val="0"/>
          <w:marRight w:val="0"/>
          <w:marTop w:val="0"/>
          <w:marBottom w:val="0"/>
          <w:divBdr>
            <w:top w:val="none" w:sz="0" w:space="0" w:color="auto"/>
            <w:left w:val="none" w:sz="0" w:space="0" w:color="auto"/>
            <w:bottom w:val="none" w:sz="0" w:space="0" w:color="auto"/>
            <w:right w:val="none" w:sz="0" w:space="0" w:color="auto"/>
          </w:divBdr>
          <w:divsChild>
            <w:div w:id="545484740">
              <w:marLeft w:val="0"/>
              <w:marRight w:val="0"/>
              <w:marTop w:val="0"/>
              <w:marBottom w:val="0"/>
              <w:divBdr>
                <w:top w:val="none" w:sz="0" w:space="0" w:color="auto"/>
                <w:left w:val="none" w:sz="0" w:space="0" w:color="auto"/>
                <w:bottom w:val="none" w:sz="0" w:space="0" w:color="auto"/>
                <w:right w:val="none" w:sz="0" w:space="0" w:color="auto"/>
              </w:divBdr>
            </w:div>
            <w:div w:id="1594557837">
              <w:marLeft w:val="5505"/>
              <w:marRight w:val="0"/>
              <w:marTop w:val="0"/>
              <w:marBottom w:val="0"/>
              <w:divBdr>
                <w:top w:val="none" w:sz="0" w:space="0" w:color="auto"/>
                <w:left w:val="none" w:sz="0" w:space="0" w:color="auto"/>
                <w:bottom w:val="none" w:sz="0" w:space="0" w:color="auto"/>
                <w:right w:val="none" w:sz="0" w:space="0" w:color="auto"/>
              </w:divBdr>
              <w:divsChild>
                <w:div w:id="1450586658">
                  <w:marLeft w:val="0"/>
                  <w:marRight w:val="0"/>
                  <w:marTop w:val="90"/>
                  <w:marBottom w:val="0"/>
                  <w:divBdr>
                    <w:top w:val="single" w:sz="6" w:space="8" w:color="005B9C"/>
                    <w:left w:val="none" w:sz="0" w:space="0" w:color="auto"/>
                    <w:bottom w:val="none" w:sz="0" w:space="0" w:color="auto"/>
                    <w:right w:val="none" w:sz="0" w:space="0" w:color="auto"/>
                  </w:divBdr>
                </w:div>
              </w:divsChild>
            </w:div>
            <w:div w:id="968777241">
              <w:marLeft w:val="5505"/>
              <w:marRight w:val="0"/>
              <w:marTop w:val="0"/>
              <w:marBottom w:val="240"/>
              <w:divBdr>
                <w:top w:val="none" w:sz="0" w:space="0" w:color="auto"/>
                <w:left w:val="none" w:sz="0" w:space="0" w:color="auto"/>
                <w:bottom w:val="none" w:sz="0" w:space="0" w:color="auto"/>
                <w:right w:val="none" w:sz="0" w:space="0" w:color="auto"/>
              </w:divBdr>
              <w:divsChild>
                <w:div w:id="1966498521">
                  <w:marLeft w:val="0"/>
                  <w:marRight w:val="0"/>
                  <w:marTop w:val="0"/>
                  <w:marBottom w:val="0"/>
                  <w:divBdr>
                    <w:top w:val="none" w:sz="0" w:space="0" w:color="auto"/>
                    <w:left w:val="none" w:sz="0" w:space="0" w:color="auto"/>
                    <w:bottom w:val="none" w:sz="0" w:space="0" w:color="auto"/>
                    <w:right w:val="none" w:sz="0" w:space="0" w:color="auto"/>
                  </w:divBdr>
                </w:div>
              </w:divsChild>
            </w:div>
            <w:div w:id="2022776448">
              <w:marLeft w:val="5505"/>
              <w:marRight w:val="5505"/>
              <w:marTop w:val="675"/>
              <w:marBottom w:val="675"/>
              <w:divBdr>
                <w:top w:val="none" w:sz="0" w:space="0" w:color="auto"/>
                <w:left w:val="single" w:sz="12" w:space="26" w:color="00E0FF"/>
                <w:bottom w:val="none" w:sz="0" w:space="0" w:color="auto"/>
                <w:right w:val="none" w:sz="0" w:space="0" w:color="auto"/>
              </w:divBdr>
            </w:div>
            <w:div w:id="1112045336">
              <w:marLeft w:val="5505"/>
              <w:marRight w:val="5505"/>
              <w:marTop w:val="675"/>
              <w:marBottom w:val="675"/>
              <w:divBdr>
                <w:top w:val="none" w:sz="0" w:space="0" w:color="auto"/>
                <w:left w:val="single" w:sz="12" w:space="26" w:color="00E0FF"/>
                <w:bottom w:val="none" w:sz="0" w:space="0" w:color="auto"/>
                <w:right w:val="none" w:sz="0" w:space="0" w:color="auto"/>
              </w:divBdr>
            </w:div>
            <w:div w:id="1496650823">
              <w:marLeft w:val="0"/>
              <w:marRight w:val="0"/>
              <w:marTop w:val="0"/>
              <w:marBottom w:val="450"/>
              <w:divBdr>
                <w:top w:val="none" w:sz="0" w:space="0" w:color="auto"/>
                <w:left w:val="none" w:sz="0" w:space="0" w:color="auto"/>
                <w:bottom w:val="none" w:sz="0" w:space="0" w:color="auto"/>
                <w:right w:val="none" w:sz="0" w:space="0" w:color="auto"/>
              </w:divBdr>
              <w:divsChild>
                <w:div w:id="340670000">
                  <w:marLeft w:val="0"/>
                  <w:marRight w:val="0"/>
                  <w:marTop w:val="0"/>
                  <w:marBottom w:val="0"/>
                  <w:divBdr>
                    <w:top w:val="none" w:sz="0" w:space="0" w:color="auto"/>
                    <w:left w:val="none" w:sz="0" w:space="0" w:color="auto"/>
                    <w:bottom w:val="none" w:sz="0" w:space="0" w:color="auto"/>
                    <w:right w:val="none" w:sz="0" w:space="0" w:color="auto"/>
                  </w:divBdr>
                  <w:divsChild>
                    <w:div w:id="1187326612">
                      <w:marLeft w:val="0"/>
                      <w:marRight w:val="0"/>
                      <w:marTop w:val="0"/>
                      <w:marBottom w:val="0"/>
                      <w:divBdr>
                        <w:top w:val="none" w:sz="0" w:space="0" w:color="auto"/>
                        <w:left w:val="none" w:sz="0" w:space="0" w:color="auto"/>
                        <w:bottom w:val="none" w:sz="0" w:space="0" w:color="auto"/>
                        <w:right w:val="none" w:sz="0" w:space="0" w:color="auto"/>
                      </w:divBdr>
                      <w:divsChild>
                        <w:div w:id="1269385906">
                          <w:marLeft w:val="0"/>
                          <w:marRight w:val="0"/>
                          <w:marTop w:val="0"/>
                          <w:marBottom w:val="0"/>
                          <w:divBdr>
                            <w:top w:val="single" w:sz="6" w:space="11" w:color="D8D8D8"/>
                            <w:left w:val="none" w:sz="0" w:space="0" w:color="auto"/>
                            <w:bottom w:val="none" w:sz="0" w:space="0" w:color="auto"/>
                            <w:right w:val="none" w:sz="0" w:space="0" w:color="auto"/>
                          </w:divBdr>
                          <w:divsChild>
                            <w:div w:id="1677077372">
                              <w:marLeft w:val="0"/>
                              <w:marRight w:val="0"/>
                              <w:marTop w:val="0"/>
                              <w:marBottom w:val="0"/>
                              <w:divBdr>
                                <w:top w:val="none" w:sz="0" w:space="0" w:color="auto"/>
                                <w:left w:val="none" w:sz="0" w:space="0" w:color="auto"/>
                                <w:bottom w:val="none" w:sz="0" w:space="0" w:color="auto"/>
                                <w:right w:val="none" w:sz="0" w:space="0" w:color="auto"/>
                              </w:divBdr>
                              <w:divsChild>
                                <w:div w:id="2001545525">
                                  <w:marLeft w:val="0"/>
                                  <w:marRight w:val="0"/>
                                  <w:marTop w:val="0"/>
                                  <w:marBottom w:val="0"/>
                                  <w:divBdr>
                                    <w:top w:val="none" w:sz="0" w:space="0" w:color="auto"/>
                                    <w:left w:val="none" w:sz="0" w:space="0" w:color="auto"/>
                                    <w:bottom w:val="none" w:sz="0" w:space="0" w:color="auto"/>
                                    <w:right w:val="none" w:sz="0" w:space="0" w:color="auto"/>
                                  </w:divBdr>
                                  <w:divsChild>
                                    <w:div w:id="1204095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920632">
                          <w:marLeft w:val="0"/>
                          <w:marRight w:val="0"/>
                          <w:marTop w:val="0"/>
                          <w:marBottom w:val="0"/>
                          <w:divBdr>
                            <w:top w:val="single" w:sz="6" w:space="11" w:color="D8D8D8"/>
                            <w:left w:val="none" w:sz="0" w:space="0" w:color="auto"/>
                            <w:bottom w:val="none" w:sz="0" w:space="0" w:color="auto"/>
                            <w:right w:val="none" w:sz="0" w:space="0" w:color="auto"/>
                          </w:divBdr>
                          <w:divsChild>
                            <w:div w:id="1627351752">
                              <w:marLeft w:val="0"/>
                              <w:marRight w:val="0"/>
                              <w:marTop w:val="0"/>
                              <w:marBottom w:val="0"/>
                              <w:divBdr>
                                <w:top w:val="none" w:sz="0" w:space="0" w:color="auto"/>
                                <w:left w:val="none" w:sz="0" w:space="0" w:color="auto"/>
                                <w:bottom w:val="none" w:sz="0" w:space="0" w:color="auto"/>
                                <w:right w:val="none" w:sz="0" w:space="0" w:color="auto"/>
                              </w:divBdr>
                              <w:divsChild>
                                <w:div w:id="379130807">
                                  <w:marLeft w:val="0"/>
                                  <w:marRight w:val="0"/>
                                  <w:marTop w:val="0"/>
                                  <w:marBottom w:val="0"/>
                                  <w:divBdr>
                                    <w:top w:val="none" w:sz="0" w:space="0" w:color="auto"/>
                                    <w:left w:val="none" w:sz="0" w:space="0" w:color="auto"/>
                                    <w:bottom w:val="none" w:sz="0" w:space="0" w:color="auto"/>
                                    <w:right w:val="none" w:sz="0" w:space="0" w:color="auto"/>
                                  </w:divBdr>
                                  <w:divsChild>
                                    <w:div w:id="133537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464726">
                          <w:marLeft w:val="0"/>
                          <w:marRight w:val="0"/>
                          <w:marTop w:val="0"/>
                          <w:marBottom w:val="0"/>
                          <w:divBdr>
                            <w:top w:val="single" w:sz="6" w:space="11" w:color="D8D8D8"/>
                            <w:left w:val="none" w:sz="0" w:space="0" w:color="auto"/>
                            <w:bottom w:val="none" w:sz="0" w:space="0" w:color="auto"/>
                            <w:right w:val="none" w:sz="0" w:space="0" w:color="auto"/>
                          </w:divBdr>
                          <w:divsChild>
                            <w:div w:id="75832692">
                              <w:marLeft w:val="0"/>
                              <w:marRight w:val="0"/>
                              <w:marTop w:val="0"/>
                              <w:marBottom w:val="0"/>
                              <w:divBdr>
                                <w:top w:val="none" w:sz="0" w:space="0" w:color="auto"/>
                                <w:left w:val="none" w:sz="0" w:space="0" w:color="auto"/>
                                <w:bottom w:val="none" w:sz="0" w:space="0" w:color="auto"/>
                                <w:right w:val="none" w:sz="0" w:space="0" w:color="auto"/>
                              </w:divBdr>
                              <w:divsChild>
                                <w:div w:id="289213354">
                                  <w:marLeft w:val="0"/>
                                  <w:marRight w:val="0"/>
                                  <w:marTop w:val="0"/>
                                  <w:marBottom w:val="0"/>
                                  <w:divBdr>
                                    <w:top w:val="none" w:sz="0" w:space="0" w:color="auto"/>
                                    <w:left w:val="none" w:sz="0" w:space="0" w:color="auto"/>
                                    <w:bottom w:val="none" w:sz="0" w:space="0" w:color="auto"/>
                                    <w:right w:val="none" w:sz="0" w:space="0" w:color="auto"/>
                                  </w:divBdr>
                                  <w:divsChild>
                                    <w:div w:id="202596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525798">
                          <w:marLeft w:val="0"/>
                          <w:marRight w:val="0"/>
                          <w:marTop w:val="0"/>
                          <w:marBottom w:val="0"/>
                          <w:divBdr>
                            <w:top w:val="single" w:sz="6" w:space="11" w:color="D8D8D8"/>
                            <w:left w:val="none" w:sz="0" w:space="0" w:color="auto"/>
                            <w:bottom w:val="none" w:sz="0" w:space="0" w:color="auto"/>
                            <w:right w:val="none" w:sz="0" w:space="0" w:color="auto"/>
                          </w:divBdr>
                          <w:divsChild>
                            <w:div w:id="1714887510">
                              <w:marLeft w:val="0"/>
                              <w:marRight w:val="0"/>
                              <w:marTop w:val="0"/>
                              <w:marBottom w:val="0"/>
                              <w:divBdr>
                                <w:top w:val="none" w:sz="0" w:space="0" w:color="auto"/>
                                <w:left w:val="none" w:sz="0" w:space="0" w:color="auto"/>
                                <w:bottom w:val="none" w:sz="0" w:space="0" w:color="auto"/>
                                <w:right w:val="none" w:sz="0" w:space="0" w:color="auto"/>
                              </w:divBdr>
                              <w:divsChild>
                                <w:div w:id="558059518">
                                  <w:marLeft w:val="0"/>
                                  <w:marRight w:val="0"/>
                                  <w:marTop w:val="0"/>
                                  <w:marBottom w:val="0"/>
                                  <w:divBdr>
                                    <w:top w:val="none" w:sz="0" w:space="0" w:color="auto"/>
                                    <w:left w:val="none" w:sz="0" w:space="0" w:color="auto"/>
                                    <w:bottom w:val="none" w:sz="0" w:space="0" w:color="auto"/>
                                    <w:right w:val="none" w:sz="0" w:space="0" w:color="auto"/>
                                  </w:divBdr>
                                  <w:divsChild>
                                    <w:div w:id="1503005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680842">
              <w:marLeft w:val="5505"/>
              <w:marRight w:val="0"/>
              <w:marTop w:val="450"/>
              <w:marBottom w:val="240"/>
              <w:divBdr>
                <w:top w:val="none" w:sz="0" w:space="0" w:color="auto"/>
                <w:left w:val="none" w:sz="0" w:space="0" w:color="auto"/>
                <w:bottom w:val="none" w:sz="0" w:space="0" w:color="auto"/>
                <w:right w:val="none" w:sz="0" w:space="0" w:color="auto"/>
              </w:divBdr>
              <w:divsChild>
                <w:div w:id="1348755986">
                  <w:marLeft w:val="0"/>
                  <w:marRight w:val="0"/>
                  <w:marTop w:val="0"/>
                  <w:marBottom w:val="0"/>
                  <w:divBdr>
                    <w:top w:val="none" w:sz="0" w:space="0" w:color="auto"/>
                    <w:left w:val="none" w:sz="0" w:space="0" w:color="auto"/>
                    <w:bottom w:val="none" w:sz="0" w:space="0" w:color="auto"/>
                    <w:right w:val="none" w:sz="0" w:space="0" w:color="auto"/>
                  </w:divBdr>
                </w:div>
              </w:divsChild>
            </w:div>
            <w:div w:id="1889872192">
              <w:marLeft w:val="5505"/>
              <w:marRight w:val="0"/>
              <w:marTop w:val="450"/>
              <w:marBottom w:val="240"/>
              <w:divBdr>
                <w:top w:val="none" w:sz="0" w:space="0" w:color="auto"/>
                <w:left w:val="none" w:sz="0" w:space="0" w:color="auto"/>
                <w:bottom w:val="none" w:sz="0" w:space="0" w:color="auto"/>
                <w:right w:val="none" w:sz="0" w:space="0" w:color="auto"/>
              </w:divBdr>
              <w:divsChild>
                <w:div w:id="1390956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loanreview.mit.edu/article/the-hidden-opportunity-in-paradoxes/" TargetMode="External"/><Relationship Id="rId18" Type="http://schemas.openxmlformats.org/officeDocument/2006/relationships/hyperlink" Target="https://www.reuters.com/business/sustainable-business/bp-gambles-big-fast-transition-oil-renewables-2021-09-20/" TargetMode="External"/><Relationship Id="rId26" Type="http://schemas.openxmlformats.org/officeDocument/2006/relationships/hyperlink" Target="https://sloanreview.mit.edu/article/the-hidden-opportunity-in-paradoxes/" TargetMode="External"/><Relationship Id="rId39" Type="http://schemas.openxmlformats.org/officeDocument/2006/relationships/hyperlink" Target="https://sloanreview.mit.edu/article/the-hidden-opportunity-in-paradoxes/" TargetMode="External"/><Relationship Id="rId21" Type="http://schemas.openxmlformats.org/officeDocument/2006/relationships/hyperlink" Target="https://www.greentechmedia.com/articles/read/rsted-sells-lng-unit-says-its-natural-gas-business-is-going-nowhere" TargetMode="External"/><Relationship Id="rId34" Type="http://schemas.openxmlformats.org/officeDocument/2006/relationships/hyperlink" Target="https://psycnet.apa.org/record/2018-20753-002" TargetMode="External"/><Relationship Id="rId42" Type="http://schemas.openxmlformats.org/officeDocument/2006/relationships/hyperlink" Target="https://www.twitter.com/scottdanthony" TargetMode="External"/><Relationship Id="rId7" Type="http://schemas.openxmlformats.org/officeDocument/2006/relationships/hyperlink" Target="https://sloanreview.mit.edu/article/the-hidden-opportunity-in-paradoxes/" TargetMode="External"/><Relationship Id="rId2" Type="http://schemas.openxmlformats.org/officeDocument/2006/relationships/styles" Target="styles.xml"/><Relationship Id="rId16" Type="http://schemas.openxmlformats.org/officeDocument/2006/relationships/hyperlink" Target="https://sloanreview.mit.edu/article/the-hidden-opportunity-in-paradoxes/" TargetMode="External"/><Relationship Id="rId20" Type="http://schemas.openxmlformats.org/officeDocument/2006/relationships/hyperlink" Target="https://sloanreview.mit.edu/article/the-hidden-opportunity-in-paradoxes/" TargetMode="External"/><Relationship Id="rId29" Type="http://schemas.openxmlformats.org/officeDocument/2006/relationships/hyperlink" Target="https://sloanreview.mit.edu/article/the-hidden-opportunity-in-paradoxes/" TargetMode="External"/><Relationship Id="rId41" Type="http://schemas.openxmlformats.org/officeDocument/2006/relationships/hyperlink" Target="https://onlinelibrary.wiley.com/doi/abs/10.1002/smj.3415" TargetMode="External"/><Relationship Id="rId1" Type="http://schemas.openxmlformats.org/officeDocument/2006/relationships/numbering" Target="numbering.xml"/><Relationship Id="rId6" Type="http://schemas.openxmlformats.org/officeDocument/2006/relationships/hyperlink" Target="https://sloanreview.mit.edu/?content_type=research-highlights" TargetMode="External"/><Relationship Id="rId11" Type="http://schemas.openxmlformats.org/officeDocument/2006/relationships/hyperlink" Target="https://sloanreview.mit.edu/article/the-hidden-opportunity-in-paradoxes/" TargetMode="External"/><Relationship Id="rId24" Type="http://schemas.openxmlformats.org/officeDocument/2006/relationships/hyperlink" Target="https://sloanreview.mit.edu/article/how-leaders-delude-themselves-about-disruption" TargetMode="External"/><Relationship Id="rId32" Type="http://schemas.openxmlformats.org/officeDocument/2006/relationships/hyperlink" Target="https://hbr.org/2018/03/better-brainstorming" TargetMode="External"/><Relationship Id="rId37" Type="http://schemas.openxmlformats.org/officeDocument/2006/relationships/hyperlink" Target="https://sloanreview.mit.edu/article/the-hidden-opportunity-in-paradoxes/" TargetMode="External"/><Relationship Id="rId40" Type="http://schemas.openxmlformats.org/officeDocument/2006/relationships/hyperlink" Target="https://sloanreview.mit.edu/article/the-hidden-opportunity-in-paradoxes/" TargetMode="External"/><Relationship Id="rId5" Type="http://schemas.openxmlformats.org/officeDocument/2006/relationships/hyperlink" Target="https://sloanreview.mit.edu/issue/2024-winter/" TargetMode="External"/><Relationship Id="rId15" Type="http://schemas.openxmlformats.org/officeDocument/2006/relationships/hyperlink" Target="https://sloanreview.mit.edu/article/the-hidden-opportunity-in-paradoxes/" TargetMode="External"/><Relationship Id="rId23" Type="http://schemas.openxmlformats.org/officeDocument/2006/relationships/hyperlink" Target="https://sloanreview.mit.edu/article/the-hidden-opportunity-in-paradoxes/" TargetMode="External"/><Relationship Id="rId28" Type="http://schemas.openxmlformats.org/officeDocument/2006/relationships/hyperlink" Target="https://sloanreview.mit.edu/article/the-hidden-opportunity-in-paradoxes/" TargetMode="External"/><Relationship Id="rId36" Type="http://schemas.openxmlformats.org/officeDocument/2006/relationships/hyperlink" Target="https://paradox.lerner.udel.edu/" TargetMode="External"/><Relationship Id="rId10" Type="http://schemas.openxmlformats.org/officeDocument/2006/relationships/hyperlink" Target="https://hbr.org/2015/01/the-authenticity-paradox" TargetMode="External"/><Relationship Id="rId19" Type="http://schemas.openxmlformats.org/officeDocument/2006/relationships/hyperlink" Target="https://www.reuters.com/business/sustainable-business/inside-bps-plan-reset-renewables-oil-gas-boom-2023-03-07/" TargetMode="External"/><Relationship Id="rId31" Type="http://schemas.openxmlformats.org/officeDocument/2006/relationships/hyperlink" Target="https://sloanreview.mit.edu/article/the-hidden-opportunity-in-paradoxes/"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sloanreview.mit.edu/article/the-hidden-opportunity-in-paradoxes/" TargetMode="External"/><Relationship Id="rId14" Type="http://schemas.openxmlformats.org/officeDocument/2006/relationships/hyperlink" Target="https://www.shell.com/business-customers/lubricants-for-business/perspectives/under-pressure-leading-in-paradox-industries.html" TargetMode="External"/><Relationship Id="rId22" Type="http://schemas.openxmlformats.org/officeDocument/2006/relationships/hyperlink" Target="https://sloanreview.mit.edu/article/the-hidden-opportunity-in-paradoxes/" TargetMode="External"/><Relationship Id="rId27" Type="http://schemas.openxmlformats.org/officeDocument/2006/relationships/hyperlink" Target="https://journals.aom.org/doi/10.5465/19416520.2016.1162422" TargetMode="External"/><Relationship Id="rId30" Type="http://schemas.openxmlformats.org/officeDocument/2006/relationships/hyperlink" Target="https://www.jstor.org/stable/43663662" TargetMode="External"/><Relationship Id="rId35" Type="http://schemas.openxmlformats.org/officeDocument/2006/relationships/hyperlink" Target="https://sloanreview.mit.edu/article/the-hidden-opportunity-in-paradoxes/" TargetMode="External"/><Relationship Id="rId43" Type="http://schemas.openxmlformats.org/officeDocument/2006/relationships/fontTable" Target="fontTable.xml"/><Relationship Id="rId8" Type="http://schemas.openxmlformats.org/officeDocument/2006/relationships/hyperlink" Target="https://sloanreview.mit.edu/privacy-policy/" TargetMode="External"/><Relationship Id="rId3" Type="http://schemas.openxmlformats.org/officeDocument/2006/relationships/settings" Target="settings.xml"/><Relationship Id="rId12" Type="http://schemas.openxmlformats.org/officeDocument/2006/relationships/hyperlink" Target="https://journals.sagepub.com/doi/10.1177/0018726702555001" TargetMode="External"/><Relationship Id="rId17" Type="http://schemas.openxmlformats.org/officeDocument/2006/relationships/hyperlink" Target="https://www.reuters.com/article/us-bp-solar/bp-turns-out-lights-at-solar-business-idUSTRE7BK1CC20111221" TargetMode="External"/><Relationship Id="rId25" Type="http://schemas.openxmlformats.org/officeDocument/2006/relationships/hyperlink" Target="https://sloanreview.mit.edu/article/the-hidden-opportunity-in-paradoxes/" TargetMode="External"/><Relationship Id="rId33" Type="http://schemas.openxmlformats.org/officeDocument/2006/relationships/hyperlink" Target="https://sloanreview.mit.edu/article/the-hidden-opportunity-in-paradoxes/" TargetMode="External"/><Relationship Id="rId38" Type="http://schemas.openxmlformats.org/officeDocument/2006/relationships/hyperlink" Target="https://onlinelibrary.wiley.com/doi/abs/10.1002/smj.3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11</Pages>
  <Words>4293</Words>
  <Characters>24471</Characters>
  <Application>Microsoft Office Word</Application>
  <DocSecurity>0</DocSecurity>
  <Lines>203</Lines>
  <Paragraphs>57</Paragraphs>
  <ScaleCrop>false</ScaleCrop>
  <Company/>
  <LinksUpToDate>false</LinksUpToDate>
  <CharactersWithSpaces>28707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Griffiths</dc:creator>
  <cp:keywords/>
  <dc:description/>
  <cp:lastModifiedBy>Steve  Griffiths</cp:lastModifiedBy>
  <cp:revision>1</cp:revision>
  <dcterms:created xsi:type="dcterms:W3CDTF">2023-12-27T08:08:00Z</dcterms:created>
  <dcterms:modified xsi:type="dcterms:W3CDTF">2023-12-27T08:16:00Z</dcterms:modified>
</cp:coreProperties>
</file>