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72F3C" w14:textId="77777777" w:rsidR="00AC3E6E" w:rsidRPr="006033F0" w:rsidRDefault="00AC3E6E" w:rsidP="006033F0">
      <w:pPr>
        <w:spacing w:line="360" w:lineRule="auto"/>
        <w:jc w:val="center"/>
        <w:rPr>
          <w:rFonts w:ascii="Arial" w:hAnsi="Arial" w:cs="Arial"/>
          <w:b/>
          <w:bCs/>
          <w:sz w:val="28"/>
          <w:szCs w:val="28"/>
        </w:rPr>
      </w:pPr>
      <w:r w:rsidRPr="006033F0">
        <w:rPr>
          <w:rFonts w:ascii="Arial" w:hAnsi="Arial" w:cs="Arial"/>
          <w:noProof/>
        </w:rPr>
        <mc:AlternateContent>
          <mc:Choice Requires="wpg">
            <w:drawing>
              <wp:anchor distT="0" distB="0" distL="114300" distR="114300" simplePos="0" relativeHeight="251659264" behindDoc="0" locked="0" layoutInCell="1" allowOverlap="1" wp14:anchorId="4343C4B4" wp14:editId="19DE043C">
                <wp:simplePos x="0" y="0"/>
                <wp:positionH relativeFrom="page">
                  <wp:posOffset>6985</wp:posOffset>
                </wp:positionH>
                <wp:positionV relativeFrom="page">
                  <wp:posOffset>3346087</wp:posOffset>
                </wp:positionV>
                <wp:extent cx="6115795" cy="3647413"/>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115795" cy="3647413"/>
                          <a:chOff x="0" y="-245845"/>
                          <a:chExt cx="6115065" cy="364741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4840" y="-245845"/>
                            <a:ext cx="5610225" cy="1563202"/>
                          </a:xfrm>
                          <a:prstGeom prst="rect">
                            <a:avLst/>
                          </a:prstGeom>
                          <a:noFill/>
                          <a:ln w="6350">
                            <a:noFill/>
                          </a:ln>
                        </wps:spPr>
                        <wps:txbx>
                          <w:txbxContent>
                            <w:p w14:paraId="4A104514" w14:textId="77777777" w:rsidR="00AC3E6E" w:rsidRDefault="00AC3E6E" w:rsidP="00AC3E6E">
                              <w:pPr>
                                <w:pStyle w:val="NoSpacing"/>
                                <w:spacing w:after="240" w:line="216" w:lineRule="auto"/>
                                <w:rPr>
                                  <w:rFonts w:asciiTheme="majorHAnsi" w:hAnsiTheme="majorHAnsi"/>
                                  <w:color w:val="0E2841" w:themeColor="text2"/>
                                  <w:spacing w:val="10"/>
                                  <w:sz w:val="36"/>
                                  <w:szCs w:val="36"/>
                                </w:rPr>
                              </w:pPr>
                            </w:p>
                            <w:sdt>
                              <w:sdtPr>
                                <w:rPr>
                                  <w:rFonts w:asciiTheme="majorHAnsi" w:hAnsiTheme="majorHAnsi"/>
                                  <w:caps/>
                                  <w:color w:val="0E2841" w:themeColor="text2"/>
                                  <w:sz w:val="56"/>
                                  <w:szCs w:val="5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6D36FD49" w14:textId="77777777" w:rsidR="00AC3E6E" w:rsidRPr="001C633E" w:rsidRDefault="00AC3E6E" w:rsidP="00AC3E6E">
                                  <w:pPr>
                                    <w:pStyle w:val="NoSpacing"/>
                                    <w:spacing w:line="216" w:lineRule="auto"/>
                                    <w:rPr>
                                      <w:rFonts w:asciiTheme="majorHAnsi" w:hAnsiTheme="majorHAnsi"/>
                                      <w:caps/>
                                      <w:color w:val="0E2841" w:themeColor="text2"/>
                                      <w:sz w:val="56"/>
                                      <w:szCs w:val="56"/>
                                    </w:rPr>
                                  </w:pPr>
                                  <w:r>
                                    <w:rPr>
                                      <w:rFonts w:asciiTheme="majorHAnsi" w:hAnsiTheme="majorHAnsi"/>
                                      <w:caps/>
                                      <w:color w:val="0E2841" w:themeColor="text2"/>
                                      <w:sz w:val="56"/>
                                      <w:szCs w:val="5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43C4B4" id="Group 459" o:spid="_x0000_s1026" alt="Title: Title and subtitle with crop mark graphic" style="position:absolute;left:0;text-align:left;margin-left:.55pt;margin-top:263.45pt;width:481.55pt;height:287.2pt;z-index:251659264;mso-position-horizontal-relative:page;mso-position-vertical-relative:page;mso-width-relative:margin;mso-height-relative:margin" coordorigin=",-2458" coordsize="61150,36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48;top:-2458;width:56102;height:1563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4A104514" w14:textId="77777777" w:rsidR="00AC3E6E" w:rsidRDefault="00AC3E6E" w:rsidP="00AC3E6E">
                        <w:pPr>
                          <w:pStyle w:val="NoSpacing"/>
                          <w:spacing w:after="240" w:line="216" w:lineRule="auto"/>
                          <w:rPr>
                            <w:rFonts w:asciiTheme="majorHAnsi" w:hAnsiTheme="majorHAnsi"/>
                            <w:color w:val="0E2841" w:themeColor="text2"/>
                            <w:spacing w:val="10"/>
                            <w:sz w:val="36"/>
                            <w:szCs w:val="36"/>
                          </w:rPr>
                        </w:pPr>
                      </w:p>
                      <w:sdt>
                        <w:sdtPr>
                          <w:rPr>
                            <w:rFonts w:asciiTheme="majorHAnsi" w:hAnsiTheme="majorHAnsi"/>
                            <w:caps/>
                            <w:color w:val="0E2841" w:themeColor="text2"/>
                            <w:sz w:val="56"/>
                            <w:szCs w:val="5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6D36FD49" w14:textId="77777777" w:rsidR="00AC3E6E" w:rsidRPr="001C633E" w:rsidRDefault="00AC3E6E" w:rsidP="00AC3E6E">
                            <w:pPr>
                              <w:pStyle w:val="NoSpacing"/>
                              <w:spacing w:line="216" w:lineRule="auto"/>
                              <w:rPr>
                                <w:rFonts w:asciiTheme="majorHAnsi" w:hAnsiTheme="majorHAnsi"/>
                                <w:caps/>
                                <w:color w:val="0E2841" w:themeColor="text2"/>
                                <w:sz w:val="56"/>
                                <w:szCs w:val="56"/>
                              </w:rPr>
                            </w:pPr>
                            <w:r>
                              <w:rPr>
                                <w:rFonts w:asciiTheme="majorHAnsi" w:hAnsiTheme="majorHAnsi"/>
                                <w:caps/>
                                <w:color w:val="0E2841" w:themeColor="text2"/>
                                <w:sz w:val="56"/>
                                <w:szCs w:val="56"/>
                              </w:rPr>
                              <w:t xml:space="preserve">     </w:t>
                            </w:r>
                          </w:p>
                        </w:sdtContent>
                      </w:sdt>
                    </w:txbxContent>
                  </v:textbox>
                </v:shape>
                <w10:wrap anchorx="page" anchory="page"/>
              </v:group>
            </w:pict>
          </mc:Fallback>
        </mc:AlternateContent>
      </w:r>
      <w:r w:rsidRPr="006033F0">
        <w:rPr>
          <w:rFonts w:ascii="Arial" w:hAnsi="Arial" w:cs="Arial"/>
          <w:noProof/>
        </w:rPr>
        <w:drawing>
          <wp:inline distT="0" distB="0" distL="0" distR="0" wp14:anchorId="75553947" wp14:editId="61833D92">
            <wp:extent cx="5731510" cy="2550160"/>
            <wp:effectExtent l="0" t="0" r="0" b="254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550160"/>
                    </a:xfrm>
                    <a:prstGeom prst="rect">
                      <a:avLst/>
                    </a:prstGeom>
                  </pic:spPr>
                </pic:pic>
              </a:graphicData>
            </a:graphic>
          </wp:inline>
        </w:drawing>
      </w:r>
    </w:p>
    <w:p w14:paraId="63BBD9DA" w14:textId="77777777" w:rsidR="00AC3E6E" w:rsidRPr="006033F0" w:rsidRDefault="00AC3E6E" w:rsidP="00AC3E6E">
      <w:pPr>
        <w:jc w:val="center"/>
        <w:rPr>
          <w:rFonts w:ascii="Arial" w:hAnsi="Arial" w:cs="Arial"/>
          <w:b/>
          <w:bCs/>
          <w:sz w:val="28"/>
          <w:szCs w:val="28"/>
        </w:rPr>
      </w:pPr>
    </w:p>
    <w:p w14:paraId="38A15DDB" w14:textId="77777777" w:rsidR="00AC3E6E" w:rsidRPr="006033F0" w:rsidRDefault="00AC3E6E" w:rsidP="00AC3E6E">
      <w:pPr>
        <w:jc w:val="center"/>
        <w:rPr>
          <w:rFonts w:ascii="Arial" w:hAnsi="Arial" w:cs="Arial"/>
          <w:b/>
          <w:bCs/>
          <w:sz w:val="28"/>
          <w:szCs w:val="28"/>
        </w:rPr>
      </w:pPr>
    </w:p>
    <w:p w14:paraId="219A7659" w14:textId="77777777" w:rsidR="00AC3E6E" w:rsidRPr="006033F0" w:rsidRDefault="00AC3E6E" w:rsidP="00AC3E6E">
      <w:pPr>
        <w:jc w:val="center"/>
        <w:rPr>
          <w:rFonts w:ascii="Arial" w:hAnsi="Arial" w:cs="Arial"/>
          <w:b/>
          <w:bCs/>
          <w:sz w:val="28"/>
          <w:szCs w:val="28"/>
        </w:rPr>
      </w:pPr>
    </w:p>
    <w:p w14:paraId="3DBAFB5D" w14:textId="77777777" w:rsidR="00AC3E6E" w:rsidRPr="006033F0" w:rsidRDefault="00AC3E6E" w:rsidP="00AC3E6E">
      <w:pPr>
        <w:rPr>
          <w:rFonts w:ascii="Arial" w:hAnsi="Arial" w:cs="Arial"/>
          <w:b/>
          <w:bCs/>
          <w:sz w:val="40"/>
          <w:szCs w:val="40"/>
        </w:rPr>
      </w:pPr>
      <w:r w:rsidRPr="006033F0">
        <w:rPr>
          <w:rFonts w:ascii="Arial" w:hAnsi="Arial" w:cs="Arial"/>
          <w:b/>
          <w:bCs/>
          <w:sz w:val="40"/>
          <w:szCs w:val="40"/>
        </w:rPr>
        <w:t>COVER PAGE</w:t>
      </w:r>
    </w:p>
    <w:p w14:paraId="494A001E" w14:textId="77777777" w:rsidR="00AC3E6E" w:rsidRPr="006033F0" w:rsidRDefault="00AC3E6E" w:rsidP="00AC3E6E">
      <w:pPr>
        <w:jc w:val="center"/>
        <w:rPr>
          <w:rFonts w:ascii="Arial" w:hAnsi="Arial" w:cs="Arial"/>
          <w:b/>
          <w:bCs/>
          <w:sz w:val="28"/>
          <w:szCs w:val="28"/>
        </w:rPr>
      </w:pPr>
    </w:p>
    <w:p w14:paraId="30583F91" w14:textId="66833447" w:rsidR="00AC3E6E" w:rsidRPr="006033F0" w:rsidRDefault="00AC3E6E" w:rsidP="00AC3E6E">
      <w:pPr>
        <w:jc w:val="center"/>
        <w:rPr>
          <w:rFonts w:ascii="Arial" w:hAnsi="Arial" w:cs="Arial"/>
          <w:b/>
          <w:bCs/>
          <w:sz w:val="28"/>
          <w:szCs w:val="28"/>
        </w:rPr>
      </w:pPr>
      <w:r w:rsidRPr="006033F0">
        <w:rPr>
          <w:rFonts w:ascii="Arial" w:hAnsi="Arial" w:cs="Arial"/>
          <w:b/>
          <w:bCs/>
          <w:sz w:val="28"/>
          <w:szCs w:val="28"/>
        </w:rPr>
        <w:t>BMPH</w:t>
      </w:r>
      <w:r w:rsidRPr="006033F0">
        <w:rPr>
          <w:rFonts w:ascii="Arial" w:hAnsi="Arial" w:cs="Arial"/>
          <w:b/>
          <w:bCs/>
          <w:sz w:val="28"/>
          <w:szCs w:val="28"/>
        </w:rPr>
        <w:t>5019_BIRM</w:t>
      </w:r>
      <w:r w:rsidRPr="006033F0">
        <w:rPr>
          <w:rFonts w:ascii="Arial" w:hAnsi="Arial" w:cs="Arial"/>
          <w:b/>
          <w:bCs/>
          <w:sz w:val="28"/>
          <w:szCs w:val="28"/>
        </w:rPr>
        <w:t xml:space="preserve"> </w:t>
      </w:r>
    </w:p>
    <w:p w14:paraId="448B6B00" w14:textId="77777777" w:rsidR="00AC3E6E" w:rsidRPr="006033F0" w:rsidRDefault="00AC3E6E" w:rsidP="00AC3E6E">
      <w:pPr>
        <w:jc w:val="center"/>
        <w:rPr>
          <w:rFonts w:ascii="Arial" w:hAnsi="Arial" w:cs="Arial"/>
          <w:b/>
          <w:bCs/>
          <w:sz w:val="28"/>
          <w:szCs w:val="28"/>
        </w:rPr>
      </w:pPr>
    </w:p>
    <w:p w14:paraId="3394CA39" w14:textId="77777777" w:rsidR="00AC3E6E" w:rsidRPr="006033F0" w:rsidRDefault="00AC3E6E" w:rsidP="00AC3E6E">
      <w:pPr>
        <w:jc w:val="center"/>
        <w:rPr>
          <w:rFonts w:ascii="Arial" w:hAnsi="Arial" w:cs="Arial"/>
          <w:b/>
          <w:bCs/>
          <w:sz w:val="28"/>
          <w:szCs w:val="28"/>
        </w:rPr>
      </w:pPr>
    </w:p>
    <w:p w14:paraId="6E1EC3C5" w14:textId="77777777" w:rsidR="00AC3E6E" w:rsidRPr="006033F0" w:rsidRDefault="00AC3E6E" w:rsidP="00AC3E6E">
      <w:pPr>
        <w:jc w:val="center"/>
        <w:rPr>
          <w:rFonts w:ascii="Arial" w:hAnsi="Arial" w:cs="Arial"/>
          <w:b/>
          <w:bCs/>
          <w:sz w:val="28"/>
          <w:szCs w:val="28"/>
        </w:rPr>
      </w:pPr>
      <w:r w:rsidRPr="006033F0">
        <w:rPr>
          <w:rFonts w:ascii="Arial" w:hAnsi="Arial" w:cs="Arial"/>
          <w:b/>
          <w:bCs/>
          <w:sz w:val="28"/>
          <w:szCs w:val="28"/>
        </w:rPr>
        <w:t xml:space="preserve">Student Name: </w:t>
      </w:r>
      <w:proofErr w:type="spellStart"/>
      <w:r w:rsidRPr="006033F0">
        <w:rPr>
          <w:rFonts w:ascii="Arial" w:hAnsi="Arial" w:cs="Arial"/>
          <w:b/>
          <w:bCs/>
          <w:sz w:val="28"/>
          <w:szCs w:val="28"/>
        </w:rPr>
        <w:t>Hassana</w:t>
      </w:r>
      <w:proofErr w:type="spellEnd"/>
      <w:r w:rsidRPr="006033F0">
        <w:rPr>
          <w:rFonts w:ascii="Arial" w:hAnsi="Arial" w:cs="Arial"/>
          <w:b/>
          <w:bCs/>
          <w:sz w:val="28"/>
          <w:szCs w:val="28"/>
        </w:rPr>
        <w:t xml:space="preserve"> </w:t>
      </w:r>
      <w:proofErr w:type="spellStart"/>
      <w:r w:rsidRPr="006033F0">
        <w:rPr>
          <w:rFonts w:ascii="Arial" w:hAnsi="Arial" w:cs="Arial"/>
          <w:b/>
          <w:bCs/>
          <w:sz w:val="28"/>
          <w:szCs w:val="28"/>
        </w:rPr>
        <w:t>Allaiouti</w:t>
      </w:r>
      <w:proofErr w:type="spellEnd"/>
    </w:p>
    <w:p w14:paraId="2D495F51" w14:textId="77777777" w:rsidR="00AC3E6E" w:rsidRPr="006033F0" w:rsidRDefault="00AC3E6E" w:rsidP="00AC3E6E">
      <w:pPr>
        <w:jc w:val="center"/>
        <w:rPr>
          <w:rFonts w:ascii="Arial" w:hAnsi="Arial" w:cs="Arial"/>
          <w:b/>
          <w:bCs/>
          <w:sz w:val="28"/>
          <w:szCs w:val="28"/>
        </w:rPr>
      </w:pPr>
      <w:r w:rsidRPr="006033F0">
        <w:rPr>
          <w:rFonts w:ascii="Arial" w:hAnsi="Arial" w:cs="Arial"/>
          <w:b/>
          <w:bCs/>
          <w:sz w:val="28"/>
          <w:szCs w:val="28"/>
        </w:rPr>
        <w:t>Student Number: 2323005</w:t>
      </w:r>
    </w:p>
    <w:p w14:paraId="72DA7EEA" w14:textId="47EB8C37" w:rsidR="00AC3E6E" w:rsidRPr="006033F0" w:rsidRDefault="00AC3E6E" w:rsidP="00AC3E6E">
      <w:pPr>
        <w:jc w:val="center"/>
        <w:rPr>
          <w:rFonts w:ascii="Arial" w:hAnsi="Arial" w:cs="Arial"/>
          <w:b/>
          <w:bCs/>
          <w:sz w:val="28"/>
          <w:szCs w:val="28"/>
        </w:rPr>
      </w:pPr>
      <w:r w:rsidRPr="006033F0">
        <w:rPr>
          <w:rFonts w:ascii="Arial" w:hAnsi="Arial" w:cs="Arial"/>
          <w:b/>
          <w:bCs/>
          <w:sz w:val="28"/>
          <w:szCs w:val="28"/>
        </w:rPr>
        <w:t xml:space="preserve">Lecturer Name: </w:t>
      </w:r>
      <w:r w:rsidRPr="006033F0">
        <w:rPr>
          <w:rFonts w:ascii="Arial" w:hAnsi="Arial" w:cs="Arial"/>
          <w:b/>
          <w:bCs/>
          <w:sz w:val="28"/>
          <w:szCs w:val="28"/>
        </w:rPr>
        <w:t>Philip Jones</w:t>
      </w:r>
    </w:p>
    <w:p w14:paraId="1DCDFDFB" w14:textId="77777777" w:rsidR="00982160" w:rsidRPr="006033F0" w:rsidRDefault="00982160" w:rsidP="006A1FDD">
      <w:pPr>
        <w:pStyle w:val="Heading3"/>
        <w:rPr>
          <w:rFonts w:ascii="Arial" w:hAnsi="Arial" w:cs="Arial"/>
        </w:rPr>
      </w:pPr>
    </w:p>
    <w:p w14:paraId="34ABF938" w14:textId="77777777" w:rsidR="00982160" w:rsidRPr="006033F0" w:rsidRDefault="00982160">
      <w:pPr>
        <w:rPr>
          <w:rFonts w:ascii="Arial" w:eastAsiaTheme="majorEastAsia" w:hAnsi="Arial" w:cs="Arial"/>
          <w:color w:val="0F4761" w:themeColor="accent1" w:themeShade="BF"/>
          <w:sz w:val="28"/>
          <w:szCs w:val="28"/>
        </w:rPr>
      </w:pPr>
      <w:r w:rsidRPr="006033F0">
        <w:rPr>
          <w:rFonts w:ascii="Arial" w:hAnsi="Arial" w:cs="Arial"/>
        </w:rPr>
        <w:br w:type="page"/>
      </w:r>
    </w:p>
    <w:sdt>
      <w:sdtPr>
        <w:rPr>
          <w:rFonts w:ascii="Arial" w:eastAsiaTheme="minorHAnsi" w:hAnsi="Arial" w:cs="Arial"/>
          <w:color w:val="auto"/>
          <w:kern w:val="2"/>
          <w:sz w:val="22"/>
          <w:szCs w:val="22"/>
          <w:lang w:eastAsia="en-US"/>
          <w14:ligatures w14:val="standardContextual"/>
        </w:rPr>
        <w:id w:val="1990593022"/>
        <w:docPartObj>
          <w:docPartGallery w:val="Table of Contents"/>
          <w:docPartUnique/>
        </w:docPartObj>
      </w:sdtPr>
      <w:sdtEndPr>
        <w:rPr>
          <w:b/>
          <w:bCs/>
        </w:rPr>
      </w:sdtEndPr>
      <w:sdtContent>
        <w:p w14:paraId="6580DD74" w14:textId="4DB2A952" w:rsidR="00982160" w:rsidRPr="006033F0" w:rsidRDefault="00982160">
          <w:pPr>
            <w:pStyle w:val="TOCHeading"/>
            <w:rPr>
              <w:rFonts w:ascii="Arial" w:hAnsi="Arial" w:cs="Arial"/>
            </w:rPr>
          </w:pPr>
          <w:r w:rsidRPr="006033F0">
            <w:rPr>
              <w:rFonts w:ascii="Arial" w:hAnsi="Arial" w:cs="Arial"/>
            </w:rPr>
            <w:t>Contents</w:t>
          </w:r>
        </w:p>
        <w:p w14:paraId="2B7CB0A8" w14:textId="1476DB00" w:rsidR="00982160" w:rsidRPr="006033F0" w:rsidRDefault="00982160">
          <w:pPr>
            <w:pStyle w:val="TOC3"/>
            <w:tabs>
              <w:tab w:val="right" w:leader="dot" w:pos="9016"/>
            </w:tabs>
            <w:rPr>
              <w:rFonts w:ascii="Arial" w:hAnsi="Arial" w:cs="Arial"/>
              <w:noProof/>
            </w:rPr>
          </w:pPr>
          <w:r w:rsidRPr="006033F0">
            <w:rPr>
              <w:rFonts w:ascii="Arial" w:hAnsi="Arial" w:cs="Arial"/>
            </w:rPr>
            <w:fldChar w:fldCharType="begin"/>
          </w:r>
          <w:r w:rsidRPr="006033F0">
            <w:rPr>
              <w:rFonts w:ascii="Arial" w:hAnsi="Arial" w:cs="Arial"/>
            </w:rPr>
            <w:instrText xml:space="preserve"> TOC \o "1-3" \h \z \u </w:instrText>
          </w:r>
          <w:r w:rsidRPr="006033F0">
            <w:rPr>
              <w:rFonts w:ascii="Arial" w:hAnsi="Arial" w:cs="Arial"/>
            </w:rPr>
            <w:fldChar w:fldCharType="separate"/>
          </w:r>
          <w:hyperlink w:anchor="_Toc214166632" w:history="1">
            <w:r w:rsidRPr="006033F0">
              <w:rPr>
                <w:rStyle w:val="Hyperlink"/>
                <w:rFonts w:ascii="Arial" w:hAnsi="Arial" w:cs="Arial"/>
                <w:noProof/>
              </w:rPr>
              <w:t>INTRODUCTION</w:t>
            </w:r>
            <w:r w:rsidRPr="006033F0">
              <w:rPr>
                <w:rFonts w:ascii="Arial" w:hAnsi="Arial" w:cs="Arial"/>
                <w:noProof/>
                <w:webHidden/>
              </w:rPr>
              <w:tab/>
            </w:r>
            <w:r w:rsidRPr="006033F0">
              <w:rPr>
                <w:rFonts w:ascii="Arial" w:hAnsi="Arial" w:cs="Arial"/>
                <w:noProof/>
                <w:webHidden/>
              </w:rPr>
              <w:fldChar w:fldCharType="begin"/>
            </w:r>
            <w:r w:rsidRPr="006033F0">
              <w:rPr>
                <w:rFonts w:ascii="Arial" w:hAnsi="Arial" w:cs="Arial"/>
                <w:noProof/>
                <w:webHidden/>
              </w:rPr>
              <w:instrText xml:space="preserve"> PAGEREF _Toc214166632 \h </w:instrText>
            </w:r>
            <w:r w:rsidRPr="006033F0">
              <w:rPr>
                <w:rFonts w:ascii="Arial" w:hAnsi="Arial" w:cs="Arial"/>
                <w:noProof/>
                <w:webHidden/>
              </w:rPr>
            </w:r>
            <w:r w:rsidRPr="006033F0">
              <w:rPr>
                <w:rFonts w:ascii="Arial" w:hAnsi="Arial" w:cs="Arial"/>
                <w:noProof/>
                <w:webHidden/>
              </w:rPr>
              <w:fldChar w:fldCharType="separate"/>
            </w:r>
            <w:r w:rsidR="006033F0">
              <w:rPr>
                <w:rFonts w:ascii="Arial" w:hAnsi="Arial" w:cs="Arial"/>
                <w:noProof/>
                <w:webHidden/>
              </w:rPr>
              <w:t>3</w:t>
            </w:r>
            <w:r w:rsidRPr="006033F0">
              <w:rPr>
                <w:rFonts w:ascii="Arial" w:hAnsi="Arial" w:cs="Arial"/>
                <w:noProof/>
                <w:webHidden/>
              </w:rPr>
              <w:fldChar w:fldCharType="end"/>
            </w:r>
          </w:hyperlink>
        </w:p>
        <w:p w14:paraId="6991EBA1" w14:textId="06F5F801" w:rsidR="00982160" w:rsidRPr="006033F0" w:rsidRDefault="00000000">
          <w:pPr>
            <w:pStyle w:val="TOC3"/>
            <w:tabs>
              <w:tab w:val="right" w:leader="dot" w:pos="9016"/>
            </w:tabs>
            <w:rPr>
              <w:rFonts w:ascii="Arial" w:hAnsi="Arial" w:cs="Arial"/>
              <w:noProof/>
            </w:rPr>
          </w:pPr>
          <w:hyperlink w:anchor="_Toc214166633" w:history="1">
            <w:r w:rsidR="00982160" w:rsidRPr="006033F0">
              <w:rPr>
                <w:rStyle w:val="Hyperlink"/>
                <w:rFonts w:ascii="Arial" w:hAnsi="Arial" w:cs="Arial"/>
                <w:noProof/>
              </w:rPr>
              <w:t>BACKGROUND</w:t>
            </w:r>
            <w:r w:rsidR="00982160" w:rsidRPr="006033F0">
              <w:rPr>
                <w:rFonts w:ascii="Arial" w:hAnsi="Arial" w:cs="Arial"/>
                <w:noProof/>
                <w:webHidden/>
              </w:rPr>
              <w:tab/>
            </w:r>
            <w:r w:rsidR="00982160" w:rsidRPr="006033F0">
              <w:rPr>
                <w:rFonts w:ascii="Arial" w:hAnsi="Arial" w:cs="Arial"/>
                <w:noProof/>
                <w:webHidden/>
              </w:rPr>
              <w:fldChar w:fldCharType="begin"/>
            </w:r>
            <w:r w:rsidR="00982160" w:rsidRPr="006033F0">
              <w:rPr>
                <w:rFonts w:ascii="Arial" w:hAnsi="Arial" w:cs="Arial"/>
                <w:noProof/>
                <w:webHidden/>
              </w:rPr>
              <w:instrText xml:space="preserve"> PAGEREF _Toc214166633 \h </w:instrText>
            </w:r>
            <w:r w:rsidR="00982160" w:rsidRPr="006033F0">
              <w:rPr>
                <w:rFonts w:ascii="Arial" w:hAnsi="Arial" w:cs="Arial"/>
                <w:noProof/>
                <w:webHidden/>
              </w:rPr>
            </w:r>
            <w:r w:rsidR="00982160" w:rsidRPr="006033F0">
              <w:rPr>
                <w:rFonts w:ascii="Arial" w:hAnsi="Arial" w:cs="Arial"/>
                <w:noProof/>
                <w:webHidden/>
              </w:rPr>
              <w:fldChar w:fldCharType="separate"/>
            </w:r>
            <w:r w:rsidR="006033F0">
              <w:rPr>
                <w:rFonts w:ascii="Arial" w:hAnsi="Arial" w:cs="Arial"/>
                <w:noProof/>
                <w:webHidden/>
              </w:rPr>
              <w:t>3</w:t>
            </w:r>
            <w:r w:rsidR="00982160" w:rsidRPr="006033F0">
              <w:rPr>
                <w:rFonts w:ascii="Arial" w:hAnsi="Arial" w:cs="Arial"/>
                <w:noProof/>
                <w:webHidden/>
              </w:rPr>
              <w:fldChar w:fldCharType="end"/>
            </w:r>
          </w:hyperlink>
        </w:p>
        <w:p w14:paraId="1E096E16" w14:textId="701A21B2" w:rsidR="00982160" w:rsidRPr="006033F0" w:rsidRDefault="00000000">
          <w:pPr>
            <w:pStyle w:val="TOC3"/>
            <w:tabs>
              <w:tab w:val="right" w:leader="dot" w:pos="9016"/>
            </w:tabs>
            <w:rPr>
              <w:rFonts w:ascii="Arial" w:hAnsi="Arial" w:cs="Arial"/>
              <w:noProof/>
            </w:rPr>
          </w:pPr>
          <w:hyperlink w:anchor="_Toc214166634" w:history="1">
            <w:r w:rsidR="00982160" w:rsidRPr="006033F0">
              <w:rPr>
                <w:rStyle w:val="Hyperlink"/>
                <w:rFonts w:ascii="Arial" w:hAnsi="Arial" w:cs="Arial"/>
                <w:noProof/>
              </w:rPr>
              <w:t>METHODS</w:t>
            </w:r>
            <w:r w:rsidR="00982160" w:rsidRPr="006033F0">
              <w:rPr>
                <w:rFonts w:ascii="Arial" w:hAnsi="Arial" w:cs="Arial"/>
                <w:noProof/>
                <w:webHidden/>
              </w:rPr>
              <w:tab/>
            </w:r>
            <w:r w:rsidR="00982160" w:rsidRPr="006033F0">
              <w:rPr>
                <w:rFonts w:ascii="Arial" w:hAnsi="Arial" w:cs="Arial"/>
                <w:noProof/>
                <w:webHidden/>
              </w:rPr>
              <w:fldChar w:fldCharType="begin"/>
            </w:r>
            <w:r w:rsidR="00982160" w:rsidRPr="006033F0">
              <w:rPr>
                <w:rFonts w:ascii="Arial" w:hAnsi="Arial" w:cs="Arial"/>
                <w:noProof/>
                <w:webHidden/>
              </w:rPr>
              <w:instrText xml:space="preserve"> PAGEREF _Toc214166634 \h </w:instrText>
            </w:r>
            <w:r w:rsidR="00982160" w:rsidRPr="006033F0">
              <w:rPr>
                <w:rFonts w:ascii="Arial" w:hAnsi="Arial" w:cs="Arial"/>
                <w:noProof/>
                <w:webHidden/>
              </w:rPr>
            </w:r>
            <w:r w:rsidR="00982160" w:rsidRPr="006033F0">
              <w:rPr>
                <w:rFonts w:ascii="Arial" w:hAnsi="Arial" w:cs="Arial"/>
                <w:noProof/>
                <w:webHidden/>
              </w:rPr>
              <w:fldChar w:fldCharType="separate"/>
            </w:r>
            <w:r w:rsidR="006033F0">
              <w:rPr>
                <w:rFonts w:ascii="Arial" w:hAnsi="Arial" w:cs="Arial"/>
                <w:noProof/>
                <w:webHidden/>
              </w:rPr>
              <w:t>5</w:t>
            </w:r>
            <w:r w:rsidR="00982160" w:rsidRPr="006033F0">
              <w:rPr>
                <w:rFonts w:ascii="Arial" w:hAnsi="Arial" w:cs="Arial"/>
                <w:noProof/>
                <w:webHidden/>
              </w:rPr>
              <w:fldChar w:fldCharType="end"/>
            </w:r>
          </w:hyperlink>
        </w:p>
        <w:p w14:paraId="6AD0F95D" w14:textId="4700FDDA" w:rsidR="00982160" w:rsidRPr="006033F0" w:rsidRDefault="00000000">
          <w:pPr>
            <w:pStyle w:val="TOC3"/>
            <w:tabs>
              <w:tab w:val="right" w:leader="dot" w:pos="9016"/>
            </w:tabs>
            <w:rPr>
              <w:rFonts w:ascii="Arial" w:hAnsi="Arial" w:cs="Arial"/>
              <w:noProof/>
            </w:rPr>
          </w:pPr>
          <w:hyperlink w:anchor="_Toc214166635" w:history="1">
            <w:r w:rsidR="00982160" w:rsidRPr="006033F0">
              <w:rPr>
                <w:rStyle w:val="Hyperlink"/>
                <w:rFonts w:ascii="Arial" w:hAnsi="Arial" w:cs="Arial"/>
                <w:noProof/>
              </w:rPr>
              <w:t>RESULTS</w:t>
            </w:r>
            <w:r w:rsidR="00982160" w:rsidRPr="006033F0">
              <w:rPr>
                <w:rFonts w:ascii="Arial" w:hAnsi="Arial" w:cs="Arial"/>
                <w:noProof/>
                <w:webHidden/>
              </w:rPr>
              <w:tab/>
            </w:r>
            <w:r w:rsidR="00982160" w:rsidRPr="006033F0">
              <w:rPr>
                <w:rFonts w:ascii="Arial" w:hAnsi="Arial" w:cs="Arial"/>
                <w:noProof/>
                <w:webHidden/>
              </w:rPr>
              <w:fldChar w:fldCharType="begin"/>
            </w:r>
            <w:r w:rsidR="00982160" w:rsidRPr="006033F0">
              <w:rPr>
                <w:rFonts w:ascii="Arial" w:hAnsi="Arial" w:cs="Arial"/>
                <w:noProof/>
                <w:webHidden/>
              </w:rPr>
              <w:instrText xml:space="preserve"> PAGEREF _Toc214166635 \h </w:instrText>
            </w:r>
            <w:r w:rsidR="00982160" w:rsidRPr="006033F0">
              <w:rPr>
                <w:rFonts w:ascii="Arial" w:hAnsi="Arial" w:cs="Arial"/>
                <w:noProof/>
                <w:webHidden/>
              </w:rPr>
            </w:r>
            <w:r w:rsidR="00982160" w:rsidRPr="006033F0">
              <w:rPr>
                <w:rFonts w:ascii="Arial" w:hAnsi="Arial" w:cs="Arial"/>
                <w:noProof/>
                <w:webHidden/>
              </w:rPr>
              <w:fldChar w:fldCharType="separate"/>
            </w:r>
            <w:r w:rsidR="006033F0">
              <w:rPr>
                <w:rFonts w:ascii="Arial" w:hAnsi="Arial" w:cs="Arial"/>
                <w:noProof/>
                <w:webHidden/>
              </w:rPr>
              <w:t>6</w:t>
            </w:r>
            <w:r w:rsidR="00982160" w:rsidRPr="006033F0">
              <w:rPr>
                <w:rFonts w:ascii="Arial" w:hAnsi="Arial" w:cs="Arial"/>
                <w:noProof/>
                <w:webHidden/>
              </w:rPr>
              <w:fldChar w:fldCharType="end"/>
            </w:r>
          </w:hyperlink>
        </w:p>
        <w:p w14:paraId="6DFB478A" w14:textId="77FF56CB" w:rsidR="00982160" w:rsidRPr="006033F0" w:rsidRDefault="00000000">
          <w:pPr>
            <w:pStyle w:val="TOC3"/>
            <w:tabs>
              <w:tab w:val="right" w:leader="dot" w:pos="9016"/>
            </w:tabs>
            <w:rPr>
              <w:rFonts w:ascii="Arial" w:hAnsi="Arial" w:cs="Arial"/>
              <w:noProof/>
            </w:rPr>
          </w:pPr>
          <w:hyperlink w:anchor="_Toc214166636" w:history="1">
            <w:r w:rsidR="00982160" w:rsidRPr="006033F0">
              <w:rPr>
                <w:rStyle w:val="Hyperlink"/>
                <w:rFonts w:ascii="Arial" w:hAnsi="Arial" w:cs="Arial"/>
                <w:noProof/>
              </w:rPr>
              <w:t>DISCUSSION</w:t>
            </w:r>
            <w:r w:rsidR="00982160" w:rsidRPr="006033F0">
              <w:rPr>
                <w:rFonts w:ascii="Arial" w:hAnsi="Arial" w:cs="Arial"/>
                <w:noProof/>
                <w:webHidden/>
              </w:rPr>
              <w:tab/>
            </w:r>
            <w:r w:rsidR="00982160" w:rsidRPr="006033F0">
              <w:rPr>
                <w:rFonts w:ascii="Arial" w:hAnsi="Arial" w:cs="Arial"/>
                <w:noProof/>
                <w:webHidden/>
              </w:rPr>
              <w:fldChar w:fldCharType="begin"/>
            </w:r>
            <w:r w:rsidR="00982160" w:rsidRPr="006033F0">
              <w:rPr>
                <w:rFonts w:ascii="Arial" w:hAnsi="Arial" w:cs="Arial"/>
                <w:noProof/>
                <w:webHidden/>
              </w:rPr>
              <w:instrText xml:space="preserve"> PAGEREF _Toc214166636 \h </w:instrText>
            </w:r>
            <w:r w:rsidR="00982160" w:rsidRPr="006033F0">
              <w:rPr>
                <w:rFonts w:ascii="Arial" w:hAnsi="Arial" w:cs="Arial"/>
                <w:noProof/>
                <w:webHidden/>
              </w:rPr>
            </w:r>
            <w:r w:rsidR="00982160" w:rsidRPr="006033F0">
              <w:rPr>
                <w:rFonts w:ascii="Arial" w:hAnsi="Arial" w:cs="Arial"/>
                <w:noProof/>
                <w:webHidden/>
              </w:rPr>
              <w:fldChar w:fldCharType="separate"/>
            </w:r>
            <w:r w:rsidR="006033F0">
              <w:rPr>
                <w:rFonts w:ascii="Arial" w:hAnsi="Arial" w:cs="Arial"/>
                <w:noProof/>
                <w:webHidden/>
              </w:rPr>
              <w:t>7</w:t>
            </w:r>
            <w:r w:rsidR="00982160" w:rsidRPr="006033F0">
              <w:rPr>
                <w:rFonts w:ascii="Arial" w:hAnsi="Arial" w:cs="Arial"/>
                <w:noProof/>
                <w:webHidden/>
              </w:rPr>
              <w:fldChar w:fldCharType="end"/>
            </w:r>
          </w:hyperlink>
        </w:p>
        <w:p w14:paraId="5BF4628E" w14:textId="50A37782" w:rsidR="00982160" w:rsidRPr="006033F0" w:rsidRDefault="00000000">
          <w:pPr>
            <w:pStyle w:val="TOC3"/>
            <w:tabs>
              <w:tab w:val="right" w:leader="dot" w:pos="9016"/>
            </w:tabs>
            <w:rPr>
              <w:rFonts w:ascii="Arial" w:hAnsi="Arial" w:cs="Arial"/>
              <w:noProof/>
            </w:rPr>
          </w:pPr>
          <w:hyperlink w:anchor="_Toc214166637" w:history="1">
            <w:r w:rsidR="00982160" w:rsidRPr="006033F0">
              <w:rPr>
                <w:rStyle w:val="Hyperlink"/>
                <w:rFonts w:ascii="Arial" w:hAnsi="Arial" w:cs="Arial"/>
                <w:noProof/>
              </w:rPr>
              <w:t>CONCLUSION</w:t>
            </w:r>
            <w:r w:rsidR="00982160" w:rsidRPr="006033F0">
              <w:rPr>
                <w:rFonts w:ascii="Arial" w:hAnsi="Arial" w:cs="Arial"/>
                <w:noProof/>
                <w:webHidden/>
              </w:rPr>
              <w:tab/>
            </w:r>
            <w:r w:rsidR="00982160" w:rsidRPr="006033F0">
              <w:rPr>
                <w:rFonts w:ascii="Arial" w:hAnsi="Arial" w:cs="Arial"/>
                <w:noProof/>
                <w:webHidden/>
              </w:rPr>
              <w:fldChar w:fldCharType="begin"/>
            </w:r>
            <w:r w:rsidR="00982160" w:rsidRPr="006033F0">
              <w:rPr>
                <w:rFonts w:ascii="Arial" w:hAnsi="Arial" w:cs="Arial"/>
                <w:noProof/>
                <w:webHidden/>
              </w:rPr>
              <w:instrText xml:space="preserve"> PAGEREF _Toc214166637 \h </w:instrText>
            </w:r>
            <w:r w:rsidR="00982160" w:rsidRPr="006033F0">
              <w:rPr>
                <w:rFonts w:ascii="Arial" w:hAnsi="Arial" w:cs="Arial"/>
                <w:noProof/>
                <w:webHidden/>
              </w:rPr>
            </w:r>
            <w:r w:rsidR="00982160" w:rsidRPr="006033F0">
              <w:rPr>
                <w:rFonts w:ascii="Arial" w:hAnsi="Arial" w:cs="Arial"/>
                <w:noProof/>
                <w:webHidden/>
              </w:rPr>
              <w:fldChar w:fldCharType="separate"/>
            </w:r>
            <w:r w:rsidR="006033F0">
              <w:rPr>
                <w:rFonts w:ascii="Arial" w:hAnsi="Arial" w:cs="Arial"/>
                <w:noProof/>
                <w:webHidden/>
              </w:rPr>
              <w:t>9</w:t>
            </w:r>
            <w:r w:rsidR="00982160" w:rsidRPr="006033F0">
              <w:rPr>
                <w:rFonts w:ascii="Arial" w:hAnsi="Arial" w:cs="Arial"/>
                <w:noProof/>
                <w:webHidden/>
              </w:rPr>
              <w:fldChar w:fldCharType="end"/>
            </w:r>
          </w:hyperlink>
        </w:p>
        <w:p w14:paraId="4975D14E" w14:textId="0B774427" w:rsidR="00982160" w:rsidRPr="006033F0" w:rsidRDefault="00000000">
          <w:pPr>
            <w:pStyle w:val="TOC3"/>
            <w:tabs>
              <w:tab w:val="right" w:leader="dot" w:pos="9016"/>
            </w:tabs>
            <w:rPr>
              <w:rFonts w:ascii="Arial" w:hAnsi="Arial" w:cs="Arial"/>
              <w:noProof/>
            </w:rPr>
          </w:pPr>
          <w:hyperlink w:anchor="_Toc214166638" w:history="1">
            <w:r w:rsidR="00982160" w:rsidRPr="006033F0">
              <w:rPr>
                <w:rStyle w:val="Hyperlink"/>
                <w:rFonts w:ascii="Arial" w:hAnsi="Arial" w:cs="Arial"/>
                <w:noProof/>
              </w:rPr>
              <w:t>REFERENCE LIST</w:t>
            </w:r>
            <w:r w:rsidR="00982160" w:rsidRPr="006033F0">
              <w:rPr>
                <w:rFonts w:ascii="Arial" w:hAnsi="Arial" w:cs="Arial"/>
                <w:noProof/>
                <w:webHidden/>
              </w:rPr>
              <w:tab/>
            </w:r>
            <w:r w:rsidR="00982160" w:rsidRPr="006033F0">
              <w:rPr>
                <w:rFonts w:ascii="Arial" w:hAnsi="Arial" w:cs="Arial"/>
                <w:noProof/>
                <w:webHidden/>
              </w:rPr>
              <w:fldChar w:fldCharType="begin"/>
            </w:r>
            <w:r w:rsidR="00982160" w:rsidRPr="006033F0">
              <w:rPr>
                <w:rFonts w:ascii="Arial" w:hAnsi="Arial" w:cs="Arial"/>
                <w:noProof/>
                <w:webHidden/>
              </w:rPr>
              <w:instrText xml:space="preserve"> PAGEREF _Toc214166638 \h </w:instrText>
            </w:r>
            <w:r w:rsidR="00982160" w:rsidRPr="006033F0">
              <w:rPr>
                <w:rFonts w:ascii="Arial" w:hAnsi="Arial" w:cs="Arial"/>
                <w:noProof/>
                <w:webHidden/>
              </w:rPr>
            </w:r>
            <w:r w:rsidR="00982160" w:rsidRPr="006033F0">
              <w:rPr>
                <w:rFonts w:ascii="Arial" w:hAnsi="Arial" w:cs="Arial"/>
                <w:noProof/>
                <w:webHidden/>
              </w:rPr>
              <w:fldChar w:fldCharType="separate"/>
            </w:r>
            <w:r w:rsidR="006033F0">
              <w:rPr>
                <w:rFonts w:ascii="Arial" w:hAnsi="Arial" w:cs="Arial"/>
                <w:noProof/>
                <w:webHidden/>
              </w:rPr>
              <w:t>11</w:t>
            </w:r>
            <w:r w:rsidR="00982160" w:rsidRPr="006033F0">
              <w:rPr>
                <w:rFonts w:ascii="Arial" w:hAnsi="Arial" w:cs="Arial"/>
                <w:noProof/>
                <w:webHidden/>
              </w:rPr>
              <w:fldChar w:fldCharType="end"/>
            </w:r>
          </w:hyperlink>
        </w:p>
        <w:p w14:paraId="1BBCA8CC" w14:textId="58B9099D" w:rsidR="00982160" w:rsidRPr="006033F0" w:rsidRDefault="00982160">
          <w:pPr>
            <w:rPr>
              <w:rFonts w:ascii="Arial" w:hAnsi="Arial" w:cs="Arial"/>
            </w:rPr>
          </w:pPr>
          <w:r w:rsidRPr="006033F0">
            <w:rPr>
              <w:rFonts w:ascii="Arial" w:hAnsi="Arial" w:cs="Arial"/>
              <w:b/>
              <w:bCs/>
            </w:rPr>
            <w:fldChar w:fldCharType="end"/>
          </w:r>
        </w:p>
      </w:sdtContent>
    </w:sdt>
    <w:p w14:paraId="30260E68" w14:textId="77777777" w:rsidR="00982160" w:rsidRPr="006033F0" w:rsidRDefault="00982160" w:rsidP="006A1FDD">
      <w:pPr>
        <w:pStyle w:val="Heading3"/>
        <w:rPr>
          <w:rFonts w:ascii="Arial" w:hAnsi="Arial" w:cs="Arial"/>
        </w:rPr>
      </w:pPr>
    </w:p>
    <w:p w14:paraId="059FD123" w14:textId="77777777" w:rsidR="00982160" w:rsidRPr="006033F0" w:rsidRDefault="00982160">
      <w:pPr>
        <w:rPr>
          <w:rFonts w:ascii="Arial" w:eastAsiaTheme="majorEastAsia" w:hAnsi="Arial" w:cs="Arial"/>
          <w:color w:val="0F4761" w:themeColor="accent1" w:themeShade="BF"/>
          <w:sz w:val="28"/>
          <w:szCs w:val="28"/>
        </w:rPr>
      </w:pPr>
      <w:r w:rsidRPr="006033F0">
        <w:rPr>
          <w:rFonts w:ascii="Arial" w:hAnsi="Arial" w:cs="Arial"/>
        </w:rPr>
        <w:br w:type="page"/>
      </w:r>
    </w:p>
    <w:p w14:paraId="20F8E35B" w14:textId="2054EC0A" w:rsidR="006A1FDD" w:rsidRPr="006033F0" w:rsidRDefault="006A1FDD" w:rsidP="00982160">
      <w:pPr>
        <w:pStyle w:val="Heading3"/>
        <w:rPr>
          <w:rFonts w:ascii="Arial" w:hAnsi="Arial" w:cs="Arial"/>
        </w:rPr>
      </w:pPr>
      <w:bookmarkStart w:id="0" w:name="_Toc214166632"/>
      <w:r w:rsidRPr="006033F0">
        <w:rPr>
          <w:rFonts w:ascii="Arial" w:hAnsi="Arial" w:cs="Arial"/>
        </w:rPr>
        <w:lastRenderedPageBreak/>
        <w:t>INTRODUCTION</w:t>
      </w:r>
      <w:bookmarkEnd w:id="0"/>
    </w:p>
    <w:p w14:paraId="3D22A0D1" w14:textId="7EB43233" w:rsidR="006A1FDD" w:rsidRPr="006033F0" w:rsidRDefault="006A1FDD" w:rsidP="006A1FDD">
      <w:pPr>
        <w:spacing w:line="360" w:lineRule="auto"/>
        <w:rPr>
          <w:rFonts w:ascii="Arial" w:hAnsi="Arial" w:cs="Arial"/>
        </w:rPr>
      </w:pPr>
      <w:r w:rsidRPr="006033F0">
        <w:rPr>
          <w:rFonts w:ascii="Arial" w:hAnsi="Arial" w:cs="Arial"/>
        </w:rPr>
        <w:t xml:space="preserve">Public attitudes toward health and nutrition are the perceptions, views, and values that shape people's relationship to food, diet choices, and interpretation of health messages. </w:t>
      </w:r>
      <w:r w:rsidR="00CC19DF" w:rsidRPr="006033F0">
        <w:rPr>
          <w:rFonts w:ascii="Arial" w:hAnsi="Arial" w:cs="Arial"/>
        </w:rPr>
        <w:t>These attitudes do not develop in isolation, but rather are shaped by social and cultural norms, economic constraints, education, and the wider food environment (PHE 2019). A useful understanding of attitudes, as they will impact the success of national dietary guidelines, public health campaigns and policy interventions (NHS England 2023</w:t>
      </w:r>
      <w:proofErr w:type="gramStart"/>
      <w:r w:rsidR="00CC19DF" w:rsidRPr="006033F0">
        <w:rPr>
          <w:rFonts w:ascii="Arial" w:hAnsi="Arial" w:cs="Arial"/>
        </w:rPr>
        <w:t>).</w:t>
      </w:r>
      <w:r w:rsidRPr="006033F0">
        <w:rPr>
          <w:rFonts w:ascii="Arial" w:hAnsi="Arial" w:cs="Arial"/>
        </w:rPr>
        <w:t>The</w:t>
      </w:r>
      <w:proofErr w:type="gramEnd"/>
      <w:r w:rsidRPr="006033F0">
        <w:rPr>
          <w:rFonts w:ascii="Arial" w:hAnsi="Arial" w:cs="Arial"/>
        </w:rPr>
        <w:t xml:space="preserve"> need for this review arises from growing concern about diet-related diseases, persisting inequalities in access to healthy food, and increasing confusion among the public because of inconsistent or competing nutrition messages (British Nutrition Foundation 2022). More clarity is needed on how people think about health and nutrition to effectively inform policy and communication.</w:t>
      </w:r>
    </w:p>
    <w:p w14:paraId="753228D2" w14:textId="40CF1AB7" w:rsidR="00982160" w:rsidRPr="006033F0" w:rsidRDefault="006A1FDD" w:rsidP="006A1FDD">
      <w:pPr>
        <w:spacing w:line="360" w:lineRule="auto"/>
        <w:rPr>
          <w:rFonts w:ascii="Arial" w:hAnsi="Arial" w:cs="Arial"/>
        </w:rPr>
      </w:pPr>
      <w:r w:rsidRPr="006033F0">
        <w:rPr>
          <w:rFonts w:ascii="Arial" w:hAnsi="Arial" w:cs="Arial"/>
        </w:rPr>
        <w:t>This scoping review maps the existing evidence on public attitudes in the UK, examining how research on these attitudes has been conducted. In this way, it will critically analyse what is currently known, identify recurring patterns, and highlight areas that require further research. Four research questions addressed in this review are: what is known about public attitudes to health and nutrition, and how these attitudes have been investigated; what themes or trends emerge; and where significant gaps in knowledge remain. Overall, this should inform future practice and make recommendations for more effective and equitable public health strategies.</w:t>
      </w:r>
    </w:p>
    <w:p w14:paraId="20C3E0C9" w14:textId="77777777" w:rsidR="00982160" w:rsidRPr="006033F0" w:rsidRDefault="00982160" w:rsidP="006A1FDD">
      <w:pPr>
        <w:spacing w:line="360" w:lineRule="auto"/>
        <w:rPr>
          <w:rFonts w:ascii="Arial" w:hAnsi="Arial" w:cs="Arial"/>
        </w:rPr>
      </w:pPr>
    </w:p>
    <w:p w14:paraId="22DB6F31" w14:textId="34DFC965" w:rsidR="00982160" w:rsidRPr="006033F0" w:rsidRDefault="006A1FDD" w:rsidP="00982160">
      <w:pPr>
        <w:pStyle w:val="Heading3"/>
        <w:rPr>
          <w:rFonts w:ascii="Arial" w:hAnsi="Arial" w:cs="Arial"/>
        </w:rPr>
      </w:pPr>
      <w:bookmarkStart w:id="1" w:name="_Toc214166633"/>
      <w:r w:rsidRPr="006033F0">
        <w:rPr>
          <w:rFonts w:ascii="Arial" w:hAnsi="Arial" w:cs="Arial"/>
        </w:rPr>
        <w:t>BACKGROUND</w:t>
      </w:r>
      <w:bookmarkEnd w:id="1"/>
    </w:p>
    <w:p w14:paraId="76850E22" w14:textId="065790CB" w:rsidR="006A1FDD" w:rsidRPr="006033F0" w:rsidRDefault="006A1FDD" w:rsidP="006A1FDD">
      <w:pPr>
        <w:spacing w:line="360" w:lineRule="auto"/>
        <w:rPr>
          <w:rFonts w:ascii="Arial" w:hAnsi="Arial" w:cs="Arial"/>
        </w:rPr>
      </w:pPr>
      <w:r w:rsidRPr="006033F0">
        <w:rPr>
          <w:rFonts w:ascii="Arial" w:hAnsi="Arial" w:cs="Arial"/>
        </w:rPr>
        <w:t xml:space="preserve">The health and nutrition landscape within the UK is shaped by a variety of national policy frameworks, legislative measures, public health campaigns, and broader socioeconomic trends. </w:t>
      </w:r>
      <w:r w:rsidR="00CC19DF" w:rsidRPr="006033F0">
        <w:rPr>
          <w:rFonts w:ascii="Arial" w:hAnsi="Arial" w:cs="Arial"/>
        </w:rPr>
        <w:t>In recent decades, public health nutrition has continued to be a significant concern due to the increased prevalence of food insecurity and obesity, persistent health inequities, and ongoing pressures on the National Health Service as a result of food-related diseases (Public Health England 2019; Marmot et al. 2020). Policies and guidelines therefore encompass education, better access to healthier food, and specific interventions targeting the most vulnerable groups to improve population health</w:t>
      </w:r>
      <w:r w:rsidRPr="006033F0">
        <w:rPr>
          <w:rFonts w:ascii="Arial" w:hAnsi="Arial" w:cs="Arial"/>
        </w:rPr>
        <w:t>. A salient example is the Eatwell Guide (NHS 2016), which, in a visual format, shows the proportions of different types of food that should be consumed. From October 2022, further interventionist restrictions have come into force, along with phase-in pricing regulations to make less healthy food options less attractive (Department of Health and Social Care 2022).</w:t>
      </w:r>
    </w:p>
    <w:p w14:paraId="52E35C4D" w14:textId="77777777" w:rsidR="00CC19DF" w:rsidRPr="006033F0" w:rsidRDefault="006A1FDD" w:rsidP="00CC19DF">
      <w:pPr>
        <w:spacing w:line="360" w:lineRule="auto"/>
        <w:rPr>
          <w:rFonts w:ascii="Arial" w:hAnsi="Arial" w:cs="Arial"/>
        </w:rPr>
      </w:pPr>
      <w:r w:rsidRPr="006033F0">
        <w:rPr>
          <w:rFonts w:ascii="Arial" w:hAnsi="Arial" w:cs="Arial"/>
        </w:rPr>
        <w:lastRenderedPageBreak/>
        <w:t xml:space="preserve">In addition to retailer measures, advertising restrictions have been introduced to restrict the marketing of junk foods to children before 9pm on television and throughout digital media. For the first time, this approach marks a move away from merely disseminating information to using structural food environmental modifications to drive dietary changes among the population (House of Commons Library 2023). Fiscal measures have also achieved notable successes. For instance, the Soft Drinks Industry Levy, established earlier in the decade, saw product reformulation and a reduction in the purchase of sugar from drinks. </w:t>
      </w:r>
      <w:r w:rsidR="00CC19DF" w:rsidRPr="006033F0">
        <w:rPr>
          <w:rFonts w:ascii="Arial" w:hAnsi="Arial" w:cs="Arial"/>
        </w:rPr>
        <w:t>Its structure and effect on the health of the population and health inequalities remain under review in ongoing policy documents (HM Treasury 2018; Scarborough et al. 2020).</w:t>
      </w:r>
    </w:p>
    <w:p w14:paraId="2FEB56DC" w14:textId="77777777" w:rsidR="00CC19DF" w:rsidRPr="006033F0" w:rsidRDefault="00CC19DF" w:rsidP="00CC19DF">
      <w:pPr>
        <w:spacing w:line="360" w:lineRule="auto"/>
        <w:rPr>
          <w:rFonts w:ascii="Arial" w:hAnsi="Arial" w:cs="Arial"/>
        </w:rPr>
      </w:pPr>
      <w:r w:rsidRPr="006033F0">
        <w:rPr>
          <w:rFonts w:ascii="Arial" w:hAnsi="Arial" w:cs="Arial"/>
        </w:rPr>
        <w:t>Independent reviews and reports, such as the National Food Strategy, have widened the debate to encompass nutrition in regards to food system sustainability. These have also suggested fiscal measures, for instance, imposing a tax on salt and sugar in order to foster the broader objectives of food security and equity.</w:t>
      </w:r>
      <w:r w:rsidR="006A1FDD" w:rsidRPr="006033F0">
        <w:rPr>
          <w:rFonts w:ascii="Arial" w:hAnsi="Arial" w:cs="Arial"/>
        </w:rPr>
        <w:t xml:space="preserve"> These propositions have sparked heated debate among industry stakeholders, public health advocates, and policymakers over where the balance between regulation and personal freedom should lie (National Food Strategy 2021; Lang 2020). </w:t>
      </w:r>
      <w:r w:rsidRPr="006033F0">
        <w:rPr>
          <w:rFonts w:ascii="Arial" w:hAnsi="Arial" w:cs="Arial"/>
        </w:rPr>
        <w:t>The Food Standards Agency and devolved public health agencies routinely track consumer attitudes and behaviours. These trackers highlight that, while most consumers indicate that they do consider diet and health to some extent, it is also clear that there are often substantial gaps between people’s intentions and their behaviours, based primarily on prices, convenience, and the food retail environment (FSA 2023; YouGov 2022).</w:t>
      </w:r>
    </w:p>
    <w:p w14:paraId="5707EEFF" w14:textId="77777777" w:rsidR="00CC19DF" w:rsidRPr="006033F0" w:rsidRDefault="00CC19DF" w:rsidP="00CC19DF">
      <w:pPr>
        <w:spacing w:line="360" w:lineRule="auto"/>
        <w:rPr>
          <w:rFonts w:ascii="Arial" w:hAnsi="Arial" w:cs="Arial"/>
        </w:rPr>
      </w:pPr>
      <w:r w:rsidRPr="006033F0">
        <w:rPr>
          <w:rFonts w:ascii="Arial" w:hAnsi="Arial" w:cs="Arial"/>
        </w:rPr>
        <w:t>In terms of research into public attitudes and opinions, it is evident that health is commonly positioned, from a consumer viewpoint, as balancing health and a series of other practical trade-offs that rely on cost and time pressures. Consequently, at the very least, information policies will be ineffective, if not combined with consideration of the economic and structural determinants of behaviour (FSA 2023; YouGov 2022</w:t>
      </w:r>
      <w:proofErr w:type="gramStart"/>
      <w:r w:rsidRPr="006033F0">
        <w:rPr>
          <w:rFonts w:ascii="Arial" w:hAnsi="Arial" w:cs="Arial"/>
        </w:rPr>
        <w:t>).</w:t>
      </w:r>
      <w:r w:rsidR="006A1FDD" w:rsidRPr="006033F0">
        <w:rPr>
          <w:rFonts w:ascii="Arial" w:hAnsi="Arial" w:cs="Arial"/>
        </w:rPr>
        <w:t>Legal</w:t>
      </w:r>
      <w:proofErr w:type="gramEnd"/>
      <w:r w:rsidR="006A1FDD" w:rsidRPr="006033F0">
        <w:rPr>
          <w:rFonts w:ascii="Arial" w:hAnsi="Arial" w:cs="Arial"/>
        </w:rPr>
        <w:t xml:space="preserve"> opposition from large food manufacturers to regulatory initiatives highlights implementation tensions and reflects industry actors' efforts to contest rules seen as limiting market access and brand advertising. </w:t>
      </w:r>
      <w:r w:rsidRPr="006033F0">
        <w:rPr>
          <w:rFonts w:ascii="Arial" w:hAnsi="Arial" w:cs="Arial"/>
        </w:rPr>
        <w:t>Conflicts can stall the process and limit the breadth of policy (Competition and Markets Authority 2022). At the same time, public health agencies all report that inequalities in health linked to diet, grounded in relativities of variation of diet-related diseases as a result of stark socioeconomic, warrant an approach from government taking action across multiple priorities; health education, primary care and local authority functions (Public Health England 2019).</w:t>
      </w:r>
    </w:p>
    <w:p w14:paraId="7C704665" w14:textId="666892C3" w:rsidR="006A1FDD" w:rsidRPr="006033F0" w:rsidRDefault="00CC19DF" w:rsidP="00CC19DF">
      <w:pPr>
        <w:spacing w:line="360" w:lineRule="auto"/>
        <w:rPr>
          <w:rFonts w:ascii="Arial" w:hAnsi="Arial" w:cs="Arial"/>
        </w:rPr>
      </w:pPr>
      <w:r w:rsidRPr="006033F0">
        <w:rPr>
          <w:rFonts w:ascii="Arial" w:hAnsi="Arial" w:cs="Arial"/>
        </w:rPr>
        <w:t xml:space="preserve">There is now a key mass of evidence from natural experiments and evaluations that a sustained change in price, position (with the placement of healthy food in stores), and tax, </w:t>
      </w:r>
      <w:r w:rsidRPr="006033F0">
        <w:rPr>
          <w:rFonts w:ascii="Arial" w:hAnsi="Arial" w:cs="Arial"/>
        </w:rPr>
        <w:lastRenderedPageBreak/>
        <w:t xml:space="preserve">along with initiatives improving access and affordability of healthy foods can positively change the population health outcomes (Scarborough et al. 2020; Briggs et al. 2017). There is a general appetite for the population to want to eat healthier however, wider pragmatic realities, along with the complexity of the policy landscape can moderate these preferences. </w:t>
      </w:r>
      <w:r w:rsidR="006A1FDD" w:rsidRPr="006033F0">
        <w:rPr>
          <w:rFonts w:ascii="Arial" w:hAnsi="Arial" w:cs="Arial"/>
        </w:rPr>
        <w:t>Recent survey data indicate that concerns about living costs are driving growing interest in policies that make healthy food more affordable (FSA 2023). This also calls for greater accountability from government and industry for reformulation, sustainability, and transparent nutrition labelling, further influencing the dynamic relationship between consumers and the national food system (National Audit Office 2022).</w:t>
      </w:r>
    </w:p>
    <w:p w14:paraId="4B52A051" w14:textId="77777777" w:rsidR="00982160" w:rsidRPr="006033F0" w:rsidRDefault="00982160" w:rsidP="006A1FDD">
      <w:pPr>
        <w:spacing w:line="360" w:lineRule="auto"/>
        <w:rPr>
          <w:rFonts w:ascii="Arial" w:hAnsi="Arial" w:cs="Arial"/>
        </w:rPr>
      </w:pPr>
    </w:p>
    <w:p w14:paraId="6F2D553F" w14:textId="332BEAD6" w:rsidR="00982160" w:rsidRPr="006033F0" w:rsidRDefault="006A1FDD" w:rsidP="00982160">
      <w:pPr>
        <w:pStyle w:val="Heading3"/>
        <w:rPr>
          <w:rFonts w:ascii="Arial" w:hAnsi="Arial" w:cs="Arial"/>
        </w:rPr>
      </w:pPr>
      <w:bookmarkStart w:id="2" w:name="_Toc214166634"/>
      <w:r w:rsidRPr="006033F0">
        <w:rPr>
          <w:rFonts w:ascii="Arial" w:hAnsi="Arial" w:cs="Arial"/>
        </w:rPr>
        <w:t>METHODS</w:t>
      </w:r>
      <w:bookmarkEnd w:id="2"/>
    </w:p>
    <w:p w14:paraId="721D8063" w14:textId="77777777" w:rsidR="006A1FDD" w:rsidRPr="006033F0" w:rsidRDefault="006A1FDD" w:rsidP="006A1FDD">
      <w:pPr>
        <w:spacing w:line="360" w:lineRule="auto"/>
        <w:rPr>
          <w:rFonts w:ascii="Arial" w:hAnsi="Arial" w:cs="Arial"/>
        </w:rPr>
      </w:pPr>
      <w:r w:rsidRPr="006033F0">
        <w:rPr>
          <w:rFonts w:ascii="Arial" w:hAnsi="Arial" w:cs="Arial"/>
        </w:rPr>
        <w:t>The methods for this scoping review have aimed to provide clarity, rigour, and transparency in examining the evidence on public attitudes, beliefs, and perceptions about health and nutrition in the United Kingdom. Data collection was initiated by conducting a structured search of major academic databases: PubMed, Scopus, Web of Science, PsycINFO, and CINAHL, due to their strong coverage of health, behavioural, and social science literature. Grey literature was included through Google Scholar, WHO publications, FAO reports, and relevant governmental policy documents, following guidance on comprehensive scoping review methods (Arksey and O Malley 2005). The inclusion of hand searching of reference lists of included studies ensured that important sources not captured through database searches were identified. A combination of keywords and Boolean operators, as seen below, was tailored to each database and consisted of words such as public attitudes, perception, belief, opinion, or view, AND health, nutrition, diet, or food, to retrieve those studies focused on the views and experiences concerning nutrition and health.</w:t>
      </w:r>
    </w:p>
    <w:p w14:paraId="70D33CFD" w14:textId="5F0DA2CD" w:rsidR="006A1FDD" w:rsidRPr="006033F0" w:rsidRDefault="006A1FDD" w:rsidP="006A1FDD">
      <w:pPr>
        <w:spacing w:line="360" w:lineRule="auto"/>
        <w:rPr>
          <w:rFonts w:ascii="Arial" w:hAnsi="Arial" w:cs="Arial"/>
        </w:rPr>
      </w:pPr>
      <w:r w:rsidRPr="006033F0">
        <w:rPr>
          <w:rFonts w:ascii="Arial" w:hAnsi="Arial" w:cs="Arial"/>
        </w:rPr>
        <w:t xml:space="preserve">Clear inclusion and exclusion criteria guided source selection to ensure relevance and quality. </w:t>
      </w:r>
      <w:r w:rsidR="00CC19DF" w:rsidRPr="006033F0">
        <w:rPr>
          <w:rFonts w:ascii="Arial" w:hAnsi="Arial" w:cs="Arial"/>
        </w:rPr>
        <w:t>Studies were included if they examined attitudes, beliefs, perceptions, or opinions regarding health or nutrition and included a general public audience. All study designs were considered, including qualitative, quantitative, mixed-method studies and reviews, primary peer-reviewed articles, reports, and other grey literature published between 2000 and 2025, to capture contemporary viewpoints.</w:t>
      </w:r>
      <w:r w:rsidRPr="006033F0">
        <w:rPr>
          <w:rFonts w:ascii="Arial" w:hAnsi="Arial" w:cs="Arial"/>
        </w:rPr>
        <w:t xml:space="preserve"> Studies were excluded if they focused only on clinical populations, examined biomedical mechanisms without analysing public attitudes, involved non-human subjects, lacked empirical evidence, were not conducted in the UK, or were not written in English.</w:t>
      </w:r>
    </w:p>
    <w:p w14:paraId="570DD851" w14:textId="29CE234A" w:rsidR="006A1FDD" w:rsidRPr="006033F0" w:rsidRDefault="006A1FDD" w:rsidP="006A1FDD">
      <w:pPr>
        <w:spacing w:line="360" w:lineRule="auto"/>
        <w:rPr>
          <w:rFonts w:ascii="Arial" w:hAnsi="Arial" w:cs="Arial"/>
        </w:rPr>
      </w:pPr>
      <w:r w:rsidRPr="006033F0">
        <w:rPr>
          <w:rFonts w:ascii="Arial" w:hAnsi="Arial" w:cs="Arial"/>
        </w:rPr>
        <w:t xml:space="preserve">Study selection followed a two-stage process aligned with best practice methodology (Peters et al. 2020). Data charting involved extracting key characteristics including bibliographic </w:t>
      </w:r>
      <w:r w:rsidRPr="006033F0">
        <w:rPr>
          <w:rFonts w:ascii="Arial" w:hAnsi="Arial" w:cs="Arial"/>
        </w:rPr>
        <w:lastRenderedPageBreak/>
        <w:t xml:space="preserve">details, aims, population details, study design, findings, influencing factors, and research gaps. Thematic synthesis was used to interpret and integrate findings across studies, chosen for its flexibility and utility in organising diverse evidence (Braun and Clarke 2006). Themes included cultural food norms, media influences, socioeconomic barriers, and shifting perceptions of health. Ethical considerations were upheld through transparency, accurate reporting, and adherence to academic integrity in line with </w:t>
      </w:r>
      <w:proofErr w:type="spellStart"/>
      <w:r w:rsidRPr="006033F0">
        <w:rPr>
          <w:rFonts w:ascii="Arial" w:hAnsi="Arial" w:cs="Arial"/>
        </w:rPr>
        <w:t>Tricco</w:t>
      </w:r>
      <w:proofErr w:type="spellEnd"/>
      <w:r w:rsidRPr="006033F0">
        <w:rPr>
          <w:rFonts w:ascii="Arial" w:hAnsi="Arial" w:cs="Arial"/>
        </w:rPr>
        <w:t xml:space="preserve"> et al. (2018).</w:t>
      </w:r>
    </w:p>
    <w:p w14:paraId="55C3F117" w14:textId="77777777" w:rsidR="00982160" w:rsidRPr="006033F0" w:rsidRDefault="00982160" w:rsidP="006A1FDD">
      <w:pPr>
        <w:spacing w:line="360" w:lineRule="auto"/>
        <w:rPr>
          <w:rFonts w:ascii="Arial" w:hAnsi="Arial" w:cs="Arial"/>
        </w:rPr>
      </w:pPr>
    </w:p>
    <w:p w14:paraId="1CDE1BE7" w14:textId="5904F045" w:rsidR="00982160" w:rsidRPr="006033F0" w:rsidRDefault="006A1FDD" w:rsidP="00982160">
      <w:pPr>
        <w:pStyle w:val="Heading3"/>
        <w:rPr>
          <w:rFonts w:ascii="Arial" w:hAnsi="Arial" w:cs="Arial"/>
        </w:rPr>
      </w:pPr>
      <w:bookmarkStart w:id="3" w:name="_Toc214166635"/>
      <w:r w:rsidRPr="006033F0">
        <w:rPr>
          <w:rFonts w:ascii="Arial" w:hAnsi="Arial" w:cs="Arial"/>
        </w:rPr>
        <w:t>RESULTS</w:t>
      </w:r>
      <w:bookmarkEnd w:id="3"/>
    </w:p>
    <w:p w14:paraId="11AEFB6C" w14:textId="77777777" w:rsidR="00C725AB" w:rsidRPr="006033F0" w:rsidRDefault="00C725AB" w:rsidP="00C725AB">
      <w:pPr>
        <w:spacing w:line="360" w:lineRule="auto"/>
        <w:rPr>
          <w:rFonts w:ascii="Arial" w:hAnsi="Arial" w:cs="Arial"/>
        </w:rPr>
      </w:pPr>
      <w:r w:rsidRPr="006033F0">
        <w:rPr>
          <w:rFonts w:ascii="Arial" w:hAnsi="Arial" w:cs="Arial"/>
        </w:rPr>
        <w:t>These interrelated themes are reflected among the articles included in the scoping review and indicate how the UK public interacts with nutrition information, develops attitudes about healthy eating, and reacts to the larger food environment.</w:t>
      </w:r>
      <w:r w:rsidR="006A1FDD" w:rsidRPr="006033F0">
        <w:rPr>
          <w:rFonts w:ascii="Arial" w:hAnsi="Arial" w:cs="Arial"/>
        </w:rPr>
        <w:t xml:space="preserve"> The evidence consistently indicates that nutrition knowledge alone does not automatically result in healthier dietary behaviour but interacts with a range of cognitive, social, and structural influences. </w:t>
      </w:r>
      <w:r w:rsidRPr="006033F0">
        <w:rPr>
          <w:rFonts w:ascii="Arial" w:hAnsi="Arial" w:cs="Arial"/>
        </w:rPr>
        <w:t xml:space="preserve">An example of this is provided by Cooke and </w:t>
      </w:r>
      <w:proofErr w:type="spellStart"/>
      <w:r w:rsidRPr="006033F0">
        <w:rPr>
          <w:rFonts w:ascii="Arial" w:hAnsi="Arial" w:cs="Arial"/>
        </w:rPr>
        <w:t>Papadaki</w:t>
      </w:r>
      <w:proofErr w:type="spellEnd"/>
      <w:r w:rsidRPr="006033F0">
        <w:rPr>
          <w:rFonts w:ascii="Arial" w:hAnsi="Arial" w:cs="Arial"/>
        </w:rPr>
        <w:t xml:space="preserve"> (2014) in their study about how university students in the UK respond to nutrition label information as an interface between their knowledge of nutrition and dietary quality. Cooke and </w:t>
      </w:r>
      <w:proofErr w:type="spellStart"/>
      <w:r w:rsidRPr="006033F0">
        <w:rPr>
          <w:rFonts w:ascii="Arial" w:hAnsi="Arial" w:cs="Arial"/>
        </w:rPr>
        <w:t>Papadaki</w:t>
      </w:r>
      <w:proofErr w:type="spellEnd"/>
      <w:r w:rsidRPr="006033F0">
        <w:rPr>
          <w:rFonts w:ascii="Arial" w:hAnsi="Arial" w:cs="Arial"/>
        </w:rPr>
        <w:t xml:space="preserve"> find that young adults with an understanding of nutrition, when they attempted to apply their understanding by using nutrition labels in their supermarket purchasing decisions, were more likely to make healthier food selections. Nutrition labels serve as a tool for individuals to enhance their decision-making abilities and facilitate informed choices. </w:t>
      </w:r>
    </w:p>
    <w:p w14:paraId="72800FB5" w14:textId="00F010AA" w:rsidR="006A1FDD" w:rsidRPr="006033F0" w:rsidRDefault="00C725AB" w:rsidP="00C725AB">
      <w:pPr>
        <w:spacing w:line="360" w:lineRule="auto"/>
        <w:rPr>
          <w:rFonts w:ascii="Arial" w:hAnsi="Arial" w:cs="Arial"/>
        </w:rPr>
      </w:pPr>
      <w:r w:rsidRPr="006033F0">
        <w:rPr>
          <w:rFonts w:ascii="Arial" w:hAnsi="Arial" w:cs="Arial"/>
        </w:rPr>
        <w:t xml:space="preserve">The second theme relates to differences in the general understanding of nutrition-related concepts between public perceptions and individuals with training and education about nutrition, especially in regards to nutrition labels and functional foods. </w:t>
      </w:r>
      <w:proofErr w:type="spellStart"/>
      <w:r w:rsidRPr="006033F0">
        <w:rPr>
          <w:rFonts w:ascii="Arial" w:hAnsi="Arial" w:cs="Arial"/>
        </w:rPr>
        <w:t>McConnon</w:t>
      </w:r>
      <w:proofErr w:type="spellEnd"/>
      <w:r w:rsidRPr="006033F0">
        <w:rPr>
          <w:rFonts w:ascii="Arial" w:hAnsi="Arial" w:cs="Arial"/>
        </w:rPr>
        <w:t xml:space="preserve"> et al. (2003/2004) investigated functional food perceptions in the public health space in comparison with registered dietitians. This comparison demonstrates a size-able gap in perception and understanding related to nutrition: registered dietitians often view functional foods from research-based health perspectives, while various public members evaluated functional foods based on marketing and general beliefs about food being 'natural' or itself, 'healthy'.</w:t>
      </w:r>
      <w:r w:rsidR="006A1FDD" w:rsidRPr="006033F0">
        <w:rPr>
          <w:rFonts w:ascii="Arial" w:hAnsi="Arial" w:cs="Arial"/>
        </w:rPr>
        <w:t xml:space="preserve"> This disconnects between expert and lay interpretations may impact purchasing decisions and attitudes toward new food products.</w:t>
      </w:r>
    </w:p>
    <w:p w14:paraId="35E79907" w14:textId="77777777" w:rsidR="006A1FDD" w:rsidRPr="006033F0" w:rsidRDefault="006A1FDD" w:rsidP="006A1FDD">
      <w:pPr>
        <w:spacing w:line="360" w:lineRule="auto"/>
        <w:rPr>
          <w:rFonts w:ascii="Arial" w:hAnsi="Arial" w:cs="Arial"/>
        </w:rPr>
      </w:pPr>
      <w:proofErr w:type="spellStart"/>
      <w:r w:rsidRPr="006033F0">
        <w:rPr>
          <w:rFonts w:ascii="Arial" w:hAnsi="Arial" w:cs="Arial"/>
        </w:rPr>
        <w:t>Buttriss</w:t>
      </w:r>
      <w:proofErr w:type="spellEnd"/>
      <w:r w:rsidRPr="006033F0">
        <w:rPr>
          <w:rFonts w:ascii="Arial" w:hAnsi="Arial" w:cs="Arial"/>
        </w:rPr>
        <w:t xml:space="preserve"> (1997) places these findings in a historical context by exploring long-standing attitudes, beliefs, and knowledge about food and nutrition in the UK. Her study found that, while general awareness of healthy eating was increasing in the late twentieth century, the public continued to experience confusion about dietary messages and often held inconsistent beliefs about foods. Her work demonstrates that mixed messages and limited </w:t>
      </w:r>
      <w:r w:rsidRPr="006033F0">
        <w:rPr>
          <w:rFonts w:ascii="Arial" w:hAnsi="Arial" w:cs="Arial"/>
        </w:rPr>
        <w:lastRenderedPageBreak/>
        <w:t>understanding have long been significant barriers to behaviour change, a finding that remains relevant in more recent studies.</w:t>
      </w:r>
    </w:p>
    <w:p w14:paraId="07AFE92D" w14:textId="77777777" w:rsidR="00C725AB" w:rsidRPr="006033F0" w:rsidRDefault="00C725AB" w:rsidP="006A1FDD">
      <w:pPr>
        <w:spacing w:line="360" w:lineRule="auto"/>
        <w:rPr>
          <w:rFonts w:ascii="Arial" w:hAnsi="Arial" w:cs="Arial"/>
        </w:rPr>
      </w:pPr>
      <w:r w:rsidRPr="006033F0">
        <w:rPr>
          <w:rFonts w:ascii="Arial" w:hAnsi="Arial" w:cs="Arial"/>
        </w:rPr>
        <w:t xml:space="preserve">The third theme concerns the structural limitations and socioeconomic influences on dietary behaviour, which is supported by the work of </w:t>
      </w:r>
      <w:proofErr w:type="spellStart"/>
      <w:r w:rsidRPr="006033F0">
        <w:rPr>
          <w:rFonts w:ascii="Arial" w:hAnsi="Arial" w:cs="Arial"/>
        </w:rPr>
        <w:t>Attree</w:t>
      </w:r>
      <w:proofErr w:type="spellEnd"/>
      <w:r w:rsidRPr="006033F0">
        <w:rPr>
          <w:rFonts w:ascii="Arial" w:hAnsi="Arial" w:cs="Arial"/>
        </w:rPr>
        <w:t xml:space="preserve"> (2006) who critically analysed UK public health policy in low-income households. </w:t>
      </w:r>
      <w:proofErr w:type="spellStart"/>
      <w:r w:rsidRPr="006033F0">
        <w:rPr>
          <w:rFonts w:ascii="Arial" w:hAnsi="Arial" w:cs="Arial"/>
        </w:rPr>
        <w:t>Attree</w:t>
      </w:r>
      <w:proofErr w:type="spellEnd"/>
      <w:r w:rsidRPr="006033F0">
        <w:rPr>
          <w:rFonts w:ascii="Arial" w:hAnsi="Arial" w:cs="Arial"/>
        </w:rPr>
        <w:t xml:space="preserve"> proposes that whereas health promotion campaigns promote individual responsibility, many low-income families find that contextual circumstances and the cost of food can limit their ability to act in accordance with dietary guidelines. Barriers such as poor access to healthy, reasonably priced foods, competing demands on income and resources, and the social value of food/stomach-fill, undermine the strength of national messages about dietary recommendations. This article recognises that attitudes toward nutrition cannot be understood separately from the lived experience of food, especially amongst groups who experience socioeconomic marginalisation.</w:t>
      </w:r>
    </w:p>
    <w:p w14:paraId="72385161" w14:textId="020FD059" w:rsidR="006A1FDD" w:rsidRPr="006033F0" w:rsidRDefault="006A1FDD" w:rsidP="006A1FDD">
      <w:pPr>
        <w:spacing w:line="360" w:lineRule="auto"/>
        <w:rPr>
          <w:rFonts w:ascii="Arial" w:hAnsi="Arial" w:cs="Arial"/>
        </w:rPr>
      </w:pPr>
      <w:r w:rsidRPr="006033F0">
        <w:rPr>
          <w:rFonts w:ascii="Arial" w:hAnsi="Arial" w:cs="Arial"/>
        </w:rPr>
        <w:t xml:space="preserve">Complementing this, Vijaykumar et al. (2021) examine how conflicting nutrition information leads to confusion and backlash among UK consumers. </w:t>
      </w:r>
      <w:r w:rsidR="00C725AB" w:rsidRPr="006033F0">
        <w:rPr>
          <w:rFonts w:ascii="Arial" w:hAnsi="Arial" w:cs="Arial"/>
        </w:rPr>
        <w:t xml:space="preserve">They indicate that as individuals encounter competing messages about diet in the media, in commercial advertising, or in public health campaigns, confusing rises and confidence in nutrition advice declines. </w:t>
      </w:r>
      <w:proofErr w:type="spellStart"/>
      <w:r w:rsidRPr="006033F0">
        <w:rPr>
          <w:rFonts w:ascii="Arial" w:hAnsi="Arial" w:cs="Arial"/>
        </w:rPr>
        <w:t>This</w:t>
      </w:r>
      <w:proofErr w:type="spellEnd"/>
      <w:r w:rsidRPr="006033F0">
        <w:rPr>
          <w:rFonts w:ascii="Arial" w:hAnsi="Arial" w:cs="Arial"/>
        </w:rPr>
        <w:t xml:space="preserve"> may translate into backlash, as individuals become suspicious of official guidance, withdraw from nutrition information, and switch to routine or convenience-based food choices. </w:t>
      </w:r>
      <w:r w:rsidR="00C725AB" w:rsidRPr="006033F0">
        <w:rPr>
          <w:rFonts w:ascii="Arial" w:hAnsi="Arial" w:cs="Arial"/>
        </w:rPr>
        <w:t xml:space="preserve">This is congruent with the viewpoint that the clarity and persuasive force of public health communications are fundamental to shaping positive attitudes. </w:t>
      </w:r>
    </w:p>
    <w:p w14:paraId="388800AF" w14:textId="022D5D75" w:rsidR="006A1FDD" w:rsidRPr="006033F0" w:rsidRDefault="006A1FDD" w:rsidP="006A1FDD">
      <w:pPr>
        <w:spacing w:line="360" w:lineRule="auto"/>
        <w:rPr>
          <w:rFonts w:ascii="Arial" w:hAnsi="Arial" w:cs="Arial"/>
        </w:rPr>
      </w:pPr>
      <w:r w:rsidRPr="006033F0">
        <w:rPr>
          <w:rFonts w:ascii="Arial" w:hAnsi="Arial" w:cs="Arial"/>
        </w:rPr>
        <w:t xml:space="preserve">Across these studies, the </w:t>
      </w:r>
      <w:r w:rsidR="00C725AB" w:rsidRPr="006033F0">
        <w:rPr>
          <w:rFonts w:ascii="Arial" w:hAnsi="Arial" w:cs="Arial"/>
        </w:rPr>
        <w:t>interplay</w:t>
      </w:r>
      <w:r w:rsidRPr="006033F0">
        <w:rPr>
          <w:rFonts w:ascii="Arial" w:hAnsi="Arial" w:cs="Arial"/>
        </w:rPr>
        <w:t xml:space="preserve"> between knowledge and practice </w:t>
      </w:r>
      <w:r w:rsidR="00C725AB" w:rsidRPr="006033F0">
        <w:rPr>
          <w:rFonts w:ascii="Arial" w:hAnsi="Arial" w:cs="Arial"/>
        </w:rPr>
        <w:t>continues to be an important</w:t>
      </w:r>
      <w:r w:rsidRPr="006033F0">
        <w:rPr>
          <w:rFonts w:ascii="Arial" w:hAnsi="Arial" w:cs="Arial"/>
        </w:rPr>
        <w:t xml:space="preserve"> pattern. A second pattern concerns divergences between professional and lay understandings of nutrition. Structural inequality forms a third major theme, while information overload and inconsistency form a fourth. Together, these findings indicate that UK public attitudes to nutrition arise from the interaction of individual knowledge, clarity of communication, cultural influences, and structural constraints.</w:t>
      </w:r>
    </w:p>
    <w:p w14:paraId="02026576" w14:textId="77777777" w:rsidR="00982160" w:rsidRPr="006033F0" w:rsidRDefault="00982160" w:rsidP="006A1FDD">
      <w:pPr>
        <w:spacing w:line="360" w:lineRule="auto"/>
        <w:rPr>
          <w:rFonts w:ascii="Arial" w:hAnsi="Arial" w:cs="Arial"/>
        </w:rPr>
      </w:pPr>
    </w:p>
    <w:p w14:paraId="6927755B" w14:textId="30FB0808" w:rsidR="00982160" w:rsidRPr="006033F0" w:rsidRDefault="006A1FDD" w:rsidP="00982160">
      <w:pPr>
        <w:pStyle w:val="Heading3"/>
        <w:rPr>
          <w:rFonts w:ascii="Arial" w:hAnsi="Arial" w:cs="Arial"/>
        </w:rPr>
      </w:pPr>
      <w:bookmarkStart w:id="4" w:name="_Toc214166636"/>
      <w:r w:rsidRPr="006033F0">
        <w:rPr>
          <w:rFonts w:ascii="Arial" w:hAnsi="Arial" w:cs="Arial"/>
        </w:rPr>
        <w:t>DISCUSSION</w:t>
      </w:r>
      <w:bookmarkEnd w:id="4"/>
    </w:p>
    <w:p w14:paraId="6A766F63" w14:textId="08303F7D" w:rsidR="006A1FDD" w:rsidRPr="006033F0" w:rsidRDefault="006A1FDD" w:rsidP="006A1FDD">
      <w:pPr>
        <w:spacing w:line="360" w:lineRule="auto"/>
        <w:rPr>
          <w:rFonts w:ascii="Arial" w:hAnsi="Arial" w:cs="Arial"/>
        </w:rPr>
      </w:pPr>
      <w:r w:rsidRPr="006033F0">
        <w:rPr>
          <w:rFonts w:ascii="Arial" w:hAnsi="Arial" w:cs="Arial"/>
        </w:rPr>
        <w:t xml:space="preserve">Taken together, the findings of these five studies highlight several important themes in UK public attitudes to nutrition but are also shaped by methodological and conceptual limitations that need to be considered when interpreting the evidence. </w:t>
      </w:r>
      <w:r w:rsidR="00C725AB" w:rsidRPr="006033F0">
        <w:rPr>
          <w:rFonts w:ascii="Arial" w:hAnsi="Arial" w:cs="Arial"/>
        </w:rPr>
        <w:t xml:space="preserve">Cooke and </w:t>
      </w:r>
      <w:proofErr w:type="spellStart"/>
      <w:r w:rsidR="00C725AB" w:rsidRPr="006033F0">
        <w:rPr>
          <w:rFonts w:ascii="Arial" w:hAnsi="Arial" w:cs="Arial"/>
        </w:rPr>
        <w:t>Papadaki’s</w:t>
      </w:r>
      <w:proofErr w:type="spellEnd"/>
      <w:r w:rsidR="00C725AB" w:rsidRPr="006033F0">
        <w:rPr>
          <w:rFonts w:ascii="Arial" w:hAnsi="Arial" w:cs="Arial"/>
        </w:rPr>
        <w:t xml:space="preserve"> research on university students illustrates how knowledge of nutrition plays a role in behaviour; the use of labels, for instance, is a mediator between knowledge attitudes, and dietary quality and further legitimises research suggesting that knowledge is of little worth unless </w:t>
      </w:r>
      <w:r w:rsidR="00C725AB" w:rsidRPr="006033F0">
        <w:rPr>
          <w:rFonts w:ascii="Arial" w:hAnsi="Arial" w:cs="Arial"/>
        </w:rPr>
        <w:lastRenderedPageBreak/>
        <w:t>individuals have the skills and motivation to</w:t>
      </w:r>
      <w:r w:rsidR="00C725AB" w:rsidRPr="006033F0">
        <w:rPr>
          <w:rFonts w:ascii="Arial" w:hAnsi="Arial" w:cs="Arial"/>
        </w:rPr>
        <w:t xml:space="preserve">. </w:t>
      </w:r>
      <w:r w:rsidRPr="006033F0">
        <w:rPr>
          <w:rFonts w:ascii="Arial" w:hAnsi="Arial" w:cs="Arial"/>
        </w:rPr>
        <w:t>Nonetheless, the clear implication is that public health communications should focus not only on building knowledge but also on improving practical competencies, such as label interpretation and food literacy, to help narrow the enduring gap between awareness and behaviour.</w:t>
      </w:r>
    </w:p>
    <w:p w14:paraId="2EB4F460" w14:textId="77777777" w:rsidR="006033F0" w:rsidRPr="006033F0" w:rsidRDefault="006033F0" w:rsidP="006033F0">
      <w:pPr>
        <w:spacing w:line="360" w:lineRule="auto"/>
        <w:rPr>
          <w:rFonts w:ascii="Arial" w:hAnsi="Arial" w:cs="Arial"/>
        </w:rPr>
      </w:pPr>
      <w:proofErr w:type="spellStart"/>
      <w:r w:rsidRPr="006033F0">
        <w:rPr>
          <w:rFonts w:ascii="Arial" w:hAnsi="Arial" w:cs="Arial"/>
        </w:rPr>
        <w:t>McConnon</w:t>
      </w:r>
      <w:proofErr w:type="spellEnd"/>
      <w:r w:rsidRPr="006033F0">
        <w:rPr>
          <w:rFonts w:ascii="Arial" w:hAnsi="Arial" w:cs="Arial"/>
        </w:rPr>
        <w:t xml:space="preserve"> et al. examined perceptions of functional foods, and they find a notable gap between nutritionists and the general public: nutritionists rely on science, while consumers rely on marketing, perceived naturalness, and general health beliefs.</w:t>
      </w:r>
      <w:r w:rsidR="006A1FDD" w:rsidRPr="006033F0">
        <w:rPr>
          <w:rFonts w:ascii="Arial" w:hAnsi="Arial" w:cs="Arial"/>
        </w:rPr>
        <w:t xml:space="preserve"> This may be usefully interpreted as revealing how public understandings of nutrition are driven less by formal evidence than by social meanings and commercial imperatives. It has the limitation that its publication date, 2003, means that the market for functional foods and people's familiarity with them have moved some distance since then, and may be less relevant today. Another limitation is that it compares two groups that differ greatly in education, training, and access to scientific information, which could, in turn, heighten perceived differences. </w:t>
      </w:r>
      <w:r w:rsidRPr="006033F0">
        <w:rPr>
          <w:rFonts w:ascii="Arial" w:hAnsi="Arial" w:cs="Arial"/>
        </w:rPr>
        <w:t xml:space="preserve">Yet, the studies indicate that there is still a need for clarity surrounding food functionality, especially given the current environment where products can be marketed for gut health, immune function, and sustainability. Public health messages need to work in tandem, and sometimes counter, commercial messages that can add confusion or mislead people around food. </w:t>
      </w:r>
    </w:p>
    <w:p w14:paraId="6C2C5C14" w14:textId="667EB62C" w:rsidR="006A1FDD" w:rsidRPr="006033F0" w:rsidRDefault="006033F0" w:rsidP="006033F0">
      <w:pPr>
        <w:spacing w:line="360" w:lineRule="auto"/>
        <w:rPr>
          <w:rFonts w:ascii="Arial" w:hAnsi="Arial" w:cs="Arial"/>
        </w:rPr>
      </w:pPr>
      <w:proofErr w:type="spellStart"/>
      <w:r w:rsidRPr="006033F0">
        <w:rPr>
          <w:rFonts w:ascii="Arial" w:hAnsi="Arial" w:cs="Arial"/>
        </w:rPr>
        <w:t>Buttriss</w:t>
      </w:r>
      <w:proofErr w:type="spellEnd"/>
      <w:r w:rsidRPr="006033F0">
        <w:rPr>
          <w:rFonts w:ascii="Arial" w:hAnsi="Arial" w:cs="Arial"/>
        </w:rPr>
        <w:t xml:space="preserve"> provides some historical context by considering UK attitudes, beliefs, and knowledge about food at the end of the twentieth century. She identifies long-standing trends of mixed understanding, contradictory beliefs, and inconsistent following of the guidance for healthy eating. While the study provides a very useful point of reference to assess how public attitudes shift over time or maintain consistency, it should be recognized that the study is dated, especially given the changes that have impacted public nutritional guidance, food environments, and discourse around food since 1997.</w:t>
      </w:r>
      <w:r w:rsidR="006A1FDD" w:rsidRPr="006033F0">
        <w:rPr>
          <w:rFonts w:ascii="Arial" w:hAnsi="Arial" w:cs="Arial"/>
        </w:rPr>
        <w:t xml:space="preserve"> However, many of the patterns identified then are still evident in more recent research, such as confusion around dietary messages and inconsistent interpretations of nutritional advice. </w:t>
      </w:r>
      <w:proofErr w:type="spellStart"/>
      <w:r w:rsidRPr="006033F0">
        <w:rPr>
          <w:rFonts w:ascii="Arial" w:hAnsi="Arial" w:cs="Arial"/>
        </w:rPr>
        <w:t>Buttriss’s</w:t>
      </w:r>
      <w:proofErr w:type="spellEnd"/>
      <w:r w:rsidRPr="006033F0">
        <w:rPr>
          <w:rFonts w:ascii="Arial" w:hAnsi="Arial" w:cs="Arial"/>
        </w:rPr>
        <w:t xml:space="preserve"> results reinforce the concept of simple, consistent, and continuous nutrition communication as opposed to a campaign-style model that could inadvertently confuse or contradict what has already been communicated over a short time frame.</w:t>
      </w:r>
    </w:p>
    <w:p w14:paraId="7CD5555C" w14:textId="7656A925" w:rsidR="006A1FDD" w:rsidRPr="006033F0" w:rsidRDefault="006A1FDD" w:rsidP="006A1FDD">
      <w:pPr>
        <w:spacing w:line="360" w:lineRule="auto"/>
        <w:rPr>
          <w:rFonts w:ascii="Arial" w:hAnsi="Arial" w:cs="Arial"/>
        </w:rPr>
      </w:pPr>
      <w:proofErr w:type="spellStart"/>
      <w:r w:rsidRPr="006033F0">
        <w:rPr>
          <w:rFonts w:ascii="Arial" w:hAnsi="Arial" w:cs="Arial"/>
        </w:rPr>
        <w:t>Attree's</w:t>
      </w:r>
      <w:proofErr w:type="spellEnd"/>
      <w:r w:rsidRPr="006033F0">
        <w:rPr>
          <w:rFonts w:ascii="Arial" w:hAnsi="Arial" w:cs="Arial"/>
        </w:rPr>
        <w:t xml:space="preserve"> critical analysis shifts the debate to the economic and environmental structural barriers confronting low-income households and uncovers that a health education campaign at the individual level may be futile without consideration of the larger economic and environmental factors influencing food choice. Thus, given their limited budget, families will have to prioritize cheaper, more satiating foods over their nutritional quality, so it is unrealistic for them to follow a guideline that requires fresh produce or more expensive </w:t>
      </w:r>
      <w:r w:rsidRPr="006033F0">
        <w:rPr>
          <w:rFonts w:ascii="Arial" w:hAnsi="Arial" w:cs="Arial"/>
        </w:rPr>
        <w:lastRenderedPageBreak/>
        <w:t xml:space="preserve">whole foods. </w:t>
      </w:r>
      <w:r w:rsidR="006033F0" w:rsidRPr="006033F0">
        <w:rPr>
          <w:rFonts w:ascii="Arial" w:hAnsi="Arial" w:cs="Arial"/>
        </w:rPr>
        <w:t xml:space="preserve">Although qualitative and insightful into lived experiences, the current analysis of policy documents and interviews have a limited scope and are unable to capture the totality of potentially differing experiences of low-income households in the UK. Nevertheless, the core argument still stands: public health initiatives around individual responsibility fail to take account the barriers of poverty, access to healthy food and social norms; therefore, structural intervention is also a key issue in addressing inequalities, hence the recommendations such as accessibility to affordable healthy food; community food environments; and policies that acknowledged the socioeconomic determinants of diet. Paper 3 contributes a contemporary discussion of how conflicting information about nutrition leads to confusion and backlash and diminishes trust in dietary recommendations leading to disengagement from nutrition recommendations. Previous research shows that confusion is not only a result of scientific uncertainty but also due to media inconsistencies, sensational headlines, and commercial health claims. This is a distinct modern information landscape, not comparable to early studies, and therefore this paper is particularly relevant to understanding the current difficulty of public health messages. </w:t>
      </w:r>
      <w:r w:rsidRPr="006033F0">
        <w:rPr>
          <w:rFonts w:ascii="Arial" w:hAnsi="Arial" w:cs="Arial"/>
        </w:rPr>
        <w:t>However, the study relies heavily on self-reported perceptions that may not reflect actual behavioural outcomes and cannot definitively establish causation given conflicting information and dietary practices. Even so, the research underlines an urgent need for unified, evidence-based, and clearly communicated messages from public health authorities, with stronger regulation of nutrition claims across digital and commercial platforms. Taken together, these studies demonstrate that public attitudes to nutrition in the UK result from an interaction of knowledge, skills, cultural meanings, socioeconomic contexts, and clarity of information. Limitations of the evidence base include narrow sampling, dated studies, reliance on self-report, and limited exploration of intersectional factors such as ethnicity or disability. Recommendations across the research stress food literacy, plain communication, regulation of misleading commercial messages, action on structural inequalities, and interventions targeting demographic differences as key preconditions for effective and equitable improvement of dietary behaviour and public health outcomes.</w:t>
      </w:r>
    </w:p>
    <w:p w14:paraId="435E567B" w14:textId="77777777" w:rsidR="00982160" w:rsidRPr="006033F0" w:rsidRDefault="00982160" w:rsidP="006A1FDD">
      <w:pPr>
        <w:spacing w:line="360" w:lineRule="auto"/>
        <w:rPr>
          <w:rFonts w:ascii="Arial" w:hAnsi="Arial" w:cs="Arial"/>
        </w:rPr>
      </w:pPr>
    </w:p>
    <w:p w14:paraId="3EA3431E" w14:textId="15288600" w:rsidR="00982160" w:rsidRPr="006033F0" w:rsidRDefault="006A1FDD" w:rsidP="00982160">
      <w:pPr>
        <w:pStyle w:val="Heading3"/>
        <w:rPr>
          <w:rFonts w:ascii="Arial" w:hAnsi="Arial" w:cs="Arial"/>
        </w:rPr>
      </w:pPr>
      <w:bookmarkStart w:id="5" w:name="_Toc214166637"/>
      <w:r w:rsidRPr="006033F0">
        <w:rPr>
          <w:rFonts w:ascii="Arial" w:hAnsi="Arial" w:cs="Arial"/>
        </w:rPr>
        <w:t>CONCLUSION</w:t>
      </w:r>
      <w:bookmarkEnd w:id="5"/>
    </w:p>
    <w:p w14:paraId="78667B22" w14:textId="77777777" w:rsidR="006A1FDD" w:rsidRPr="006033F0" w:rsidRDefault="006A1FDD" w:rsidP="006A1FDD">
      <w:pPr>
        <w:spacing w:line="360" w:lineRule="auto"/>
        <w:rPr>
          <w:rFonts w:ascii="Arial" w:hAnsi="Arial" w:cs="Arial"/>
        </w:rPr>
      </w:pPr>
      <w:r w:rsidRPr="006033F0">
        <w:rPr>
          <w:rFonts w:ascii="Arial" w:hAnsi="Arial" w:cs="Arial"/>
        </w:rPr>
        <w:t xml:space="preserve">This review has demonstrated that public attitudes and behaviour regarding health and nutrition in the UK are the product of the constant interaction among knowledge, lived experience, the structural conditions in which people live, and the communication environment. What emerges from the evidence is that while many people show an interest in healthy eating, this interest is time and again hampered by economic imperatives, confusion amid mixed messages, and the daily demands of convenience and affordability. Knowledge </w:t>
      </w:r>
      <w:r w:rsidRPr="006033F0">
        <w:rPr>
          <w:rFonts w:ascii="Arial" w:hAnsi="Arial" w:cs="Arial"/>
        </w:rPr>
        <w:lastRenderedPageBreak/>
        <w:t>on its own was seen to be an insufficient prompt for behaviour, since the ability to act on dietary advice relies on practical skills, clear information, and enabling food environments.</w:t>
      </w:r>
    </w:p>
    <w:p w14:paraId="0E8EB739" w14:textId="6C8262A5" w:rsidR="006A1FDD" w:rsidRPr="006033F0" w:rsidRDefault="006A1FDD" w:rsidP="006A1FDD">
      <w:pPr>
        <w:spacing w:line="360" w:lineRule="auto"/>
        <w:rPr>
          <w:rFonts w:ascii="Arial" w:hAnsi="Arial" w:cs="Arial"/>
        </w:rPr>
      </w:pPr>
      <w:r w:rsidRPr="006033F0">
        <w:rPr>
          <w:rFonts w:ascii="Arial" w:hAnsi="Arial" w:cs="Arial"/>
        </w:rPr>
        <w:t>Another key insight concerns the gulf between professional understanding of nutrition and how the public interprets food-related messages, reflecting the influence of cultural beliefs and commercial marketing. In addition, structural inequalities continue to shape attitudes and behaviour, as the challenges faced by low-income households cannot be overcome solely through education. Finally, the rapid spread of inconsistent information across media platforms has created a climate of confusion and scepticism, underscoring the need for consistent, trustworthy communication. Overall, this review underscores that upgrading public attitudes and dietary behaviour requires a joined-up approach that combines education, communication, affordability, and environmental change within an integrated public health strategy.</w:t>
      </w:r>
    </w:p>
    <w:p w14:paraId="41682C96" w14:textId="77777777" w:rsidR="00EB1112" w:rsidRPr="006033F0" w:rsidRDefault="00EB1112" w:rsidP="006A1FDD">
      <w:pPr>
        <w:spacing w:line="360" w:lineRule="auto"/>
        <w:rPr>
          <w:rFonts w:ascii="Arial" w:hAnsi="Arial" w:cs="Arial"/>
        </w:rPr>
      </w:pPr>
    </w:p>
    <w:p w14:paraId="560434D9" w14:textId="77777777" w:rsidR="00982160" w:rsidRPr="006033F0" w:rsidRDefault="00982160" w:rsidP="006A1FDD">
      <w:pPr>
        <w:spacing w:line="360" w:lineRule="auto"/>
        <w:rPr>
          <w:rFonts w:ascii="Arial" w:hAnsi="Arial" w:cs="Arial"/>
        </w:rPr>
      </w:pPr>
    </w:p>
    <w:p w14:paraId="29E42884" w14:textId="77777777" w:rsidR="00982160" w:rsidRPr="006033F0" w:rsidRDefault="00982160" w:rsidP="006A1FDD">
      <w:pPr>
        <w:spacing w:line="360" w:lineRule="auto"/>
        <w:rPr>
          <w:rFonts w:ascii="Arial" w:hAnsi="Arial" w:cs="Arial"/>
        </w:rPr>
      </w:pPr>
    </w:p>
    <w:p w14:paraId="080D0B1D" w14:textId="77777777" w:rsidR="00982160" w:rsidRPr="006033F0" w:rsidRDefault="00982160" w:rsidP="006A1FDD">
      <w:pPr>
        <w:spacing w:line="360" w:lineRule="auto"/>
        <w:rPr>
          <w:rFonts w:ascii="Arial" w:hAnsi="Arial" w:cs="Arial"/>
        </w:rPr>
      </w:pPr>
    </w:p>
    <w:p w14:paraId="5BD347E3" w14:textId="77777777" w:rsidR="00982160" w:rsidRPr="006033F0" w:rsidRDefault="00982160" w:rsidP="006A1FDD">
      <w:pPr>
        <w:spacing w:line="360" w:lineRule="auto"/>
        <w:rPr>
          <w:rFonts w:ascii="Arial" w:hAnsi="Arial" w:cs="Arial"/>
        </w:rPr>
      </w:pPr>
    </w:p>
    <w:p w14:paraId="1678B5E3" w14:textId="77777777" w:rsidR="00982160" w:rsidRPr="006033F0" w:rsidRDefault="00982160" w:rsidP="006A1FDD">
      <w:pPr>
        <w:spacing w:line="360" w:lineRule="auto"/>
        <w:rPr>
          <w:rFonts w:ascii="Arial" w:hAnsi="Arial" w:cs="Arial"/>
        </w:rPr>
      </w:pPr>
    </w:p>
    <w:p w14:paraId="666C102D" w14:textId="77777777" w:rsidR="00982160" w:rsidRPr="006033F0" w:rsidRDefault="00982160" w:rsidP="006A1FDD">
      <w:pPr>
        <w:spacing w:line="360" w:lineRule="auto"/>
        <w:rPr>
          <w:rFonts w:ascii="Arial" w:hAnsi="Arial" w:cs="Arial"/>
        </w:rPr>
      </w:pPr>
    </w:p>
    <w:p w14:paraId="3E76019C" w14:textId="77777777" w:rsidR="00982160" w:rsidRPr="006033F0" w:rsidRDefault="00982160" w:rsidP="006A1FDD">
      <w:pPr>
        <w:spacing w:line="360" w:lineRule="auto"/>
        <w:rPr>
          <w:rFonts w:ascii="Arial" w:hAnsi="Arial" w:cs="Arial"/>
        </w:rPr>
      </w:pPr>
    </w:p>
    <w:p w14:paraId="451DF433" w14:textId="77777777" w:rsidR="00982160" w:rsidRPr="006033F0" w:rsidRDefault="00982160" w:rsidP="006A1FDD">
      <w:pPr>
        <w:spacing w:line="360" w:lineRule="auto"/>
        <w:rPr>
          <w:rFonts w:ascii="Arial" w:hAnsi="Arial" w:cs="Arial"/>
        </w:rPr>
      </w:pPr>
    </w:p>
    <w:p w14:paraId="2C68F881" w14:textId="77777777" w:rsidR="00982160" w:rsidRPr="006033F0" w:rsidRDefault="00982160" w:rsidP="006A1FDD">
      <w:pPr>
        <w:spacing w:line="360" w:lineRule="auto"/>
        <w:rPr>
          <w:rFonts w:ascii="Arial" w:hAnsi="Arial" w:cs="Arial"/>
        </w:rPr>
      </w:pPr>
    </w:p>
    <w:p w14:paraId="28270FA0" w14:textId="77777777" w:rsidR="00982160" w:rsidRPr="006033F0" w:rsidRDefault="00982160" w:rsidP="006A1FDD">
      <w:pPr>
        <w:spacing w:line="360" w:lineRule="auto"/>
        <w:rPr>
          <w:rFonts w:ascii="Arial" w:hAnsi="Arial" w:cs="Arial"/>
        </w:rPr>
      </w:pPr>
    </w:p>
    <w:p w14:paraId="6871A74A" w14:textId="77777777" w:rsidR="00982160" w:rsidRPr="006033F0" w:rsidRDefault="00982160" w:rsidP="006A1FDD">
      <w:pPr>
        <w:spacing w:line="360" w:lineRule="auto"/>
        <w:rPr>
          <w:rFonts w:ascii="Arial" w:hAnsi="Arial" w:cs="Arial"/>
        </w:rPr>
      </w:pPr>
    </w:p>
    <w:p w14:paraId="57379F2A" w14:textId="77777777" w:rsidR="00982160" w:rsidRPr="006033F0" w:rsidRDefault="00982160" w:rsidP="006A1FDD">
      <w:pPr>
        <w:spacing w:line="360" w:lineRule="auto"/>
        <w:rPr>
          <w:rFonts w:ascii="Arial" w:hAnsi="Arial" w:cs="Arial"/>
        </w:rPr>
      </w:pPr>
    </w:p>
    <w:p w14:paraId="1E2D03A7" w14:textId="77777777" w:rsidR="00982160" w:rsidRPr="006033F0" w:rsidRDefault="00982160" w:rsidP="006A1FDD">
      <w:pPr>
        <w:spacing w:line="360" w:lineRule="auto"/>
        <w:rPr>
          <w:rFonts w:ascii="Arial" w:hAnsi="Arial" w:cs="Arial"/>
        </w:rPr>
      </w:pPr>
    </w:p>
    <w:p w14:paraId="779D524B" w14:textId="77777777" w:rsidR="00982160" w:rsidRPr="006033F0" w:rsidRDefault="00982160" w:rsidP="006A1FDD">
      <w:pPr>
        <w:spacing w:line="360" w:lineRule="auto"/>
        <w:rPr>
          <w:rFonts w:ascii="Arial" w:hAnsi="Arial" w:cs="Arial"/>
        </w:rPr>
      </w:pPr>
    </w:p>
    <w:p w14:paraId="522E9619" w14:textId="77777777" w:rsidR="00982160" w:rsidRPr="006033F0" w:rsidRDefault="00982160" w:rsidP="006A1FDD">
      <w:pPr>
        <w:spacing w:line="360" w:lineRule="auto"/>
        <w:rPr>
          <w:rFonts w:ascii="Arial" w:hAnsi="Arial" w:cs="Arial"/>
        </w:rPr>
      </w:pPr>
    </w:p>
    <w:p w14:paraId="1AC395A3" w14:textId="77777777" w:rsidR="00982160" w:rsidRPr="006033F0" w:rsidRDefault="00982160" w:rsidP="006A1FDD">
      <w:pPr>
        <w:spacing w:line="360" w:lineRule="auto"/>
        <w:rPr>
          <w:rFonts w:ascii="Arial" w:hAnsi="Arial" w:cs="Arial"/>
        </w:rPr>
      </w:pPr>
    </w:p>
    <w:p w14:paraId="3D28C496" w14:textId="5574BD6E" w:rsidR="006A1FDD" w:rsidRPr="006033F0" w:rsidRDefault="006A1FDD" w:rsidP="00982160">
      <w:pPr>
        <w:pStyle w:val="Heading3"/>
        <w:rPr>
          <w:rFonts w:ascii="Arial" w:hAnsi="Arial" w:cs="Arial"/>
        </w:rPr>
      </w:pPr>
      <w:bookmarkStart w:id="6" w:name="_Toc214166638"/>
      <w:r w:rsidRPr="006033F0">
        <w:rPr>
          <w:rFonts w:ascii="Arial" w:hAnsi="Arial" w:cs="Arial"/>
        </w:rPr>
        <w:lastRenderedPageBreak/>
        <w:t>REFERENCE LIST</w:t>
      </w:r>
      <w:bookmarkEnd w:id="6"/>
    </w:p>
    <w:p w14:paraId="600A754C" w14:textId="77777777" w:rsidR="006A1FDD" w:rsidRPr="006033F0" w:rsidRDefault="006A1FDD" w:rsidP="006A1FDD">
      <w:pPr>
        <w:spacing w:line="360" w:lineRule="auto"/>
        <w:rPr>
          <w:rFonts w:ascii="Arial" w:hAnsi="Arial" w:cs="Arial"/>
        </w:rPr>
      </w:pPr>
      <w:r w:rsidRPr="006033F0">
        <w:rPr>
          <w:rFonts w:ascii="Arial" w:hAnsi="Arial" w:cs="Arial"/>
        </w:rPr>
        <w:t xml:space="preserve">Arksey, H. and O’Malley, L. (2005) ‘Scoping studies: towards a methodological framework’, </w:t>
      </w:r>
      <w:r w:rsidRPr="006033F0">
        <w:rPr>
          <w:rFonts w:ascii="Arial" w:hAnsi="Arial" w:cs="Arial"/>
          <w:i/>
          <w:iCs/>
        </w:rPr>
        <w:t>International Journal of Social Research Methodology</w:t>
      </w:r>
      <w:r w:rsidRPr="006033F0">
        <w:rPr>
          <w:rFonts w:ascii="Arial" w:hAnsi="Arial" w:cs="Arial"/>
        </w:rPr>
        <w:t>, 8(1), pp. 19–32.</w:t>
      </w:r>
      <w:r w:rsidRPr="006033F0">
        <w:rPr>
          <w:rFonts w:ascii="Arial" w:hAnsi="Arial" w:cs="Arial"/>
        </w:rPr>
        <w:br/>
      </w:r>
      <w:proofErr w:type="spellStart"/>
      <w:r w:rsidRPr="006033F0">
        <w:rPr>
          <w:rFonts w:ascii="Arial" w:hAnsi="Arial" w:cs="Arial"/>
        </w:rPr>
        <w:t>Attree</w:t>
      </w:r>
      <w:proofErr w:type="spellEnd"/>
      <w:r w:rsidRPr="006033F0">
        <w:rPr>
          <w:rFonts w:ascii="Arial" w:hAnsi="Arial" w:cs="Arial"/>
        </w:rPr>
        <w:t xml:space="preserve">, P. (2006) ‘A critical analysis of UK public health policies in relation to diet and nutrition in low income households’, </w:t>
      </w:r>
      <w:r w:rsidRPr="006033F0">
        <w:rPr>
          <w:rFonts w:ascii="Arial" w:hAnsi="Arial" w:cs="Arial"/>
          <w:i/>
          <w:iCs/>
        </w:rPr>
        <w:t>Maternal and Child Nutrition</w:t>
      </w:r>
      <w:r w:rsidRPr="006033F0">
        <w:rPr>
          <w:rFonts w:ascii="Arial" w:hAnsi="Arial" w:cs="Arial"/>
        </w:rPr>
        <w:t>, 2(2), pp. 67–78.</w:t>
      </w:r>
      <w:r w:rsidRPr="006033F0">
        <w:rPr>
          <w:rFonts w:ascii="Arial" w:hAnsi="Arial" w:cs="Arial"/>
        </w:rPr>
        <w:br/>
        <w:t xml:space="preserve">Braun, V. and Clarke, V. (2006) ‘Using thematic analysis in psychology’, </w:t>
      </w:r>
      <w:r w:rsidRPr="006033F0">
        <w:rPr>
          <w:rFonts w:ascii="Arial" w:hAnsi="Arial" w:cs="Arial"/>
          <w:i/>
          <w:iCs/>
        </w:rPr>
        <w:t>Qualitative Research in Psychology</w:t>
      </w:r>
      <w:r w:rsidRPr="006033F0">
        <w:rPr>
          <w:rFonts w:ascii="Arial" w:hAnsi="Arial" w:cs="Arial"/>
        </w:rPr>
        <w:t>, 3(2), pp. 77–101.</w:t>
      </w:r>
      <w:r w:rsidRPr="006033F0">
        <w:rPr>
          <w:rFonts w:ascii="Arial" w:hAnsi="Arial" w:cs="Arial"/>
        </w:rPr>
        <w:br/>
        <w:t xml:space="preserve">Briggs, A. et al. (2017) ‘Health impact of the UK Soft Drinks Industry Levy: modelling study’, </w:t>
      </w:r>
      <w:r w:rsidRPr="006033F0">
        <w:rPr>
          <w:rFonts w:ascii="Arial" w:hAnsi="Arial" w:cs="Arial"/>
          <w:i/>
          <w:iCs/>
        </w:rPr>
        <w:t>BMJ</w:t>
      </w:r>
      <w:r w:rsidRPr="006033F0">
        <w:rPr>
          <w:rFonts w:ascii="Arial" w:hAnsi="Arial" w:cs="Arial"/>
        </w:rPr>
        <w:t>, 356, p. j501.</w:t>
      </w:r>
      <w:r w:rsidRPr="006033F0">
        <w:rPr>
          <w:rFonts w:ascii="Arial" w:hAnsi="Arial" w:cs="Arial"/>
        </w:rPr>
        <w:br/>
        <w:t xml:space="preserve">British Nutrition Foundation (2022) </w:t>
      </w:r>
      <w:r w:rsidRPr="006033F0">
        <w:rPr>
          <w:rFonts w:ascii="Arial" w:hAnsi="Arial" w:cs="Arial"/>
          <w:i/>
          <w:iCs/>
        </w:rPr>
        <w:t>Consumer Attitudes to Food and Nutrition</w:t>
      </w:r>
      <w:r w:rsidRPr="006033F0">
        <w:rPr>
          <w:rFonts w:ascii="Arial" w:hAnsi="Arial" w:cs="Arial"/>
        </w:rPr>
        <w:t>. London: BNF.</w:t>
      </w:r>
      <w:r w:rsidRPr="006033F0">
        <w:rPr>
          <w:rFonts w:ascii="Arial" w:hAnsi="Arial" w:cs="Arial"/>
        </w:rPr>
        <w:br/>
      </w:r>
      <w:proofErr w:type="spellStart"/>
      <w:r w:rsidRPr="006033F0">
        <w:rPr>
          <w:rFonts w:ascii="Arial" w:hAnsi="Arial" w:cs="Arial"/>
        </w:rPr>
        <w:t>Buttriss</w:t>
      </w:r>
      <w:proofErr w:type="spellEnd"/>
      <w:r w:rsidRPr="006033F0">
        <w:rPr>
          <w:rFonts w:ascii="Arial" w:hAnsi="Arial" w:cs="Arial"/>
        </w:rPr>
        <w:t xml:space="preserve">, J.L. (1997) ‘Food and nutrition: attitudes, beliefs, and knowledge in the United Kingdom’, </w:t>
      </w:r>
      <w:r w:rsidRPr="006033F0">
        <w:rPr>
          <w:rFonts w:ascii="Arial" w:hAnsi="Arial" w:cs="Arial"/>
          <w:i/>
          <w:iCs/>
        </w:rPr>
        <w:t>American Journal of Clinical Nutrition</w:t>
      </w:r>
      <w:r w:rsidRPr="006033F0">
        <w:rPr>
          <w:rFonts w:ascii="Arial" w:hAnsi="Arial" w:cs="Arial"/>
        </w:rPr>
        <w:t xml:space="preserve">, 65(6 </w:t>
      </w:r>
      <w:proofErr w:type="spellStart"/>
      <w:r w:rsidRPr="006033F0">
        <w:rPr>
          <w:rFonts w:ascii="Arial" w:hAnsi="Arial" w:cs="Arial"/>
        </w:rPr>
        <w:t>Suppl</w:t>
      </w:r>
      <w:proofErr w:type="spellEnd"/>
      <w:r w:rsidRPr="006033F0">
        <w:rPr>
          <w:rFonts w:ascii="Arial" w:hAnsi="Arial" w:cs="Arial"/>
        </w:rPr>
        <w:t>), pp. 1985S–1995S.</w:t>
      </w:r>
      <w:r w:rsidRPr="006033F0">
        <w:rPr>
          <w:rFonts w:ascii="Arial" w:hAnsi="Arial" w:cs="Arial"/>
        </w:rPr>
        <w:br/>
        <w:t xml:space="preserve">Competition and Markets Authority (2022) </w:t>
      </w:r>
      <w:r w:rsidRPr="006033F0">
        <w:rPr>
          <w:rFonts w:ascii="Arial" w:hAnsi="Arial" w:cs="Arial"/>
          <w:i/>
          <w:iCs/>
        </w:rPr>
        <w:t>Food and Drink Sector Review</w:t>
      </w:r>
      <w:r w:rsidRPr="006033F0">
        <w:rPr>
          <w:rFonts w:ascii="Arial" w:hAnsi="Arial" w:cs="Arial"/>
        </w:rPr>
        <w:t>. London: CMA.</w:t>
      </w:r>
      <w:r w:rsidRPr="006033F0">
        <w:rPr>
          <w:rFonts w:ascii="Arial" w:hAnsi="Arial" w:cs="Arial"/>
        </w:rPr>
        <w:br/>
        <w:t xml:space="preserve">Cooke, R. and </w:t>
      </w:r>
      <w:proofErr w:type="spellStart"/>
      <w:r w:rsidRPr="006033F0">
        <w:rPr>
          <w:rFonts w:ascii="Arial" w:hAnsi="Arial" w:cs="Arial"/>
        </w:rPr>
        <w:t>Papadaki</w:t>
      </w:r>
      <w:proofErr w:type="spellEnd"/>
      <w:r w:rsidRPr="006033F0">
        <w:rPr>
          <w:rFonts w:ascii="Arial" w:hAnsi="Arial" w:cs="Arial"/>
        </w:rPr>
        <w:t xml:space="preserve">, A. (2014) ‘Nutrition label use mediates the positive relationship between nutrition knowledge and attitudes towards healthy eating with dietary quality among university students in the UK’, </w:t>
      </w:r>
      <w:r w:rsidRPr="006033F0">
        <w:rPr>
          <w:rFonts w:ascii="Arial" w:hAnsi="Arial" w:cs="Arial"/>
          <w:i/>
          <w:iCs/>
        </w:rPr>
        <w:t>Appetite</w:t>
      </w:r>
      <w:r w:rsidRPr="006033F0">
        <w:rPr>
          <w:rFonts w:ascii="Arial" w:hAnsi="Arial" w:cs="Arial"/>
        </w:rPr>
        <w:t>, 83, pp. 297–303.</w:t>
      </w:r>
      <w:r w:rsidRPr="006033F0">
        <w:rPr>
          <w:rFonts w:ascii="Arial" w:hAnsi="Arial" w:cs="Arial"/>
        </w:rPr>
        <w:br/>
        <w:t xml:space="preserve">Department of Health and Social Care (2022) </w:t>
      </w:r>
      <w:r w:rsidRPr="006033F0">
        <w:rPr>
          <w:rFonts w:ascii="Arial" w:hAnsi="Arial" w:cs="Arial"/>
          <w:i/>
          <w:iCs/>
        </w:rPr>
        <w:t>Restrictions on HFSS Foods: Implementation Report</w:t>
      </w:r>
      <w:r w:rsidRPr="006033F0">
        <w:rPr>
          <w:rFonts w:ascii="Arial" w:hAnsi="Arial" w:cs="Arial"/>
        </w:rPr>
        <w:t>. London: DHSC.</w:t>
      </w:r>
      <w:r w:rsidRPr="006033F0">
        <w:rPr>
          <w:rFonts w:ascii="Arial" w:hAnsi="Arial" w:cs="Arial"/>
        </w:rPr>
        <w:br/>
        <w:t xml:space="preserve">Food Standards Agency (2023) </w:t>
      </w:r>
      <w:r w:rsidRPr="006033F0">
        <w:rPr>
          <w:rFonts w:ascii="Arial" w:hAnsi="Arial" w:cs="Arial"/>
          <w:i/>
          <w:iCs/>
        </w:rPr>
        <w:t>Food and You 2: Wave 6</w:t>
      </w:r>
      <w:r w:rsidRPr="006033F0">
        <w:rPr>
          <w:rFonts w:ascii="Arial" w:hAnsi="Arial" w:cs="Arial"/>
        </w:rPr>
        <w:t>. London: FSA.</w:t>
      </w:r>
      <w:r w:rsidRPr="006033F0">
        <w:rPr>
          <w:rFonts w:ascii="Arial" w:hAnsi="Arial" w:cs="Arial"/>
        </w:rPr>
        <w:br/>
        <w:t xml:space="preserve">HM Treasury (2018) </w:t>
      </w:r>
      <w:r w:rsidRPr="006033F0">
        <w:rPr>
          <w:rFonts w:ascii="Arial" w:hAnsi="Arial" w:cs="Arial"/>
          <w:i/>
          <w:iCs/>
        </w:rPr>
        <w:t>Soft Drinks Industry Levy: One Year Review</w:t>
      </w:r>
      <w:r w:rsidRPr="006033F0">
        <w:rPr>
          <w:rFonts w:ascii="Arial" w:hAnsi="Arial" w:cs="Arial"/>
        </w:rPr>
        <w:t>. London: HM Treasury.</w:t>
      </w:r>
      <w:r w:rsidRPr="006033F0">
        <w:rPr>
          <w:rFonts w:ascii="Arial" w:hAnsi="Arial" w:cs="Arial"/>
        </w:rPr>
        <w:br/>
        <w:t xml:space="preserve">House of Commons Library (2023) </w:t>
      </w:r>
      <w:r w:rsidRPr="006033F0">
        <w:rPr>
          <w:rFonts w:ascii="Arial" w:hAnsi="Arial" w:cs="Arial"/>
          <w:i/>
          <w:iCs/>
        </w:rPr>
        <w:t>Advertising Restrictions on High Fat Sugar Salt Foods</w:t>
      </w:r>
      <w:r w:rsidRPr="006033F0">
        <w:rPr>
          <w:rFonts w:ascii="Arial" w:hAnsi="Arial" w:cs="Arial"/>
        </w:rPr>
        <w:t>. London: UK Parliament.</w:t>
      </w:r>
      <w:r w:rsidRPr="006033F0">
        <w:rPr>
          <w:rFonts w:ascii="Arial" w:hAnsi="Arial" w:cs="Arial"/>
        </w:rPr>
        <w:br/>
        <w:t xml:space="preserve">Lang, T. (2020) </w:t>
      </w:r>
      <w:r w:rsidRPr="006033F0">
        <w:rPr>
          <w:rFonts w:ascii="Arial" w:hAnsi="Arial" w:cs="Arial"/>
          <w:i/>
          <w:iCs/>
        </w:rPr>
        <w:t>Feeding Britain: Our Food Problems and How to Fix Them</w:t>
      </w:r>
      <w:r w:rsidRPr="006033F0">
        <w:rPr>
          <w:rFonts w:ascii="Arial" w:hAnsi="Arial" w:cs="Arial"/>
        </w:rPr>
        <w:t>. London: Penguin.</w:t>
      </w:r>
      <w:r w:rsidRPr="006033F0">
        <w:rPr>
          <w:rFonts w:ascii="Arial" w:hAnsi="Arial" w:cs="Arial"/>
        </w:rPr>
        <w:br/>
        <w:t xml:space="preserve">Marmot, M. et al. (2020) </w:t>
      </w:r>
      <w:r w:rsidRPr="006033F0">
        <w:rPr>
          <w:rFonts w:ascii="Arial" w:hAnsi="Arial" w:cs="Arial"/>
          <w:i/>
          <w:iCs/>
        </w:rPr>
        <w:t>Health Equity in England: The Marmot Review 10 Years On</w:t>
      </w:r>
      <w:r w:rsidRPr="006033F0">
        <w:rPr>
          <w:rFonts w:ascii="Arial" w:hAnsi="Arial" w:cs="Arial"/>
        </w:rPr>
        <w:t>. London: Institute of Health Equity.</w:t>
      </w:r>
      <w:r w:rsidRPr="006033F0">
        <w:rPr>
          <w:rFonts w:ascii="Arial" w:hAnsi="Arial" w:cs="Arial"/>
        </w:rPr>
        <w:br/>
      </w:r>
      <w:proofErr w:type="spellStart"/>
      <w:r w:rsidRPr="006033F0">
        <w:rPr>
          <w:rFonts w:ascii="Arial" w:hAnsi="Arial" w:cs="Arial"/>
        </w:rPr>
        <w:t>McConnon</w:t>
      </w:r>
      <w:proofErr w:type="spellEnd"/>
      <w:r w:rsidRPr="006033F0">
        <w:rPr>
          <w:rFonts w:ascii="Arial" w:hAnsi="Arial" w:cs="Arial"/>
        </w:rPr>
        <w:t xml:space="preserve">, A. et al. (2004) ‘Differences in perceptions of functional foods: UK public vs nutritionists’, </w:t>
      </w:r>
      <w:r w:rsidRPr="006033F0">
        <w:rPr>
          <w:rFonts w:ascii="Arial" w:hAnsi="Arial" w:cs="Arial"/>
          <w:i/>
          <w:iCs/>
        </w:rPr>
        <w:t>Nutrition Bulletin</w:t>
      </w:r>
      <w:r w:rsidRPr="006033F0">
        <w:rPr>
          <w:rFonts w:ascii="Arial" w:hAnsi="Arial" w:cs="Arial"/>
        </w:rPr>
        <w:t>, 29(1), pp. 11–20.</w:t>
      </w:r>
      <w:r w:rsidRPr="006033F0">
        <w:rPr>
          <w:rFonts w:ascii="Arial" w:hAnsi="Arial" w:cs="Arial"/>
        </w:rPr>
        <w:br/>
        <w:t xml:space="preserve">National Audit Office (2022) </w:t>
      </w:r>
      <w:r w:rsidRPr="006033F0">
        <w:rPr>
          <w:rFonts w:ascii="Arial" w:hAnsi="Arial" w:cs="Arial"/>
          <w:i/>
          <w:iCs/>
        </w:rPr>
        <w:t>Tackling Obesity: Government Progress Review</w:t>
      </w:r>
      <w:r w:rsidRPr="006033F0">
        <w:rPr>
          <w:rFonts w:ascii="Arial" w:hAnsi="Arial" w:cs="Arial"/>
        </w:rPr>
        <w:t>. London: NAO.</w:t>
      </w:r>
      <w:r w:rsidRPr="006033F0">
        <w:rPr>
          <w:rFonts w:ascii="Arial" w:hAnsi="Arial" w:cs="Arial"/>
        </w:rPr>
        <w:br/>
        <w:t xml:space="preserve">National Food Strategy (2021) </w:t>
      </w:r>
      <w:r w:rsidRPr="006033F0">
        <w:rPr>
          <w:rFonts w:ascii="Arial" w:hAnsi="Arial" w:cs="Arial"/>
          <w:i/>
          <w:iCs/>
        </w:rPr>
        <w:t>The National Food Strategy: Independent Review</w:t>
      </w:r>
      <w:r w:rsidRPr="006033F0">
        <w:rPr>
          <w:rFonts w:ascii="Arial" w:hAnsi="Arial" w:cs="Arial"/>
        </w:rPr>
        <w:t>. London: DEFRA.</w:t>
      </w:r>
      <w:r w:rsidRPr="006033F0">
        <w:rPr>
          <w:rFonts w:ascii="Arial" w:hAnsi="Arial" w:cs="Arial"/>
        </w:rPr>
        <w:br/>
        <w:t xml:space="preserve">NHS (2016) </w:t>
      </w:r>
      <w:r w:rsidRPr="006033F0">
        <w:rPr>
          <w:rFonts w:ascii="Arial" w:hAnsi="Arial" w:cs="Arial"/>
          <w:i/>
          <w:iCs/>
        </w:rPr>
        <w:t>The Eatwell Guide</w:t>
      </w:r>
      <w:r w:rsidRPr="006033F0">
        <w:rPr>
          <w:rFonts w:ascii="Arial" w:hAnsi="Arial" w:cs="Arial"/>
        </w:rPr>
        <w:t>. London: Public Health England.</w:t>
      </w:r>
      <w:r w:rsidRPr="006033F0">
        <w:rPr>
          <w:rFonts w:ascii="Arial" w:hAnsi="Arial" w:cs="Arial"/>
        </w:rPr>
        <w:br/>
        <w:t xml:space="preserve">NHS England (2023) </w:t>
      </w:r>
      <w:r w:rsidRPr="006033F0">
        <w:rPr>
          <w:rFonts w:ascii="Arial" w:hAnsi="Arial" w:cs="Arial"/>
          <w:i/>
          <w:iCs/>
        </w:rPr>
        <w:t>Preventing Ill Health Through Healthy Lifestyles</w:t>
      </w:r>
      <w:r w:rsidRPr="006033F0">
        <w:rPr>
          <w:rFonts w:ascii="Arial" w:hAnsi="Arial" w:cs="Arial"/>
        </w:rPr>
        <w:t>. London: NHS England.</w:t>
      </w:r>
      <w:r w:rsidRPr="006033F0">
        <w:rPr>
          <w:rFonts w:ascii="Arial" w:hAnsi="Arial" w:cs="Arial"/>
        </w:rPr>
        <w:br/>
        <w:t xml:space="preserve">Peters, M.D. et al. (2020) ‘Updated methodological guidance for scoping reviews’, </w:t>
      </w:r>
      <w:r w:rsidRPr="006033F0">
        <w:rPr>
          <w:rFonts w:ascii="Arial" w:hAnsi="Arial" w:cs="Arial"/>
          <w:i/>
          <w:iCs/>
        </w:rPr>
        <w:t>JBI Evidence Synthesis</w:t>
      </w:r>
      <w:r w:rsidRPr="006033F0">
        <w:rPr>
          <w:rFonts w:ascii="Arial" w:hAnsi="Arial" w:cs="Arial"/>
        </w:rPr>
        <w:t>, 18(10), pp. 2119–2126.</w:t>
      </w:r>
      <w:r w:rsidRPr="006033F0">
        <w:rPr>
          <w:rFonts w:ascii="Arial" w:hAnsi="Arial" w:cs="Arial"/>
        </w:rPr>
        <w:br/>
      </w:r>
      <w:r w:rsidRPr="006033F0">
        <w:rPr>
          <w:rFonts w:ascii="Arial" w:hAnsi="Arial" w:cs="Arial"/>
        </w:rPr>
        <w:lastRenderedPageBreak/>
        <w:t xml:space="preserve">Public Health England (2019) </w:t>
      </w:r>
      <w:r w:rsidRPr="006033F0">
        <w:rPr>
          <w:rFonts w:ascii="Arial" w:hAnsi="Arial" w:cs="Arial"/>
          <w:i/>
          <w:iCs/>
        </w:rPr>
        <w:t>Health Profile for England: Diet and Health Inequalities</w:t>
      </w:r>
      <w:r w:rsidRPr="006033F0">
        <w:rPr>
          <w:rFonts w:ascii="Arial" w:hAnsi="Arial" w:cs="Arial"/>
        </w:rPr>
        <w:t>. London: PHE.</w:t>
      </w:r>
      <w:r w:rsidRPr="006033F0">
        <w:rPr>
          <w:rFonts w:ascii="Arial" w:hAnsi="Arial" w:cs="Arial"/>
        </w:rPr>
        <w:br/>
        <w:t xml:space="preserve">Scarborough, P. et al. (2020) ‘Impact of the Soft Drinks Industry Levy on sugar purchased’, </w:t>
      </w:r>
      <w:r w:rsidRPr="006033F0">
        <w:rPr>
          <w:rFonts w:ascii="Arial" w:hAnsi="Arial" w:cs="Arial"/>
          <w:i/>
          <w:iCs/>
        </w:rPr>
        <w:t>Lancet Public Health</w:t>
      </w:r>
      <w:r w:rsidRPr="006033F0">
        <w:rPr>
          <w:rFonts w:ascii="Arial" w:hAnsi="Arial" w:cs="Arial"/>
        </w:rPr>
        <w:t>, 5(1), pp. e15–e22.</w:t>
      </w:r>
      <w:r w:rsidRPr="006033F0">
        <w:rPr>
          <w:rFonts w:ascii="Arial" w:hAnsi="Arial" w:cs="Arial"/>
        </w:rPr>
        <w:br/>
      </w:r>
      <w:proofErr w:type="spellStart"/>
      <w:r w:rsidRPr="006033F0">
        <w:rPr>
          <w:rFonts w:ascii="Arial" w:hAnsi="Arial" w:cs="Arial"/>
        </w:rPr>
        <w:t>Tricco</w:t>
      </w:r>
      <w:proofErr w:type="spellEnd"/>
      <w:r w:rsidRPr="006033F0">
        <w:rPr>
          <w:rFonts w:ascii="Arial" w:hAnsi="Arial" w:cs="Arial"/>
        </w:rPr>
        <w:t xml:space="preserve">, A.C. et al. (2018) ‘PRISMA Extension for Scoping Reviews’, </w:t>
      </w:r>
      <w:r w:rsidRPr="006033F0">
        <w:rPr>
          <w:rFonts w:ascii="Arial" w:hAnsi="Arial" w:cs="Arial"/>
          <w:i/>
          <w:iCs/>
        </w:rPr>
        <w:t>Annals of Internal Medicine</w:t>
      </w:r>
      <w:r w:rsidRPr="006033F0">
        <w:rPr>
          <w:rFonts w:ascii="Arial" w:hAnsi="Arial" w:cs="Arial"/>
        </w:rPr>
        <w:t>, 169(7), pp. 467–473.</w:t>
      </w:r>
      <w:r w:rsidRPr="006033F0">
        <w:rPr>
          <w:rFonts w:ascii="Arial" w:hAnsi="Arial" w:cs="Arial"/>
        </w:rPr>
        <w:br/>
        <w:t xml:space="preserve">Vijaykumar, S., McNeill, A. and Simpson, J. (2021) ‘Associations between conflicting nutrition information, nutrition confusion and backlash among consumers in the UK’, </w:t>
      </w:r>
      <w:r w:rsidRPr="006033F0">
        <w:rPr>
          <w:rFonts w:ascii="Arial" w:hAnsi="Arial" w:cs="Arial"/>
          <w:i/>
          <w:iCs/>
        </w:rPr>
        <w:t>Public Health Nutrition</w:t>
      </w:r>
      <w:r w:rsidRPr="006033F0">
        <w:rPr>
          <w:rFonts w:ascii="Arial" w:hAnsi="Arial" w:cs="Arial"/>
        </w:rPr>
        <w:t>, 24(8), pp. 1457–1470.</w:t>
      </w:r>
      <w:r w:rsidRPr="006033F0">
        <w:rPr>
          <w:rFonts w:ascii="Arial" w:hAnsi="Arial" w:cs="Arial"/>
        </w:rPr>
        <w:br/>
        <w:t xml:space="preserve">YouGov (2022) </w:t>
      </w:r>
      <w:r w:rsidRPr="006033F0">
        <w:rPr>
          <w:rFonts w:ascii="Arial" w:hAnsi="Arial" w:cs="Arial"/>
          <w:i/>
          <w:iCs/>
        </w:rPr>
        <w:t>Public Attitudes to Healthy Eating</w:t>
      </w:r>
      <w:r w:rsidRPr="006033F0">
        <w:rPr>
          <w:rFonts w:ascii="Arial" w:hAnsi="Arial" w:cs="Arial"/>
        </w:rPr>
        <w:t>. London: YouGov.</w:t>
      </w:r>
    </w:p>
    <w:p w14:paraId="0C6157F8" w14:textId="77777777" w:rsidR="006A1FDD" w:rsidRPr="006A1FDD" w:rsidRDefault="006A1FDD" w:rsidP="006A1FDD">
      <w:pPr>
        <w:spacing w:line="360" w:lineRule="auto"/>
        <w:rPr>
          <w:rFonts w:ascii="Arial" w:hAnsi="Arial" w:cs="Arial"/>
        </w:rPr>
      </w:pPr>
    </w:p>
    <w:sectPr w:rsidR="006A1FDD" w:rsidRPr="006A1FD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C094F" w14:textId="77777777" w:rsidR="0082029D" w:rsidRDefault="0082029D" w:rsidP="00982160">
      <w:pPr>
        <w:spacing w:after="0" w:line="240" w:lineRule="auto"/>
      </w:pPr>
      <w:r>
        <w:separator/>
      </w:r>
    </w:p>
  </w:endnote>
  <w:endnote w:type="continuationSeparator" w:id="0">
    <w:p w14:paraId="6C28A520" w14:textId="77777777" w:rsidR="0082029D" w:rsidRDefault="0082029D" w:rsidP="00982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735564"/>
      <w:docPartObj>
        <w:docPartGallery w:val="Page Numbers (Bottom of Page)"/>
        <w:docPartUnique/>
      </w:docPartObj>
    </w:sdtPr>
    <w:sdtContent>
      <w:p w14:paraId="6E2C56A6" w14:textId="7C032352" w:rsidR="00982160" w:rsidRDefault="00982160">
        <w:pPr>
          <w:pStyle w:val="Footer"/>
          <w:jc w:val="center"/>
        </w:pPr>
        <w:r>
          <w:fldChar w:fldCharType="begin"/>
        </w:r>
        <w:r>
          <w:instrText>PAGE   \* MERGEFORMAT</w:instrText>
        </w:r>
        <w:r>
          <w:fldChar w:fldCharType="separate"/>
        </w:r>
        <w:r>
          <w:t>2</w:t>
        </w:r>
        <w:r>
          <w:fldChar w:fldCharType="end"/>
        </w:r>
      </w:p>
    </w:sdtContent>
  </w:sdt>
  <w:p w14:paraId="3F3EA89B" w14:textId="77777777" w:rsidR="00982160" w:rsidRDefault="00982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1201E" w14:textId="77777777" w:rsidR="0082029D" w:rsidRDefault="0082029D" w:rsidP="00982160">
      <w:pPr>
        <w:spacing w:after="0" w:line="240" w:lineRule="auto"/>
      </w:pPr>
      <w:r>
        <w:separator/>
      </w:r>
    </w:p>
  </w:footnote>
  <w:footnote w:type="continuationSeparator" w:id="0">
    <w:p w14:paraId="0D250BE5" w14:textId="77777777" w:rsidR="0082029D" w:rsidRDefault="0082029D" w:rsidP="009821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053"/>
    <w:rsid w:val="00004DAC"/>
    <w:rsid w:val="002D7464"/>
    <w:rsid w:val="00304053"/>
    <w:rsid w:val="00373D33"/>
    <w:rsid w:val="005031B5"/>
    <w:rsid w:val="00581D91"/>
    <w:rsid w:val="006033F0"/>
    <w:rsid w:val="006A1FDD"/>
    <w:rsid w:val="0082029D"/>
    <w:rsid w:val="00982160"/>
    <w:rsid w:val="00AC3E6E"/>
    <w:rsid w:val="00C725AB"/>
    <w:rsid w:val="00CC19DF"/>
    <w:rsid w:val="00CD7BE4"/>
    <w:rsid w:val="00EB1112"/>
    <w:rsid w:val="00EC708B"/>
    <w:rsid w:val="00FE0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8116"/>
  <w15:chartTrackingRefBased/>
  <w15:docId w15:val="{FBA6B4E8-1B13-4FA2-B1CD-BEEFAB127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0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0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40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0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0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0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0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0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0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4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053"/>
    <w:rPr>
      <w:rFonts w:eastAsiaTheme="majorEastAsia" w:cstheme="majorBidi"/>
      <w:color w:val="272727" w:themeColor="text1" w:themeTint="D8"/>
    </w:rPr>
  </w:style>
  <w:style w:type="paragraph" w:styleId="Title">
    <w:name w:val="Title"/>
    <w:basedOn w:val="Normal"/>
    <w:next w:val="Normal"/>
    <w:link w:val="TitleChar"/>
    <w:uiPriority w:val="10"/>
    <w:qFormat/>
    <w:rsid w:val="00304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053"/>
    <w:pPr>
      <w:spacing w:before="160"/>
      <w:jc w:val="center"/>
    </w:pPr>
    <w:rPr>
      <w:i/>
      <w:iCs/>
      <w:color w:val="404040" w:themeColor="text1" w:themeTint="BF"/>
    </w:rPr>
  </w:style>
  <w:style w:type="character" w:customStyle="1" w:styleId="QuoteChar">
    <w:name w:val="Quote Char"/>
    <w:basedOn w:val="DefaultParagraphFont"/>
    <w:link w:val="Quote"/>
    <w:uiPriority w:val="29"/>
    <w:rsid w:val="00304053"/>
    <w:rPr>
      <w:i/>
      <w:iCs/>
      <w:color w:val="404040" w:themeColor="text1" w:themeTint="BF"/>
    </w:rPr>
  </w:style>
  <w:style w:type="paragraph" w:styleId="ListParagraph">
    <w:name w:val="List Paragraph"/>
    <w:basedOn w:val="Normal"/>
    <w:uiPriority w:val="34"/>
    <w:qFormat/>
    <w:rsid w:val="00304053"/>
    <w:pPr>
      <w:ind w:left="720"/>
      <w:contextualSpacing/>
    </w:pPr>
  </w:style>
  <w:style w:type="character" w:styleId="IntenseEmphasis">
    <w:name w:val="Intense Emphasis"/>
    <w:basedOn w:val="DefaultParagraphFont"/>
    <w:uiPriority w:val="21"/>
    <w:qFormat/>
    <w:rsid w:val="00304053"/>
    <w:rPr>
      <w:i/>
      <w:iCs/>
      <w:color w:val="0F4761" w:themeColor="accent1" w:themeShade="BF"/>
    </w:rPr>
  </w:style>
  <w:style w:type="paragraph" w:styleId="IntenseQuote">
    <w:name w:val="Intense Quote"/>
    <w:basedOn w:val="Normal"/>
    <w:next w:val="Normal"/>
    <w:link w:val="IntenseQuoteChar"/>
    <w:uiPriority w:val="30"/>
    <w:qFormat/>
    <w:rsid w:val="00304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053"/>
    <w:rPr>
      <w:i/>
      <w:iCs/>
      <w:color w:val="0F4761" w:themeColor="accent1" w:themeShade="BF"/>
    </w:rPr>
  </w:style>
  <w:style w:type="character" w:styleId="IntenseReference">
    <w:name w:val="Intense Reference"/>
    <w:basedOn w:val="DefaultParagraphFont"/>
    <w:uiPriority w:val="32"/>
    <w:qFormat/>
    <w:rsid w:val="00304053"/>
    <w:rPr>
      <w:b/>
      <w:bCs/>
      <w:smallCaps/>
      <w:color w:val="0F4761" w:themeColor="accent1" w:themeShade="BF"/>
      <w:spacing w:val="5"/>
    </w:rPr>
  </w:style>
  <w:style w:type="paragraph" w:styleId="TOCHeading">
    <w:name w:val="TOC Heading"/>
    <w:basedOn w:val="Heading1"/>
    <w:next w:val="Normal"/>
    <w:uiPriority w:val="39"/>
    <w:unhideWhenUsed/>
    <w:qFormat/>
    <w:rsid w:val="00982160"/>
    <w:pPr>
      <w:spacing w:before="240" w:after="0"/>
      <w:outlineLvl w:val="9"/>
    </w:pPr>
    <w:rPr>
      <w:kern w:val="0"/>
      <w:sz w:val="32"/>
      <w:szCs w:val="32"/>
      <w:lang w:eastAsia="en-GB"/>
      <w14:ligatures w14:val="none"/>
    </w:rPr>
  </w:style>
  <w:style w:type="paragraph" w:styleId="TOC3">
    <w:name w:val="toc 3"/>
    <w:basedOn w:val="Normal"/>
    <w:next w:val="Normal"/>
    <w:autoRedefine/>
    <w:uiPriority w:val="39"/>
    <w:unhideWhenUsed/>
    <w:rsid w:val="00982160"/>
    <w:pPr>
      <w:spacing w:after="100"/>
      <w:ind w:left="440"/>
    </w:pPr>
  </w:style>
  <w:style w:type="character" w:styleId="Hyperlink">
    <w:name w:val="Hyperlink"/>
    <w:basedOn w:val="DefaultParagraphFont"/>
    <w:uiPriority w:val="99"/>
    <w:unhideWhenUsed/>
    <w:rsid w:val="00982160"/>
    <w:rPr>
      <w:color w:val="467886" w:themeColor="hyperlink"/>
      <w:u w:val="single"/>
    </w:rPr>
  </w:style>
  <w:style w:type="paragraph" w:styleId="Header">
    <w:name w:val="header"/>
    <w:basedOn w:val="Normal"/>
    <w:link w:val="HeaderChar"/>
    <w:uiPriority w:val="99"/>
    <w:unhideWhenUsed/>
    <w:rsid w:val="00982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160"/>
  </w:style>
  <w:style w:type="paragraph" w:styleId="Footer">
    <w:name w:val="footer"/>
    <w:basedOn w:val="Normal"/>
    <w:link w:val="FooterChar"/>
    <w:uiPriority w:val="99"/>
    <w:unhideWhenUsed/>
    <w:rsid w:val="00982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160"/>
  </w:style>
  <w:style w:type="paragraph" w:styleId="NoSpacing">
    <w:name w:val="No Spacing"/>
    <w:link w:val="NoSpacingChar"/>
    <w:uiPriority w:val="1"/>
    <w:qFormat/>
    <w:rsid w:val="00AC3E6E"/>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AC3E6E"/>
    <w:rPr>
      <w:rFonts w:eastAsiaTheme="minorEastAsia"/>
      <w:kern w:val="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D0532-01D4-4602-ACB4-AD5F50770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3731</Words>
  <Characters>21268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Dounia Allaiouti</dc:creator>
  <cp:keywords/>
  <dc:description/>
  <cp:lastModifiedBy>Microsoft Office User</cp:lastModifiedBy>
  <cp:revision>2</cp:revision>
  <dcterms:created xsi:type="dcterms:W3CDTF">2025-11-16T07:11:00Z</dcterms:created>
  <dcterms:modified xsi:type="dcterms:W3CDTF">2025-11-16T07:11:00Z</dcterms:modified>
</cp:coreProperties>
</file>