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0D348C" w:rsidRDefault="000D348C" w14:paraId="00000001"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576" w:lineRule="auto"/>
        <w:rPr>
          <w:color w:val="000000"/>
          <w:rFonts w:ascii="Times New Roman" w:cs="Times New Roman" w:eastAsia="Times New Roman" w:hAnsi="Times New Roman"/>
          <w:sz w:val="24"/>
          <w:szCs w:val="24"/>
        </w:rPr>
      </w:pPr>
    </w:p>
    <w:p w:rsidR="000D348C" w:rsidRDefault="000D348C" w14:paraId="00000002"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576" w:lineRule="auto"/>
        <w:rPr>
          <w:color w:val="000000"/>
          <w:rFonts w:ascii="Times New Roman" w:cs="Times New Roman" w:eastAsia="Times New Roman" w:hAnsi="Times New Roman"/>
          <w:sz w:val="24"/>
          <w:szCs w:val="24"/>
        </w:rPr>
      </w:pPr>
    </w:p>
    <w:p w:rsidR="000D348C" w:rsidRDefault="000D348C" w14:paraId="00000003"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576" w:lineRule="auto"/>
        <w:rPr>
          <w:color w:val="000000"/>
          <w:rFonts w:ascii="Times New Roman" w:cs="Times New Roman" w:eastAsia="Times New Roman" w:hAnsi="Times New Roman"/>
          <w:sz w:val="24"/>
          <w:szCs w:val="24"/>
        </w:rPr>
      </w:pPr>
    </w:p>
    <w:p w:rsidR="000D348C" w:rsidRDefault="000D348C" w14:paraId="00000004"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576" w:lineRule="auto"/>
        <w:rPr>
          <w:color w:val="000000"/>
          <w:rFonts w:ascii="Times New Roman" w:cs="Times New Roman" w:eastAsia="Times New Roman" w:hAnsi="Times New Roman"/>
          <w:sz w:val="24"/>
          <w:szCs w:val="24"/>
        </w:rPr>
      </w:pPr>
    </w:p>
    <w:p w:rsidR="000D348C" w:rsidRDefault="000D348C" w14:paraId="00000005"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576" w:lineRule="auto"/>
        <w:rPr>
          <w:color w:val="000000"/>
          <w:rFonts w:ascii="Times New Roman" w:cs="Times New Roman" w:eastAsia="Times New Roman" w:hAnsi="Times New Roman"/>
          <w:sz w:val="24"/>
          <w:szCs w:val="24"/>
        </w:rPr>
      </w:pPr>
    </w:p>
    <w:p w:rsidR="000D348C" w:rsidRDefault="000D348C" w14:paraId="00000006"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576" w:lineRule="auto"/>
        <w:rPr>
          <w:color w:val="000000"/>
          <w:rFonts w:ascii="Times New Roman" w:cs="Times New Roman" w:eastAsia="Times New Roman" w:hAnsi="Times New Roman"/>
          <w:sz w:val="24"/>
          <w:szCs w:val="24"/>
        </w:rPr>
      </w:pPr>
    </w:p>
    <w:p w:rsidR="000D348C" w:rsidRDefault="0022681E" w14:paraId="00000007"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THE SEACREST LODGE</w:t>
      </w:r>
    </w:p>
    <w:p w:rsidR="000D348C" w:rsidRDefault="0022681E" w14:paraId="00000008"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r>
    </w:p>
    <w:p w:rsidR="000D348C" w:rsidRDefault="000D348C" w14:paraId="00000009"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480" w:lineRule="auto"/>
        <w:rPr>
          <w:color w:val="000000"/>
          <w:rFonts w:ascii="Times New Roman" w:cs="Times New Roman" w:eastAsia="Times New Roman" w:hAnsi="Times New Roman"/>
          <w:sz w:val="24"/>
          <w:szCs w:val="24"/>
        </w:rPr>
      </w:pPr>
    </w:p>
    <w:p w:rsidR="000D348C" w:rsidRDefault="000D348C" w14:paraId="0000000A"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480" w:lineRule="auto"/>
        <w:rPr>
          <w:color w:val="000000"/>
          <w:rFonts w:ascii="Times New Roman" w:cs="Times New Roman" w:eastAsia="Times New Roman" w:hAnsi="Times New Roman"/>
          <w:sz w:val="24"/>
          <w:szCs w:val="24"/>
        </w:rPr>
      </w:pPr>
    </w:p>
    <w:p w:rsidR="000D348C" w:rsidRDefault="000D348C" w14:paraId="0000000B"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480" w:lineRule="auto"/>
        <w:rPr>
          <w:color w:val="000000"/>
          <w:rFonts w:ascii="Times New Roman" w:cs="Times New Roman" w:eastAsia="Times New Roman" w:hAnsi="Times New Roman"/>
          <w:sz w:val="24"/>
          <w:szCs w:val="24"/>
        </w:rPr>
      </w:pPr>
    </w:p>
    <w:p w:rsidR="000D348C" w:rsidRDefault="0022681E" w14:paraId="0000000C"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480" w:lineRule="auto"/>
        <w:rPr>
          <w:color w:val="000000"/>
          <w:rFonts w:ascii="Times New Roman" w:cs="Times New Roman" w:eastAsia="Times New Roman" w:hAnsi="Times New Roman"/>
          <w:sz w:val="24"/>
          <w:szCs w:val="24"/>
        </w:rPr>
      </w:pPr>
      <w:r>
        <w:rPr>
          <w:color w:val="000000"/>
          <w:rFonts w:ascii="Times New Roman"/>
          <w:sz w:val="24"/>
        </w:rPr>
        <w:t>Module 5001</w:t>
      </w:r>
    </w:p>
    <w:p w:rsidR="000D348C" w:rsidRDefault="0022681E" w14:paraId="0000000D"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480" w:lineRule="auto"/>
        <w:rPr>
          <w:color w:val="000000"/>
          <w:rFonts w:ascii="Times New Roman" w:cs="Times New Roman" w:eastAsia="Times New Roman" w:hAnsi="Times New Roman"/>
          <w:sz w:val="24"/>
          <w:szCs w:val="24"/>
        </w:rPr>
      </w:pPr>
      <w:r>
        <w:rPr>
          <w:color w:val="000000"/>
          <w:rFonts w:ascii="Times New Roman"/>
          <w:sz w:val="24"/>
        </w:rPr>
        <w:t>Lecturer: Tristan Hawkins</w:t>
      </w:r>
    </w:p>
    <w:p w:rsidR="000D348C" w:rsidRDefault="0022681E" w14:paraId="0000000E"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Module: BMIH 5007</w:t>
      </w:r>
    </w:p>
    <w:p w:rsidR="000D348C" w:rsidRDefault="0022681E" w14:paraId="0000000F"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student ID: Izabela Filipek 2209778</w:t>
      </w:r>
    </w:p>
    <w:p w:rsidR="000D348C" w:rsidRDefault="0022681E" w14:paraId="00000010"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Date: 22/02/2024</w:t>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color w:val="000000"/>
          <w:rFonts w:ascii="Times New Roman"/>
          <w:sz w:val="24"/>
        </w:rPr>
        <w:t>word count: 2573</w:t>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color w:val="000000"/>
          <w:rFonts w:ascii="Times New Roman"/>
          <w:sz w:val="24"/>
        </w:rPr>
      </w:r>
    </w:p>
    <w:p w:rsidR="000D348C" w:rsidRDefault="0022681E" w14:paraId="00000011"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The Seacrest Lodge</w:t>
      </w:r>
    </w:p>
    <w:p w:rsidR="000D348C" w:rsidRDefault="0022681E" w14:paraId="00000012"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480" w:lineRule="auto"/>
        <w:rPr>
          <w:b/>
          <w:color w:val="000000"/>
          <w:rFonts w:ascii="Times New Roman" w:cs="Times New Roman" w:eastAsia="Times New Roman" w:hAnsi="Times New Roman"/>
          <w:sz w:val="24"/>
          <w:szCs w:val="24"/>
        </w:rPr>
      </w:pPr>
      <w:r>
        <w:rPr>
          <w:b/>
          <w:color w:val="000000"/>
          <w:rFonts w:ascii="Times New Roman" w:cs="Times New Roman" w:eastAsia="Times New Roman" w:hAnsi="Times New Roman"/>
          <w:sz w:val="24"/>
          <w:szCs w:val="24"/>
        </w:rPr>
        <w:t>Introduction</w:t>
      </w:r>
    </w:p>
    <w:p w:rsidR="000D348C" w:rsidRDefault="0022681E" w14:paraId="00000013"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 xml:space="preserve">Seacrest Lodge, located on the scenic coastline, has a rich history as a top vacation spot, providing a mix of luxury, tranquility, and stunning views. Despite its previous success, the lodge is now encountering substantial obstacles that jeopardise its sustainability. The decrease in revenue, occupancy rates, and client happiness has negatively impacted its once-strong reputation. The owner has requested help to assess the lodge current condition and create a plan to improve its situation. </w:t>
      </w:r>
    </w:p>
    <w:p w:rsidR="000D348C" w:rsidRDefault="0022681E" w14:paraId="00000014"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Seacrest Lodge is known for its luxurious amenities and serene atmosphere, making it a popular choice for travelers looking for a peaceful seaside getaway. Recently, the lodge has experienced a decline characterized by reduced revenue, declining occupancy rates, and a dramatic drop in client satisfaction. The reduction is due to growing competition from newer resorts, changing client preferences, and a perceived lack of investment in modernizing amenities and services. The issues have sparked concerns about</w:t>
      </w:r>
      <w:r>
        <w:rPr>
          <w:color w:val="000000"/>
          <w:rFonts w:ascii="Times New Roman" w:cs="Times New Roman" w:eastAsia="Times New Roman" w:hAnsi="Times New Roman"/>
          <w:sz w:val="24"/>
          <w:szCs w:val="24"/>
        </w:rPr>
        <w:t xml:space="preserve"> the lodge's future sustainability and emphasized the necessity for a thorough turnaround plan.</w:t>
      </w:r>
    </w:p>
    <w:p w:rsidR="000D348C" w:rsidRDefault="0022681E" w14:paraId="00000015"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This report aims to comprehensively analyse Seacrest Lodge financial performance and operational problems from the last three years. We plan to analyse the underlying reasons for the decrease in profitability and customer happiness to create a strategic strategy that will improve the lodge's financial well-being and reputation as a top vacation spot. With this turnaround approach, we want to offer practical suggestions to help Seacrest Lodge overcome these issues and become a more robust and competitive p</w:t>
      </w:r>
      <w:r>
        <w:rPr>
          <w:color w:val="000000"/>
          <w:rFonts w:ascii="Times New Roman" w:cs="Times New Roman" w:eastAsia="Times New Roman" w:hAnsi="Times New Roman"/>
          <w:sz w:val="24"/>
          <w:szCs w:val="24"/>
        </w:rPr>
        <w:t>resence in the coastal resort industry.</w:t>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rsidR="000D348C" w:rsidRDefault="0022681E" w14:paraId="00000016"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480" w:lineRule="auto"/>
        <w:rPr>
          <w:b/>
          <w:color w:val="000000"/>
          <w:rFonts w:ascii="Times New Roman" w:cs="Times New Roman" w:eastAsia="Times New Roman" w:hAnsi="Times New Roman"/>
          <w:sz w:val="24"/>
          <w:szCs w:val="24"/>
        </w:rPr>
      </w:pPr>
      <w:r>
        <w:rPr>
          <w:b/>
          <w:color w:val="000000"/>
          <w:rFonts w:ascii="Times New Roman" w:cs="Times New Roman" w:eastAsia="Times New Roman" w:hAnsi="Times New Roman"/>
          <w:sz w:val="24"/>
          <w:szCs w:val="24"/>
        </w:rPr>
        <w:t>Market Analysis</w:t>
      </w:r>
    </w:p>
    <w:p w:rsidR="000D348C" w:rsidRDefault="0022681E" w14:paraId="00000017"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Seacrest Lodge is located in a competitive seaside market with many newer, more modern resorts nearby competing for guests' attention. These rivals provide a variety of amenities and services tailored to meet the changing tastes and preferences of clients (</w:t>
      </w:r>
      <w:proofErr w:type="spellStart"/>
      <w:r>
        <w:rPr>
          <w:color w:val="000000"/>
          <w:rFonts w:ascii="Times New Roman" w:cs="Times New Roman" w:eastAsia="Times New Roman" w:hAnsi="Times New Roman"/>
          <w:sz w:val="24"/>
          <w:szCs w:val="24"/>
        </w:rPr>
        <w:t>Palepu</w:t>
      </w:r>
      <w:proofErr w:type="spellEnd"/>
      <w:r>
        <w:rPr>
          <w:color w:val="000000"/>
          <w:rFonts w:ascii="Times New Roman" w:cs="Times New Roman" w:eastAsia="Times New Roman" w:hAnsi="Times New Roman"/>
          <w:sz w:val="24"/>
          <w:szCs w:val="24"/>
        </w:rPr>
        <w:t xml:space="preserve"> et al., 2020). The arrival of these new competitors has increased competition in the market, prompting Seacrest Lodge to distinguish itself and uphold its competitive advantage.</w:t>
      </w:r>
    </w:p>
    <w:p w:rsidR="000D348C" w:rsidRDefault="0022681E" w14:paraId="00000018"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Customer preferences have shifted significantly towards experiencing travel in recent years. Customers now desire more than simply a comfortable stay; they are looking for distinctive experiences and activities that leave a lasting impression (</w:t>
      </w:r>
      <w:proofErr w:type="spellStart"/>
      <w:r>
        <w:rPr>
          <w:color w:val="000000"/>
          <w:rFonts w:ascii="Times New Roman" w:cs="Times New Roman" w:eastAsia="Times New Roman" w:hAnsi="Times New Roman"/>
          <w:sz w:val="24"/>
          <w:szCs w:val="24"/>
        </w:rPr>
        <w:t>Köseoglu</w:t>
      </w:r>
      <w:proofErr w:type="spellEnd"/>
      <w:r>
        <w:rPr>
          <w:color w:val="000000"/>
          <w:rFonts w:ascii="Times New Roman" w:cs="Times New Roman" w:eastAsia="Times New Roman" w:hAnsi="Times New Roman"/>
          <w:sz w:val="24"/>
          <w:szCs w:val="24"/>
        </w:rPr>
        <w:t xml:space="preserve"> et al., 2019). Social media's growth has fueled the practice of sharing travel experiences with friends and followers. Customers are now looking for resorts that provide a variety of activities and services tailored to their interests, such as adventure sports, health retreats, or gourmet experiences.</w:t>
      </w:r>
    </w:p>
    <w:p w:rsidR="000D348C" w:rsidRDefault="0022681E" w14:paraId="00000019"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Customer feedback on Seacrest Lodge has brought attention to several service quality and facility concerns. Several guests have voiced discontent with the antiquated facilities and the absence of contemporary amenities. Several reviews have mentioned complaints about cleanliness, maintenance, and customer service (</w:t>
      </w:r>
      <w:proofErr w:type="spellStart"/>
      <w:r>
        <w:rPr>
          <w:color w:val="000000"/>
          <w:rFonts w:ascii="Times New Roman" w:cs="Times New Roman" w:eastAsia="Times New Roman" w:hAnsi="Times New Roman"/>
          <w:sz w:val="24"/>
          <w:szCs w:val="24"/>
        </w:rPr>
        <w:t>Palepu</w:t>
      </w:r>
      <w:proofErr w:type="spellEnd"/>
      <w:r>
        <w:rPr>
          <w:color w:val="000000"/>
          <w:rFonts w:ascii="Times New Roman" w:cs="Times New Roman" w:eastAsia="Times New Roman" w:hAnsi="Times New Roman"/>
          <w:sz w:val="24"/>
          <w:szCs w:val="24"/>
        </w:rPr>
        <w:t xml:space="preserve"> et al., 2020). The problems have led to a decrease in customer satisfaction and probably affected the lodge's capacity to recruit and keep clients in a more competitive market.</w:t>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rsidR="000D348C" w:rsidRDefault="0022681E" w14:paraId="0000001A"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480" w:lineRule="auto"/>
        <w:rPr>
          <w:b/>
          <w:color w:val="000000"/>
          <w:rFonts w:ascii="Times New Roman" w:cs="Times New Roman" w:eastAsia="Times New Roman" w:hAnsi="Times New Roman"/>
          <w:sz w:val="24"/>
          <w:szCs w:val="24"/>
        </w:rPr>
      </w:pPr>
      <w:r>
        <w:rPr>
          <w:b/>
          <w:color w:val="000000"/>
          <w:rFonts w:ascii="Times New Roman" w:cs="Times New Roman" w:eastAsia="Times New Roman" w:hAnsi="Times New Roman"/>
          <w:sz w:val="24"/>
          <w:szCs w:val="24"/>
        </w:rPr>
        <w:t>Financial Performance Analysis</w:t>
      </w:r>
    </w:p>
    <w:p w:rsidR="000D348C" w:rsidRDefault="0022681E" w14:paraId="0000001B"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b/>
          <w:i/>
          <w:color w:val="000000"/>
          <w:rFonts w:ascii="Times New Roman" w:cs="Times New Roman" w:eastAsia="Times New Roman" w:hAnsi="Times New Roman"/>
          <w:sz w:val="24"/>
          <w:szCs w:val="24"/>
        </w:rPr>
      </w:pPr>
      <w:r>
        <w:rPr>
          <w:b/>
          <w:i/>
          <w:color w:val="000000"/>
          <w:rFonts w:ascii="Times New Roman" w:cs="Times New Roman" w:eastAsia="Times New Roman" w:hAnsi="Times New Roman"/>
          <w:sz w:val="24"/>
          <w:szCs w:val="24"/>
        </w:rPr>
        <w:t>Review of Income Statement and Balance Sheet Data</w:t>
      </w:r>
    </w:p>
    <w:p w:rsidR="000D348C" w:rsidRDefault="0022681E" w14:paraId="0000001C"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The income statement and balance sheet offer crucial insights into Seacrest Lodge financial performance between 2021 and 2023. Between 2021 and 2023, Seacrest Lodge had a fall in revenue from £1,200,000 to £950,000, signalising  a decline in business activity. Several causes, including competition and changing client tastes, are responsible for this reduction. The lodge's operating expenses rose from £900,000 to £1,100,000 throughout the same period, which had a further negative influence on its profitabilit</w:t>
      </w:r>
      <w:r>
        <w:rPr>
          <w:color w:val="000000"/>
          <w:rFonts w:ascii="Times New Roman" w:cs="Times New Roman" w:eastAsia="Times New Roman" w:hAnsi="Times New Roman"/>
          <w:sz w:val="24"/>
          <w:szCs w:val="24"/>
        </w:rPr>
        <w:t>y. The lodge net income decreased from £300,000 in 2021 to a loss of £150,000 in 2023, showing a substantial reduction in financial performance.</w:t>
      </w:r>
    </w:p>
    <w:p w:rsidR="000D348C" w:rsidRDefault="0022681E" w14:paraId="0000001D"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 xml:space="preserve">The balance sheet displays Seacrest Lodge financial status for the last three years. Cash and equivalents declined from £100,000 in 2021 to £20,000 in 2023, suggesting a possible liquidity problem. Accounts receivable declined from £50,000 to £30,000 within the same period, indicating a reduction in sales made on credit. The value of property and equipment stayed constant at £2,000,000, suggesting no notable changes in fixed asset investments or sales. Assets dropped from £2,150,000 in 2021 to £1,850,000 </w:t>
      </w:r>
      <w:r>
        <w:rPr>
          <w:color w:val="000000"/>
          <w:rFonts w:ascii="Times New Roman" w:cs="Times New Roman" w:eastAsia="Times New Roman" w:hAnsi="Times New Roman"/>
          <w:sz w:val="24"/>
          <w:szCs w:val="24"/>
        </w:rPr>
        <w:t>in 2023 due to decreases in cash, equivalents, and accounts receivable.</w:t>
      </w:r>
    </w:p>
    <w:p w:rsidR="000D348C" w:rsidRDefault="0022681E" w14:paraId="0000001E"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Accounts payable rose from £30,000 in 2021 to £50,000 in 2023, suggesting a growth in short-term liabilities. The long-term debt stayed consistent at £1,500,000, suggesting no changes in borrowing or repayment of long-term debt. Liabilities rose from £1,530,000 in 2021 to £1,550,000 in 2023 mainly because of the growth in accounts payable. Equity declined from £620,000 in 2021 to £300,000 in 2023 due to lower net income and retained earnings.</w:t>
      </w:r>
    </w:p>
    <w:p>
      <w:pPr>
        <w:pBdr>
          <w:top w:val="nil" w:sz="0" w:color="auto" w:space="0"/>
          <w:bottom w:val="nil" w:sz="0" w:color="auto" w:space="0"/>
          <w:left w:val="nil" w:sz="0" w:color="auto" w:space="0"/>
          <w:right w:val="nil" w:sz="0" w:color="auto" w:space="0"/>
          <w:between w:val="nil" w:sz="0" w:color="auto" w:space="0"/>
        </w:pBdr>
        <w:shd w:fill="FFFFFF"/>
        <w:jc w:val="both"/>
        <w:spacing w:line="480" w:lineRule="auto"/>
      </w:pPr>
      <w:r>
        <w:rPr>
          <w:b/>
          <w:i/>
          <w:color w:val="000000"/>
          <w:rFonts w:ascii="Times New Roman"/>
          <w:sz w:val="24"/>
        </w:rPr>
      </w:r>
    </w:p>
    <w:p w:rsidR="000D348C" w:rsidRDefault="0022681E" w14:paraId="0000001F"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spacing w:line="480" w:lineRule="auto"/>
        <w:rPr>
          <w:b/>
          <w:i/>
          <w:color w:val="000000"/>
          <w:rFonts w:ascii="Times New Roman" w:cs="Times New Roman" w:eastAsia="Times New Roman" w:hAnsi="Times New Roman"/>
          <w:sz w:val="24"/>
          <w:szCs w:val="24"/>
        </w:rPr>
      </w:pPr>
      <w:r>
        <w:rPr>
          <w:b/>
          <w:i/>
          <w:color w:val="000000"/>
          <w:rFonts w:ascii="Times New Roman" w:cs="Times New Roman" w:eastAsia="Times New Roman" w:hAnsi="Times New Roman"/>
          <w:sz w:val="24"/>
          <w:szCs w:val="24"/>
        </w:rPr>
        <w:t>Analysis of Average Room Rate and Occupancy Rate Trends</w:t>
      </w:r>
    </w:p>
    <w:p w:rsidR="000D348C" w:rsidRDefault="0022681E" w14:paraId="00000020"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The average room rate (ARR) and occupancy rate are crucial metrics for evaluating Seacrest Lodge success in the hospitality sector. The ARR was reduced from £260 to £210 between 2021 and 2023. The decrease can be linked to various factors, such as heightened competition from recently established resorts providing reduced prices and shifts in client preferences (Kim et al., 2020). A declining Average Room Rate (ARR) can have adverse effects on revenue and profitability unless countered by a rise in occupan</w:t>
      </w:r>
      <w:r>
        <w:rPr>
          <w:color w:val="000000"/>
          <w:rFonts w:ascii="Times New Roman" w:cs="Times New Roman" w:eastAsia="Times New Roman" w:hAnsi="Times New Roman"/>
          <w:sz w:val="24"/>
          <w:szCs w:val="24"/>
        </w:rPr>
        <w:t>cy rate or alternative revenue sources.</w:t>
      </w:r>
    </w:p>
    <w:p w:rsidR="000D348C" w:rsidRDefault="0022681E" w14:paraId="00000021"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The occupancy rate declined from 65% in 2021 to 50% in 2023. This decrease suggests a drop in demand for Seacrest Lodge lodgings, maybe because of the issues described before (Liu et al., 2022). Reduced occupancy might result in inefficient resource use and lower revenue, which can negatively affect the lodge financial performance.</w:t>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rsidR="000D348C" w:rsidRDefault="0022681E" w14:paraId="00000022"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480" w:lineRule="auto"/>
        <w:rPr>
          <w:b/>
          <w:color w:val="000000"/>
          <w:rFonts w:ascii="Times New Roman" w:cs="Times New Roman" w:eastAsia="Times New Roman" w:hAnsi="Times New Roman"/>
          <w:sz w:val="24"/>
          <w:szCs w:val="24"/>
        </w:rPr>
      </w:pPr>
      <w:r>
        <w:rPr>
          <w:b/>
          <w:color w:val="000000"/>
          <w:rFonts w:ascii="Times New Roman" w:cs="Times New Roman" w:eastAsia="Times New Roman" w:hAnsi="Times New Roman"/>
          <w:sz w:val="24"/>
          <w:szCs w:val="24"/>
        </w:rPr>
        <w:t>Reasons for Decline in Profitability</w:t>
      </w:r>
    </w:p>
    <w:p w:rsidR="000D348C" w:rsidRDefault="0022681E" w14:paraId="00000023"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Seacrest Lodge has had a significant drop in profitability over the last three years, with net income decreasing from £300,000 in 2021 to a loss of £150,000 in 2023. Multiple significant variables have led to this decrease, such as alterations in market dynamics, changes in client preferences, and operational inefficiencies.</w:t>
      </w:r>
    </w:p>
    <w:p w:rsidR="000D348C" w:rsidRDefault="0022681E" w14:paraId="00000024"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Seacrest Lodge decrease in profitability is mostly due to the shifting market dynamics in the coastal resort business. The rise of contemporary resorts nearby has increased competition, resulting in pricing constraints and a reduction in market share for Seacrest Lodge (</w:t>
      </w:r>
      <w:proofErr w:type="spellStart"/>
      <w:r>
        <w:rPr>
          <w:color w:val="000000"/>
          <w:rFonts w:ascii="Times New Roman" w:cs="Times New Roman" w:eastAsia="Times New Roman" w:hAnsi="Times New Roman"/>
          <w:sz w:val="24"/>
          <w:szCs w:val="24"/>
        </w:rPr>
        <w:t>Gemar</w:t>
      </w:r>
      <w:proofErr w:type="spellEnd"/>
      <w:r>
        <w:rPr>
          <w:color w:val="000000"/>
          <w:rFonts w:ascii="Times New Roman" w:cs="Times New Roman" w:eastAsia="Times New Roman" w:hAnsi="Times New Roman"/>
          <w:sz w:val="24"/>
          <w:szCs w:val="24"/>
        </w:rPr>
        <w:t xml:space="preserve"> et al., 2019). The new resorts provide various amenities and services tailored to changing consumer tastes, presenting a substantial challenge to Seacrest Lodge conventional economic strategy.</w:t>
      </w:r>
    </w:p>
    <w:p w:rsidR="000D348C" w:rsidRDefault="0022681E" w14:paraId="00000025"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Changes in client preferences are another significant element causing Seacrest Lodge decrease in profitability. Recently, there has been a rise in experiential travel, as clients look for distinctive and immersive experiences while on vacation (Kim, 2018). Seacrest Lodge inability to adjust to evolving preferences and distinguish itself from rivals has caused a drop in client happiness and loyalty, leading to decreased occupancy rates and revenue.</w:t>
      </w:r>
    </w:p>
    <w:p w:rsidR="000D348C" w:rsidRDefault="0022681E" w14:paraId="00000026"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Operational inefficiencies have contributed to the decrease in profitability of Seacrest Lodge. Substandard management, insufficient staff training, and a failure to invest in improving facilities and amenities have all led to a decrease in service quality and customer satisfaction (</w:t>
      </w:r>
      <w:proofErr w:type="spellStart"/>
      <w:r>
        <w:rPr>
          <w:color w:val="000000"/>
          <w:rFonts w:ascii="Times New Roman" w:cs="Times New Roman" w:eastAsia="Times New Roman" w:hAnsi="Times New Roman"/>
          <w:sz w:val="24"/>
          <w:szCs w:val="24"/>
        </w:rPr>
        <w:t>Gemar</w:t>
      </w:r>
      <w:proofErr w:type="spellEnd"/>
      <w:r>
        <w:rPr>
          <w:color w:val="000000"/>
          <w:rFonts w:ascii="Times New Roman" w:cs="Times New Roman" w:eastAsia="Times New Roman" w:hAnsi="Times New Roman"/>
          <w:sz w:val="24"/>
          <w:szCs w:val="24"/>
        </w:rPr>
        <w:t xml:space="preserve"> et al., 2019). As a consequence, the resort has received unfavorable feedback and its reputation has been damaged, affecting its capacity to draw in and keep customers.</w:t>
      </w:r>
    </w:p>
    <w:p w:rsidR="000D348C" w:rsidRDefault="0022681E" w14:paraId="00000027"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Seacrest Lodge's decrease in profitability may be due to the influence of real-world events and the present economy. The COVID-19 epidemic has significantly affected the hospitality business, resulting in reduced travel and tourism (Kim, 2018). Seacrest Lodge inability to adjust to difficult circumstances and establish successful risk management techniques likely worsened its decrease in profitability.</w:t>
      </w:r>
    </w:p>
    <w:p w:rsidR="000D348C" w:rsidRDefault="0022681E" w14:paraId="00000028"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480" w:lineRule="auto"/>
        <w:rPr>
          <w:b/>
          <w:color w:val="000000"/>
          <w:rFonts w:ascii="Times New Roman" w:cs="Times New Roman" w:eastAsia="Times New Roman" w:hAnsi="Times New Roman"/>
          <w:sz w:val="24"/>
          <w:szCs w:val="24"/>
        </w:rPr>
      </w:pPr>
      <w:r>
        <w:rPr>
          <w:b/>
          <w:color w:val="000000"/>
          <w:rFonts w:ascii="Times New Roman" w:cs="Times New Roman" w:eastAsia="Times New Roman" w:hAnsi="Times New Roman"/>
          <w:sz w:val="24"/>
          <w:szCs w:val="24"/>
        </w:rPr>
        <w:t>Turnaround Strategy</w:t>
      </w:r>
    </w:p>
    <w:p w:rsidR="000D348C" w:rsidRDefault="0022681E" w14:paraId="00000029"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Seacrest Lodge is encountering substantial obstacles in the fiercely competitive coastal resort industry, such as decreasing revenue, occupancy rates, and customer satisfaction. The lodge needs to enact a thorough turnaround strategy to improve its financial situation and reputation as a top tourist spot. This plan will concentrate on improving service quality, modernizing facilities and amenities, re-branding and marketing, diversifying revenue, and optimizing costs.</w:t>
      </w:r>
    </w:p>
    <w:p w:rsidR="000D348C" w:rsidRDefault="0022681E" w14:paraId="0000002A"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b/>
          <w:i/>
          <w:color w:val="000000"/>
          <w:rFonts w:ascii="Times New Roman" w:cs="Times New Roman" w:eastAsia="Times New Roman" w:hAnsi="Times New Roman"/>
          <w:sz w:val="24"/>
          <w:szCs w:val="24"/>
        </w:rPr>
      </w:pPr>
      <w:r>
        <w:rPr>
          <w:b/>
          <w:i/>
          <w:color w:val="000000"/>
          <w:rFonts w:ascii="Times New Roman" w:cs="Times New Roman" w:eastAsia="Times New Roman" w:hAnsi="Times New Roman"/>
          <w:sz w:val="24"/>
          <w:szCs w:val="24"/>
        </w:rPr>
        <w:t>Enhancing Service Quality and Amenities</w:t>
      </w:r>
    </w:p>
    <w:p w:rsidR="000D348C" w:rsidRDefault="0022681E" w14:paraId="0000002B"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To satisfy the demands of contemporary tourists, Seacrest Lodge should give priority to renovating and modernizing its facilities. This could entail making improvements to the common areas, guest rooms, and recreational spaces. The lodge will be able to draw in more business and raise guest satisfaction by making these improvements (Jung &amp; Jang, 2020).</w:t>
      </w:r>
    </w:p>
    <w:p w:rsidR="000D348C" w:rsidRDefault="0022681E" w14:paraId="0000002C"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To enhance customer service, Seacrest Lodge should fund extensive employee training and development initiatives. This could entail teaching employees dispute resolution, communication, and hospitality best practices (Jung &amp; Jang, 2020). The lodge can improve the general guest experience and foster a stronger sense of customer loyalty by giving its employees the freedom to provide great service.</w:t>
      </w:r>
    </w:p>
    <w:p w:rsidR="000D348C" w:rsidRDefault="0022681E" w14:paraId="0000002D"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b/>
          <w:i/>
          <w:color w:val="000000"/>
          <w:rFonts w:ascii="Times New Roman" w:cs="Times New Roman" w:eastAsia="Times New Roman" w:hAnsi="Times New Roman"/>
          <w:sz w:val="24"/>
          <w:szCs w:val="24"/>
        </w:rPr>
      </w:pPr>
      <w:r>
        <w:rPr>
          <w:b/>
          <w:i/>
          <w:color w:val="000000"/>
          <w:rFonts w:ascii="Times New Roman" w:cs="Times New Roman" w:eastAsia="Times New Roman" w:hAnsi="Times New Roman"/>
          <w:sz w:val="24"/>
          <w:szCs w:val="24"/>
        </w:rPr>
        <w:t>Marketing and Branding</w:t>
      </w:r>
    </w:p>
    <w:p w:rsidR="000D348C" w:rsidRDefault="0022681E" w14:paraId="0000002E"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To reach out to new markets, Seacrest Lodge had to think about changing its name. This could entail revamping its website, changing its logo, and updating its marketing collateral (Hussain et al., 2020). The lodge can draw in more clients and grow its market share by changing its place in the industry.</w:t>
      </w:r>
    </w:p>
    <w:p w:rsidR="000D348C" w:rsidRDefault="0022681E" w14:paraId="0000002F"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To advertise its services, Seacrest Lodge ought to establish strategic alliances with neighbourhood companies. This can entail forming alliances with eateries, tour companies, and other neighbourhood landmarks to provide specials and bundle discounts (Hussain et al., 2020). Through the use of these alliances, the resort will be able to draw in more visitors and raise its profile.</w:t>
      </w:r>
    </w:p>
    <w:p>
      <w:pPr>
        <w:pBdr>
          <w:top w:val="nil" w:sz="0" w:color="auto" w:space="0"/>
          <w:bottom w:val="nil" w:sz="0" w:color="auto" w:space="0"/>
          <w:left w:val="nil" w:sz="0" w:color="auto" w:space="0"/>
          <w:right w:val="nil" w:sz="0" w:color="auto" w:space="0"/>
          <w:between w:val="nil" w:sz="0" w:color="auto" w:space="0"/>
        </w:pBdr>
        <w:shd w:fill="FFFFFF"/>
        <w:jc w:val="both"/>
        <w:spacing w:line="480" w:lineRule="auto"/>
      </w:pPr>
      <w:r>
        <w:rPr>
          <w:b/>
          <w:i/>
          <w:color w:val="000000"/>
          <w:rFonts w:ascii="Times New Roman"/>
          <w:sz w:val="24"/>
        </w:rPr>
      </w:r>
    </w:p>
    <w:p w:rsidR="000D348C" w:rsidRDefault="0022681E" w14:paraId="00000030"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spacing w:line="480" w:lineRule="auto"/>
        <w:rPr>
          <w:b/>
          <w:i/>
          <w:color w:val="000000"/>
          <w:rFonts w:ascii="Times New Roman" w:cs="Times New Roman" w:eastAsia="Times New Roman" w:hAnsi="Times New Roman"/>
          <w:sz w:val="24"/>
          <w:szCs w:val="24"/>
        </w:rPr>
      </w:pPr>
      <w:r>
        <w:rPr>
          <w:b/>
          <w:i/>
          <w:color w:val="000000"/>
          <w:rFonts w:ascii="Times New Roman" w:cs="Times New Roman" w:eastAsia="Times New Roman" w:hAnsi="Times New Roman"/>
          <w:sz w:val="24"/>
          <w:szCs w:val="24"/>
        </w:rPr>
        <w:t>Revenue Diversification</w:t>
      </w:r>
    </w:p>
    <w:p w:rsidR="000D348C" w:rsidRDefault="0022681E" w14:paraId="00000031"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To increase the variety of its revenue sources, Seacrest Lodge ought to launch new services or packages. Offering spa treatments, adventure trips, or special event packages are a few examples of this. The lodge can enhance its earning potential and draw in more guests by broadening its range of offerings.</w:t>
      </w:r>
    </w:p>
    <w:p w:rsidR="000D348C" w:rsidRDefault="0022681E" w14:paraId="00000032"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spacing w:line="480" w:lineRule="auto"/>
        <w:rPr>
          <w:b/>
          <w:i/>
          <w:color w:val="000000"/>
          <w:rFonts w:ascii="Times New Roman" w:cs="Times New Roman" w:eastAsia="Times New Roman" w:hAnsi="Times New Roman"/>
          <w:sz w:val="24"/>
          <w:szCs w:val="24"/>
        </w:rPr>
      </w:pPr>
      <w:r>
        <w:rPr>
          <w:b/>
          <w:i/>
          <w:color w:val="000000"/>
          <w:rFonts w:ascii="Times New Roman" w:cs="Times New Roman" w:eastAsia="Times New Roman" w:hAnsi="Times New Roman"/>
          <w:sz w:val="24"/>
          <w:szCs w:val="24"/>
        </w:rPr>
        <w:t>Cost Optimisation</w:t>
      </w:r>
    </w:p>
    <w:p w:rsidR="000D348C" w:rsidRDefault="0022681E" w14:paraId="00000033"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To find areas where costs can be cut, Seacrest Lodge should perform a comprehensive analysis of its running expenses. Renegotiating supplier contracts, cutting energy use, and simplifying administrative procedures are a few examples of how to do this (</w:t>
      </w:r>
      <w:proofErr w:type="spellStart"/>
      <w:r>
        <w:rPr>
          <w:color w:val="000000"/>
          <w:rFonts w:ascii="Times New Roman" w:cs="Times New Roman" w:eastAsia="Times New Roman" w:hAnsi="Times New Roman"/>
          <w:sz w:val="24"/>
          <w:szCs w:val="24"/>
        </w:rPr>
        <w:t>Vives</w:t>
      </w:r>
      <w:proofErr w:type="spellEnd"/>
      <w:r>
        <w:rPr>
          <w:color w:val="000000"/>
          <w:rFonts w:ascii="Times New Roman" w:cs="Times New Roman" w:eastAsia="Times New Roman" w:hAnsi="Times New Roman"/>
          <w:sz w:val="24"/>
          <w:szCs w:val="24"/>
        </w:rPr>
        <w:t xml:space="preserve"> et al., 2018). The lodge can increase its profit margins and stability by cutting its running costs.</w:t>
      </w:r>
    </w:p>
    <w:p w:rsidR="000D348C" w:rsidRDefault="0022681E" w14:paraId="00000034"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To cut expenses, Seacrest Lodge should bargain for better agreements with its suppliers. This can entail haggling over reduced costs for linens, kitchenware, and other necessities (</w:t>
      </w:r>
      <w:proofErr w:type="spellStart"/>
      <w:r>
        <w:rPr>
          <w:color w:val="000000"/>
          <w:rFonts w:ascii="Times New Roman" w:cs="Times New Roman" w:eastAsia="Times New Roman" w:hAnsi="Times New Roman"/>
          <w:sz w:val="24"/>
          <w:szCs w:val="24"/>
        </w:rPr>
        <w:t>Vives</w:t>
      </w:r>
      <w:proofErr w:type="spellEnd"/>
      <w:r>
        <w:rPr>
          <w:color w:val="000000"/>
          <w:rFonts w:ascii="Times New Roman" w:cs="Times New Roman" w:eastAsia="Times New Roman" w:hAnsi="Times New Roman"/>
          <w:sz w:val="24"/>
          <w:szCs w:val="24"/>
        </w:rPr>
        <w:t xml:space="preserve"> et al., 2018). The lodge can lower its cost of goods sold and raise its profitability by negotiating better terms.</w:t>
      </w:r>
    </w:p>
    <w:p w:rsidR="000D348C" w:rsidRDefault="0022681E" w14:paraId="00000035"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To strengthen its finances and regain its standing as a top vacation spot, Seacrest Lodge needs to put in place a thorough turnaround plan. The lodge may position itself for long-term success in the cutthroat coastal resort market by concentrating on improving service quality, modernising facilities and amenities, re-branding and marketing initiatives, income diversification, and cost minimisation.</w:t>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rsidR="000D348C" w:rsidRDefault="0022681E" w14:paraId="00000036"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480" w:lineRule="auto"/>
        <w:rPr>
          <w:b/>
          <w:color w:val="000000"/>
          <w:rFonts w:ascii="Times New Roman" w:cs="Times New Roman" w:eastAsia="Times New Roman" w:hAnsi="Times New Roman"/>
          <w:sz w:val="24"/>
          <w:szCs w:val="24"/>
        </w:rPr>
      </w:pPr>
      <w:r>
        <w:rPr>
          <w:b/>
          <w:color w:val="000000"/>
          <w:rFonts w:ascii="Times New Roman" w:cs="Times New Roman" w:eastAsia="Times New Roman" w:hAnsi="Times New Roman"/>
          <w:sz w:val="24"/>
          <w:szCs w:val="24"/>
        </w:rPr>
        <w:t>Implementation Plan for Seacrest Lodge Turnaround Strategy</w:t>
      </w:r>
    </w:p>
    <w:p>
      <w:pPr>
        <w:pBdr>
          <w:top w:val="nil" w:sz="0" w:color="auto" w:space="0"/>
          <w:bottom w:val="nil" w:sz="0" w:color="auto" w:space="0"/>
          <w:left w:val="nil" w:sz="0" w:color="auto" w:space="0"/>
          <w:right w:val="nil" w:sz="0" w:color="auto" w:space="0"/>
          <w:between w:val="nil" w:sz="0" w:color="auto" w:space="0"/>
        </w:pBdr>
        <w:shd w:fill="FFFFFF"/>
        <w:jc w:val="both"/>
        <w:spacing w:line="480" w:lineRule="auto"/>
      </w:pPr>
      <w:r>
        <w:rPr>
          <w:b/>
          <w:i/>
          <w:color w:val="000000"/>
          <w:rFonts w:ascii="Times New Roman"/>
          <w:sz w:val="24"/>
        </w:rPr>
      </w:r>
    </w:p>
    <w:p w:rsidR="000D348C" w:rsidRDefault="0022681E" w14:paraId="00000037"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spacing w:line="480" w:lineRule="auto"/>
        <w:rPr>
          <w:b/>
          <w:i/>
          <w:color w:val="000000"/>
          <w:rFonts w:ascii="Times New Roman" w:cs="Times New Roman" w:eastAsia="Times New Roman" w:hAnsi="Times New Roman"/>
          <w:sz w:val="24"/>
          <w:szCs w:val="24"/>
        </w:rPr>
      </w:pPr>
      <w:r>
        <w:rPr>
          <w:b/>
          <w:i/>
          <w:color w:val="000000"/>
          <w:rFonts w:ascii="Times New Roman" w:cs="Times New Roman" w:eastAsia="Times New Roman" w:hAnsi="Times New Roman"/>
          <w:sz w:val="24"/>
          <w:szCs w:val="24"/>
        </w:rPr>
        <w:t>Timeline for Each Strategy Implementation</w:t>
      </w:r>
    </w:p>
    <w:p w:rsidR="000D348C" w:rsidRDefault="0022681E" w14:paraId="00000038"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spacing w:line="480" w:lineRule="auto"/>
        <w:rPr>
          <w:b/>
          <w:color w:val="000000"/>
          <w:rFonts w:ascii="Times New Roman" w:cs="Times New Roman" w:eastAsia="Times New Roman" w:hAnsi="Times New Roman"/>
          <w:sz w:val="24"/>
          <w:szCs w:val="24"/>
        </w:rPr>
      </w:pPr>
      <w:r>
        <w:rPr>
          <w:b/>
          <w:color w:val="000000"/>
          <w:rFonts w:ascii="Times New Roman" w:cs="Times New Roman" w:eastAsia="Times New Roman" w:hAnsi="Times New Roman"/>
          <w:sz w:val="24"/>
          <w:szCs w:val="24"/>
        </w:rPr>
        <w:t>Enhancing Amenities and Service Quality:</w:t>
      </w:r>
    </w:p>
    <w:p w:rsidR="000D348C" w:rsidRDefault="0022681E" w14:paraId="00000039"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numPr>
          <w:ilvl w:val="0"/>
          <w:numId w:val="2"/>
        </w:numPr>
        <w:jc w:val="both"/>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Modernisation and Renovation of Facilities: Planning and budgeting should start in Q1 2024, and renovations should start in Q2 and be finished by Q4 2024.</w:t>
      </w:r>
    </w:p>
    <w:p w:rsidR="000D348C" w:rsidRDefault="0022681E" w14:paraId="0000003A"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numPr>
          <w:ilvl w:val="0"/>
          <w:numId w:val="2"/>
        </w:numPr>
        <w:jc w:val="both"/>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Employee Development and Training: In Q1 2024, develop training programs; in Q2 2024, begin implementation; and continue the training program throughout the year (Fairley, 2019).</w:t>
      </w:r>
    </w:p>
    <w:p w:rsidR="000D348C" w:rsidRDefault="0022681E" w14:paraId="0000003B"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b/>
          <w:color w:val="000000"/>
          <w:rFonts w:ascii="Times New Roman" w:cs="Times New Roman" w:eastAsia="Times New Roman" w:hAnsi="Times New Roman"/>
          <w:sz w:val="24"/>
          <w:szCs w:val="24"/>
        </w:rPr>
      </w:pPr>
      <w:r>
        <w:rPr>
          <w:b/>
          <w:color w:val="000000"/>
          <w:rFonts w:ascii="Times New Roman" w:cs="Times New Roman" w:eastAsia="Times New Roman" w:hAnsi="Times New Roman"/>
          <w:sz w:val="24"/>
          <w:szCs w:val="24"/>
        </w:rPr>
        <w:t>Promotion and Labelling:</w:t>
      </w:r>
    </w:p>
    <w:p w:rsidR="000D348C" w:rsidRDefault="0022681E" w14:paraId="0000003C"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numPr>
          <w:ilvl w:val="0"/>
          <w:numId w:val="4"/>
        </w:numPr>
        <w:jc w:val="both"/>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Re-branding: Create a plan in Q1 2024 and begin implementing it in Q2 2024 and beyond.</w:t>
      </w:r>
    </w:p>
    <w:p w:rsidR="000D348C" w:rsidRDefault="0022681E" w14:paraId="0000003D"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numPr>
          <w:ilvl w:val="0"/>
          <w:numId w:val="4"/>
        </w:numPr>
        <w:jc w:val="both"/>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Strategic Alliances: In Q2 2024, identify and form alliances; in Q3 2024, start promotional efforts.</w:t>
      </w:r>
    </w:p>
    <w:p w:rsidR="000D348C" w:rsidRDefault="0022681E" w14:paraId="0000003E"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b/>
          <w:color w:val="000000"/>
          <w:rFonts w:ascii="Times New Roman" w:cs="Times New Roman" w:eastAsia="Times New Roman" w:hAnsi="Times New Roman"/>
          <w:sz w:val="24"/>
          <w:szCs w:val="24"/>
        </w:rPr>
      </w:pPr>
      <w:r>
        <w:rPr>
          <w:b/>
          <w:color w:val="000000"/>
          <w:rFonts w:ascii="Times New Roman" w:cs="Times New Roman" w:eastAsia="Times New Roman" w:hAnsi="Times New Roman"/>
          <w:sz w:val="24"/>
          <w:szCs w:val="24"/>
        </w:rPr>
        <w:t>Diversification of Revenue:</w:t>
      </w:r>
    </w:p>
    <w:p w:rsidR="000D348C" w:rsidRDefault="0022681E" w14:paraId="0000003F"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numPr>
          <w:ilvl w:val="0"/>
          <w:numId w:val="10"/>
        </w:numPr>
        <w:jc w:val="both"/>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Launch of Novel Services or Bundles: In Q2 2024, create additional service packages; in Q3 2024, begin implementing them and continue (Fairley, 2019).</w:t>
      </w:r>
    </w:p>
    <w:p w:rsidR="000D348C" w:rsidRDefault="0022681E" w14:paraId="00000040"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spacing w:line="480" w:lineRule="auto"/>
        <w:rPr>
          <w:b/>
          <w:color w:val="000000"/>
          <w:rFonts w:ascii="Times New Roman" w:cs="Times New Roman" w:eastAsia="Times New Roman" w:hAnsi="Times New Roman"/>
          <w:sz w:val="24"/>
          <w:szCs w:val="24"/>
        </w:rPr>
      </w:pPr>
      <w:r>
        <w:rPr>
          <w:b/>
          <w:color w:val="000000"/>
          <w:rFonts w:ascii="Times New Roman" w:cs="Times New Roman" w:eastAsia="Times New Roman" w:hAnsi="Times New Roman"/>
          <w:sz w:val="24"/>
          <w:szCs w:val="24"/>
        </w:rPr>
        <w:t>Cost-Reduction Strategy:</w:t>
      </w:r>
    </w:p>
    <w:p w:rsidR="000D348C" w:rsidRDefault="0022681E" w14:paraId="00000041"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numPr>
          <w:ilvl w:val="0"/>
          <w:numId w:val="1"/>
        </w:numPr>
        <w:jc w:val="both"/>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Review and Reduction of Operating Expenses: In Q1 2024, conduct an expense review. Beginning in Q2 2024, execute cost-saving initiatives continuously.</w:t>
      </w:r>
    </w:p>
    <w:p>
      <w:pPr>
        <w:pBdr>
          <w:top w:val="nil" w:sz="0" w:color="auto" w:space="0"/>
          <w:bottom w:val="nil" w:sz="0" w:color="auto" w:space="0"/>
          <w:left w:val="nil" w:sz="0" w:color="auto" w:space="0"/>
          <w:right w:val="nil" w:sz="0" w:color="auto" w:space="0"/>
          <w:between w:val="nil" w:sz="0" w:color="auto" w:space="0"/>
        </w:pBdr>
        <w:shd w:fill="FFFFFF"/>
        <w:jc w:val="both"/>
        <w:spacing w:line="480" w:lineRule="auto"/>
      </w:pPr>
      <w:r>
        <w:rPr>
          <w:b/>
          <w:i/>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both"/>
        <w:spacing w:line="480" w:lineRule="auto"/>
      </w:pPr>
      <w:r>
        <w:rPr>
          <w:b/>
          <w:i/>
          <w:color w:val="000000"/>
          <w:rFonts w:ascii="Times New Roman"/>
          <w:sz w:val="24"/>
        </w:rPr>
      </w:r>
    </w:p>
    <w:p w:rsidR="000D348C" w:rsidRDefault="0022681E" w14:paraId="00000042"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spacing w:line="480" w:lineRule="auto"/>
        <w:rPr>
          <w:b/>
          <w:i/>
          <w:color w:val="000000"/>
          <w:rFonts w:ascii="Times New Roman" w:cs="Times New Roman" w:eastAsia="Times New Roman" w:hAnsi="Times New Roman"/>
          <w:sz w:val="24"/>
          <w:szCs w:val="24"/>
        </w:rPr>
      </w:pPr>
      <w:r>
        <w:rPr>
          <w:b/>
          <w:i/>
          <w:color w:val="000000"/>
          <w:rFonts w:ascii="Times New Roman" w:cs="Times New Roman" w:eastAsia="Times New Roman" w:hAnsi="Times New Roman"/>
          <w:sz w:val="24"/>
          <w:szCs w:val="24"/>
        </w:rPr>
        <w:t>Allocation of Resources and Responsibilities</w:t>
      </w:r>
    </w:p>
    <w:p w:rsidR="000D348C" w:rsidRDefault="0022681E" w14:paraId="00000043"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spacing w:line="480" w:lineRule="auto"/>
        <w:rPr>
          <w:b/>
          <w:color w:val="000000"/>
          <w:rFonts w:ascii="Times New Roman" w:cs="Times New Roman" w:eastAsia="Times New Roman" w:hAnsi="Times New Roman"/>
          <w:sz w:val="24"/>
          <w:szCs w:val="24"/>
        </w:rPr>
      </w:pPr>
      <w:r>
        <w:rPr>
          <w:b/>
          <w:color w:val="000000"/>
          <w:rFonts w:ascii="Times New Roman" w:cs="Times New Roman" w:eastAsia="Times New Roman" w:hAnsi="Times New Roman"/>
          <w:sz w:val="24"/>
          <w:szCs w:val="24"/>
        </w:rPr>
        <w:t>Enhancing Amenities and Service Quality:</w:t>
      </w:r>
    </w:p>
    <w:p w:rsidR="000D348C" w:rsidRDefault="0022681E" w14:paraId="00000044"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numPr>
          <w:ilvl w:val="0"/>
          <w:numId w:val="8"/>
        </w:numPr>
        <w:jc w:val="both"/>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Renovation and Modernization: Assign the facilities manager budget and supervision, with assistance from the operations and finance departments.</w:t>
      </w:r>
    </w:p>
    <w:p w:rsidR="000D348C" w:rsidRDefault="0022681E" w14:paraId="00000045"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numPr>
          <w:ilvl w:val="0"/>
          <w:numId w:val="8"/>
        </w:numPr>
        <w:jc w:val="both"/>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Staff Training: HR will oversee training programs, consulting with department heads and other trainers as needed (Fairley, 2019).</w:t>
      </w:r>
    </w:p>
    <w:p w:rsidR="000D348C" w:rsidRDefault="0022681E" w14:paraId="00000046"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spacing w:line="480" w:lineRule="auto"/>
        <w:rPr>
          <w:b/>
          <w:color w:val="000000"/>
          <w:rFonts w:ascii="Times New Roman" w:cs="Times New Roman" w:eastAsia="Times New Roman" w:hAnsi="Times New Roman"/>
          <w:sz w:val="24"/>
          <w:szCs w:val="24"/>
        </w:rPr>
      </w:pPr>
      <w:r>
        <w:rPr>
          <w:b/>
          <w:color w:val="000000"/>
          <w:rFonts w:ascii="Times New Roman" w:cs="Times New Roman" w:eastAsia="Times New Roman" w:hAnsi="Times New Roman"/>
          <w:sz w:val="24"/>
          <w:szCs w:val="24"/>
        </w:rPr>
        <w:t>Promotion and Labelling:</w:t>
      </w:r>
    </w:p>
    <w:p w:rsidR="000D348C" w:rsidRDefault="0022681E" w14:paraId="00000047"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numPr>
          <w:ilvl w:val="0"/>
          <w:numId w:val="7"/>
        </w:numPr>
        <w:jc w:val="both"/>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Re-branding: Senior management and outside consultants will provide feedback, and the marketing department will spearhead the initiative.</w:t>
      </w:r>
    </w:p>
    <w:p w:rsidR="000D348C" w:rsidRDefault="0022681E" w14:paraId="00000048"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numPr>
          <w:ilvl w:val="0"/>
          <w:numId w:val="7"/>
        </w:numPr>
        <w:jc w:val="both"/>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Strategic Partnerships: With assistance from the finance team for budgeting, the marketing and partnerships team will seek out and form relationships.</w:t>
      </w:r>
    </w:p>
    <w:p w:rsidR="000D348C" w:rsidRDefault="0022681E" w14:paraId="00000049"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b/>
          <w:color w:val="000000"/>
          <w:rFonts w:ascii="Times New Roman" w:cs="Times New Roman" w:eastAsia="Times New Roman" w:hAnsi="Times New Roman"/>
          <w:sz w:val="24"/>
          <w:szCs w:val="24"/>
        </w:rPr>
      </w:pPr>
      <w:r>
        <w:rPr>
          <w:b/>
          <w:color w:val="000000"/>
          <w:rFonts w:ascii="Times New Roman" w:cs="Times New Roman" w:eastAsia="Times New Roman" w:hAnsi="Times New Roman"/>
          <w:sz w:val="24"/>
          <w:szCs w:val="24"/>
        </w:rPr>
        <w:t>Diversification of Revenue:</w:t>
      </w:r>
    </w:p>
    <w:p w:rsidR="000D348C" w:rsidRDefault="0022681E" w14:paraId="0000004A"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numPr>
          <w:ilvl w:val="0"/>
          <w:numId w:val="3"/>
        </w:numPr>
        <w:jc w:val="both"/>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Fresh Packages or Services: The business development team will oversee the creation of new packages, consulting with the operations and marketing departments as needed (</w:t>
      </w:r>
      <w:proofErr w:type="spellStart"/>
      <w:r>
        <w:rPr>
          <w:color w:val="000000"/>
          <w:rFonts w:ascii="Times New Roman" w:cs="Times New Roman" w:eastAsia="Times New Roman" w:hAnsi="Times New Roman"/>
          <w:sz w:val="24"/>
          <w:szCs w:val="24"/>
        </w:rPr>
        <w:t>Nyagiloh</w:t>
      </w:r>
      <w:proofErr w:type="spellEnd"/>
      <w:r>
        <w:rPr>
          <w:color w:val="000000"/>
          <w:rFonts w:ascii="Times New Roman" w:cs="Times New Roman" w:eastAsia="Times New Roman" w:hAnsi="Times New Roman"/>
          <w:sz w:val="24"/>
          <w:szCs w:val="24"/>
        </w:rPr>
        <w:t xml:space="preserve"> &amp; </w:t>
      </w:r>
      <w:proofErr w:type="spellStart"/>
      <w:r>
        <w:rPr>
          <w:color w:val="000000"/>
          <w:rFonts w:ascii="Times New Roman" w:cs="Times New Roman" w:eastAsia="Times New Roman" w:hAnsi="Times New Roman"/>
          <w:sz w:val="24"/>
          <w:szCs w:val="24"/>
        </w:rPr>
        <w:t>Kilika</w:t>
      </w:r>
      <w:proofErr w:type="spellEnd"/>
      <w:r>
        <w:rPr>
          <w:color w:val="000000"/>
          <w:rFonts w:ascii="Times New Roman" w:cs="Times New Roman" w:eastAsia="Times New Roman" w:hAnsi="Times New Roman"/>
          <w:sz w:val="24"/>
          <w:szCs w:val="24"/>
        </w:rPr>
        <w:t>, 2020).</w:t>
      </w:r>
    </w:p>
    <w:p w:rsidR="000D348C" w:rsidRDefault="0022681E" w14:paraId="0000004B"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spacing w:line="480" w:lineRule="auto"/>
        <w:rPr>
          <w:b/>
          <w:color w:val="000000"/>
          <w:rFonts w:ascii="Times New Roman" w:cs="Times New Roman" w:eastAsia="Times New Roman" w:hAnsi="Times New Roman"/>
          <w:sz w:val="24"/>
          <w:szCs w:val="24"/>
        </w:rPr>
      </w:pPr>
      <w:r>
        <w:rPr>
          <w:b/>
          <w:color w:val="000000"/>
          <w:rFonts w:ascii="Times New Roman" w:cs="Times New Roman" w:eastAsia="Times New Roman" w:hAnsi="Times New Roman"/>
          <w:sz w:val="24"/>
          <w:szCs w:val="24"/>
        </w:rPr>
        <w:t>Cost-Reduction Strategy:</w:t>
      </w:r>
    </w:p>
    <w:p w:rsidR="000D348C" w:rsidRDefault="0022681E" w14:paraId="0000004C"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numPr>
          <w:ilvl w:val="0"/>
          <w:numId w:val="5"/>
        </w:numPr>
        <w:jc w:val="both"/>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Expense Review: Department heads and operations teams will provide feedback, and the finance team will oversee the review process.</w:t>
      </w:r>
    </w:p>
    <w:p w:rsidR="000D348C" w:rsidRDefault="0022681E" w14:paraId="0000004D"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b/>
          <w:i/>
          <w:color w:val="000000"/>
          <w:rFonts w:ascii="Times New Roman" w:cs="Times New Roman" w:eastAsia="Times New Roman" w:hAnsi="Times New Roman"/>
          <w:sz w:val="24"/>
          <w:szCs w:val="24"/>
        </w:rPr>
      </w:pPr>
      <w:r>
        <w:rPr>
          <w:b/>
          <w:i/>
          <w:color w:val="000000"/>
          <w:rFonts w:ascii="Times New Roman" w:cs="Times New Roman" w:eastAsia="Times New Roman" w:hAnsi="Times New Roman"/>
          <w:sz w:val="24"/>
          <w:szCs w:val="24"/>
        </w:rPr>
        <w:t>Monitoring and Evaluation Mechanisms</w:t>
      </w:r>
    </w:p>
    <w:p w:rsidR="000D348C" w:rsidRDefault="0022681E" w14:paraId="0000004E"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spacing w:line="480" w:lineRule="auto"/>
        <w:rPr>
          <w:b/>
          <w:color w:val="000000"/>
          <w:rFonts w:ascii="Times New Roman" w:cs="Times New Roman" w:eastAsia="Times New Roman" w:hAnsi="Times New Roman"/>
          <w:sz w:val="24"/>
          <w:szCs w:val="24"/>
        </w:rPr>
      </w:pPr>
      <w:r>
        <w:rPr>
          <w:b/>
          <w:color w:val="000000"/>
          <w:rFonts w:ascii="Times New Roman" w:cs="Times New Roman" w:eastAsia="Times New Roman" w:hAnsi="Times New Roman"/>
          <w:sz w:val="24"/>
          <w:szCs w:val="24"/>
        </w:rPr>
        <w:t>Monitoring KPIs:</w:t>
      </w:r>
    </w:p>
    <w:p w:rsidR="000D348C" w:rsidRDefault="0022681E" w14:paraId="0000004F"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numPr>
          <w:ilvl w:val="0"/>
          <w:numId w:val="6"/>
        </w:numPr>
        <w:jc w:val="both"/>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Create key performance indicators (KPIs) for every plan, such as cost savings, occupancy rates, revenue growth, and customer satisfaction ratings (</w:t>
      </w:r>
      <w:proofErr w:type="spellStart"/>
      <w:r>
        <w:rPr>
          <w:color w:val="000000"/>
          <w:rFonts w:ascii="Times New Roman" w:cs="Times New Roman" w:eastAsia="Times New Roman" w:hAnsi="Times New Roman"/>
          <w:sz w:val="24"/>
          <w:szCs w:val="24"/>
        </w:rPr>
        <w:t>Nyagiloh</w:t>
      </w:r>
      <w:proofErr w:type="spellEnd"/>
      <w:r>
        <w:rPr>
          <w:color w:val="000000"/>
          <w:rFonts w:ascii="Times New Roman" w:cs="Times New Roman" w:eastAsia="Times New Roman" w:hAnsi="Times New Roman"/>
          <w:sz w:val="24"/>
          <w:szCs w:val="24"/>
        </w:rPr>
        <w:t xml:space="preserve"> &amp; </w:t>
      </w:r>
      <w:proofErr w:type="spellStart"/>
      <w:r>
        <w:rPr>
          <w:color w:val="000000"/>
          <w:rFonts w:ascii="Times New Roman" w:cs="Times New Roman" w:eastAsia="Times New Roman" w:hAnsi="Times New Roman"/>
          <w:sz w:val="24"/>
          <w:szCs w:val="24"/>
        </w:rPr>
        <w:t>Kilika</w:t>
      </w:r>
      <w:proofErr w:type="spellEnd"/>
      <w:r>
        <w:rPr>
          <w:color w:val="000000"/>
          <w:rFonts w:ascii="Times New Roman" w:cs="Times New Roman" w:eastAsia="Times New Roman" w:hAnsi="Times New Roman"/>
          <w:sz w:val="24"/>
          <w:szCs w:val="24"/>
        </w:rPr>
        <w:t>, 2020).</w:t>
      </w:r>
    </w:p>
    <w:p w:rsidR="000D348C" w:rsidRDefault="0022681E" w14:paraId="00000050"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numPr>
          <w:ilvl w:val="0"/>
          <w:numId w:val="6"/>
        </w:numPr>
        <w:jc w:val="both"/>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Monitor and assess progress against KPIs regularly, with top management conducting quarterly reviews.</w:t>
      </w:r>
    </w:p>
    <w:p>
      <w:pPr>
        <w:pBdr>
          <w:top w:val="nil" w:sz="0" w:color="auto" w:space="0"/>
          <w:bottom w:val="nil" w:sz="0" w:color="auto" w:space="0"/>
          <w:left w:val="nil" w:sz="0" w:color="auto" w:space="0"/>
          <w:right w:val="nil" w:sz="0" w:color="auto" w:space="0"/>
          <w:between w:val="nil" w:sz="0" w:color="auto" w:space="0"/>
        </w:pBdr>
        <w:shd w:fill="FFFFFF"/>
        <w:spacing w:line="480" w:lineRule="auto"/>
        <w:rPr>
          <w:b/>
        </w:rPr>
      </w:pPr>
      <w:r>
        <w:rPr>
          <w:b/>
          <w:color w:val="000000"/>
          <w:rFonts w:ascii="Times New Roman"/>
          <w:sz w:val="24"/>
        </w:rPr>
      </w:r>
    </w:p>
    <w:p w:rsidR="000D348C" w:rsidRDefault="0022681E" w14:paraId="00000051"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b/>
          <w:color w:val="000000"/>
          <w:rFonts w:ascii="Times New Roman" w:cs="Times New Roman" w:eastAsia="Times New Roman" w:hAnsi="Times New Roman"/>
          <w:sz w:val="24"/>
          <w:szCs w:val="24"/>
        </w:rPr>
      </w:pPr>
      <w:r>
        <w:rPr>
          <w:b/>
          <w:color w:val="000000"/>
          <w:rFonts w:ascii="Times New Roman" w:cs="Times New Roman" w:eastAsia="Times New Roman" w:hAnsi="Times New Roman"/>
          <w:sz w:val="24"/>
          <w:szCs w:val="24"/>
        </w:rPr>
        <w:t>Comments and Modifications:</w:t>
      </w:r>
    </w:p>
    <w:p w:rsidR="000D348C" w:rsidRDefault="0022681E" w14:paraId="00000052"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numPr>
          <w:ilvl w:val="0"/>
          <w:numId w:val="9"/>
        </w:numPr>
        <w:jc w:val="both"/>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Get input from partners, visitors, and employees to pinpoint areas that need work and modify plans of action as necessary.</w:t>
      </w:r>
    </w:p>
    <w:p w:rsidR="000D348C" w:rsidRDefault="0022681E" w14:paraId="00000053"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numPr>
          <w:ilvl w:val="0"/>
          <w:numId w:val="9"/>
        </w:numPr>
        <w:jc w:val="both"/>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Evaluate each strategy's efficacy regularly and make any required revisions to guarantee success (</w:t>
      </w:r>
      <w:proofErr w:type="spellStart"/>
      <w:r>
        <w:rPr>
          <w:color w:val="000000"/>
          <w:rFonts w:ascii="Times New Roman" w:cs="Times New Roman" w:eastAsia="Times New Roman" w:hAnsi="Times New Roman"/>
          <w:sz w:val="24"/>
          <w:szCs w:val="24"/>
        </w:rPr>
        <w:t>Nyagiloh</w:t>
      </w:r>
      <w:proofErr w:type="spellEnd"/>
      <w:r>
        <w:rPr>
          <w:color w:val="000000"/>
          <w:rFonts w:ascii="Times New Roman" w:cs="Times New Roman" w:eastAsia="Times New Roman" w:hAnsi="Times New Roman"/>
          <w:sz w:val="24"/>
          <w:szCs w:val="24"/>
        </w:rPr>
        <w:t xml:space="preserve"> &amp; </w:t>
      </w:r>
      <w:proofErr w:type="spellStart"/>
      <w:r>
        <w:rPr>
          <w:color w:val="000000"/>
          <w:rFonts w:ascii="Times New Roman" w:cs="Times New Roman" w:eastAsia="Times New Roman" w:hAnsi="Times New Roman"/>
          <w:sz w:val="24"/>
          <w:szCs w:val="24"/>
        </w:rPr>
        <w:t>Kilika</w:t>
      </w:r>
      <w:proofErr w:type="spellEnd"/>
      <w:r>
        <w:rPr>
          <w:color w:val="000000"/>
          <w:rFonts w:ascii="Times New Roman" w:cs="Times New Roman" w:eastAsia="Times New Roman" w:hAnsi="Times New Roman"/>
          <w:sz w:val="24"/>
          <w:szCs w:val="24"/>
        </w:rPr>
        <w:t>, 2020).</w:t>
      </w:r>
    </w:p>
    <w:p w:rsidR="000D348C" w:rsidRDefault="0022681E" w14:paraId="00000054"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By executing this thorough implementation plan, Seacrest Lodge can effectively carry out its turnaround strategy and position itself for long-term success in the competitive coastal resort market.</w:t>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pPr>
        <w:pBdr>
          <w:top w:val="nil" w:sz="0" w:color="auto" w:space="0"/>
          <w:bottom w:val="nil" w:sz="0" w:color="auto" w:space="0"/>
          <w:left w:val="nil" w:sz="0" w:color="auto" w:space="0"/>
          <w:right w:val="nil" w:sz="0" w:color="auto" w:space="0"/>
          <w:between w:val="nil" w:sz="0" w:color="auto" w:space="0"/>
        </w:pBdr>
        <w:shd w:fill="FFFFFF"/>
        <w:jc w:val="center"/>
        <w:spacing w:line="480" w:lineRule="auto"/>
      </w:pPr>
      <w:r>
        <w:rPr>
          <w:b/>
          <w:color w:val="000000"/>
          <w:rFonts w:ascii="Times New Roman"/>
          <w:sz w:val="24"/>
        </w:rPr>
      </w:r>
    </w:p>
    <w:p w:rsidR="000D348C" w:rsidRDefault="0022681E" w14:paraId="00000055"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spacing w:line="480" w:lineRule="auto"/>
        <w:rPr>
          <w:b/>
          <w:color w:val="000000"/>
          <w:rFonts w:ascii="Times New Roman" w:cs="Times New Roman" w:eastAsia="Times New Roman" w:hAnsi="Times New Roman"/>
          <w:sz w:val="24"/>
          <w:szCs w:val="24"/>
        </w:rPr>
      </w:pPr>
      <w:r>
        <w:rPr>
          <w:b/>
          <w:color w:val="000000"/>
          <w:rFonts w:ascii="Times New Roman" w:cs="Times New Roman" w:eastAsia="Times New Roman" w:hAnsi="Times New Roman"/>
          <w:sz w:val="24"/>
          <w:szCs w:val="24"/>
        </w:rPr>
        <w:t>Conclusion</w:t>
      </w:r>
    </w:p>
    <w:p w:rsidR="000D348C" w:rsidRDefault="0022681E" w14:paraId="00000056"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firstLine="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In conclusion, Seacrest Lodge all-encompassing turnaround plan presents a viable way ahead for resolving its present issues and ensuring its continued prosperity. The execution of the plan should result in several advantageous effects, such as higher customer happiness, better service quality, and more income. To rejuvenate its reputation and reclaim its competitive advantage in the coastal resort industry, Seacrest Lodge plans to modernize and renovate its facilities, invest in staff training, and re-bran</w:t>
      </w:r>
      <w:r>
        <w:rPr>
          <w:color w:val="000000"/>
          <w:rFonts w:ascii="Times New Roman" w:cs="Times New Roman" w:eastAsia="Times New Roman" w:hAnsi="Times New Roman"/>
          <w:sz w:val="24"/>
          <w:szCs w:val="24"/>
        </w:rPr>
        <w:t>d to appeal to new client segments. Nevertheless, obstacles including budgetary restraints and opposition to change could arise during the implementation phase. Seacrest Lodge needs to invest in personnel development, keep an eye on market developments, and assess and adjust its strategy regularly to maintain long-term viability. By implementing these suggestions and remaining dedicated to its recovery efforts, Seacrest Lodge can get past its present difficulties and set itself up for long-term success.</w:t>
      </w:r>
      <w:r>
        <w:br w:type="page"/>
      </w:r>
    </w:p>
    <w:p w:rsidR="000D348C" w:rsidRDefault="0022681E" w14:paraId="00000057"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center"/>
        <w:ind w:left="720"/>
        <w:ind w:hanging="720"/>
        <w:spacing w:line="480" w:lineRule="auto"/>
        <w:rPr>
          <w:b/>
          <w:color w:val="000000"/>
          <w:rFonts w:ascii="Times New Roman" w:cs="Times New Roman" w:eastAsia="Times New Roman" w:hAnsi="Times New Roman"/>
          <w:sz w:val="24"/>
          <w:szCs w:val="24"/>
        </w:rPr>
      </w:pPr>
      <w:r>
        <w:rPr>
          <w:b/>
          <w:color w:val="000000"/>
          <w:rFonts w:ascii="Times New Roman" w:cs="Times New Roman" w:eastAsia="Times New Roman" w:hAnsi="Times New Roman"/>
          <w:sz w:val="24"/>
          <w:szCs w:val="24"/>
        </w:rPr>
        <w:t>References</w:t>
      </w:r>
    </w:p>
    <w:p w:rsidR="000D348C" w:rsidRDefault="0022681E" w14:paraId="00000058"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left="720"/>
        <w:ind w:hanging="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Fairley, J., 2019. Turnaround Strategies in Destination Marketing Organisations. Tourist Destination Management: Instruments, Products, and Case Studies, pp.227-239.</w:t>
      </w:r>
    </w:p>
    <w:p w:rsidR="000D348C" w:rsidRDefault="0022681E" w14:paraId="00000059"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left="720"/>
        <w:ind w:hanging="720"/>
        <w:spacing w:line="480" w:lineRule="auto"/>
        <w:rPr>
          <w:color w:val="000000"/>
          <w:rFonts w:ascii="Times New Roman" w:cs="Times New Roman" w:eastAsia="Times New Roman" w:hAnsi="Times New Roman"/>
          <w:sz w:val="24"/>
          <w:szCs w:val="24"/>
        </w:rPr>
      </w:pPr>
      <w:proofErr w:type="spellStart"/>
      <w:r>
        <w:rPr>
          <w:color w:val="000000"/>
          <w:rFonts w:ascii="Times New Roman" w:cs="Times New Roman" w:eastAsia="Times New Roman" w:hAnsi="Times New Roman"/>
          <w:sz w:val="24"/>
          <w:szCs w:val="24"/>
        </w:rPr>
        <w:t>Gemar</w:t>
      </w:r>
      <w:proofErr w:type="spellEnd"/>
      <w:r>
        <w:rPr>
          <w:color w:val="000000"/>
          <w:rFonts w:ascii="Times New Roman" w:cs="Times New Roman" w:eastAsia="Times New Roman" w:hAnsi="Times New Roman"/>
          <w:sz w:val="24"/>
          <w:szCs w:val="24"/>
        </w:rPr>
        <w:t xml:space="preserve">, G., </w:t>
      </w:r>
      <w:proofErr w:type="spellStart"/>
      <w:r>
        <w:rPr>
          <w:color w:val="000000"/>
          <w:rFonts w:ascii="Times New Roman" w:cs="Times New Roman" w:eastAsia="Times New Roman" w:hAnsi="Times New Roman"/>
          <w:sz w:val="24"/>
          <w:szCs w:val="24"/>
        </w:rPr>
        <w:t>Soler</w:t>
      </w:r>
      <w:proofErr w:type="spellEnd"/>
      <w:r>
        <w:rPr>
          <w:color w:val="000000"/>
          <w:rFonts w:ascii="Times New Roman" w:cs="Times New Roman" w:eastAsia="Times New Roman" w:hAnsi="Times New Roman"/>
          <w:sz w:val="24"/>
          <w:szCs w:val="24"/>
        </w:rPr>
        <w:t>, I.P. and Guzman-Parra, V.F., 2019. Predicting bankruptcy in resort hotels: a survival analysis. International Journal of Contemporary Hospitality Management, 31(4), pp.1546-1566.</w:t>
      </w:r>
    </w:p>
    <w:p w:rsidR="000D348C" w:rsidRDefault="0022681E" w14:paraId="0000005A"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left="720"/>
        <w:ind w:hanging="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 xml:space="preserve">Hussain, I., Mu, S., </w:t>
      </w:r>
      <w:proofErr w:type="spellStart"/>
      <w:r>
        <w:rPr>
          <w:color w:val="000000"/>
          <w:rFonts w:ascii="Times New Roman" w:cs="Times New Roman" w:eastAsia="Times New Roman" w:hAnsi="Times New Roman"/>
          <w:sz w:val="24"/>
          <w:szCs w:val="24"/>
        </w:rPr>
        <w:t>Mohiuddin</w:t>
      </w:r>
      <w:proofErr w:type="spellEnd"/>
      <w:r>
        <w:rPr>
          <w:color w:val="000000"/>
          <w:rFonts w:ascii="Times New Roman" w:cs="Times New Roman" w:eastAsia="Times New Roman" w:hAnsi="Times New Roman"/>
          <w:sz w:val="24"/>
          <w:szCs w:val="24"/>
        </w:rPr>
        <w:t xml:space="preserve">, M., Danish, R.Q., and </w:t>
      </w:r>
      <w:proofErr w:type="spellStart"/>
      <w:r>
        <w:rPr>
          <w:color w:val="000000"/>
          <w:rFonts w:ascii="Times New Roman" w:cs="Times New Roman" w:eastAsia="Times New Roman" w:hAnsi="Times New Roman"/>
          <w:sz w:val="24"/>
          <w:szCs w:val="24"/>
        </w:rPr>
        <w:t>Sair</w:t>
      </w:r>
      <w:proofErr w:type="spellEnd"/>
      <w:r>
        <w:rPr>
          <w:color w:val="000000"/>
          <w:rFonts w:ascii="Times New Roman" w:cs="Times New Roman" w:eastAsia="Times New Roman" w:hAnsi="Times New Roman"/>
          <w:sz w:val="24"/>
          <w:szCs w:val="24"/>
        </w:rPr>
        <w:t>, S.A., 2020. Effects of sustainable brand equity and marketing innovation on market performance in the hospitality industry: Mediating effects of sustainable competitive advantage. Sustainability, 12(7), p.2939.</w:t>
      </w:r>
    </w:p>
    <w:p w:rsidR="000D348C" w:rsidRDefault="0022681E" w14:paraId="0000005B"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left="720"/>
        <w:ind w:hanging="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Jung, S.S. and Jang, S.S., 2020. Have restaurant firms been using the right recession turnaround strategies?: Evaluating with propensity score measure. International Journal of Hospitality Management, 91, p.102651.</w:t>
      </w:r>
    </w:p>
    <w:p w:rsidR="000D348C" w:rsidRDefault="0022681E" w14:paraId="0000005C"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left="720"/>
        <w:ind w:hanging="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Kim, S.Y., 2018. Predicting hospitality financial distress with ensemble models: the case of US hotels, restaurants, and amusement and recreation. Service Business, 12(3), pp.483-503.</w:t>
      </w:r>
    </w:p>
    <w:p w:rsidR="000D348C" w:rsidRDefault="0022681E" w14:paraId="0000005D"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left="720"/>
        <w:ind w:hanging="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 xml:space="preserve">Kim, W.G., McGinley, S., Choi, H.M., </w:t>
      </w:r>
      <w:proofErr w:type="spellStart"/>
      <w:r>
        <w:rPr>
          <w:color w:val="000000"/>
          <w:rFonts w:ascii="Times New Roman" w:cs="Times New Roman" w:eastAsia="Times New Roman" w:hAnsi="Times New Roman"/>
          <w:sz w:val="24"/>
          <w:szCs w:val="24"/>
        </w:rPr>
        <w:t>Luberto</w:t>
      </w:r>
      <w:proofErr w:type="spellEnd"/>
      <w:r>
        <w:rPr>
          <w:color w:val="000000"/>
          <w:rFonts w:ascii="Times New Roman" w:cs="Times New Roman" w:eastAsia="Times New Roman" w:hAnsi="Times New Roman"/>
          <w:sz w:val="24"/>
          <w:szCs w:val="24"/>
        </w:rPr>
        <w:t>, E. and Li, J.J., 2020. How do room rates and rate dispersion in US hotels fluctuate? Journal of Hospitality and Tourism Management, 44, pp.227-237.</w:t>
      </w:r>
    </w:p>
    <w:p w:rsidR="000D348C" w:rsidRDefault="0022681E" w14:paraId="0000005E"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left="720"/>
        <w:ind w:hanging="720"/>
        <w:spacing w:line="480" w:lineRule="auto"/>
        <w:rPr>
          <w:color w:val="000000"/>
          <w:rFonts w:ascii="Times New Roman" w:cs="Times New Roman" w:eastAsia="Times New Roman" w:hAnsi="Times New Roman"/>
          <w:sz w:val="24"/>
          <w:szCs w:val="24"/>
        </w:rPr>
      </w:pPr>
      <w:proofErr w:type="spellStart"/>
      <w:r>
        <w:rPr>
          <w:color w:val="000000"/>
          <w:rFonts w:ascii="Times New Roman" w:cs="Times New Roman" w:eastAsia="Times New Roman" w:hAnsi="Times New Roman"/>
          <w:sz w:val="24"/>
          <w:szCs w:val="24"/>
        </w:rPr>
        <w:t>Köseoglu</w:t>
      </w:r>
      <w:proofErr w:type="spellEnd"/>
      <w:r>
        <w:rPr>
          <w:color w:val="000000"/>
          <w:rFonts w:ascii="Times New Roman" w:cs="Times New Roman" w:eastAsia="Times New Roman" w:hAnsi="Times New Roman"/>
          <w:sz w:val="24"/>
          <w:szCs w:val="24"/>
        </w:rPr>
        <w:t xml:space="preserve">, M.A., </w:t>
      </w:r>
      <w:proofErr w:type="spellStart"/>
      <w:r>
        <w:rPr>
          <w:color w:val="000000"/>
          <w:rFonts w:ascii="Times New Roman" w:cs="Times New Roman" w:eastAsia="Times New Roman" w:hAnsi="Times New Roman"/>
          <w:sz w:val="24"/>
          <w:szCs w:val="24"/>
        </w:rPr>
        <w:t>Okumus</w:t>
      </w:r>
      <w:proofErr w:type="spellEnd"/>
      <w:r>
        <w:rPr>
          <w:color w:val="000000"/>
          <w:rFonts w:ascii="Times New Roman" w:cs="Times New Roman" w:eastAsia="Times New Roman" w:hAnsi="Times New Roman"/>
          <w:sz w:val="24"/>
          <w:szCs w:val="24"/>
        </w:rPr>
        <w:t xml:space="preserve">, F., Putra, E.D., </w:t>
      </w:r>
      <w:proofErr w:type="spellStart"/>
      <w:r>
        <w:rPr>
          <w:color w:val="000000"/>
          <w:rFonts w:ascii="Times New Roman" w:cs="Times New Roman" w:eastAsia="Times New Roman" w:hAnsi="Times New Roman"/>
          <w:sz w:val="24"/>
          <w:szCs w:val="24"/>
        </w:rPr>
        <w:t>Yildiz</w:t>
      </w:r>
      <w:proofErr w:type="spellEnd"/>
      <w:r>
        <w:rPr>
          <w:color w:val="000000"/>
          <w:rFonts w:ascii="Times New Roman" w:cs="Times New Roman" w:eastAsia="Times New Roman" w:hAnsi="Times New Roman"/>
          <w:sz w:val="24"/>
          <w:szCs w:val="24"/>
        </w:rPr>
        <w:t xml:space="preserve">, M. and </w:t>
      </w:r>
      <w:proofErr w:type="spellStart"/>
      <w:r>
        <w:rPr>
          <w:color w:val="000000"/>
          <w:rFonts w:ascii="Times New Roman" w:cs="Times New Roman" w:eastAsia="Times New Roman" w:hAnsi="Times New Roman"/>
          <w:sz w:val="24"/>
          <w:szCs w:val="24"/>
        </w:rPr>
        <w:t>Dogan</w:t>
      </w:r>
      <w:proofErr w:type="spellEnd"/>
      <w:r>
        <w:rPr>
          <w:color w:val="000000"/>
          <w:rFonts w:ascii="Times New Roman" w:cs="Times New Roman" w:eastAsia="Times New Roman" w:hAnsi="Times New Roman"/>
          <w:sz w:val="24"/>
          <w:szCs w:val="24"/>
        </w:rPr>
        <w:t>, I.C., 2019. Conceptual structure of lodging-context studies: 1990-2016. Journal of Hospitality &amp; Tourism Research, 43(4), pp.573-594.</w:t>
      </w:r>
    </w:p>
    <w:p w:rsidR="000D348C" w:rsidRDefault="0022681E" w14:paraId="0000005F"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left="720"/>
        <w:ind w:hanging="720"/>
        <w:spacing w:line="480" w:lineRule="auto"/>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t>Liu, P., Wu, L. and Li, X.R., 2022. What can hotels learn from the last recovery? Examining hotel occupancy rate and the guest experience. International Journal of Hospitality Management, 103, p.103200.</w:t>
      </w:r>
    </w:p>
    <w:p w:rsidR="000D348C" w:rsidRDefault="0022681E" w14:paraId="00000060"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left="720"/>
        <w:ind w:hanging="720"/>
        <w:spacing w:line="480" w:lineRule="auto"/>
        <w:rPr>
          <w:color w:val="000000"/>
          <w:rFonts w:ascii="Times New Roman" w:cs="Times New Roman" w:eastAsia="Times New Roman" w:hAnsi="Times New Roman"/>
          <w:sz w:val="24"/>
          <w:szCs w:val="24"/>
        </w:rPr>
      </w:pPr>
      <w:proofErr w:type="spellStart"/>
      <w:r>
        <w:rPr>
          <w:color w:val="000000"/>
          <w:rFonts w:ascii="Times New Roman" w:cs="Times New Roman" w:eastAsia="Times New Roman" w:hAnsi="Times New Roman"/>
          <w:sz w:val="24"/>
          <w:szCs w:val="24"/>
        </w:rPr>
        <w:t>Nyagiloh</w:t>
      </w:r>
      <w:proofErr w:type="spellEnd"/>
      <w:r>
        <w:rPr>
          <w:color w:val="000000"/>
          <w:rFonts w:ascii="Times New Roman" w:cs="Times New Roman" w:eastAsia="Times New Roman" w:hAnsi="Times New Roman"/>
          <w:sz w:val="24"/>
          <w:szCs w:val="24"/>
        </w:rPr>
        <w:t xml:space="preserve">, K.A. and </w:t>
      </w:r>
      <w:proofErr w:type="spellStart"/>
      <w:r>
        <w:rPr>
          <w:color w:val="000000"/>
          <w:rFonts w:ascii="Times New Roman" w:cs="Times New Roman" w:eastAsia="Times New Roman" w:hAnsi="Times New Roman"/>
          <w:sz w:val="24"/>
          <w:szCs w:val="24"/>
        </w:rPr>
        <w:t>Kilika</w:t>
      </w:r>
      <w:proofErr w:type="spellEnd"/>
      <w:r>
        <w:rPr>
          <w:color w:val="000000"/>
          <w:rFonts w:ascii="Times New Roman" w:cs="Times New Roman" w:eastAsia="Times New Roman" w:hAnsi="Times New Roman"/>
          <w:sz w:val="24"/>
          <w:szCs w:val="24"/>
        </w:rPr>
        <w:t>, J.M., 2020. Theoretical review of the turnaround strategy and its organisational outcomes. Available at SSRN 3514730.</w:t>
      </w:r>
    </w:p>
    <w:p w:rsidR="000D348C" w:rsidRDefault="0022681E" w14:paraId="00000061"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jc w:val="both"/>
        <w:ind w:left="720"/>
        <w:ind w:hanging="720"/>
        <w:spacing w:line="480" w:lineRule="auto"/>
        <w:rPr>
          <w:color w:val="000000"/>
          <w:rFonts w:ascii="Times New Roman" w:cs="Times New Roman" w:eastAsia="Times New Roman" w:hAnsi="Times New Roman"/>
          <w:sz w:val="24"/>
          <w:szCs w:val="24"/>
        </w:rPr>
      </w:pPr>
      <w:proofErr w:type="spellStart"/>
      <w:r>
        <w:rPr>
          <w:color w:val="000000"/>
          <w:rFonts w:ascii="Times New Roman" w:cs="Times New Roman" w:eastAsia="Times New Roman" w:hAnsi="Times New Roman"/>
          <w:sz w:val="24"/>
          <w:szCs w:val="24"/>
        </w:rPr>
        <w:t>Palepu</w:t>
      </w:r>
      <w:proofErr w:type="spellEnd"/>
      <w:r>
        <w:rPr>
          <w:color w:val="000000"/>
          <w:rFonts w:ascii="Times New Roman" w:cs="Times New Roman" w:eastAsia="Times New Roman" w:hAnsi="Times New Roman"/>
          <w:sz w:val="24"/>
          <w:szCs w:val="24"/>
        </w:rPr>
        <w:t xml:space="preserve">, K.G., Healy, P.M., Wright, S., Bradbury, M. and </w:t>
      </w:r>
      <w:proofErr w:type="spellStart"/>
      <w:r>
        <w:rPr>
          <w:color w:val="000000"/>
          <w:rFonts w:ascii="Times New Roman" w:cs="Times New Roman" w:eastAsia="Times New Roman" w:hAnsi="Times New Roman"/>
          <w:sz w:val="24"/>
          <w:szCs w:val="24"/>
        </w:rPr>
        <w:t>Coulton</w:t>
      </w:r>
      <w:proofErr w:type="spellEnd"/>
      <w:r>
        <w:rPr>
          <w:color w:val="000000"/>
          <w:rFonts w:ascii="Times New Roman" w:cs="Times New Roman" w:eastAsia="Times New Roman" w:hAnsi="Times New Roman"/>
          <w:sz w:val="24"/>
          <w:szCs w:val="24"/>
        </w:rPr>
        <w:t>, J., 2020. Business analysis and valuation: Using financial statements. Cengage AU.</w:t>
      </w:r>
    </w:p>
    <w:p w:rsidR="000D348C" w:rsidRDefault="000D348C" w14:paraId="00000062"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color w:val="000000"/>
          <w:rFonts w:ascii="Times New Roman" w:cs="Times New Roman" w:eastAsia="Times New Roman" w:hAnsi="Times New Roman"/>
          <w:sz w:val="24"/>
          <w:szCs w:val="24"/>
        </w:rPr>
      </w:pPr>
    </w:p>
    <w:p w:rsidR="000D348C" w:rsidRDefault="000D348C" w14:paraId="00000063"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b/>
          <w:i/>
          <w:color w:val="000000"/>
          <w:rFonts w:ascii="Times New Roman" w:cs="Times New Roman" w:eastAsia="Times New Roman" w:hAnsi="Times New Roman"/>
          <w:sz w:val="24"/>
          <w:szCs w:val="24"/>
        </w:rPr>
      </w:pPr>
    </w:p>
    <w:p w:rsidR="000D348C" w:rsidRDefault="000D348C" w14:paraId="00000064"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color w:val="000000"/>
          <w:rFonts w:ascii="Times New Roman" w:cs="Times New Roman" w:eastAsia="Times New Roman" w:hAnsi="Times New Roman"/>
          <w:sz w:val="24"/>
          <w:szCs w:val="24"/>
        </w:rPr>
      </w:pPr>
    </w:p>
    <w:p w:rsidR="000D348C" w:rsidRDefault="000D348C" w14:paraId="00000065"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color w:val="000000"/>
          <w:rFonts w:ascii="Times New Roman" w:cs="Times New Roman" w:eastAsia="Times New Roman" w:hAnsi="Times New Roman"/>
          <w:sz w:val="24"/>
          <w:szCs w:val="24"/>
        </w:rPr>
      </w:pPr>
    </w:p>
    <w:p w:rsidR="000D348C" w:rsidRDefault="000D348C" w14:paraId="00000066"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color w:val="000000"/>
          <w:rFonts w:ascii="Times New Roman" w:cs="Times New Roman" w:eastAsia="Times New Roman" w:hAnsi="Times New Roman"/>
          <w:sz w:val="24"/>
          <w:szCs w:val="24"/>
        </w:rPr>
      </w:pPr>
    </w:p>
    <w:p w:rsidR="000D348C" w:rsidRDefault="000D348C" w14:paraId="00000067"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color w:val="000000"/>
          <w:rFonts w:ascii="Times New Roman" w:cs="Times New Roman" w:eastAsia="Times New Roman" w:hAnsi="Times New Roman"/>
          <w:sz w:val="24"/>
          <w:szCs w:val="24"/>
        </w:rPr>
      </w:pPr>
    </w:p>
    <w:p w:rsidR="000D348C" w:rsidRDefault="000D348C" w14:paraId="00000068"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color w:val="000000"/>
          <w:rFonts w:ascii="Times New Roman" w:cs="Times New Roman" w:eastAsia="Times New Roman" w:hAnsi="Times New Roman"/>
          <w:sz w:val="24"/>
          <w:szCs w:val="24"/>
        </w:rPr>
      </w:pPr>
    </w:p>
    <w:p w:rsidR="000D348C" w:rsidRDefault="000D348C" w14:paraId="00000069"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ind w:firstLine="720"/>
        <w:spacing w:line="480" w:lineRule="auto"/>
        <w:rPr>
          <w:color w:val="000000"/>
          <w:rFonts w:ascii="Times New Roman" w:cs="Times New Roman" w:eastAsia="Times New Roman" w:hAnsi="Times New Roman"/>
          <w:sz w:val="24"/>
          <w:szCs w:val="24"/>
        </w:rPr>
      </w:pPr>
    </w:p>
    <w:p w:rsidR="000D348C" w:rsidRDefault="000D348C" w14:paraId="0000006A"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ind w:firstLine="720"/>
        <w:spacing w:line="480" w:lineRule="auto"/>
        <w:rPr>
          <w:color w:val="000000"/>
          <w:rFonts w:ascii="Times New Roman" w:cs="Times New Roman" w:eastAsia="Times New Roman" w:hAnsi="Times New Roman"/>
          <w:sz w:val="24"/>
          <w:szCs w:val="24"/>
        </w:rPr>
      </w:pPr>
    </w:p>
    <w:p w:rsidR="000D348C" w:rsidRDefault="000D348C" w14:paraId="0000006B"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color w:val="000000"/>
          <w:rFonts w:ascii="Times New Roman" w:cs="Times New Roman" w:eastAsia="Times New Roman" w:hAnsi="Times New Roman"/>
          <w:sz w:val="24"/>
          <w:szCs w:val="24"/>
        </w:rPr>
      </w:pPr>
    </w:p>
    <w:p w:rsidR="000D348C" w:rsidRDefault="000D348C" w14:paraId="0000006C"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color w:val="000000"/>
          <w:rFonts w:ascii="Times New Roman" w:cs="Times New Roman" w:eastAsia="Times New Roman" w:hAnsi="Times New Roman"/>
          <w:sz w:val="24"/>
          <w:szCs w:val="24"/>
        </w:rPr>
      </w:pPr>
    </w:p>
    <w:p w:rsidR="000D348C" w:rsidRDefault="000D348C" w14:paraId="0000006D"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color w:val="000000"/>
          <w:rFonts w:ascii="Times New Roman" w:cs="Times New Roman" w:eastAsia="Times New Roman" w:hAnsi="Times New Roman"/>
          <w:sz w:val="24"/>
          <w:szCs w:val="24"/>
        </w:rPr>
      </w:pPr>
    </w:p>
    <w:p w:rsidR="000D348C" w:rsidRDefault="000D348C" w14:paraId="0000006E"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color w:val="000000"/>
          <w:rFonts w:ascii="Times New Roman" w:cs="Times New Roman" w:eastAsia="Times New Roman" w:hAnsi="Times New Roman"/>
          <w:sz w:val="24"/>
          <w:szCs w:val="24"/>
        </w:rPr>
      </w:pPr>
    </w:p>
    <w:p w:rsidR="000D348C" w:rsidRDefault="000D348C" w14:paraId="0000006F"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ind w:firstLine="720"/>
        <w:spacing w:line="480" w:lineRule="auto"/>
        <w:rPr>
          <w:color w:val="000000"/>
          <w:rFonts w:ascii="Times New Roman" w:cs="Times New Roman" w:eastAsia="Times New Roman" w:hAnsi="Times New Roman"/>
          <w:sz w:val="24"/>
          <w:szCs w:val="24"/>
        </w:rPr>
      </w:pPr>
    </w:p>
    <w:p w:rsidR="000D348C" w:rsidRDefault="000D348C" w14:paraId="00000070"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480" w:lineRule="auto"/>
        <w:rPr>
          <w:color w:val="000000"/>
          <w:rFonts w:ascii="Times New Roman" w:cs="Times New Roman" w:eastAsia="Times New Roman" w:hAnsi="Times New Roman"/>
          <w:sz w:val="24"/>
          <w:szCs w:val="24"/>
        </w:rPr>
      </w:pPr>
    </w:p>
    <w:p w:rsidR="000D348C" w:rsidRDefault="000D348C" w14:paraId="00000071"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ind w:firstLine="720"/>
        <w:spacing w:line="480" w:lineRule="auto"/>
        <w:rPr>
          <w:color w:val="000000"/>
          <w:rFonts w:ascii="Times New Roman" w:cs="Times New Roman" w:eastAsia="Times New Roman" w:hAnsi="Times New Roman"/>
          <w:sz w:val="24"/>
          <w:szCs w:val="24"/>
        </w:rPr>
      </w:pPr>
    </w:p>
    <w:p w:rsidR="000D348C" w:rsidRDefault="000D348C" w14:paraId="00000072"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ind w:firstLine="720"/>
        <w:spacing w:line="480" w:lineRule="auto"/>
        <w:rPr>
          <w:color w:val="000000"/>
          <w:rFonts w:ascii="Times New Roman" w:cs="Times New Roman" w:eastAsia="Times New Roman" w:hAnsi="Times New Roman"/>
          <w:sz w:val="24"/>
          <w:szCs w:val="24"/>
        </w:rPr>
      </w:pPr>
    </w:p>
    <w:p w:rsidR="000D348C" w:rsidRDefault="000D348C" w14:paraId="00000073"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ind w:firstLine="720"/>
        <w:spacing w:line="480" w:lineRule="auto"/>
        <w:rPr>
          <w:color w:val="000000"/>
          <w:rFonts w:ascii="Times New Roman" w:cs="Times New Roman" w:eastAsia="Times New Roman" w:hAnsi="Times New Roman"/>
          <w:sz w:val="24"/>
          <w:szCs w:val="24"/>
        </w:rPr>
      </w:pPr>
    </w:p>
    <w:p w:rsidR="000D348C" w:rsidRDefault="000D348C" w14:paraId="00000074" w14:textId="77777777">
      <w:pPr>
        <w:pBdr>
          <w:top w:val="nil" w:sz="0" w:color="000000" w:space="0"/>
          <w:bottom w:val="nil" w:sz="0" w:color="000000" w:space="0"/>
          <w:left w:val="nil" w:sz="0" w:color="000000" w:space="0"/>
          <w:right w:val="nil" w:sz="0" w:color="000000" w:space="0"/>
          <w:between w:val="nil" w:sz="0" w:color="000000" w:space="0"/>
        </w:pBdr>
        <w:shd w:fill="FFFFFF" w:color="auto" w:val="clear"/>
        <w:spacing w:line="576" w:lineRule="auto"/>
        <w:rPr>
          <w:color w:val="000000"/>
          <w:rFonts w:ascii="Times New Roman" w:cs="Times New Roman" w:eastAsia="Times New Roman" w:hAnsi="Times New Roman"/>
          <w:sz w:val="24"/>
          <w:szCs w:val="24"/>
        </w:rPr>
      </w:pPr>
    </w:p>
    <w:p w:rsidR="000D348C" w:rsidRDefault="000D348C" w14:paraId="00000075" w14:textId="77777777">
      <w:pPr>
        <w:pBdr>
          <w:top w:val="nil" w:sz="0" w:color="auto" w:space="0"/>
          <w:bottom w:val="nil" w:sz="0" w:color="auto" w:space="0"/>
          <w:left w:val="nil" w:sz="0" w:color="auto" w:space="0"/>
          <w:right w:val="nil" w:sz="0" w:color="auto" w:space="0"/>
          <w:between w:val="nil" w:sz="0" w:color="auto" w:space="0"/>
        </w:pBdr>
        <w:jc w:val="center"/>
        <w:spacing w:line="480" w:lineRule="auto"/>
        <w:rPr>
          <w:color w:val="000000"/>
          <w:rFonts w:ascii="Times New Roman" w:cs="Times New Roman" w:eastAsia="Times New Roman" w:hAnsi="Times New Roman"/>
          <w:sz w:val="24"/>
          <w:szCs w:val="24"/>
        </w:rPr>
      </w:pPr>
    </w:p>
    <w:sectPr w:rsidR="000D348C">
      <w:headerReference r:id="rId7" w:type="default"/>
      <w:pgNumType w:start="1"/>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BD769" w14:textId="77777777" w:rsidR="0022681E" w:rsidRDefault="0022681E">
      <w:pPr>
        <w:spacing w:line="240" w:lineRule="auto"/>
      </w:pPr>
      <w:r>
        <w:separator/>
      </w:r>
    </w:p>
  </w:endnote>
  <w:endnote w:type="continuationSeparator" w:id="0">
    <w:p w14:paraId="3DC51CA2" w14:textId="77777777" w:rsidR="0022681E" w:rsidRDefault="0022681E">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EDEF6" w14:textId="77777777" w:rsidR="0022681E" w:rsidRDefault="0022681E">
      <w:pPr>
        <w:spacing w:line="240" w:lineRule="auto"/>
      </w:pPr>
      <w:r>
        <w:separator/>
      </w:r>
    </w:p>
  </w:footnote>
  <w:footnote w:type="continuationSeparator" w:id="0">
    <w:p w14:paraId="741EDD2B" w14:textId="77777777" w:rsidR="0022681E" w:rsidRDefault="0022681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6" w14:textId="77777777" w:rsidR="000D348C" w:rsidRDefault="0022681E">
    <w:pPr>
      <w:pBdr>
        <w:top w:val="nil"/>
        <w:left w:val="nil"/>
        <w:bottom w:val="nil"/>
        <w:right w:val="nil"/>
        <w:between w:val="nil"/>
      </w:pBdr>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Seacrest Lodge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color w:val="000000"/>
        <w:sz w:val="24"/>
        <w:szCs w:val="24"/>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213B1134"/>
    <w:tmpl w:val="FFFFFFFF"/>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
    <w:multiLevelType w:val="hybridMultilevel"/>
    <w:nsid w:val="21904B10"/>
    <w:tmpl w:val="FFFFFFFF"/>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2">
    <w:multiLevelType w:val="hybridMultilevel"/>
    <w:nsid w:val="25E156E4"/>
    <w:tmpl w:val="FFFFFFFF"/>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3">
    <w:multiLevelType w:val="hybridMultilevel"/>
    <w:nsid w:val="37A44CFD"/>
    <w:tmpl w:val="FFFFFFFF"/>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4">
    <w:multiLevelType w:val="hybridMultilevel"/>
    <w:nsid w:val="3E3A7089"/>
    <w:tmpl w:val="FFFFFFFF"/>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5">
    <w:multiLevelType w:val="hybridMultilevel"/>
    <w:nsid w:val="4EDD2D40"/>
    <w:tmpl w:val="FFFFFFFF"/>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6">
    <w:multiLevelType w:val="hybridMultilevel"/>
    <w:nsid w:val="5C82345B"/>
    <w:tmpl w:val="FFFFFFFF"/>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7">
    <w:multiLevelType w:val="hybridMultilevel"/>
    <w:nsid w:val="64D8715C"/>
    <w:tmpl w:val="FFFFFFFF"/>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8">
    <w:multiLevelType w:val="hybridMultilevel"/>
    <w:nsid w:val="6D825AAA"/>
    <w:tmpl w:val="FFFFFFFF"/>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9">
    <w:multiLevelType w:val="hybridMultilevel"/>
    <w:nsid w:val="72E57E08"/>
    <w:tmpl w:val="FFFFFFFF"/>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5"/>
  </w:num>
  <w:num w:numId="2">
    <w:abstractNumId w:val="1"/>
  </w:num>
  <w:num w:numId="3">
    <w:abstractNumId w:val="7"/>
  </w:num>
  <w:num w:numId="4">
    <w:abstractNumId w:val="8"/>
  </w:num>
  <w:num w:numId="5">
    <w:abstractNumId w:val="3"/>
  </w:num>
  <w:num w:numId="6">
    <w:abstractNumId w:val="2"/>
  </w:num>
  <w:num w:numId="7">
    <w:abstractNumId w:val="0"/>
  </w:num>
  <w:num w:numId="8">
    <w:abstractNumId w:val="9"/>
  </w:num>
  <w:num w:numId="9">
    <w:abstractNumId w:val="4"/>
  </w:num>
  <w:num w:numId="10">
    <w:abstractNumId w:val="6"/>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1B745CC4-AFF2-9541-AC89-3BFA0EAD8858}"/>
  <w:rsids>
    <w:rsidRoot val=""/>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outlineLvl w:val="0"/>
    </w:pPr>
    <w:rPr>
      <w:color w:val="000000"/>
      <w:sz w:val="40"/>
      <w:szCs w:val="40"/>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2607</Words>
  <Characters>14865</Characters>
  <Application>Microsoft Office Word</Application>
  <DocSecurity>0</DocSecurity>
  <Lines>123</Lines>
  <Paragraphs>34</Paragraphs>
  <ScaleCrop>false</ScaleCrop>
  <Company/>
  <LinksUpToDate>false</LinksUpToDate>
  <CharactersWithSpaces>17438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Guest User</cp:lastModifiedBy>
  <cp:revision>2</cp:revision>
  <dcterms:created xsi:type="dcterms:W3CDTF">2024-02-21T17:59:00Z</dcterms:created>
  <dcterms:modified xsi:type="dcterms:W3CDTF">2024-02-21T17:59:00Z</dcterms:modified>
</cp:coreProperties>
</file>