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ADC1F4" w14:textId="77777777" w:rsidR="00D2787D" w:rsidRDefault="00D2787D" w:rsidP="00D2787D"/>
    <w:p w14:paraId="14F67114" w14:textId="77777777" w:rsidR="00D2787D" w:rsidRDefault="00D2787D" w:rsidP="00D2787D"/>
    <w:p w14:paraId="4D5CD206" w14:textId="77777777" w:rsidR="00D2787D" w:rsidRPr="000D18B6" w:rsidRDefault="00D2787D" w:rsidP="00D2787D">
      <w:pPr>
        <w:jc w:val="center"/>
        <w:rPr>
          <w:sz w:val="36"/>
          <w:szCs w:val="36"/>
          <w:u w:val="single"/>
        </w:rPr>
      </w:pPr>
      <w:r w:rsidRPr="000D18B6">
        <w:rPr>
          <w:sz w:val="36"/>
          <w:szCs w:val="36"/>
          <w:u w:val="single"/>
        </w:rPr>
        <w:t>Title of assignment</w:t>
      </w:r>
    </w:p>
    <w:p w14:paraId="7CF20E23" w14:textId="77777777" w:rsidR="00D2787D" w:rsidRPr="00D2787D" w:rsidRDefault="00D2787D" w:rsidP="00D2787D">
      <w:pPr>
        <w:rPr>
          <w:sz w:val="36"/>
          <w:szCs w:val="36"/>
        </w:rPr>
      </w:pPr>
      <w:r w:rsidRPr="00D2787D">
        <w:rPr>
          <w:sz w:val="36"/>
          <w:szCs w:val="36"/>
        </w:rPr>
        <w:t>The evolving role of HR in the contemporary business world</w:t>
      </w:r>
    </w:p>
    <w:p w14:paraId="6D154C5F" w14:textId="77777777" w:rsidR="00D2787D" w:rsidRDefault="00D2787D" w:rsidP="00D2787D"/>
    <w:p w14:paraId="651FDBDC" w14:textId="77777777" w:rsidR="00D2787D" w:rsidRDefault="00D2787D" w:rsidP="00D2787D">
      <w:pPr>
        <w:rPr>
          <w:sz w:val="36"/>
          <w:szCs w:val="36"/>
        </w:rPr>
      </w:pPr>
      <w:r w:rsidRPr="000D18B6">
        <w:rPr>
          <w:sz w:val="36"/>
          <w:szCs w:val="36"/>
        </w:rPr>
        <w:t>Name</w:t>
      </w:r>
      <w:r>
        <w:rPr>
          <w:sz w:val="36"/>
          <w:szCs w:val="36"/>
        </w:rPr>
        <w:t>: Owen Donovan</w:t>
      </w:r>
    </w:p>
    <w:p w14:paraId="124270CC" w14:textId="77777777" w:rsidR="00D2787D" w:rsidRPr="000D18B6" w:rsidRDefault="00D2787D" w:rsidP="00D2787D">
      <w:pPr>
        <w:rPr>
          <w:sz w:val="36"/>
          <w:szCs w:val="36"/>
        </w:rPr>
      </w:pPr>
    </w:p>
    <w:p w14:paraId="19EE0ED7" w14:textId="77777777" w:rsidR="00D2787D" w:rsidRDefault="00D2787D" w:rsidP="00D2787D">
      <w:pPr>
        <w:rPr>
          <w:sz w:val="36"/>
          <w:szCs w:val="36"/>
        </w:rPr>
      </w:pPr>
      <w:r w:rsidRPr="000D18B6">
        <w:rPr>
          <w:sz w:val="36"/>
          <w:szCs w:val="36"/>
        </w:rPr>
        <w:t>CIPD Membership Number</w:t>
      </w:r>
    </w:p>
    <w:p w14:paraId="5CBC0194" w14:textId="77777777" w:rsidR="00D2787D" w:rsidRPr="000D18B6" w:rsidRDefault="00D2787D" w:rsidP="00D2787D">
      <w:pPr>
        <w:rPr>
          <w:sz w:val="36"/>
          <w:szCs w:val="36"/>
        </w:rPr>
      </w:pPr>
    </w:p>
    <w:p w14:paraId="339582CD" w14:textId="77777777" w:rsidR="00D2787D" w:rsidRPr="000D18B6" w:rsidRDefault="00D2787D" w:rsidP="00D2787D">
      <w:pPr>
        <w:rPr>
          <w:sz w:val="36"/>
          <w:szCs w:val="36"/>
        </w:rPr>
      </w:pPr>
      <w:r w:rsidRPr="000D18B6">
        <w:rPr>
          <w:sz w:val="36"/>
          <w:szCs w:val="36"/>
        </w:rPr>
        <w:t>Date</w:t>
      </w:r>
      <w:r>
        <w:rPr>
          <w:sz w:val="36"/>
          <w:szCs w:val="36"/>
        </w:rPr>
        <w:t xml:space="preserve"> 09/01/2019</w:t>
      </w:r>
    </w:p>
    <w:p w14:paraId="09C7CBDE" w14:textId="2649DC0A" w:rsidR="00D2787D" w:rsidRDefault="00D2787D" w:rsidP="00D2787D"/>
    <w:p w14:paraId="7A8B36B5" w14:textId="10277D22" w:rsidR="005B4DB0" w:rsidRDefault="005B4DB0" w:rsidP="00D2787D">
      <w:r>
        <w:t xml:space="preserve">Word Count </w:t>
      </w:r>
      <w:r w:rsidR="00EC1ABD">
        <w:t>4126</w:t>
      </w:r>
      <w:bookmarkStart w:id="0" w:name="_GoBack"/>
      <w:bookmarkEnd w:id="0"/>
    </w:p>
    <w:p w14:paraId="50E4AB82" w14:textId="77777777" w:rsidR="00D2787D" w:rsidRDefault="00D2787D" w:rsidP="00D2787D"/>
    <w:p w14:paraId="6F948C57" w14:textId="77777777" w:rsidR="00D2787D" w:rsidRDefault="00D2787D" w:rsidP="00D2787D"/>
    <w:p w14:paraId="30D8D7F3" w14:textId="77777777" w:rsidR="00D2787D" w:rsidRDefault="00D2787D" w:rsidP="00D2787D"/>
    <w:p w14:paraId="09E13FF3" w14:textId="77777777" w:rsidR="00D2787D" w:rsidRDefault="00D2787D" w:rsidP="00D2787D"/>
    <w:p w14:paraId="215F095F" w14:textId="77777777" w:rsidR="00D2787D" w:rsidRDefault="00D2787D" w:rsidP="00D2787D"/>
    <w:p w14:paraId="55F74EE9" w14:textId="77777777" w:rsidR="00D2787D" w:rsidRPr="000D18B6" w:rsidRDefault="00D2787D" w:rsidP="00D2787D">
      <w:pPr>
        <w:rPr>
          <w:sz w:val="28"/>
          <w:szCs w:val="28"/>
        </w:rPr>
      </w:pPr>
      <w:r w:rsidRPr="000D18B6">
        <w:rPr>
          <w:sz w:val="28"/>
          <w:szCs w:val="28"/>
        </w:rPr>
        <w:t>I declare that this assignment is my own work and that any information obtained from books and other sources have been appropriately referenced.</w:t>
      </w:r>
    </w:p>
    <w:p w14:paraId="0B9B32D7" w14:textId="77777777" w:rsidR="00D2787D" w:rsidRPr="000D18B6" w:rsidRDefault="00D2787D" w:rsidP="00D2787D">
      <w:pPr>
        <w:rPr>
          <w:sz w:val="28"/>
          <w:szCs w:val="28"/>
        </w:rPr>
      </w:pPr>
    </w:p>
    <w:p w14:paraId="5BFA0EB0" w14:textId="2D548D2E" w:rsidR="00D2787D" w:rsidRDefault="00650A7D" w:rsidP="00D2787D">
      <w:pPr>
        <w:rPr>
          <w:sz w:val="28"/>
          <w:szCs w:val="28"/>
        </w:rPr>
      </w:pPr>
      <w:r>
        <w:rPr>
          <w:sz w:val="28"/>
          <w:szCs w:val="28"/>
        </w:rPr>
        <w:t>Signed Owen Donovan</w:t>
      </w:r>
      <w:r w:rsidR="00D2787D" w:rsidRPr="000D18B6">
        <w:rPr>
          <w:sz w:val="28"/>
          <w:szCs w:val="28"/>
        </w:rPr>
        <w:tab/>
      </w:r>
      <w:r w:rsidR="00D2787D">
        <w:rPr>
          <w:sz w:val="28"/>
          <w:szCs w:val="28"/>
        </w:rPr>
        <w:t>Date</w:t>
      </w:r>
      <w:r>
        <w:rPr>
          <w:sz w:val="28"/>
          <w:szCs w:val="28"/>
        </w:rPr>
        <w:t xml:space="preserve"> 09th January 2019</w:t>
      </w:r>
    </w:p>
    <w:p w14:paraId="231252B3" w14:textId="77777777" w:rsidR="00D2787D" w:rsidRDefault="00D2787D" w:rsidP="00D2787D">
      <w:pPr>
        <w:rPr>
          <w:sz w:val="28"/>
          <w:szCs w:val="28"/>
        </w:rPr>
      </w:pPr>
    </w:p>
    <w:p w14:paraId="10FB71ED" w14:textId="77777777" w:rsidR="00D2787D" w:rsidRDefault="00D2787D" w:rsidP="00D2787D">
      <w:pPr>
        <w:rPr>
          <w:sz w:val="28"/>
          <w:szCs w:val="28"/>
        </w:rPr>
      </w:pPr>
    </w:p>
    <w:p w14:paraId="194E3CDC" w14:textId="77777777" w:rsidR="00D2787D" w:rsidRDefault="00D2787D" w:rsidP="00D2787D">
      <w:pPr>
        <w:rPr>
          <w:sz w:val="28"/>
          <w:szCs w:val="28"/>
        </w:rPr>
      </w:pPr>
    </w:p>
    <w:p w14:paraId="2741508E" w14:textId="04000337" w:rsidR="00D2787D" w:rsidRPr="004A5B43" w:rsidRDefault="00D2787D" w:rsidP="00D2787D">
      <w:pPr>
        <w:jc w:val="center"/>
        <w:rPr>
          <w:b/>
          <w:color w:val="00B0F0"/>
          <w:sz w:val="36"/>
          <w:szCs w:val="36"/>
        </w:rPr>
      </w:pPr>
      <w:bookmarkStart w:id="1" w:name="_Hlk534383801"/>
      <w:bookmarkStart w:id="2" w:name="_Hlk534408113"/>
      <w:r w:rsidRPr="004A5B43">
        <w:rPr>
          <w:b/>
          <w:color w:val="00B0F0"/>
          <w:sz w:val="36"/>
          <w:szCs w:val="36"/>
        </w:rPr>
        <w:lastRenderedPageBreak/>
        <w:t>The evolving role of HR in the contemporary business world</w:t>
      </w:r>
    </w:p>
    <w:p w14:paraId="17ED4046" w14:textId="77777777" w:rsidR="004A5B43" w:rsidRDefault="004A5B43" w:rsidP="00D2787D">
      <w:pPr>
        <w:rPr>
          <w:sz w:val="28"/>
          <w:szCs w:val="28"/>
        </w:rPr>
      </w:pPr>
    </w:p>
    <w:p w14:paraId="0FBC2597" w14:textId="7148FBB5" w:rsidR="00D2787D" w:rsidRPr="004A5B43" w:rsidRDefault="00D2787D" w:rsidP="00D2787D">
      <w:pPr>
        <w:rPr>
          <w:b/>
          <w:color w:val="00B0F0"/>
          <w:sz w:val="28"/>
          <w:szCs w:val="28"/>
          <w:u w:val="single"/>
        </w:rPr>
      </w:pPr>
      <w:r w:rsidRPr="004A5B43">
        <w:rPr>
          <w:b/>
          <w:color w:val="00B0F0"/>
          <w:sz w:val="28"/>
          <w:szCs w:val="28"/>
          <w:u w:val="single"/>
        </w:rPr>
        <w:t>Introduction</w:t>
      </w:r>
    </w:p>
    <w:p w14:paraId="3FFAC8B4" w14:textId="78D4A7D0" w:rsidR="00D2787D" w:rsidRDefault="00D2787D" w:rsidP="00D2787D">
      <w:r w:rsidRPr="00D2787D">
        <w:t>I hope you have all enjoyed your day learning about ‘The evolving role of HR in the contemporary business world’</w:t>
      </w:r>
      <w:r>
        <w:t>. Before exploring what is next it is important to understand how HR has got to the point we are at today and the journey it has been through. Human resource management has been in existence for many years with the earliest recorded text ‘The Farmers Almanac’ dating back almost 5000 years which included support for the supervision of farm labourers</w:t>
      </w:r>
      <w:sdt>
        <w:sdtPr>
          <w:id w:val="-2142023762"/>
          <w:citation/>
        </w:sdtPr>
        <w:sdtContent>
          <w:r>
            <w:fldChar w:fldCharType="begin"/>
          </w:r>
          <w:r>
            <w:instrText xml:space="preserve"> CITATION Kra63 \l 2057 </w:instrText>
          </w:r>
          <w:r>
            <w:fldChar w:fldCharType="separate"/>
          </w:r>
          <w:r>
            <w:rPr>
              <w:noProof/>
            </w:rPr>
            <w:t xml:space="preserve"> (Kramer, 1963)</w:t>
          </w:r>
          <w:r>
            <w:fldChar w:fldCharType="end"/>
          </w:r>
        </w:sdtContent>
      </w:sdt>
      <w:r>
        <w:t xml:space="preserve">. Modern HR management began as personnel management which was recognised at </w:t>
      </w:r>
      <w:r w:rsidR="00AB35DA">
        <w:t>various</w:t>
      </w:r>
      <w:r>
        <w:t xml:space="preserve"> times around the world with NCR opening a personal office in the 1890s in the </w:t>
      </w:r>
      <w:r w:rsidR="00AB35DA">
        <w:t>USA which was more</w:t>
      </w:r>
      <w:r>
        <w:t xml:space="preserve"> managerial focussed however roots of personnel management in the UK can be traced back to ‘welfare officers’ employed by Quaker owned companies</w:t>
      </w:r>
      <w:r w:rsidR="00AB35DA">
        <w:t xml:space="preserve"> in the early 1900s</w:t>
      </w:r>
      <w:sdt>
        <w:sdtPr>
          <w:id w:val="1510249155"/>
          <w:citation/>
        </w:sdtPr>
        <w:sdtContent>
          <w:r>
            <w:fldChar w:fldCharType="begin"/>
          </w:r>
          <w:r>
            <w:instrText xml:space="preserve"> CITATION Ala07 \l 2057 </w:instrText>
          </w:r>
          <w:r>
            <w:fldChar w:fldCharType="separate"/>
          </w:r>
          <w:r>
            <w:rPr>
              <w:noProof/>
            </w:rPr>
            <w:t xml:space="preserve"> (Price, 2007)</w:t>
          </w:r>
          <w:r>
            <w:fldChar w:fldCharType="end"/>
          </w:r>
        </w:sdtContent>
      </w:sdt>
      <w:r w:rsidR="00AB35DA">
        <w:t>.</w:t>
      </w:r>
      <w:r>
        <w:t xml:space="preserve">  </w:t>
      </w:r>
      <w:sdt>
        <w:sdtPr>
          <w:id w:val="-681515685"/>
          <w:citation/>
        </w:sdtPr>
        <w:sdtContent>
          <w:r>
            <w:fldChar w:fldCharType="begin"/>
          </w:r>
          <w:r>
            <w:instrText xml:space="preserve"> CITATION Tys89 \l 2057 </w:instrText>
          </w:r>
          <w:r>
            <w:fldChar w:fldCharType="separate"/>
          </w:r>
          <w:r>
            <w:rPr>
              <w:noProof/>
            </w:rPr>
            <w:t>(Tyson, 1989)</w:t>
          </w:r>
          <w:r>
            <w:fldChar w:fldCharType="end"/>
          </w:r>
        </w:sdtContent>
      </w:sdt>
      <w:r>
        <w:t xml:space="preserve"> categorised personnel jobs into three categories ‘Clerk of Works’, ‘Contracts Managers’ and ‘Architects’ with more process and functional focussed roles and responsibilities leading at the time to be seen as lacking credibility and being marginalised by other managers</w:t>
      </w:r>
      <w:sdt>
        <w:sdtPr>
          <w:id w:val="642773657"/>
          <w:citation/>
        </w:sdtPr>
        <w:sdtContent>
          <w:r>
            <w:fldChar w:fldCharType="begin"/>
          </w:r>
          <w:r>
            <w:instrText xml:space="preserve"> CITATION Ala07 \l 2057 </w:instrText>
          </w:r>
          <w:r>
            <w:fldChar w:fldCharType="separate"/>
          </w:r>
          <w:r>
            <w:rPr>
              <w:noProof/>
            </w:rPr>
            <w:t xml:space="preserve"> (Price, 2007)</w:t>
          </w:r>
          <w:r>
            <w:fldChar w:fldCharType="end"/>
          </w:r>
        </w:sdtContent>
      </w:sdt>
      <w:r>
        <w:t xml:space="preserve">. </w:t>
      </w:r>
    </w:p>
    <w:p w14:paraId="12F279BC" w14:textId="4998B6F0" w:rsidR="00D2787D" w:rsidRDefault="00D2787D" w:rsidP="00D2787D">
      <w:r>
        <w:t>Human Resource Management and Strategic HRM was taught formally in 1981 when it was added to the list of available courses at Harvard Business School which supported additional credibility in its thinking. HRM in principle took a more proactive approach to People management rather than the more process driven personnel roles that previously existed. It recognised people as assets and costs that could be managed towards business objectives. It set out to manage people wider than just the work environment and geared organisations reward, learning and performance to support opportunities for individuals to maximise growth and improve commercial performance</w:t>
      </w:r>
      <w:sdt>
        <w:sdtPr>
          <w:id w:val="-247188575"/>
          <w:citation/>
        </w:sdtPr>
        <w:sdtContent>
          <w:r>
            <w:fldChar w:fldCharType="begin"/>
          </w:r>
          <w:r>
            <w:instrText xml:space="preserve"> CITATION Far16 \l 2057 </w:instrText>
          </w:r>
          <w:r>
            <w:fldChar w:fldCharType="separate"/>
          </w:r>
          <w:r>
            <w:rPr>
              <w:noProof/>
            </w:rPr>
            <w:t xml:space="preserve"> (Farnham, 2016)</w:t>
          </w:r>
          <w:r>
            <w:fldChar w:fldCharType="end"/>
          </w:r>
        </w:sdtContent>
      </w:sdt>
      <w:sdt>
        <w:sdtPr>
          <w:id w:val="-518932817"/>
          <w:citation/>
        </w:sdtPr>
        <w:sdtContent>
          <w:r>
            <w:fldChar w:fldCharType="begin"/>
          </w:r>
          <w:r>
            <w:instrText xml:space="preserve"> CITATION Ala07 \l 2057 </w:instrText>
          </w:r>
          <w:r>
            <w:fldChar w:fldCharType="separate"/>
          </w:r>
          <w:r>
            <w:rPr>
              <w:noProof/>
            </w:rPr>
            <w:t xml:space="preserve"> (Price, 2007)</w:t>
          </w:r>
          <w:r>
            <w:fldChar w:fldCharType="end"/>
          </w:r>
        </w:sdtContent>
      </w:sdt>
      <w:r>
        <w:t>. Additionally HRM practices were encouraged to be adopted by senior leaders in organisations with the support of HRM practitioners in a consultancy role to improve overall o</w:t>
      </w:r>
      <w:r w:rsidR="00AB35DA">
        <w:t>utput which supported</w:t>
      </w:r>
      <w:r>
        <w:t xml:space="preserve"> credibility within the field with Lengnick-Hall </w:t>
      </w:r>
      <w:r w:rsidR="00AB35DA">
        <w:t xml:space="preserve">and Lengnick Hall identifying </w:t>
      </w:r>
      <w:r>
        <w:t>key reasons to implement the HRM approach.</w:t>
      </w:r>
    </w:p>
    <w:p w14:paraId="7B34DAB0" w14:textId="77777777" w:rsidR="00D2787D" w:rsidRDefault="00D2787D" w:rsidP="00D2787D">
      <w:pPr>
        <w:pStyle w:val="ListParagraph"/>
        <w:numPr>
          <w:ilvl w:val="0"/>
          <w:numId w:val="1"/>
        </w:numPr>
      </w:pPr>
      <w:r>
        <w:t>‘HRM offers a broader range of solutions for complex organisational problems’</w:t>
      </w:r>
    </w:p>
    <w:p w14:paraId="35B69763" w14:textId="77777777" w:rsidR="00D2787D" w:rsidRDefault="00D2787D" w:rsidP="00D2787D">
      <w:pPr>
        <w:pStyle w:val="ListParagraph"/>
        <w:numPr>
          <w:ilvl w:val="0"/>
          <w:numId w:val="1"/>
        </w:numPr>
      </w:pPr>
      <w:r>
        <w:t>‘It ensures that an organisations people are considered as well as it financial and technological resources when objectives are set or capabilities assessed’</w:t>
      </w:r>
    </w:p>
    <w:p w14:paraId="38DA77C6" w14:textId="77777777" w:rsidR="00D2787D" w:rsidRDefault="00D2787D" w:rsidP="00D2787D">
      <w:pPr>
        <w:pStyle w:val="ListParagraph"/>
        <w:numPr>
          <w:ilvl w:val="0"/>
          <w:numId w:val="1"/>
        </w:numPr>
      </w:pPr>
      <w:r>
        <w:t>‘It forces the explicit consideration of the individuals who implement and comprise the strategy’</w:t>
      </w:r>
    </w:p>
    <w:p w14:paraId="3031B35C" w14:textId="77777777" w:rsidR="00D2787D" w:rsidRDefault="00D2787D" w:rsidP="00D2787D">
      <w:pPr>
        <w:pStyle w:val="ListParagraph"/>
        <w:numPr>
          <w:ilvl w:val="0"/>
          <w:numId w:val="1"/>
        </w:numPr>
      </w:pPr>
      <w:r>
        <w:t>Two way links are encouraged between formulation of strategy and its human resource implications’</w:t>
      </w:r>
    </w:p>
    <w:p w14:paraId="7DBA8E62" w14:textId="77777777" w:rsidR="00D2787D" w:rsidRDefault="00123107" w:rsidP="00D2787D">
      <w:sdt>
        <w:sdtPr>
          <w:id w:val="-467287276"/>
          <w:citation/>
        </w:sdtPr>
        <w:sdtContent>
          <w:r w:rsidR="00D2787D">
            <w:fldChar w:fldCharType="begin"/>
          </w:r>
          <w:r w:rsidR="00D2787D">
            <w:instrText xml:space="preserve"> CITATION Ala07 \l 2057 </w:instrText>
          </w:r>
          <w:r w:rsidR="00D2787D">
            <w:fldChar w:fldCharType="separate"/>
          </w:r>
          <w:r w:rsidR="00D2787D">
            <w:rPr>
              <w:noProof/>
            </w:rPr>
            <w:t>(Price, 2007)</w:t>
          </w:r>
          <w:r w:rsidR="00D2787D">
            <w:fldChar w:fldCharType="end"/>
          </w:r>
        </w:sdtContent>
      </w:sdt>
    </w:p>
    <w:p w14:paraId="33958711" w14:textId="77777777" w:rsidR="004A5B43" w:rsidRDefault="004A5B43" w:rsidP="00D2787D">
      <w:pPr>
        <w:rPr>
          <w:b/>
          <w:color w:val="00B0F0"/>
          <w:u w:val="single"/>
        </w:rPr>
      </w:pPr>
    </w:p>
    <w:p w14:paraId="5574284A" w14:textId="77777777" w:rsidR="004A5B43" w:rsidRDefault="004A5B43" w:rsidP="00D2787D">
      <w:pPr>
        <w:rPr>
          <w:b/>
          <w:color w:val="00B0F0"/>
          <w:u w:val="single"/>
        </w:rPr>
      </w:pPr>
    </w:p>
    <w:p w14:paraId="1C4D5A6A" w14:textId="77777777" w:rsidR="005B4DB0" w:rsidRDefault="005B4DB0" w:rsidP="00D2787D">
      <w:pPr>
        <w:rPr>
          <w:b/>
          <w:color w:val="00B0F0"/>
          <w:u w:val="single"/>
        </w:rPr>
      </w:pPr>
    </w:p>
    <w:p w14:paraId="78F54E1E" w14:textId="0C3304D7" w:rsidR="00D2787D" w:rsidRDefault="004A5B43" w:rsidP="00D2787D">
      <w:pPr>
        <w:rPr>
          <w:b/>
          <w:color w:val="00B0F0"/>
          <w:u w:val="single"/>
        </w:rPr>
      </w:pPr>
      <w:r w:rsidRPr="004A5B43">
        <w:rPr>
          <w:b/>
          <w:color w:val="00B0F0"/>
          <w:u w:val="single"/>
        </w:rPr>
        <w:lastRenderedPageBreak/>
        <w:t>What forces shape HR and its agenda?</w:t>
      </w:r>
    </w:p>
    <w:p w14:paraId="144DC53C" w14:textId="02AEF6F9" w:rsidR="004A5B43" w:rsidRDefault="004A5B43" w:rsidP="00D2787D">
      <w:r w:rsidRPr="004A5B43">
        <w:t>There is no one definitive</w:t>
      </w:r>
      <w:r>
        <w:t xml:space="preserve"> model that depicts how HR functions are set up, this is ever changing due to the internal and external environment however there are a number of models demonstrating the various roles and influences of HR department</w:t>
      </w:r>
      <w:r w:rsidR="00AB35DA">
        <w:t>s</w:t>
      </w:r>
      <w:r>
        <w:t xml:space="preserve"> and its practitioners </w:t>
      </w:r>
      <w:sdt>
        <w:sdtPr>
          <w:id w:val="-892740139"/>
          <w:citation/>
        </w:sdtPr>
        <w:sdtContent>
          <w:r>
            <w:fldChar w:fldCharType="begin"/>
          </w:r>
          <w:r>
            <w:instrText xml:space="preserve"> CITATION Kew14 \l 2057 </w:instrText>
          </w:r>
          <w:r>
            <w:fldChar w:fldCharType="separate"/>
          </w:r>
          <w:r>
            <w:rPr>
              <w:noProof/>
            </w:rPr>
            <w:t>(Kew &amp; Stedwick, 2014)</w:t>
          </w:r>
          <w:r>
            <w:fldChar w:fldCharType="end"/>
          </w:r>
        </w:sdtContent>
      </w:sdt>
      <w:r>
        <w:t>.</w:t>
      </w:r>
    </w:p>
    <w:p w14:paraId="69E3BE18" w14:textId="12E11F7B" w:rsidR="004A5B43" w:rsidRPr="004A5B43" w:rsidRDefault="004A5B43" w:rsidP="00D2787D">
      <w:r>
        <w:t>One widely used model is Ulrichs and later Ulrichs and Brockbank model</w:t>
      </w:r>
      <w:sdt>
        <w:sdtPr>
          <w:id w:val="80812331"/>
          <w:citation/>
        </w:sdtPr>
        <w:sdtContent>
          <w:r>
            <w:fldChar w:fldCharType="begin"/>
          </w:r>
          <w:r>
            <w:instrText xml:space="preserve"> CITATION Kew14 \l 2057 </w:instrText>
          </w:r>
          <w:r>
            <w:fldChar w:fldCharType="separate"/>
          </w:r>
          <w:r>
            <w:rPr>
              <w:noProof/>
            </w:rPr>
            <w:t xml:space="preserve"> (Kew &amp; Stedwick, 2014)</w:t>
          </w:r>
          <w:r>
            <w:fldChar w:fldCharType="end"/>
          </w:r>
        </w:sdtContent>
      </w:sdt>
      <w:r>
        <w:t xml:space="preserve"> as shown below in figure 1</w:t>
      </w:r>
      <w:sdt>
        <w:sdtPr>
          <w:id w:val="-1698685644"/>
          <w:citation/>
        </w:sdtPr>
        <w:sdtContent>
          <w:r>
            <w:fldChar w:fldCharType="begin"/>
          </w:r>
          <w:r>
            <w:instrText xml:space="preserve"> CITATION Man18 \l 2057 </w:instrText>
          </w:r>
          <w:r>
            <w:fldChar w:fldCharType="separate"/>
          </w:r>
          <w:r>
            <w:rPr>
              <w:noProof/>
            </w:rPr>
            <w:t xml:space="preserve"> (Managing HR role David Ulrichs model, 2018)</w:t>
          </w:r>
          <w:r>
            <w:fldChar w:fldCharType="end"/>
          </w:r>
        </w:sdtContent>
      </w:sdt>
      <w:r>
        <w:t xml:space="preserve">. </w:t>
      </w:r>
    </w:p>
    <w:p w14:paraId="4699F2A6" w14:textId="22082773" w:rsidR="004A5B43" w:rsidRDefault="004A5B43" w:rsidP="00D2787D">
      <w:pPr>
        <w:rPr>
          <w:b/>
          <w:color w:val="00B0F0"/>
          <w:u w:val="single"/>
        </w:rPr>
      </w:pPr>
      <w:r>
        <w:rPr>
          <w:noProof/>
        </w:rPr>
        <w:drawing>
          <wp:inline distT="0" distB="0" distL="0" distR="0" wp14:anchorId="111CA203" wp14:editId="238354D8">
            <wp:extent cx="2847975" cy="2139294"/>
            <wp:effectExtent l="0" t="0" r="0" b="0"/>
            <wp:docPr id="147078756" name="Picture 147078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2847975" cy="2139294"/>
                    </a:xfrm>
                    <a:prstGeom prst="rect">
                      <a:avLst/>
                    </a:prstGeom>
                  </pic:spPr>
                </pic:pic>
              </a:graphicData>
            </a:graphic>
          </wp:inline>
        </w:drawing>
      </w:r>
    </w:p>
    <w:p w14:paraId="2DDE2305" w14:textId="29B0A287" w:rsidR="004A5B43" w:rsidRDefault="00123107" w:rsidP="00D2787D">
      <w:pPr>
        <w:rPr>
          <w:color w:val="00B0F0"/>
        </w:rPr>
      </w:pPr>
      <w:sdt>
        <w:sdtPr>
          <w:rPr>
            <w:b/>
            <w:color w:val="00B0F0"/>
            <w:u w:val="single"/>
          </w:rPr>
          <w:id w:val="-1741554211"/>
          <w:citation/>
        </w:sdtPr>
        <w:sdtContent>
          <w:r w:rsidR="004A5B43">
            <w:rPr>
              <w:b/>
              <w:color w:val="00B0F0"/>
              <w:u w:val="single"/>
            </w:rPr>
            <w:fldChar w:fldCharType="begin"/>
          </w:r>
          <w:r w:rsidR="004A5B43">
            <w:rPr>
              <w:b/>
              <w:color w:val="00B0F0"/>
              <w:u w:val="single"/>
            </w:rPr>
            <w:instrText xml:space="preserve"> CITATION Man18 \l 2057 </w:instrText>
          </w:r>
          <w:r w:rsidR="004A5B43">
            <w:rPr>
              <w:b/>
              <w:color w:val="00B0F0"/>
              <w:u w:val="single"/>
            </w:rPr>
            <w:fldChar w:fldCharType="separate"/>
          </w:r>
          <w:r w:rsidR="004A5B43" w:rsidRPr="004A5B43">
            <w:rPr>
              <w:noProof/>
              <w:color w:val="00B0F0"/>
            </w:rPr>
            <w:t>(Managing HR role David Ulrichs model, 2018)</w:t>
          </w:r>
          <w:r w:rsidR="004A5B43">
            <w:rPr>
              <w:b/>
              <w:color w:val="00B0F0"/>
              <w:u w:val="single"/>
            </w:rPr>
            <w:fldChar w:fldCharType="end"/>
          </w:r>
        </w:sdtContent>
      </w:sdt>
      <w:r w:rsidR="004A5B43">
        <w:rPr>
          <w:b/>
          <w:color w:val="00B0F0"/>
          <w:u w:val="single"/>
        </w:rPr>
        <w:t xml:space="preserve"> : </w:t>
      </w:r>
      <w:r w:rsidR="004A5B43" w:rsidRPr="004A5B43">
        <w:rPr>
          <w:color w:val="00B0F0"/>
        </w:rPr>
        <w:t>Figure 1</w:t>
      </w:r>
    </w:p>
    <w:p w14:paraId="7857D734" w14:textId="761979D3" w:rsidR="004A5B43" w:rsidRDefault="004A5B43" w:rsidP="00D2787D">
      <w:r w:rsidRPr="004A5B43">
        <w:t xml:space="preserve">The model splits </w:t>
      </w:r>
      <w:r>
        <w:t xml:space="preserve">roles into four sections comprising </w:t>
      </w:r>
    </w:p>
    <w:p w14:paraId="19D1807B" w14:textId="1B26296C" w:rsidR="004A5B43" w:rsidRDefault="004A5B43" w:rsidP="00D2787D">
      <w:r>
        <w:t>Strategic/Business Partner – Support line management in a consultancy basis to ensure the organisations strategy is implemented, identify areas for improvement and support on more complex disciplinary, salary and incentive issues. This role has become more popular in recent years with senior leaders seeing increased value from the strategic views in this role</w:t>
      </w:r>
      <w:sdt>
        <w:sdtPr>
          <w:id w:val="333586229"/>
          <w:citation/>
        </w:sdtPr>
        <w:sdtContent>
          <w:r>
            <w:fldChar w:fldCharType="begin"/>
          </w:r>
          <w:r>
            <w:instrText xml:space="preserve"> CITATION Kew14 \l 2057 </w:instrText>
          </w:r>
          <w:r>
            <w:fldChar w:fldCharType="separate"/>
          </w:r>
          <w:r>
            <w:rPr>
              <w:noProof/>
            </w:rPr>
            <w:t xml:space="preserve"> (Kew &amp; Stedwick, 2014)</w:t>
          </w:r>
          <w:r>
            <w:fldChar w:fldCharType="end"/>
          </w:r>
        </w:sdtContent>
      </w:sdt>
      <w:sdt>
        <w:sdtPr>
          <w:id w:val="-509057868"/>
          <w:citation/>
        </w:sdtPr>
        <w:sdtContent>
          <w:r>
            <w:fldChar w:fldCharType="begin"/>
          </w:r>
          <w:r>
            <w:instrText xml:space="preserve"> CITATION Ala07 \l 2057 </w:instrText>
          </w:r>
          <w:r>
            <w:fldChar w:fldCharType="separate"/>
          </w:r>
          <w:r>
            <w:rPr>
              <w:noProof/>
            </w:rPr>
            <w:t xml:space="preserve"> (Price, 2007)</w:t>
          </w:r>
          <w:r>
            <w:fldChar w:fldCharType="end"/>
          </w:r>
        </w:sdtContent>
      </w:sdt>
      <w:r>
        <w:t>.</w:t>
      </w:r>
    </w:p>
    <w:p w14:paraId="0F152150" w14:textId="775A02FF" w:rsidR="004A5B43" w:rsidRDefault="004A5B43" w:rsidP="00D2787D">
      <w:r>
        <w:t>Change Agent – Is a second strategic role concentrating more on engagement of employees when change is implemented and aligning the change to ensure the long term values of the organisation are inbuilt and are put into practice.</w:t>
      </w:r>
      <w:sdt>
        <w:sdtPr>
          <w:id w:val="-1363657141"/>
          <w:citation/>
        </w:sdtPr>
        <w:sdtContent>
          <w:r>
            <w:fldChar w:fldCharType="begin"/>
          </w:r>
          <w:r>
            <w:instrText xml:space="preserve"> CITATION Kew14 \l 2057 </w:instrText>
          </w:r>
          <w:r>
            <w:fldChar w:fldCharType="separate"/>
          </w:r>
          <w:r>
            <w:rPr>
              <w:noProof/>
            </w:rPr>
            <w:t xml:space="preserve"> (Kew &amp; Stedwick, 2014)</w:t>
          </w:r>
          <w:r>
            <w:fldChar w:fldCharType="end"/>
          </w:r>
        </w:sdtContent>
      </w:sdt>
      <w:sdt>
        <w:sdtPr>
          <w:id w:val="49816795"/>
          <w:citation/>
        </w:sdtPr>
        <w:sdtContent>
          <w:r>
            <w:fldChar w:fldCharType="begin"/>
          </w:r>
          <w:r>
            <w:instrText xml:space="preserve"> CITATION Ala07 \l 2057 </w:instrText>
          </w:r>
          <w:r>
            <w:fldChar w:fldCharType="separate"/>
          </w:r>
          <w:r>
            <w:rPr>
              <w:noProof/>
            </w:rPr>
            <w:t xml:space="preserve"> (Price, 2007)</w:t>
          </w:r>
          <w:r>
            <w:fldChar w:fldCharType="end"/>
          </w:r>
        </w:sdtContent>
      </w:sdt>
    </w:p>
    <w:p w14:paraId="4A638970" w14:textId="42B3AB39" w:rsidR="004A5B43" w:rsidRDefault="004A5B43" w:rsidP="00D2787D">
      <w:r>
        <w:t xml:space="preserve">Administrative Expert – Manages processes day to day and support businesses to ensure their policies for example ‘grievances, disciplinaries, equal </w:t>
      </w:r>
      <w:r w:rsidR="00AB35DA">
        <w:t>opportunities</w:t>
      </w:r>
      <w:r>
        <w:t xml:space="preserve"> and incentive arrangements’</w:t>
      </w:r>
      <w:sdt>
        <w:sdtPr>
          <w:id w:val="575713088"/>
          <w:citation/>
        </w:sdtPr>
        <w:sdtContent>
          <w:r>
            <w:fldChar w:fldCharType="begin"/>
          </w:r>
          <w:r>
            <w:instrText xml:space="preserve"> CITATION Kew14 \l 2057 </w:instrText>
          </w:r>
          <w:r>
            <w:fldChar w:fldCharType="separate"/>
          </w:r>
          <w:r>
            <w:rPr>
              <w:noProof/>
            </w:rPr>
            <w:t xml:space="preserve"> (Kew &amp; Stedwick, 2014)</w:t>
          </w:r>
          <w:r>
            <w:fldChar w:fldCharType="end"/>
          </w:r>
        </w:sdtContent>
      </w:sdt>
      <w:r>
        <w:t xml:space="preserve"> work as they should. One key acknowledgement of this role can be the lack of recognition received from others within the business with elements only coming to light when they go wrong.</w:t>
      </w:r>
      <w:sdt>
        <w:sdtPr>
          <w:id w:val="468554977"/>
          <w:citation/>
        </w:sdtPr>
        <w:sdtContent>
          <w:r>
            <w:fldChar w:fldCharType="begin"/>
          </w:r>
          <w:r>
            <w:instrText xml:space="preserve"> CITATION Ala07 \l 2057 </w:instrText>
          </w:r>
          <w:r>
            <w:fldChar w:fldCharType="separate"/>
          </w:r>
          <w:r>
            <w:rPr>
              <w:noProof/>
            </w:rPr>
            <w:t xml:space="preserve"> (Price, 2007)</w:t>
          </w:r>
          <w:r>
            <w:fldChar w:fldCharType="end"/>
          </w:r>
        </w:sdtContent>
      </w:sdt>
    </w:p>
    <w:p w14:paraId="013D6158" w14:textId="399931D0" w:rsidR="004A5B43" w:rsidRDefault="004A5B43" w:rsidP="00D2787D">
      <w:r>
        <w:t>Employee Champion – This role aims to give a voice to the employees of an organisation increasing their enga</w:t>
      </w:r>
      <w:r w:rsidR="00AB35DA">
        <w:t>ge</w:t>
      </w:r>
      <w:r>
        <w:t>ment and in return improving productivity and overall contribution.</w:t>
      </w:r>
    </w:p>
    <w:p w14:paraId="51F1892F" w14:textId="77777777" w:rsidR="004A5B43" w:rsidRDefault="004A5B43" w:rsidP="00D2787D">
      <w:pPr>
        <w:rPr>
          <w:b/>
          <w:color w:val="00B0F0"/>
          <w:u w:val="single"/>
        </w:rPr>
      </w:pPr>
    </w:p>
    <w:p w14:paraId="473BCE76" w14:textId="77777777" w:rsidR="004A5B43" w:rsidRDefault="004A5B43" w:rsidP="00D2787D">
      <w:pPr>
        <w:rPr>
          <w:b/>
          <w:color w:val="00B0F0"/>
          <w:u w:val="single"/>
        </w:rPr>
      </w:pPr>
    </w:p>
    <w:p w14:paraId="44B674B6" w14:textId="77777777" w:rsidR="004A5B43" w:rsidRDefault="004A5B43" w:rsidP="00D2787D">
      <w:pPr>
        <w:rPr>
          <w:b/>
          <w:color w:val="00B0F0"/>
          <w:u w:val="single"/>
        </w:rPr>
      </w:pPr>
    </w:p>
    <w:p w14:paraId="3F1AC4A6" w14:textId="36478E53" w:rsidR="004A5B43" w:rsidRDefault="004A5B43" w:rsidP="00D2787D">
      <w:pPr>
        <w:rPr>
          <w:b/>
          <w:color w:val="00B0F0"/>
          <w:u w:val="single"/>
        </w:rPr>
      </w:pPr>
      <w:r>
        <w:rPr>
          <w:b/>
          <w:color w:val="00B0F0"/>
          <w:u w:val="single"/>
        </w:rPr>
        <w:lastRenderedPageBreak/>
        <w:t>From models to s</w:t>
      </w:r>
      <w:r w:rsidRPr="004A5B43">
        <w:rPr>
          <w:b/>
          <w:color w:val="00B0F0"/>
          <w:u w:val="single"/>
        </w:rPr>
        <w:t>trategy</w:t>
      </w:r>
    </w:p>
    <w:p w14:paraId="47A60B9B" w14:textId="5B54DAB8" w:rsidR="004A5B43" w:rsidRDefault="004A5B43" w:rsidP="00D2787D">
      <w:r w:rsidRPr="004A5B43">
        <w:t xml:space="preserve">There is not one </w:t>
      </w:r>
      <w:r>
        <w:t xml:space="preserve">HR </w:t>
      </w:r>
      <w:r w:rsidRPr="004A5B43">
        <w:t>st</w:t>
      </w:r>
      <w:r>
        <w:t>r</w:t>
      </w:r>
      <w:r w:rsidRPr="004A5B43">
        <w:t>ategy</w:t>
      </w:r>
      <w:r>
        <w:t xml:space="preserve"> that is the </w:t>
      </w:r>
      <w:r w:rsidR="005244B2">
        <w:t>‘</w:t>
      </w:r>
      <w:r>
        <w:t>holy grail</w:t>
      </w:r>
      <w:r w:rsidR="005244B2">
        <w:t>’</w:t>
      </w:r>
      <w:r>
        <w:t xml:space="preserve"> to a successful business however there are 3 main strategies that have come to fruition since the introduction of HRM and organisations wanting to be able to quantify the impact and value of HRM</w:t>
      </w:r>
      <w:sdt>
        <w:sdtPr>
          <w:id w:val="1234975481"/>
          <w:citation/>
        </w:sdtPr>
        <w:sdtContent>
          <w:r>
            <w:fldChar w:fldCharType="begin"/>
          </w:r>
          <w:r>
            <w:instrText xml:space="preserve"> CITATION Kew14 \l 2057 </w:instrText>
          </w:r>
          <w:r>
            <w:fldChar w:fldCharType="separate"/>
          </w:r>
          <w:r>
            <w:rPr>
              <w:noProof/>
            </w:rPr>
            <w:t xml:space="preserve"> (Kew &amp; Stedwick, 2014)</w:t>
          </w:r>
          <w:r>
            <w:fldChar w:fldCharType="end"/>
          </w:r>
        </w:sdtContent>
      </w:sdt>
    </w:p>
    <w:p w14:paraId="06778656" w14:textId="2BAF9CA3" w:rsidR="004A5B43" w:rsidRPr="005244B2" w:rsidRDefault="004A5B43" w:rsidP="00D2787D">
      <w:pPr>
        <w:rPr>
          <w:i/>
        </w:rPr>
      </w:pPr>
      <w:r w:rsidRPr="005244B2">
        <w:rPr>
          <w:i/>
        </w:rPr>
        <w:t>Best Practice Approach</w:t>
      </w:r>
      <w:r w:rsidR="009E2894" w:rsidRPr="005244B2">
        <w:rPr>
          <w:rFonts w:ascii="Arial" w:hAnsi="Arial" w:cs="Arial"/>
          <w:i/>
          <w:color w:val="404040"/>
        </w:rPr>
        <w:t xml:space="preserve"> </w:t>
      </w:r>
    </w:p>
    <w:p w14:paraId="7CFB8075" w14:textId="32C81990" w:rsidR="004A5B43" w:rsidRDefault="004A5B43" w:rsidP="00D2787D">
      <w:pPr>
        <w:rPr>
          <w:color w:val="FF0000"/>
        </w:rPr>
      </w:pPr>
      <w:r>
        <w:t xml:space="preserve">This aims at identifying the key elements of HR strategy that leads to an improved commercial return and is otherwise known as ‘high commitment’ or ‘high performance’ systems. The key factor is that no one single element will support sustained improvement rather a combination of set practices </w:t>
      </w:r>
      <w:sdt>
        <w:sdtPr>
          <w:id w:val="-1955009636"/>
          <w:citation/>
        </w:sdtPr>
        <w:sdtContent>
          <w:r>
            <w:fldChar w:fldCharType="begin"/>
          </w:r>
          <w:r>
            <w:instrText xml:space="preserve"> CITATION Far16 \l 2057 </w:instrText>
          </w:r>
          <w:r>
            <w:fldChar w:fldCharType="separate"/>
          </w:r>
          <w:r>
            <w:rPr>
              <w:noProof/>
            </w:rPr>
            <w:t>(Farnham, 2016)</w:t>
          </w:r>
          <w:r>
            <w:fldChar w:fldCharType="end"/>
          </w:r>
        </w:sdtContent>
      </w:sdt>
      <w:sdt>
        <w:sdtPr>
          <w:id w:val="-255598940"/>
          <w:citation/>
        </w:sdtPr>
        <w:sdtContent>
          <w:r>
            <w:fldChar w:fldCharType="begin"/>
          </w:r>
          <w:r>
            <w:instrText xml:space="preserve"> CITATION Kew14 \l 2057 </w:instrText>
          </w:r>
          <w:r>
            <w:fldChar w:fldCharType="separate"/>
          </w:r>
          <w:r>
            <w:rPr>
              <w:noProof/>
            </w:rPr>
            <w:t xml:space="preserve"> (Kew &amp; Stedwick, 2014)</w:t>
          </w:r>
          <w:r>
            <w:fldChar w:fldCharType="end"/>
          </w:r>
        </w:sdtContent>
      </w:sdt>
      <w:r w:rsidR="009E2894">
        <w:t xml:space="preserve"> and that this is universal regardless of the organisational setting or industry</w:t>
      </w:r>
      <w:sdt>
        <w:sdtPr>
          <w:id w:val="-1611813028"/>
          <w:citation/>
        </w:sdtPr>
        <w:sdtContent>
          <w:r w:rsidR="009E2894">
            <w:fldChar w:fldCharType="begin"/>
          </w:r>
          <w:r w:rsidR="009E2894">
            <w:instrText xml:space="preserve"> CITATION Red09 \l 2057 </w:instrText>
          </w:r>
          <w:r w:rsidR="009E2894">
            <w:fldChar w:fldCharType="separate"/>
          </w:r>
          <w:r w:rsidR="009E2894">
            <w:rPr>
              <w:noProof/>
            </w:rPr>
            <w:t xml:space="preserve"> (Redmond &amp; Wilkinson, 2009)</w:t>
          </w:r>
          <w:r w:rsidR="009E2894">
            <w:fldChar w:fldCharType="end"/>
          </w:r>
        </w:sdtContent>
      </w:sdt>
      <w:r>
        <w:t xml:space="preserve">. One of the first best practice models is the Harvard model as described by </w:t>
      </w:r>
      <w:sdt>
        <w:sdtPr>
          <w:rPr>
            <w:color w:val="FF0000"/>
          </w:rPr>
          <w:id w:val="727878885"/>
          <w:citation/>
        </w:sdtPr>
        <w:sdtContent>
          <w:r w:rsidRPr="004A5B43">
            <w:rPr>
              <w:color w:val="FF0000"/>
            </w:rPr>
            <w:fldChar w:fldCharType="begin"/>
          </w:r>
          <w:r w:rsidRPr="004A5B43">
            <w:rPr>
              <w:color w:val="FF0000"/>
            </w:rPr>
            <w:instrText xml:space="preserve"> CITATION Bee85 \l 2057 </w:instrText>
          </w:r>
          <w:r w:rsidRPr="004A5B43">
            <w:rPr>
              <w:color w:val="FF0000"/>
            </w:rPr>
            <w:fldChar w:fldCharType="separate"/>
          </w:r>
          <w:r w:rsidRPr="004A5B43">
            <w:rPr>
              <w:noProof/>
              <w:color w:val="FF0000"/>
            </w:rPr>
            <w:t>(Beer, Spector, Lawrence, Quinn Mills, &amp; Walton, 1985)</w:t>
          </w:r>
          <w:r w:rsidRPr="004A5B43">
            <w:rPr>
              <w:color w:val="FF0000"/>
            </w:rPr>
            <w:fldChar w:fldCharType="end"/>
          </w:r>
        </w:sdtContent>
      </w:sdt>
      <w:r>
        <w:rPr>
          <w:color w:val="FF0000"/>
        </w:rPr>
        <w:t xml:space="preserve"> </w:t>
      </w:r>
      <w:r w:rsidRPr="004A5B43">
        <w:t>which highlights six key elements</w:t>
      </w:r>
      <w:r>
        <w:t xml:space="preserve"> as core to success which look like but are not excluded to ‘high job performance, problem-solving, innovation and cost effectiveness, matched by low levels of labour turnover, absence and grievances.’</w:t>
      </w:r>
      <w:sdt>
        <w:sdtPr>
          <w:id w:val="-555704995"/>
          <w:citation/>
        </w:sdtPr>
        <w:sdtContent>
          <w:r>
            <w:fldChar w:fldCharType="begin"/>
          </w:r>
          <w:r>
            <w:instrText xml:space="preserve"> CITATION Far16 \l 2057 </w:instrText>
          </w:r>
          <w:r>
            <w:fldChar w:fldCharType="separate"/>
          </w:r>
          <w:r>
            <w:rPr>
              <w:noProof/>
            </w:rPr>
            <w:t xml:space="preserve"> (Farnham, 2016)</w:t>
          </w:r>
          <w:r>
            <w:fldChar w:fldCharType="end"/>
          </w:r>
        </w:sdtContent>
      </w:sdt>
    </w:p>
    <w:p w14:paraId="6CF34440" w14:textId="38944CB0" w:rsidR="004A5B43" w:rsidRDefault="004A5B43" w:rsidP="004A5B43">
      <w:pPr>
        <w:pStyle w:val="ListParagraph"/>
        <w:numPr>
          <w:ilvl w:val="0"/>
          <w:numId w:val="2"/>
        </w:numPr>
      </w:pPr>
      <w:r>
        <w:t>Flexibility</w:t>
      </w:r>
    </w:p>
    <w:p w14:paraId="2C4EDCBF" w14:textId="40DC6411" w:rsidR="004A5B43" w:rsidRDefault="004A5B43" w:rsidP="004A5B43">
      <w:pPr>
        <w:pStyle w:val="ListParagraph"/>
        <w:numPr>
          <w:ilvl w:val="0"/>
          <w:numId w:val="2"/>
        </w:numPr>
      </w:pPr>
      <w:r>
        <w:t>Selection Process</w:t>
      </w:r>
    </w:p>
    <w:p w14:paraId="61F7AFD3" w14:textId="720D86B7" w:rsidR="004A5B43" w:rsidRDefault="004A5B43" w:rsidP="004A5B43">
      <w:pPr>
        <w:pStyle w:val="ListParagraph"/>
        <w:numPr>
          <w:ilvl w:val="0"/>
          <w:numId w:val="2"/>
        </w:numPr>
      </w:pPr>
      <w:r>
        <w:t>Appraisal</w:t>
      </w:r>
    </w:p>
    <w:p w14:paraId="0BF62181" w14:textId="5A7F98F8" w:rsidR="004A5B43" w:rsidRDefault="004A5B43" w:rsidP="004A5B43">
      <w:pPr>
        <w:pStyle w:val="ListParagraph"/>
        <w:numPr>
          <w:ilvl w:val="0"/>
          <w:numId w:val="2"/>
        </w:numPr>
      </w:pPr>
      <w:r>
        <w:t>Learning and development of core employees</w:t>
      </w:r>
    </w:p>
    <w:p w14:paraId="6C1C3975" w14:textId="09C2CCC3" w:rsidR="004A5B43" w:rsidRDefault="004A5B43" w:rsidP="004A5B43">
      <w:pPr>
        <w:pStyle w:val="ListParagraph"/>
        <w:numPr>
          <w:ilvl w:val="0"/>
          <w:numId w:val="2"/>
        </w:numPr>
      </w:pPr>
      <w:r>
        <w:t>Reward systems</w:t>
      </w:r>
    </w:p>
    <w:p w14:paraId="11360360" w14:textId="4C407891" w:rsidR="004A5B43" w:rsidRDefault="004A5B43" w:rsidP="004A5B43">
      <w:pPr>
        <w:pStyle w:val="ListParagraph"/>
        <w:numPr>
          <w:ilvl w:val="0"/>
          <w:numId w:val="2"/>
        </w:numPr>
      </w:pPr>
      <w:r>
        <w:t>Participation and employee involvement</w:t>
      </w:r>
    </w:p>
    <w:p w14:paraId="605E39DA" w14:textId="0A474B08" w:rsidR="004A5B43" w:rsidRDefault="004A5B43" w:rsidP="004A5B43">
      <w:r>
        <w:t>This has been the founding model from which other best practices have been drawn</w:t>
      </w:r>
      <w:r w:rsidR="009E2894">
        <w:t xml:space="preserve"> and built</w:t>
      </w:r>
      <w:r>
        <w:t xml:space="preserve"> up</w:t>
      </w:r>
      <w:r w:rsidR="009E2894">
        <w:t>on</w:t>
      </w:r>
      <w:r>
        <w:t xml:space="preserve"> with research done in particular around what contributes to high levels of commitment consisting of the following element</w:t>
      </w:r>
      <w:r w:rsidR="009E2894">
        <w:t>s</w:t>
      </w:r>
      <w:r>
        <w:t xml:space="preserve"> </w:t>
      </w:r>
      <w:sdt>
        <w:sdtPr>
          <w:id w:val="-137967471"/>
          <w:citation/>
        </w:sdtPr>
        <w:sdtContent>
          <w:r>
            <w:fldChar w:fldCharType="begin"/>
          </w:r>
          <w:r>
            <w:instrText xml:space="preserve"> CITATION Kew14 \l 2057 </w:instrText>
          </w:r>
          <w:r>
            <w:fldChar w:fldCharType="separate"/>
          </w:r>
          <w:r>
            <w:rPr>
              <w:noProof/>
            </w:rPr>
            <w:t>(Kew &amp; Stedwick, 2014)</w:t>
          </w:r>
          <w:r>
            <w:fldChar w:fldCharType="end"/>
          </w:r>
        </w:sdtContent>
      </w:sdt>
    </w:p>
    <w:p w14:paraId="38DA26AF" w14:textId="6F4F97D4" w:rsidR="004A5B43" w:rsidRDefault="004A5B43" w:rsidP="004A5B43">
      <w:pPr>
        <w:pStyle w:val="ListParagraph"/>
        <w:numPr>
          <w:ilvl w:val="0"/>
          <w:numId w:val="3"/>
        </w:numPr>
      </w:pPr>
      <w:r>
        <w:t>Employee Involvement</w:t>
      </w:r>
    </w:p>
    <w:p w14:paraId="5B808B3D" w14:textId="43C725F1" w:rsidR="004A5B43" w:rsidRDefault="004A5B43" w:rsidP="004A5B43">
      <w:pPr>
        <w:pStyle w:val="ListParagraph"/>
        <w:numPr>
          <w:ilvl w:val="0"/>
          <w:numId w:val="3"/>
        </w:numPr>
      </w:pPr>
      <w:r>
        <w:t>Employee voice</w:t>
      </w:r>
    </w:p>
    <w:p w14:paraId="4A076099" w14:textId="3DC21706" w:rsidR="004A5B43" w:rsidRDefault="004A5B43" w:rsidP="004A5B43">
      <w:pPr>
        <w:pStyle w:val="ListParagraph"/>
        <w:numPr>
          <w:ilvl w:val="0"/>
          <w:numId w:val="3"/>
        </w:numPr>
      </w:pPr>
      <w:r>
        <w:t>Harmonisation of Terms and Conditions</w:t>
      </w:r>
    </w:p>
    <w:p w14:paraId="59FA195E" w14:textId="504DB308" w:rsidR="004A5B43" w:rsidRDefault="004A5B43" w:rsidP="004A5B43">
      <w:pPr>
        <w:pStyle w:val="ListParagraph"/>
        <w:numPr>
          <w:ilvl w:val="0"/>
          <w:numId w:val="3"/>
        </w:numPr>
      </w:pPr>
      <w:r>
        <w:t>Employee security</w:t>
      </w:r>
    </w:p>
    <w:p w14:paraId="4FDA1C36" w14:textId="12399638" w:rsidR="004A5B43" w:rsidRDefault="004A5B43" w:rsidP="004A5B43">
      <w:pPr>
        <w:pStyle w:val="ListParagraph"/>
        <w:numPr>
          <w:ilvl w:val="0"/>
          <w:numId w:val="3"/>
        </w:numPr>
      </w:pPr>
      <w:r>
        <w:t>Sophisticated recruitment and selection</w:t>
      </w:r>
    </w:p>
    <w:p w14:paraId="46449CA3" w14:textId="47988638" w:rsidR="004A5B43" w:rsidRDefault="004A5B43" w:rsidP="004A5B43">
      <w:pPr>
        <w:pStyle w:val="ListParagraph"/>
        <w:numPr>
          <w:ilvl w:val="0"/>
          <w:numId w:val="3"/>
        </w:numPr>
      </w:pPr>
      <w:r>
        <w:t>Extensive training and development</w:t>
      </w:r>
    </w:p>
    <w:p w14:paraId="6155BE84" w14:textId="6937946D" w:rsidR="004A5B43" w:rsidRDefault="004A5B43" w:rsidP="004A5B43">
      <w:pPr>
        <w:pStyle w:val="ListParagraph"/>
        <w:numPr>
          <w:ilvl w:val="0"/>
          <w:numId w:val="3"/>
        </w:numPr>
      </w:pPr>
      <w:r>
        <w:t>Self managed teams</w:t>
      </w:r>
    </w:p>
    <w:p w14:paraId="14461828" w14:textId="00142CE7" w:rsidR="004A5B43" w:rsidRDefault="004A5B43" w:rsidP="004A5B43">
      <w:pPr>
        <w:pStyle w:val="ListParagraph"/>
        <w:numPr>
          <w:ilvl w:val="0"/>
          <w:numId w:val="3"/>
        </w:numPr>
      </w:pPr>
      <w:r>
        <w:t>Extensive systems of flexibility</w:t>
      </w:r>
    </w:p>
    <w:p w14:paraId="210B4F0B" w14:textId="2087F628" w:rsidR="004A5B43" w:rsidRDefault="73D2BBF0" w:rsidP="004A5B43">
      <w:pPr>
        <w:pStyle w:val="ListParagraph"/>
        <w:numPr>
          <w:ilvl w:val="0"/>
          <w:numId w:val="3"/>
        </w:numPr>
      </w:pPr>
      <w:r>
        <w:t>Performance related pay</w:t>
      </w:r>
    </w:p>
    <w:p w14:paraId="6034AC45" w14:textId="192B6C71" w:rsidR="73D2BBF0" w:rsidRDefault="73D2BBF0" w:rsidP="73D2BBF0">
      <w:pPr>
        <w:rPr>
          <w:i/>
          <w:iCs/>
        </w:rPr>
      </w:pPr>
    </w:p>
    <w:p w14:paraId="7EA78535" w14:textId="063B40F4" w:rsidR="73D2BBF0" w:rsidRDefault="73D2BBF0" w:rsidP="73D2BBF0">
      <w:pPr>
        <w:rPr>
          <w:i/>
          <w:iCs/>
        </w:rPr>
      </w:pPr>
    </w:p>
    <w:p w14:paraId="71EF1B37" w14:textId="6D7518C7" w:rsidR="73D2BBF0" w:rsidRDefault="73D2BBF0" w:rsidP="73D2BBF0">
      <w:pPr>
        <w:rPr>
          <w:i/>
          <w:iCs/>
        </w:rPr>
      </w:pPr>
    </w:p>
    <w:p w14:paraId="2474E0CA" w14:textId="47050F2E" w:rsidR="73D2BBF0" w:rsidRDefault="73D2BBF0" w:rsidP="73D2BBF0">
      <w:pPr>
        <w:rPr>
          <w:i/>
          <w:iCs/>
        </w:rPr>
      </w:pPr>
    </w:p>
    <w:p w14:paraId="4BCD5DF7" w14:textId="42F2DDBB" w:rsidR="73D2BBF0" w:rsidRDefault="73D2BBF0" w:rsidP="73D2BBF0">
      <w:pPr>
        <w:rPr>
          <w:i/>
          <w:iCs/>
        </w:rPr>
      </w:pPr>
    </w:p>
    <w:p w14:paraId="64499856" w14:textId="72537133" w:rsidR="004A5B43" w:rsidRPr="005244B2" w:rsidRDefault="005244B2" w:rsidP="004A5B43">
      <w:pPr>
        <w:rPr>
          <w:i/>
        </w:rPr>
      </w:pPr>
      <w:r w:rsidRPr="005244B2">
        <w:rPr>
          <w:i/>
        </w:rPr>
        <w:lastRenderedPageBreak/>
        <w:t>Best Fit Approach</w:t>
      </w:r>
    </w:p>
    <w:bookmarkEnd w:id="1"/>
    <w:p w14:paraId="6A954E81" w14:textId="67A55217" w:rsidR="004A5B43" w:rsidRDefault="005244B2" w:rsidP="00D2787D">
      <w:pPr>
        <w:rPr>
          <w:rFonts w:cstheme="minorHAnsi"/>
          <w:color w:val="404040"/>
        </w:rPr>
      </w:pPr>
      <w:r>
        <w:t>The counter argument to this is the best fit approach also known as the contingency model which argues that HR strategies must be aligned to the strategy of the organisation taking into account the culture and processes involved</w:t>
      </w:r>
      <w:sdt>
        <w:sdtPr>
          <w:id w:val="-1748028723"/>
          <w:citation/>
        </w:sdtPr>
        <w:sdtContent>
          <w:r>
            <w:fldChar w:fldCharType="begin"/>
          </w:r>
          <w:r>
            <w:instrText xml:space="preserve"> CITATION HRM16 \l 2057 </w:instrText>
          </w:r>
          <w:r>
            <w:fldChar w:fldCharType="separate"/>
          </w:r>
          <w:r>
            <w:rPr>
              <w:noProof/>
            </w:rPr>
            <w:t xml:space="preserve"> (HRMwordpress, 2016)</w:t>
          </w:r>
          <w:r>
            <w:fldChar w:fldCharType="end"/>
          </w:r>
        </w:sdtContent>
      </w:sdt>
      <w:r>
        <w:t xml:space="preserve">. </w:t>
      </w:r>
      <w:sdt>
        <w:sdtPr>
          <w:id w:val="-1637866387"/>
          <w:citation/>
        </w:sdtPr>
        <w:sdtContent>
          <w:r>
            <w:fldChar w:fldCharType="begin"/>
          </w:r>
          <w:r>
            <w:instrText xml:space="preserve"> CITATION MAr06 \l 2057 </w:instrText>
          </w:r>
          <w:r>
            <w:fldChar w:fldCharType="separate"/>
          </w:r>
          <w:r>
            <w:rPr>
              <w:noProof/>
            </w:rPr>
            <w:t>(Armstrong, 2006)</w:t>
          </w:r>
          <w:r>
            <w:fldChar w:fldCharType="end"/>
          </w:r>
        </w:sdtContent>
      </w:sdt>
      <w:r>
        <w:t xml:space="preserve"> </w:t>
      </w:r>
      <w:r w:rsidRPr="005244B2">
        <w:rPr>
          <w:rFonts w:cstheme="minorHAnsi"/>
        </w:rPr>
        <w:t>states</w:t>
      </w:r>
      <w:r>
        <w:rPr>
          <w:rFonts w:cstheme="minorHAnsi"/>
        </w:rPr>
        <w:t xml:space="preserve"> best fit</w:t>
      </w:r>
      <w:r w:rsidRPr="005244B2">
        <w:rPr>
          <w:rFonts w:cstheme="minorHAnsi"/>
        </w:rPr>
        <w:t xml:space="preserve"> </w:t>
      </w:r>
      <w:r>
        <w:rPr>
          <w:rFonts w:cstheme="minorHAnsi"/>
        </w:rPr>
        <w:t>‘</w:t>
      </w:r>
      <w:r w:rsidRPr="005244B2">
        <w:rPr>
          <w:rFonts w:cstheme="minorHAnsi"/>
          <w:color w:val="404040"/>
        </w:rPr>
        <w:t xml:space="preserve">is an idea that different </w:t>
      </w:r>
      <w:r>
        <w:rPr>
          <w:rFonts w:cstheme="minorHAnsi"/>
          <w:color w:val="404040"/>
        </w:rPr>
        <w:t>HR strategies have to focus on the</w:t>
      </w:r>
      <w:r w:rsidRPr="005244B2">
        <w:rPr>
          <w:rFonts w:cstheme="minorHAnsi"/>
          <w:color w:val="404040"/>
        </w:rPr>
        <w:t xml:space="preserve"> given needs of both the organization and its employees</w:t>
      </w:r>
      <w:r>
        <w:rPr>
          <w:rFonts w:cstheme="minorHAnsi"/>
          <w:color w:val="404040"/>
        </w:rPr>
        <w:t>’</w:t>
      </w:r>
      <w:r w:rsidRPr="005244B2">
        <w:rPr>
          <w:rFonts w:cstheme="minorHAnsi"/>
          <w:color w:val="404040"/>
        </w:rPr>
        <w:t>.</w:t>
      </w:r>
    </w:p>
    <w:p w14:paraId="0B0C5342" w14:textId="7110FC0A" w:rsidR="005244B2" w:rsidRDefault="005244B2" w:rsidP="00D2787D">
      <w:pPr>
        <w:rPr>
          <w:rFonts w:cstheme="minorHAnsi"/>
          <w:color w:val="1A1A1A"/>
        </w:rPr>
      </w:pPr>
      <w:r>
        <w:t xml:space="preserve">The best fit approach aims to give companies more of a competitive edge and can align itself to a companies lifecycle with different HRM priorities at start up, growth, maturity and decline </w:t>
      </w:r>
      <w:sdt>
        <w:sdtPr>
          <w:id w:val="127142431"/>
          <w:citation/>
        </w:sdtPr>
        <w:sdtContent>
          <w:r>
            <w:fldChar w:fldCharType="begin"/>
          </w:r>
          <w:r>
            <w:instrText xml:space="preserve"> CITATION Kew14 \l 2057 </w:instrText>
          </w:r>
          <w:r>
            <w:fldChar w:fldCharType="separate"/>
          </w:r>
          <w:r>
            <w:rPr>
              <w:noProof/>
            </w:rPr>
            <w:t>(Kew &amp; Stedwick, 2014)</w:t>
          </w:r>
          <w:r>
            <w:fldChar w:fldCharType="end"/>
          </w:r>
        </w:sdtContent>
      </w:sdt>
      <w:r>
        <w:t xml:space="preserve">. The best fit approach can be extremely difficult to implement as it requires consideration for all of the key elements of a business, looking at the root of what makes a business successful can help HR build the right practices aligned to the business </w:t>
      </w:r>
      <w:sdt>
        <w:sdtPr>
          <w:id w:val="1518650694"/>
          <w:citation/>
        </w:sdtPr>
        <w:sdtContent>
          <w:r>
            <w:fldChar w:fldCharType="begin"/>
          </w:r>
          <w:r>
            <w:instrText xml:space="preserve"> CITATION Han11 \l 2057 </w:instrText>
          </w:r>
          <w:r>
            <w:fldChar w:fldCharType="separate"/>
          </w:r>
          <w:r>
            <w:rPr>
              <w:noProof/>
            </w:rPr>
            <w:t>(Stratford, 2011)</w:t>
          </w:r>
          <w:r>
            <w:fldChar w:fldCharType="end"/>
          </w:r>
        </w:sdtContent>
      </w:sdt>
      <w:r>
        <w:t xml:space="preserve">. </w:t>
      </w:r>
      <w:r w:rsidRPr="005244B2">
        <w:rPr>
          <w:rFonts w:cstheme="minorHAnsi"/>
          <w:color w:val="1A1A1A"/>
        </w:rPr>
        <w:t>Lynda Gratton from the London business school also back this up describing 'signature processes' "which are idiosyncratic and unique to individual organisations [and] are the secret to sustainable competitive advantage".</w:t>
      </w:r>
    </w:p>
    <w:p w14:paraId="4E46F245" w14:textId="5DE8717D" w:rsidR="005244B2" w:rsidRDefault="005244B2" w:rsidP="00D2787D">
      <w:pPr>
        <w:rPr>
          <w:rFonts w:cstheme="minorHAnsi"/>
          <w:i/>
          <w:color w:val="1A1A1A"/>
        </w:rPr>
      </w:pPr>
      <w:r w:rsidRPr="005244B2">
        <w:rPr>
          <w:rFonts w:cstheme="minorHAnsi"/>
          <w:i/>
          <w:color w:val="1A1A1A"/>
        </w:rPr>
        <w:t>Resource based view</w:t>
      </w:r>
    </w:p>
    <w:p w14:paraId="3956A699" w14:textId="4518DCD2" w:rsidR="005244B2" w:rsidRDefault="005244B2" w:rsidP="00D2787D">
      <w:r>
        <w:t>Where as best fit can focus on external factors resource based view focuses purely on internal factors of an organisation viewing external factors as to volatile so applies HR strategy to the core competence of the business linked to the human capital approach</w:t>
      </w:r>
      <w:sdt>
        <w:sdtPr>
          <w:id w:val="1821073377"/>
          <w:citation/>
        </w:sdtPr>
        <w:sdtContent>
          <w:r>
            <w:fldChar w:fldCharType="begin"/>
          </w:r>
          <w:r>
            <w:instrText xml:space="preserve"> CITATION Kew14 \l 2057 </w:instrText>
          </w:r>
          <w:r>
            <w:fldChar w:fldCharType="separate"/>
          </w:r>
          <w:r>
            <w:rPr>
              <w:noProof/>
            </w:rPr>
            <w:t xml:space="preserve"> (Kew &amp; Stedwick, 2014)</w:t>
          </w:r>
          <w:r>
            <w:fldChar w:fldCharType="end"/>
          </w:r>
        </w:sdtContent>
      </w:sdt>
      <w:r>
        <w:t>. The focus is not solely on the behaviour of humans in a business but on the ‘skill,</w:t>
      </w:r>
      <w:r w:rsidR="00AB35DA">
        <w:t xml:space="preserve"> </w:t>
      </w:r>
      <w:r>
        <w:t xml:space="preserve">knowledge, attitudes and competencies which people bring to an organisation’ </w:t>
      </w:r>
      <w:sdt>
        <w:sdtPr>
          <w:id w:val="516971603"/>
          <w:citation/>
        </w:sdtPr>
        <w:sdtContent>
          <w:r>
            <w:fldChar w:fldCharType="begin"/>
          </w:r>
          <w:r>
            <w:instrText xml:space="preserve"> CITATION Kew14 \l 2057 </w:instrText>
          </w:r>
          <w:r>
            <w:fldChar w:fldCharType="separate"/>
          </w:r>
          <w:r>
            <w:rPr>
              <w:noProof/>
            </w:rPr>
            <w:t>(Kew &amp; Stedwick, 2014)</w:t>
          </w:r>
          <w:r>
            <w:fldChar w:fldCharType="end"/>
          </w:r>
        </w:sdtContent>
      </w:sdt>
      <w:r>
        <w:t xml:space="preserve"> and it is this that gives organisations their competitive edge. The RBV approach works best where resources vary across firms in similar sectors and where other firms are unable to gain resources to plug these gaps and it is this that will create the competitive advantage </w:t>
      </w:r>
      <w:sdt>
        <w:sdtPr>
          <w:id w:val="1454136891"/>
          <w:citation/>
        </w:sdtPr>
        <w:sdtContent>
          <w:r>
            <w:fldChar w:fldCharType="begin"/>
          </w:r>
          <w:r>
            <w:instrText xml:space="preserve"> CITATION Far16 \l 2057 </w:instrText>
          </w:r>
          <w:r>
            <w:fldChar w:fldCharType="separate"/>
          </w:r>
          <w:r>
            <w:rPr>
              <w:noProof/>
            </w:rPr>
            <w:t>(Farnham, 2016)</w:t>
          </w:r>
          <w:r>
            <w:fldChar w:fldCharType="end"/>
          </w:r>
        </w:sdtContent>
      </w:sdt>
      <w:r>
        <w:t xml:space="preserve">. </w:t>
      </w:r>
      <w:sdt>
        <w:sdtPr>
          <w:id w:val="-599644207"/>
          <w:citation/>
        </w:sdtPr>
        <w:sdtContent>
          <w:r>
            <w:fldChar w:fldCharType="begin"/>
          </w:r>
          <w:r>
            <w:instrText xml:space="preserve"> CITATION Bar91 \l 2057 </w:instrText>
          </w:r>
          <w:r>
            <w:fldChar w:fldCharType="separate"/>
          </w:r>
          <w:r>
            <w:rPr>
              <w:noProof/>
            </w:rPr>
            <w:t>(Barney, 1991)</w:t>
          </w:r>
          <w:r>
            <w:fldChar w:fldCharType="end"/>
          </w:r>
        </w:sdtContent>
      </w:sdt>
      <w:r>
        <w:t xml:space="preserve"> picks out four key factors in determining if resource is gaining a sustained advantage where the resource must </w:t>
      </w:r>
    </w:p>
    <w:p w14:paraId="4C9BD4A6" w14:textId="58B5BA47" w:rsidR="005244B2" w:rsidRDefault="005244B2" w:rsidP="005244B2">
      <w:pPr>
        <w:pStyle w:val="ListParagraph"/>
        <w:numPr>
          <w:ilvl w:val="0"/>
          <w:numId w:val="4"/>
        </w:numPr>
      </w:pPr>
      <w:r>
        <w:t>Be adding positive value to the firm</w:t>
      </w:r>
    </w:p>
    <w:p w14:paraId="42752FDF" w14:textId="45ADEA40" w:rsidR="005244B2" w:rsidRDefault="005244B2" w:rsidP="005244B2">
      <w:pPr>
        <w:pStyle w:val="ListParagraph"/>
        <w:numPr>
          <w:ilvl w:val="0"/>
          <w:numId w:val="4"/>
        </w:numPr>
      </w:pPr>
      <w:r>
        <w:t xml:space="preserve">Be unique or rare </w:t>
      </w:r>
      <w:r w:rsidR="002C42A6">
        <w:t>among</w:t>
      </w:r>
      <w:r>
        <w:t xml:space="preserve"> competitors</w:t>
      </w:r>
    </w:p>
    <w:p w14:paraId="4BCD35AF" w14:textId="3526F13B" w:rsidR="005244B2" w:rsidRDefault="005244B2" w:rsidP="005244B2">
      <w:pPr>
        <w:pStyle w:val="ListParagraph"/>
        <w:numPr>
          <w:ilvl w:val="0"/>
          <w:numId w:val="4"/>
        </w:numPr>
      </w:pPr>
      <w:r>
        <w:t>Be imperfectly inimitable</w:t>
      </w:r>
    </w:p>
    <w:p w14:paraId="0A27BE64" w14:textId="1924B40B" w:rsidR="005244B2" w:rsidRDefault="005244B2" w:rsidP="005244B2">
      <w:pPr>
        <w:pStyle w:val="ListParagraph"/>
        <w:numPr>
          <w:ilvl w:val="0"/>
          <w:numId w:val="4"/>
        </w:numPr>
      </w:pPr>
      <w:r>
        <w:t>Not able to be substituted with another resource by competing firms</w:t>
      </w:r>
    </w:p>
    <w:p w14:paraId="301BC4AB" w14:textId="06A7C8DF" w:rsidR="005244B2" w:rsidRDefault="005244B2" w:rsidP="005244B2">
      <w:r>
        <w:t xml:space="preserve">RBV does have its critics with some arguing that you cannot completely ignore all external factors and the environment as it is there and can create constraints on a business which will impact the internal environment </w:t>
      </w:r>
      <w:sdt>
        <w:sdtPr>
          <w:id w:val="-128238980"/>
          <w:citation/>
        </w:sdtPr>
        <w:sdtContent>
          <w:r>
            <w:fldChar w:fldCharType="begin"/>
          </w:r>
          <w:r>
            <w:instrText xml:space="preserve"> CITATION Kew14 \l 2057 </w:instrText>
          </w:r>
          <w:r>
            <w:fldChar w:fldCharType="separate"/>
          </w:r>
          <w:r>
            <w:rPr>
              <w:noProof/>
            </w:rPr>
            <w:t>(Kew &amp; Stedwick, 2014)</w:t>
          </w:r>
          <w:r>
            <w:fldChar w:fldCharType="end"/>
          </w:r>
        </w:sdtContent>
      </w:sdt>
      <w:r>
        <w:t>.</w:t>
      </w:r>
    </w:p>
    <w:p w14:paraId="3FE5B04E" w14:textId="71BAFB56" w:rsidR="005244B2" w:rsidRDefault="005244B2" w:rsidP="005244B2">
      <w:r>
        <w:t>As well as looking at the strategies it is important to consider how they are implemented, vertical and horizontal integration are key concepts in how this is done. Vertical integration relates to HR linking with wider business strategies and external factors whereas horizontal integration is the fit between different internal HR policies and strategies and the degree to which these complement each o</w:t>
      </w:r>
      <w:r w:rsidR="003064CF">
        <w:t>ther. The more a company can incorporate</w:t>
      </w:r>
      <w:r>
        <w:t xml:space="preserve"> both vertical and horizontal integration into the HR framework the more effective the implementation of the HR s</w:t>
      </w:r>
      <w:r w:rsidR="003064CF">
        <w:t>trategy,</w:t>
      </w:r>
      <w:r>
        <w:t xml:space="preserve"> however </w:t>
      </w:r>
      <w:r w:rsidR="003064CF">
        <w:t xml:space="preserve">can be </w:t>
      </w:r>
      <w:r>
        <w:t xml:space="preserve">very difficult and requires commitment at all levels and excellent communication structures </w:t>
      </w:r>
      <w:sdt>
        <w:sdtPr>
          <w:id w:val="1636825512"/>
          <w:citation/>
        </w:sdtPr>
        <w:sdtContent>
          <w:r>
            <w:fldChar w:fldCharType="begin"/>
          </w:r>
          <w:r>
            <w:instrText xml:space="preserve"> CITATION Kew14 \l 2057 </w:instrText>
          </w:r>
          <w:r>
            <w:fldChar w:fldCharType="separate"/>
          </w:r>
          <w:r>
            <w:rPr>
              <w:noProof/>
            </w:rPr>
            <w:t>(Kew &amp; Stedwick, 2014)</w:t>
          </w:r>
          <w:r>
            <w:fldChar w:fldCharType="end"/>
          </w:r>
        </w:sdtContent>
      </w:sdt>
      <w:r>
        <w:t>.</w:t>
      </w:r>
    </w:p>
    <w:p w14:paraId="38FC1BB5" w14:textId="5DAA9418" w:rsidR="005244B2" w:rsidRDefault="005244B2" w:rsidP="005244B2">
      <w:pPr>
        <w:rPr>
          <w:b/>
          <w:color w:val="00B0F0"/>
          <w:u w:val="single"/>
        </w:rPr>
      </w:pPr>
      <w:r w:rsidRPr="005244B2">
        <w:rPr>
          <w:b/>
          <w:color w:val="00B0F0"/>
          <w:u w:val="single"/>
        </w:rPr>
        <w:lastRenderedPageBreak/>
        <w:t>Insight and solutions</w:t>
      </w:r>
    </w:p>
    <w:p w14:paraId="15C5BE6F" w14:textId="75D7A235" w:rsidR="005244B2" w:rsidRDefault="005244B2" w:rsidP="005244B2">
      <w:pPr>
        <w:rPr>
          <w:bCs/>
          <w:i/>
          <w:color w:val="58595B"/>
        </w:rPr>
      </w:pPr>
      <w:r>
        <w:t>As discussed previously HRM and strategic HRM has provided greater</w:t>
      </w:r>
      <w:r w:rsidR="003064CF">
        <w:t xml:space="preserve"> credibility to the process of p</w:t>
      </w:r>
      <w:r>
        <w:t>eople management</w:t>
      </w:r>
      <w:r w:rsidR="003064CF">
        <w:t xml:space="preserve"> and a key element in enhancing</w:t>
      </w:r>
      <w:r>
        <w:t xml:space="preserve"> this is the ability to demonstrate and add value through the provision of relevant MI which can shape strategic business decisions. </w:t>
      </w:r>
      <w:sdt>
        <w:sdtPr>
          <w:id w:val="-748413648"/>
          <w:citation/>
        </w:sdtPr>
        <w:sdtContent>
          <w:r>
            <w:fldChar w:fldCharType="begin"/>
          </w:r>
          <w:r>
            <w:instrText xml:space="preserve"> CITATION CIP18 \l 2057 </w:instrText>
          </w:r>
          <w:r>
            <w:fldChar w:fldCharType="separate"/>
          </w:r>
          <w:r>
            <w:rPr>
              <w:noProof/>
            </w:rPr>
            <w:t>(CIPD, 2018)</w:t>
          </w:r>
          <w:r>
            <w:fldChar w:fldCharType="end"/>
          </w:r>
        </w:sdtContent>
      </w:sdt>
      <w:r>
        <w:t xml:space="preserve"> describe it as </w:t>
      </w:r>
      <w:r w:rsidRPr="005244B2">
        <w:rPr>
          <w:bCs/>
          <w:i/>
          <w:color w:val="58595B"/>
        </w:rPr>
        <w:t>‘enabling HR teams to demonstrate the impact that HR policies and processes have on workforce and organisational performance, and can be used to demonstrate return-on-investment and social-return-on-investment for HR activity.</w:t>
      </w:r>
      <w:r>
        <w:rPr>
          <w:bCs/>
          <w:i/>
          <w:color w:val="58595B"/>
        </w:rPr>
        <w:t>’</w:t>
      </w:r>
    </w:p>
    <w:p w14:paraId="2A1DE899" w14:textId="411CC21F" w:rsidR="005244B2" w:rsidRDefault="005244B2" w:rsidP="005244B2">
      <w:pPr>
        <w:rPr>
          <w:bCs/>
        </w:rPr>
      </w:pPr>
      <w:r w:rsidRPr="005244B2">
        <w:rPr>
          <w:bCs/>
        </w:rPr>
        <w:t xml:space="preserve">Information gathered can be both </w:t>
      </w:r>
      <w:r>
        <w:rPr>
          <w:bCs/>
        </w:rPr>
        <w:t>quantitive</w:t>
      </w:r>
      <w:r w:rsidR="003064CF">
        <w:rPr>
          <w:bCs/>
        </w:rPr>
        <w:t>ly</w:t>
      </w:r>
      <w:r>
        <w:rPr>
          <w:bCs/>
        </w:rPr>
        <w:t xml:space="preserve"> illustrated through numbers such as total employees, absence rates, attrition rates or productivity</w:t>
      </w:r>
      <w:r w:rsidRPr="005244B2">
        <w:rPr>
          <w:bCs/>
        </w:rPr>
        <w:t xml:space="preserve"> </w:t>
      </w:r>
      <w:r>
        <w:rPr>
          <w:bCs/>
        </w:rPr>
        <w:t>or can be qualitative providing rich material</w:t>
      </w:r>
      <w:r w:rsidR="003064CF">
        <w:rPr>
          <w:bCs/>
        </w:rPr>
        <w:t xml:space="preserve"> with greater detail including p</w:t>
      </w:r>
      <w:r>
        <w:rPr>
          <w:bCs/>
        </w:rPr>
        <w:t>artner engagement surveys, L&amp;D outcomes and performance review feedback.</w:t>
      </w:r>
    </w:p>
    <w:p w14:paraId="73AED2F5" w14:textId="1A107830" w:rsidR="005244B2" w:rsidRDefault="005244B2" w:rsidP="005244B2">
      <w:pPr>
        <w:rPr>
          <w:bCs/>
        </w:rPr>
      </w:pPr>
      <w:r>
        <w:rPr>
          <w:bCs/>
        </w:rPr>
        <w:t xml:space="preserve">HR MI and analytics can also be used to support project work to understand success and incorporate further learning following the HR Analytics model as set out by </w:t>
      </w:r>
      <w:sdt>
        <w:sdtPr>
          <w:rPr>
            <w:bCs/>
          </w:rPr>
          <w:id w:val="-1813094956"/>
          <w:citation/>
        </w:sdtPr>
        <w:sdtContent>
          <w:r>
            <w:rPr>
              <w:bCs/>
            </w:rPr>
            <w:fldChar w:fldCharType="begin"/>
          </w:r>
          <w:r>
            <w:rPr>
              <w:bCs/>
            </w:rPr>
            <w:instrText xml:space="preserve"> CITATION CIP18 \l 2057 </w:instrText>
          </w:r>
          <w:r>
            <w:rPr>
              <w:bCs/>
            </w:rPr>
            <w:fldChar w:fldCharType="separate"/>
          </w:r>
          <w:r>
            <w:rPr>
              <w:noProof/>
            </w:rPr>
            <w:t>(CIPD, 2018)</w:t>
          </w:r>
          <w:r>
            <w:rPr>
              <w:bCs/>
            </w:rPr>
            <w:fldChar w:fldCharType="end"/>
          </w:r>
        </w:sdtContent>
      </w:sdt>
    </w:p>
    <w:p w14:paraId="0883AA72" w14:textId="2C1F049D" w:rsidR="005244B2" w:rsidRPr="005244B2" w:rsidRDefault="005244B2" w:rsidP="003064CF">
      <w:pPr>
        <w:pStyle w:val="NormalWeb"/>
        <w:numPr>
          <w:ilvl w:val="0"/>
          <w:numId w:val="17"/>
        </w:numPr>
        <w:spacing w:before="0" w:beforeAutospacing="0" w:after="0" w:afterAutospacing="0"/>
        <w:rPr>
          <w:rFonts w:asciiTheme="minorHAnsi" w:hAnsiTheme="minorHAnsi"/>
          <w:b/>
          <w:bCs/>
          <w:color w:val="58595B"/>
          <w:sz w:val="22"/>
          <w:szCs w:val="22"/>
        </w:rPr>
      </w:pPr>
      <w:r w:rsidRPr="005244B2">
        <w:rPr>
          <w:rStyle w:val="Strong"/>
          <w:rFonts w:asciiTheme="minorHAnsi" w:hAnsiTheme="minorHAnsi"/>
          <w:b w:val="0"/>
          <w:color w:val="58595B"/>
          <w:sz w:val="22"/>
          <w:szCs w:val="22"/>
        </w:rPr>
        <w:t>Plan</w:t>
      </w:r>
      <w:r w:rsidRPr="005244B2">
        <w:rPr>
          <w:rFonts w:asciiTheme="minorHAnsi" w:hAnsiTheme="minorHAnsi"/>
          <w:b/>
          <w:bCs/>
          <w:color w:val="58595B"/>
          <w:sz w:val="22"/>
          <w:szCs w:val="22"/>
        </w:rPr>
        <w:t xml:space="preserve"> </w:t>
      </w:r>
    </w:p>
    <w:p w14:paraId="36C1CBEE" w14:textId="5F199EEA" w:rsidR="005244B2" w:rsidRPr="005244B2" w:rsidRDefault="005244B2" w:rsidP="003064CF">
      <w:pPr>
        <w:pStyle w:val="NormalWeb"/>
        <w:numPr>
          <w:ilvl w:val="0"/>
          <w:numId w:val="17"/>
        </w:numPr>
        <w:spacing w:before="0" w:beforeAutospacing="0" w:after="0" w:afterAutospacing="0"/>
        <w:rPr>
          <w:rFonts w:asciiTheme="minorHAnsi" w:hAnsiTheme="minorHAnsi"/>
          <w:b/>
          <w:bCs/>
          <w:color w:val="58595B"/>
          <w:sz w:val="22"/>
          <w:szCs w:val="22"/>
        </w:rPr>
      </w:pPr>
      <w:r w:rsidRPr="005244B2">
        <w:rPr>
          <w:rStyle w:val="Strong"/>
          <w:rFonts w:asciiTheme="minorHAnsi" w:hAnsiTheme="minorHAnsi"/>
          <w:b w:val="0"/>
          <w:color w:val="58595B"/>
          <w:sz w:val="22"/>
          <w:szCs w:val="22"/>
        </w:rPr>
        <w:t>Define critical success factors</w:t>
      </w:r>
    </w:p>
    <w:p w14:paraId="43B93AAF" w14:textId="203CCA2B" w:rsidR="005244B2" w:rsidRPr="005244B2" w:rsidRDefault="005244B2" w:rsidP="003064CF">
      <w:pPr>
        <w:pStyle w:val="NormalWeb"/>
        <w:numPr>
          <w:ilvl w:val="0"/>
          <w:numId w:val="17"/>
        </w:numPr>
        <w:spacing w:before="0" w:beforeAutospacing="0" w:after="0" w:afterAutospacing="0"/>
        <w:rPr>
          <w:rFonts w:asciiTheme="minorHAnsi" w:hAnsiTheme="minorHAnsi"/>
          <w:b/>
          <w:bCs/>
          <w:color w:val="58595B"/>
          <w:sz w:val="22"/>
          <w:szCs w:val="22"/>
        </w:rPr>
      </w:pPr>
      <w:r w:rsidRPr="005244B2">
        <w:rPr>
          <w:rStyle w:val="Strong"/>
          <w:rFonts w:asciiTheme="minorHAnsi" w:hAnsiTheme="minorHAnsi"/>
          <w:b w:val="0"/>
          <w:color w:val="58595B"/>
          <w:sz w:val="22"/>
          <w:szCs w:val="22"/>
        </w:rPr>
        <w:t>Data audit</w:t>
      </w:r>
    </w:p>
    <w:p w14:paraId="340D2185" w14:textId="0449DCA4" w:rsidR="005244B2" w:rsidRPr="005244B2" w:rsidRDefault="005244B2" w:rsidP="003064CF">
      <w:pPr>
        <w:pStyle w:val="NormalWeb"/>
        <w:numPr>
          <w:ilvl w:val="0"/>
          <w:numId w:val="17"/>
        </w:numPr>
        <w:spacing w:before="0" w:beforeAutospacing="0" w:after="0" w:afterAutospacing="0"/>
        <w:rPr>
          <w:rFonts w:asciiTheme="minorHAnsi" w:hAnsiTheme="minorHAnsi"/>
          <w:b/>
          <w:bCs/>
          <w:color w:val="58595B"/>
          <w:sz w:val="22"/>
          <w:szCs w:val="22"/>
        </w:rPr>
      </w:pPr>
      <w:r w:rsidRPr="005244B2">
        <w:rPr>
          <w:rStyle w:val="Strong"/>
          <w:rFonts w:asciiTheme="minorHAnsi" w:hAnsiTheme="minorHAnsi"/>
          <w:b w:val="0"/>
          <w:color w:val="58595B"/>
          <w:sz w:val="22"/>
          <w:szCs w:val="22"/>
        </w:rPr>
        <w:t>Design the process</w:t>
      </w:r>
    </w:p>
    <w:p w14:paraId="76CBABE7" w14:textId="60F2FEAA" w:rsidR="005244B2" w:rsidRPr="005244B2" w:rsidRDefault="005244B2" w:rsidP="003064CF">
      <w:pPr>
        <w:pStyle w:val="NormalWeb"/>
        <w:numPr>
          <w:ilvl w:val="0"/>
          <w:numId w:val="17"/>
        </w:numPr>
        <w:spacing w:before="0" w:beforeAutospacing="0" w:after="0" w:afterAutospacing="0"/>
        <w:rPr>
          <w:rFonts w:asciiTheme="minorHAnsi" w:hAnsiTheme="minorHAnsi"/>
          <w:b/>
          <w:bCs/>
          <w:color w:val="58595B"/>
          <w:sz w:val="22"/>
          <w:szCs w:val="22"/>
        </w:rPr>
      </w:pPr>
      <w:r w:rsidRPr="005244B2">
        <w:rPr>
          <w:rStyle w:val="Strong"/>
          <w:rFonts w:asciiTheme="minorHAnsi" w:hAnsiTheme="minorHAnsi"/>
          <w:b w:val="0"/>
          <w:color w:val="58595B"/>
          <w:sz w:val="22"/>
          <w:szCs w:val="22"/>
        </w:rPr>
        <w:t>Design the data collection strategy</w:t>
      </w:r>
    </w:p>
    <w:p w14:paraId="7E8EACC8" w14:textId="627FB032" w:rsidR="005244B2" w:rsidRPr="005244B2" w:rsidRDefault="005244B2" w:rsidP="003064CF">
      <w:pPr>
        <w:pStyle w:val="NormalWeb"/>
        <w:numPr>
          <w:ilvl w:val="0"/>
          <w:numId w:val="17"/>
        </w:numPr>
        <w:spacing w:before="0" w:beforeAutospacing="0" w:after="0" w:afterAutospacing="0"/>
        <w:rPr>
          <w:rFonts w:asciiTheme="minorHAnsi" w:hAnsiTheme="minorHAnsi"/>
          <w:b/>
          <w:bCs/>
          <w:color w:val="58595B"/>
          <w:sz w:val="22"/>
          <w:szCs w:val="22"/>
        </w:rPr>
      </w:pPr>
      <w:r w:rsidRPr="005244B2">
        <w:rPr>
          <w:rStyle w:val="Strong"/>
          <w:rFonts w:asciiTheme="minorHAnsi" w:hAnsiTheme="minorHAnsi"/>
          <w:b w:val="0"/>
          <w:color w:val="58595B"/>
          <w:sz w:val="22"/>
          <w:szCs w:val="22"/>
        </w:rPr>
        <w:t>Data collection</w:t>
      </w:r>
    </w:p>
    <w:p w14:paraId="42877C34" w14:textId="64360310" w:rsidR="005244B2" w:rsidRPr="005244B2" w:rsidRDefault="005244B2" w:rsidP="003064CF">
      <w:pPr>
        <w:pStyle w:val="NormalWeb"/>
        <w:numPr>
          <w:ilvl w:val="0"/>
          <w:numId w:val="17"/>
        </w:numPr>
        <w:spacing w:before="0" w:beforeAutospacing="0" w:after="0" w:afterAutospacing="0"/>
        <w:rPr>
          <w:rFonts w:asciiTheme="minorHAnsi" w:hAnsiTheme="minorHAnsi"/>
          <w:b/>
          <w:bCs/>
          <w:color w:val="58595B"/>
          <w:sz w:val="22"/>
          <w:szCs w:val="22"/>
        </w:rPr>
      </w:pPr>
      <w:r w:rsidRPr="005244B2">
        <w:rPr>
          <w:rStyle w:val="Strong"/>
          <w:rFonts w:asciiTheme="minorHAnsi" w:hAnsiTheme="minorHAnsi"/>
          <w:b w:val="0"/>
          <w:color w:val="58595B"/>
          <w:sz w:val="22"/>
          <w:szCs w:val="22"/>
        </w:rPr>
        <w:t>Analyse data</w:t>
      </w:r>
      <w:r w:rsidRPr="005244B2">
        <w:rPr>
          <w:rFonts w:asciiTheme="minorHAnsi" w:hAnsiTheme="minorHAnsi"/>
          <w:b/>
          <w:bCs/>
          <w:color w:val="58595B"/>
          <w:sz w:val="22"/>
          <w:szCs w:val="22"/>
        </w:rPr>
        <w:t xml:space="preserve"> </w:t>
      </w:r>
    </w:p>
    <w:p w14:paraId="43998D4C" w14:textId="2DCB80A9" w:rsidR="003064CF" w:rsidRDefault="005244B2" w:rsidP="003064CF">
      <w:pPr>
        <w:pStyle w:val="NormalWeb"/>
        <w:numPr>
          <w:ilvl w:val="0"/>
          <w:numId w:val="17"/>
        </w:numPr>
        <w:spacing w:before="0" w:beforeAutospacing="0" w:after="0" w:afterAutospacing="0"/>
        <w:rPr>
          <w:rFonts w:asciiTheme="minorHAnsi" w:hAnsiTheme="minorHAnsi"/>
          <w:b/>
          <w:bCs/>
          <w:color w:val="58595B"/>
          <w:sz w:val="22"/>
          <w:szCs w:val="22"/>
        </w:rPr>
      </w:pPr>
      <w:r w:rsidRPr="005244B2">
        <w:rPr>
          <w:rStyle w:val="Strong"/>
          <w:rFonts w:asciiTheme="minorHAnsi" w:hAnsiTheme="minorHAnsi"/>
          <w:b w:val="0"/>
          <w:color w:val="58595B"/>
          <w:sz w:val="22"/>
          <w:szCs w:val="22"/>
        </w:rPr>
        <w:t>Report data</w:t>
      </w:r>
    </w:p>
    <w:p w14:paraId="469122C4" w14:textId="52AAC255" w:rsidR="005244B2" w:rsidRPr="003064CF" w:rsidRDefault="005244B2" w:rsidP="003064CF">
      <w:pPr>
        <w:pStyle w:val="NormalWeb"/>
        <w:numPr>
          <w:ilvl w:val="0"/>
          <w:numId w:val="17"/>
        </w:numPr>
        <w:spacing w:before="0" w:beforeAutospacing="0" w:after="0" w:afterAutospacing="0"/>
        <w:rPr>
          <w:rFonts w:asciiTheme="minorHAnsi" w:hAnsiTheme="minorHAnsi"/>
          <w:b/>
          <w:bCs/>
          <w:color w:val="58595B"/>
          <w:sz w:val="22"/>
          <w:szCs w:val="22"/>
        </w:rPr>
      </w:pPr>
      <w:r w:rsidRPr="003064CF">
        <w:rPr>
          <w:rStyle w:val="Strong"/>
          <w:rFonts w:asciiTheme="minorHAnsi" w:hAnsiTheme="minorHAnsi"/>
          <w:b w:val="0"/>
          <w:color w:val="58595B"/>
          <w:sz w:val="22"/>
          <w:szCs w:val="22"/>
        </w:rPr>
        <w:t>Evaluate</w:t>
      </w:r>
    </w:p>
    <w:p w14:paraId="3BE891F8" w14:textId="77777777" w:rsidR="005244B2" w:rsidRDefault="005244B2" w:rsidP="005244B2"/>
    <w:p w14:paraId="04DF957E" w14:textId="73EC8BCB" w:rsidR="005244B2" w:rsidRDefault="005244B2" w:rsidP="005244B2">
      <w:pPr>
        <w:rPr>
          <w:b/>
          <w:color w:val="00B0F0"/>
          <w:u w:val="single"/>
        </w:rPr>
      </w:pPr>
      <w:r>
        <w:rPr>
          <w:b/>
          <w:color w:val="00B0F0"/>
          <w:u w:val="single"/>
        </w:rPr>
        <w:t xml:space="preserve">HR </w:t>
      </w:r>
      <w:r w:rsidRPr="005244B2">
        <w:rPr>
          <w:b/>
          <w:color w:val="00B0F0"/>
          <w:u w:val="single"/>
        </w:rPr>
        <w:t>Business ethics</w:t>
      </w:r>
      <w:r>
        <w:rPr>
          <w:b/>
          <w:color w:val="00B0F0"/>
          <w:u w:val="single"/>
        </w:rPr>
        <w:t xml:space="preserve"> and accountability</w:t>
      </w:r>
    </w:p>
    <w:p w14:paraId="0F8D101C" w14:textId="0D20DA4F" w:rsidR="009E07FB" w:rsidRDefault="002C42A6" w:rsidP="005244B2">
      <w:r>
        <w:t>Ethics</w:t>
      </w:r>
      <w:r w:rsidR="005244B2">
        <w:t xml:space="preserve"> is described as ‘a set of principles often defined as a code that acts as a guide to conduct’ </w:t>
      </w:r>
      <w:sdt>
        <w:sdtPr>
          <w:id w:val="-68971874"/>
          <w:citation/>
        </w:sdtPr>
        <w:sdtContent>
          <w:r w:rsidR="005244B2">
            <w:fldChar w:fldCharType="begin"/>
          </w:r>
          <w:r w:rsidR="005244B2">
            <w:instrText xml:space="preserve"> CITATION Law98 \l 2057 </w:instrText>
          </w:r>
          <w:r w:rsidR="005244B2">
            <w:fldChar w:fldCharType="separate"/>
          </w:r>
          <w:r w:rsidR="005244B2">
            <w:rPr>
              <w:noProof/>
            </w:rPr>
            <w:t>(Lawton, 1998)</w:t>
          </w:r>
          <w:r w:rsidR="005244B2">
            <w:fldChar w:fldCharType="end"/>
          </w:r>
        </w:sdtContent>
      </w:sdt>
      <w:r w:rsidR="005244B2">
        <w:t>. There have bee</w:t>
      </w:r>
      <w:r w:rsidR="003064CF">
        <w:t>n a number high-profile cases</w:t>
      </w:r>
      <w:r w:rsidR="005244B2">
        <w:t xml:space="preserve"> recently that have brought business ethics </w:t>
      </w:r>
      <w:r w:rsidR="003064CF">
        <w:t>to the forefront of organisational media</w:t>
      </w:r>
      <w:r w:rsidR="005244B2">
        <w:t xml:space="preserve"> with examples including Tesco, VW and Sports Direct </w:t>
      </w:r>
      <w:r w:rsidR="003064CF">
        <w:t>demonstrating the impact a business can have when they do not act ethically</w:t>
      </w:r>
      <w:r w:rsidR="005244B2">
        <w:t xml:space="preserve">. Most large corporate companies have a code of ethics with separate teams defining what ethics means to its organisation and guidance for implementation. Business ethics is becoming more important in the modern world with the reputational damage that can come from getting it wrong </w:t>
      </w:r>
      <w:sdt>
        <w:sdtPr>
          <w:id w:val="-438293747"/>
          <w:citation/>
        </w:sdtPr>
        <w:sdtContent>
          <w:r w:rsidR="005244B2">
            <w:fldChar w:fldCharType="begin"/>
          </w:r>
          <w:r w:rsidR="005244B2">
            <w:instrText xml:space="preserve"> CITATION Har15 \l 2057 </w:instrText>
          </w:r>
          <w:r w:rsidR="005244B2">
            <w:fldChar w:fldCharType="separate"/>
          </w:r>
          <w:r w:rsidR="005244B2">
            <w:rPr>
              <w:noProof/>
            </w:rPr>
            <w:t>(Harrison, 2015)</w:t>
          </w:r>
          <w:r w:rsidR="005244B2">
            <w:fldChar w:fldCharType="end"/>
          </w:r>
        </w:sdtContent>
      </w:sdt>
      <w:r w:rsidR="005244B2">
        <w:t>. There is no universal model for business ethics however factors including religion, personal and cultural differences will all impact</w:t>
      </w:r>
      <w:r w:rsidR="009E07FB">
        <w:t xml:space="preserve"> on ethical behaviour in the </w:t>
      </w:r>
      <w:r w:rsidR="005244B2">
        <w:t xml:space="preserve">workplace </w:t>
      </w:r>
      <w:sdt>
        <w:sdtPr>
          <w:id w:val="-1688898633"/>
          <w:citation/>
        </w:sdtPr>
        <w:sdtContent>
          <w:r w:rsidR="005244B2">
            <w:fldChar w:fldCharType="begin"/>
          </w:r>
          <w:r w:rsidR="005244B2">
            <w:instrText xml:space="preserve"> CITATION Far16 \l 2057 </w:instrText>
          </w:r>
          <w:r w:rsidR="005244B2">
            <w:fldChar w:fldCharType="separate"/>
          </w:r>
          <w:r w:rsidR="005244B2">
            <w:rPr>
              <w:noProof/>
            </w:rPr>
            <w:t>(Farnham, 2016)</w:t>
          </w:r>
          <w:r w:rsidR="005244B2">
            <w:fldChar w:fldCharType="end"/>
          </w:r>
        </w:sdtContent>
      </w:sdt>
      <w:r w:rsidR="005244B2">
        <w:t>. The big debate is what part do HR play in the governance and implementation of business ethic</w:t>
      </w:r>
      <w:r w:rsidR="009E07FB">
        <w:t xml:space="preserve">s, most belief that the responsibility sits with each individual within the organisation while HR act in the capacity of support guidance </w:t>
      </w:r>
      <w:sdt>
        <w:sdtPr>
          <w:id w:val="-1819402639"/>
          <w:citation/>
        </w:sdtPr>
        <w:sdtContent>
          <w:r w:rsidR="009E07FB">
            <w:fldChar w:fldCharType="begin"/>
          </w:r>
          <w:r w:rsidR="009E07FB">
            <w:instrText xml:space="preserve"> CITATION Har15 \l 2057 </w:instrText>
          </w:r>
          <w:r w:rsidR="009E07FB">
            <w:fldChar w:fldCharType="separate"/>
          </w:r>
          <w:r w:rsidR="009E07FB">
            <w:rPr>
              <w:noProof/>
            </w:rPr>
            <w:t>(Harrison, 2015)</w:t>
          </w:r>
          <w:r w:rsidR="009E07FB">
            <w:fldChar w:fldCharType="end"/>
          </w:r>
        </w:sdtContent>
      </w:sdt>
      <w:r w:rsidR="009E07FB">
        <w:t>.</w:t>
      </w:r>
    </w:p>
    <w:p w14:paraId="401CED58" w14:textId="77777777" w:rsidR="009E07FB" w:rsidRDefault="009E07FB" w:rsidP="005244B2"/>
    <w:p w14:paraId="54BBD2D2" w14:textId="4063C7B7" w:rsidR="005244B2" w:rsidRPr="005244B2" w:rsidRDefault="005244B2" w:rsidP="005244B2">
      <w:r>
        <w:t xml:space="preserve"> </w:t>
      </w:r>
    </w:p>
    <w:p w14:paraId="19DA2633" w14:textId="0BFFBBA2" w:rsidR="00247368" w:rsidRPr="00247368" w:rsidRDefault="00E45767" w:rsidP="005244B2">
      <w:r>
        <w:rPr>
          <w:noProof/>
        </w:rPr>
        <w:lastRenderedPageBreak/>
        <w:drawing>
          <wp:inline distT="0" distB="0" distL="0" distR="0" wp14:anchorId="5D167952" wp14:editId="5A7E1300">
            <wp:extent cx="5731510" cy="423672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4236720"/>
                    </a:xfrm>
                    <a:prstGeom prst="rect">
                      <a:avLst/>
                    </a:prstGeom>
                  </pic:spPr>
                </pic:pic>
              </a:graphicData>
            </a:graphic>
          </wp:inline>
        </w:drawing>
      </w:r>
    </w:p>
    <w:p w14:paraId="332F452C" w14:textId="061F7810" w:rsidR="00247368" w:rsidRPr="00247368" w:rsidRDefault="00247368" w:rsidP="005244B2">
      <w:pPr>
        <w:rPr>
          <w:color w:val="000000" w:themeColor="text1"/>
        </w:rPr>
      </w:pPr>
      <w:r w:rsidRPr="00247368">
        <w:rPr>
          <w:color w:val="000000" w:themeColor="text1"/>
        </w:rPr>
        <w:t xml:space="preserve">Figure 1 </w:t>
      </w:r>
      <w:sdt>
        <w:sdtPr>
          <w:rPr>
            <w:color w:val="000000" w:themeColor="text1"/>
          </w:rPr>
          <w:id w:val="864637001"/>
          <w:citation/>
        </w:sdtPr>
        <w:sdtContent>
          <w:r w:rsidRPr="00247368">
            <w:rPr>
              <w:color w:val="000000" w:themeColor="text1"/>
            </w:rPr>
            <w:fldChar w:fldCharType="begin"/>
          </w:r>
          <w:r w:rsidRPr="00247368">
            <w:rPr>
              <w:color w:val="000000" w:themeColor="text1"/>
            </w:rPr>
            <w:instrText xml:space="preserve"> CITATION Str13 \l 2057 </w:instrText>
          </w:r>
          <w:r w:rsidRPr="00247368">
            <w:rPr>
              <w:color w:val="000000" w:themeColor="text1"/>
            </w:rPr>
            <w:fldChar w:fldCharType="separate"/>
          </w:r>
          <w:r w:rsidRPr="00247368">
            <w:rPr>
              <w:noProof/>
              <w:color w:val="000000" w:themeColor="text1"/>
            </w:rPr>
            <w:t>(Strategic Management Insight, 2013)</w:t>
          </w:r>
          <w:r w:rsidRPr="00247368">
            <w:rPr>
              <w:color w:val="000000" w:themeColor="text1"/>
            </w:rPr>
            <w:fldChar w:fldCharType="end"/>
          </w:r>
        </w:sdtContent>
      </w:sdt>
    </w:p>
    <w:p w14:paraId="01EE6FCD" w14:textId="6CCDEDF8" w:rsidR="00E45767" w:rsidRDefault="00E45767" w:rsidP="005244B2">
      <w:pPr>
        <w:rPr>
          <w:b/>
          <w:color w:val="00B0F0"/>
          <w:u w:val="single"/>
        </w:rPr>
      </w:pPr>
      <w:r w:rsidRPr="00E45767">
        <w:rPr>
          <w:b/>
          <w:color w:val="00B0F0"/>
          <w:u w:val="single"/>
        </w:rPr>
        <w:t xml:space="preserve">Stages of Strategic Management </w:t>
      </w:r>
      <w:r w:rsidR="00FC6C3F">
        <w:rPr>
          <w:b/>
          <w:color w:val="00B0F0"/>
          <w:u w:val="single"/>
        </w:rPr>
        <w:t xml:space="preserve">using the David model </w:t>
      </w:r>
      <w:r w:rsidRPr="00E45767">
        <w:rPr>
          <w:b/>
          <w:color w:val="00B0F0"/>
          <w:u w:val="single"/>
        </w:rPr>
        <w:t>and HR role in each element</w:t>
      </w:r>
    </w:p>
    <w:p w14:paraId="1159A951" w14:textId="465086E4" w:rsidR="00E45767" w:rsidRPr="00FC6C3F" w:rsidRDefault="00E45767" w:rsidP="005244B2">
      <w:pPr>
        <w:rPr>
          <w:color w:val="000000" w:themeColor="text1"/>
        </w:rPr>
      </w:pPr>
      <w:r w:rsidRPr="00FC6C3F">
        <w:rPr>
          <w:color w:val="000000" w:themeColor="text1"/>
        </w:rPr>
        <w:t>Strategy Formulation</w:t>
      </w:r>
      <w:r w:rsidR="00FC6C3F">
        <w:rPr>
          <w:color w:val="000000" w:themeColor="text1"/>
        </w:rPr>
        <w:t xml:space="preserve"> – Strategy formulation can be set at 3 generic levels within an organisation dependent on its size choosing between business level strategy, corporate level strategy and global level strategy. The key element is to understand what you are trying to achieve and is it aligned to the organisations vision and mission. Dependant on the aim various analysis models can be used including SWOT, PESTLE and Porters 5 forces which are explained later in further detail which will help to inform leaders in the strategy that </w:t>
      </w:r>
      <w:r w:rsidR="00247368">
        <w:rPr>
          <w:color w:val="000000" w:themeColor="text1"/>
        </w:rPr>
        <w:t xml:space="preserve">has been decided </w:t>
      </w:r>
      <w:sdt>
        <w:sdtPr>
          <w:rPr>
            <w:color w:val="000000" w:themeColor="text1"/>
          </w:rPr>
          <w:id w:val="-1265382440"/>
          <w:citation/>
        </w:sdtPr>
        <w:sdtContent>
          <w:r w:rsidR="00247368">
            <w:rPr>
              <w:color w:val="000000" w:themeColor="text1"/>
            </w:rPr>
            <w:fldChar w:fldCharType="begin"/>
          </w:r>
          <w:r w:rsidR="00247368">
            <w:rPr>
              <w:color w:val="000000" w:themeColor="text1"/>
            </w:rPr>
            <w:instrText xml:space="preserve"> CITATION Str13 \l 2057 </w:instrText>
          </w:r>
          <w:r w:rsidR="00247368">
            <w:rPr>
              <w:color w:val="000000" w:themeColor="text1"/>
            </w:rPr>
            <w:fldChar w:fldCharType="separate"/>
          </w:r>
          <w:r w:rsidR="00247368" w:rsidRPr="00247368">
            <w:rPr>
              <w:noProof/>
              <w:color w:val="000000" w:themeColor="text1"/>
            </w:rPr>
            <w:t>(Strategic Management Insight, 2013)</w:t>
          </w:r>
          <w:r w:rsidR="00247368">
            <w:rPr>
              <w:color w:val="000000" w:themeColor="text1"/>
            </w:rPr>
            <w:fldChar w:fldCharType="end"/>
          </w:r>
        </w:sdtContent>
      </w:sdt>
      <w:r w:rsidR="00247368">
        <w:rPr>
          <w:color w:val="000000" w:themeColor="text1"/>
        </w:rPr>
        <w:t xml:space="preserve">. HR can provide valuable data to support existing skill sets within the workforce, identifying gaps and analysing potential costs to support recruitment through external benchmarking related to workforce planning </w:t>
      </w:r>
      <w:sdt>
        <w:sdtPr>
          <w:rPr>
            <w:color w:val="000000" w:themeColor="text1"/>
          </w:rPr>
          <w:id w:val="790936999"/>
          <w:citation/>
        </w:sdtPr>
        <w:sdtContent>
          <w:r w:rsidR="00247368">
            <w:rPr>
              <w:color w:val="000000" w:themeColor="text1"/>
            </w:rPr>
            <w:fldChar w:fldCharType="begin"/>
          </w:r>
          <w:r w:rsidR="00247368">
            <w:rPr>
              <w:color w:val="000000" w:themeColor="text1"/>
            </w:rPr>
            <w:instrText xml:space="preserve"> CITATION CIP171 \l 2057 </w:instrText>
          </w:r>
          <w:r w:rsidR="00247368">
            <w:rPr>
              <w:color w:val="000000" w:themeColor="text1"/>
            </w:rPr>
            <w:fldChar w:fldCharType="separate"/>
          </w:r>
          <w:r w:rsidR="00247368" w:rsidRPr="00247368">
            <w:rPr>
              <w:noProof/>
              <w:color w:val="000000" w:themeColor="text1"/>
            </w:rPr>
            <w:t>(CIPD, 2017)</w:t>
          </w:r>
          <w:r w:rsidR="00247368">
            <w:rPr>
              <w:color w:val="000000" w:themeColor="text1"/>
            </w:rPr>
            <w:fldChar w:fldCharType="end"/>
          </w:r>
        </w:sdtContent>
      </w:sdt>
    </w:p>
    <w:p w14:paraId="008DC3BC" w14:textId="715F3C60" w:rsidR="00FC6C3F" w:rsidRDefault="00FC6C3F" w:rsidP="005244B2">
      <w:pPr>
        <w:rPr>
          <w:color w:val="000000" w:themeColor="text1"/>
        </w:rPr>
      </w:pPr>
      <w:r w:rsidRPr="00FC6C3F">
        <w:rPr>
          <w:color w:val="000000" w:themeColor="text1"/>
        </w:rPr>
        <w:t>Strategy Implementation</w:t>
      </w:r>
      <w:r w:rsidR="00247368">
        <w:rPr>
          <w:color w:val="000000" w:themeColor="text1"/>
        </w:rPr>
        <w:t xml:space="preserve"> </w:t>
      </w:r>
      <w:r w:rsidR="00BA1631">
        <w:rPr>
          <w:color w:val="000000" w:themeColor="text1"/>
        </w:rPr>
        <w:t>–</w:t>
      </w:r>
      <w:r w:rsidR="00247368">
        <w:rPr>
          <w:color w:val="000000" w:themeColor="text1"/>
        </w:rPr>
        <w:t xml:space="preserve"> </w:t>
      </w:r>
      <w:r w:rsidR="00BA1631">
        <w:rPr>
          <w:color w:val="000000" w:themeColor="text1"/>
        </w:rPr>
        <w:t xml:space="preserve">Implementation relies more on leadership and management skills as opposed to analysis used heavily in the previous stage. </w:t>
      </w:r>
      <w:sdt>
        <w:sdtPr>
          <w:rPr>
            <w:color w:val="000000" w:themeColor="text1"/>
          </w:rPr>
          <w:id w:val="-330291075"/>
          <w:citation/>
        </w:sdtPr>
        <w:sdtContent>
          <w:r w:rsidR="00BA1631">
            <w:rPr>
              <w:color w:val="000000" w:themeColor="text1"/>
            </w:rPr>
            <w:fldChar w:fldCharType="begin"/>
          </w:r>
          <w:r w:rsidR="00BA1631">
            <w:rPr>
              <w:color w:val="000000" w:themeColor="text1"/>
            </w:rPr>
            <w:instrText xml:space="preserve"> CITATION Dav09 \l 2057 </w:instrText>
          </w:r>
          <w:r w:rsidR="00BA1631">
            <w:rPr>
              <w:color w:val="000000" w:themeColor="text1"/>
            </w:rPr>
            <w:fldChar w:fldCharType="separate"/>
          </w:r>
          <w:r w:rsidR="00BA1631" w:rsidRPr="00BA1631">
            <w:rPr>
              <w:noProof/>
              <w:color w:val="000000" w:themeColor="text1"/>
            </w:rPr>
            <w:t>(David, 2009)</w:t>
          </w:r>
          <w:r w:rsidR="00BA1631">
            <w:rPr>
              <w:color w:val="000000" w:themeColor="text1"/>
            </w:rPr>
            <w:fldChar w:fldCharType="end"/>
          </w:r>
        </w:sdtContent>
      </w:sdt>
      <w:r w:rsidR="00BA1631">
        <w:rPr>
          <w:color w:val="000000" w:themeColor="text1"/>
        </w:rPr>
        <w:t xml:space="preserve"> sets out 6 key factors required to achieve success during this phase</w:t>
      </w:r>
    </w:p>
    <w:p w14:paraId="304CF0EB" w14:textId="1A115198" w:rsidR="00BA1631" w:rsidRPr="00BA1631" w:rsidRDefault="00BA1631" w:rsidP="00BA1631">
      <w:pPr>
        <w:numPr>
          <w:ilvl w:val="0"/>
          <w:numId w:val="14"/>
        </w:numPr>
        <w:spacing w:before="100" w:beforeAutospacing="1" w:after="100" w:afterAutospacing="1" w:line="240" w:lineRule="auto"/>
        <w:rPr>
          <w:rFonts w:eastAsia="Times New Roman" w:cstheme="minorHAnsi"/>
          <w:color w:val="333333"/>
          <w:lang w:eastAsia="en-GB"/>
        </w:rPr>
      </w:pPr>
      <w:r w:rsidRPr="00BA1631">
        <w:rPr>
          <w:rFonts w:eastAsia="Times New Roman" w:cstheme="minorHAnsi"/>
          <w:color w:val="333333"/>
          <w:lang w:eastAsia="en-GB"/>
        </w:rPr>
        <w:t>Setting ob</w:t>
      </w:r>
      <w:r w:rsidR="00FC2851">
        <w:rPr>
          <w:rFonts w:eastAsia="Times New Roman" w:cstheme="minorHAnsi"/>
          <w:color w:val="333333"/>
          <w:lang w:eastAsia="en-GB"/>
        </w:rPr>
        <w:t>jectives</w:t>
      </w:r>
    </w:p>
    <w:p w14:paraId="12C32737" w14:textId="665EA3C7" w:rsidR="00BA1631" w:rsidRPr="00BA1631" w:rsidRDefault="00BA1631" w:rsidP="00BA1631">
      <w:pPr>
        <w:numPr>
          <w:ilvl w:val="0"/>
          <w:numId w:val="14"/>
        </w:numPr>
        <w:spacing w:before="100" w:beforeAutospacing="1" w:after="100" w:afterAutospacing="1" w:line="240" w:lineRule="auto"/>
        <w:rPr>
          <w:rFonts w:eastAsia="Times New Roman" w:cstheme="minorHAnsi"/>
          <w:color w:val="333333"/>
          <w:lang w:eastAsia="en-GB"/>
        </w:rPr>
      </w:pPr>
      <w:r w:rsidRPr="00BA1631">
        <w:rPr>
          <w:rFonts w:eastAsia="Times New Roman" w:cstheme="minorHAnsi"/>
          <w:color w:val="333333"/>
          <w:lang w:eastAsia="en-GB"/>
        </w:rPr>
        <w:t>Aligning policies to the objectives</w:t>
      </w:r>
    </w:p>
    <w:p w14:paraId="63C4132A" w14:textId="6BC5BB3D" w:rsidR="00BA1631" w:rsidRPr="00BA1631" w:rsidRDefault="00BA1631" w:rsidP="00BA1631">
      <w:pPr>
        <w:numPr>
          <w:ilvl w:val="0"/>
          <w:numId w:val="14"/>
        </w:numPr>
        <w:spacing w:before="100" w:beforeAutospacing="1" w:after="100" w:afterAutospacing="1" w:line="240" w:lineRule="auto"/>
        <w:rPr>
          <w:rFonts w:eastAsia="Times New Roman" w:cstheme="minorHAnsi"/>
          <w:color w:val="333333"/>
          <w:lang w:eastAsia="en-GB"/>
        </w:rPr>
      </w:pPr>
      <w:r w:rsidRPr="00BA1631">
        <w:rPr>
          <w:rFonts w:eastAsia="Times New Roman" w:cstheme="minorHAnsi"/>
          <w:color w:val="333333"/>
          <w:lang w:eastAsia="en-GB"/>
        </w:rPr>
        <w:t>Allocating resources t</w:t>
      </w:r>
      <w:r w:rsidR="00FC2851">
        <w:rPr>
          <w:rFonts w:eastAsia="Times New Roman" w:cstheme="minorHAnsi"/>
          <w:color w:val="333333"/>
          <w:lang w:eastAsia="en-GB"/>
        </w:rPr>
        <w:t>o strategically important areas</w:t>
      </w:r>
    </w:p>
    <w:p w14:paraId="74201636" w14:textId="55A7F854" w:rsidR="00BA1631" w:rsidRPr="00BA1631" w:rsidRDefault="00BA1631" w:rsidP="00BA1631">
      <w:pPr>
        <w:numPr>
          <w:ilvl w:val="0"/>
          <w:numId w:val="14"/>
        </w:numPr>
        <w:spacing w:before="100" w:beforeAutospacing="1" w:after="100" w:afterAutospacing="1" w:line="240" w:lineRule="auto"/>
        <w:rPr>
          <w:rFonts w:eastAsia="Times New Roman" w:cstheme="minorHAnsi"/>
          <w:color w:val="333333"/>
          <w:lang w:eastAsia="en-GB"/>
        </w:rPr>
      </w:pPr>
      <w:r w:rsidRPr="00BA1631">
        <w:rPr>
          <w:rFonts w:eastAsia="Times New Roman" w:cstheme="minorHAnsi"/>
          <w:color w:val="333333"/>
          <w:lang w:eastAsia="en-GB"/>
        </w:rPr>
        <w:t>Changing organizational structur</w:t>
      </w:r>
      <w:r w:rsidR="00FC2851">
        <w:rPr>
          <w:rFonts w:eastAsia="Times New Roman" w:cstheme="minorHAnsi"/>
          <w:color w:val="333333"/>
          <w:lang w:eastAsia="en-GB"/>
        </w:rPr>
        <w:t>e to meet new strategy</w:t>
      </w:r>
    </w:p>
    <w:p w14:paraId="0E00FB4C" w14:textId="04E37D62" w:rsidR="00BA1631" w:rsidRPr="00BA1631" w:rsidRDefault="00FC2851" w:rsidP="00BA1631">
      <w:pPr>
        <w:numPr>
          <w:ilvl w:val="0"/>
          <w:numId w:val="14"/>
        </w:numPr>
        <w:spacing w:before="100" w:beforeAutospacing="1" w:after="100" w:afterAutospacing="1" w:line="240" w:lineRule="auto"/>
        <w:rPr>
          <w:rFonts w:eastAsia="Times New Roman" w:cstheme="minorHAnsi"/>
          <w:color w:val="333333"/>
          <w:lang w:eastAsia="en-GB"/>
        </w:rPr>
      </w:pPr>
      <w:r>
        <w:rPr>
          <w:rFonts w:eastAsia="Times New Roman" w:cstheme="minorHAnsi"/>
          <w:color w:val="333333"/>
          <w:lang w:eastAsia="en-GB"/>
        </w:rPr>
        <w:t>Managing resistance to change</w:t>
      </w:r>
    </w:p>
    <w:p w14:paraId="428D92A6" w14:textId="6614B0EA" w:rsidR="00BA1631" w:rsidRDefault="00BA1631" w:rsidP="00BA1631">
      <w:pPr>
        <w:numPr>
          <w:ilvl w:val="0"/>
          <w:numId w:val="14"/>
        </w:numPr>
        <w:spacing w:before="100" w:beforeAutospacing="1" w:after="100" w:afterAutospacing="1" w:line="240" w:lineRule="auto"/>
        <w:rPr>
          <w:rFonts w:eastAsia="Times New Roman" w:cstheme="minorHAnsi"/>
          <w:color w:val="333333"/>
          <w:lang w:eastAsia="en-GB"/>
        </w:rPr>
      </w:pPr>
      <w:r w:rsidRPr="00BA1631">
        <w:rPr>
          <w:rFonts w:eastAsia="Times New Roman" w:cstheme="minorHAnsi"/>
          <w:color w:val="333333"/>
          <w:lang w:eastAsia="en-GB"/>
        </w:rPr>
        <w:t>Introducing new reward system for performance results if needed</w:t>
      </w:r>
    </w:p>
    <w:p w14:paraId="42D3EB68" w14:textId="67EEDC21" w:rsidR="00BA1631" w:rsidRPr="00BA1631" w:rsidRDefault="00BA1631" w:rsidP="00BA1631">
      <w:pPr>
        <w:spacing w:before="100" w:beforeAutospacing="1" w:after="100" w:afterAutospacing="1" w:line="240" w:lineRule="auto"/>
        <w:rPr>
          <w:rFonts w:eastAsia="Times New Roman" w:cstheme="minorHAnsi"/>
          <w:color w:val="333333"/>
          <w:lang w:eastAsia="en-GB"/>
        </w:rPr>
      </w:pPr>
      <w:r>
        <w:rPr>
          <w:rFonts w:eastAsia="Times New Roman" w:cstheme="minorHAnsi"/>
          <w:color w:val="333333"/>
          <w:lang w:eastAsia="en-GB"/>
        </w:rPr>
        <w:lastRenderedPageBreak/>
        <w:t xml:space="preserve">HR plays a significant role in supporting communication of the vision and goals across the business and upskilling </w:t>
      </w:r>
      <w:r w:rsidR="00123107">
        <w:rPr>
          <w:rFonts w:eastAsia="Times New Roman" w:cstheme="minorHAnsi"/>
          <w:color w:val="333333"/>
          <w:lang w:eastAsia="en-GB"/>
        </w:rPr>
        <w:t>the workforce to support skill gaps that may exis</w:t>
      </w:r>
      <w:r w:rsidR="00FC2851">
        <w:rPr>
          <w:rFonts w:eastAsia="Times New Roman" w:cstheme="minorHAnsi"/>
          <w:color w:val="333333"/>
          <w:lang w:eastAsia="en-GB"/>
        </w:rPr>
        <w:t>t. Whilst looking at restructuring</w:t>
      </w:r>
      <w:r w:rsidR="00123107">
        <w:rPr>
          <w:rFonts w:eastAsia="Times New Roman" w:cstheme="minorHAnsi"/>
          <w:color w:val="333333"/>
          <w:lang w:eastAsia="en-GB"/>
        </w:rPr>
        <w:t xml:space="preserve"> if required</w:t>
      </w:r>
      <w:r w:rsidR="00FC2851">
        <w:rPr>
          <w:rFonts w:eastAsia="Times New Roman" w:cstheme="minorHAnsi"/>
          <w:color w:val="333333"/>
          <w:lang w:eastAsia="en-GB"/>
        </w:rPr>
        <w:t>,</w:t>
      </w:r>
      <w:r w:rsidR="00123107">
        <w:rPr>
          <w:rFonts w:eastAsia="Times New Roman" w:cstheme="minorHAnsi"/>
          <w:color w:val="333333"/>
          <w:lang w:eastAsia="en-GB"/>
        </w:rPr>
        <w:t xml:space="preserve"> HR will ensure all legal frameworks are followed and identify the</w:t>
      </w:r>
      <w:r w:rsidR="00FC2851">
        <w:rPr>
          <w:rFonts w:eastAsia="Times New Roman" w:cstheme="minorHAnsi"/>
          <w:color w:val="333333"/>
          <w:lang w:eastAsia="en-GB"/>
        </w:rPr>
        <w:t xml:space="preserve"> potential cost implication of p</w:t>
      </w:r>
      <w:r w:rsidR="00123107">
        <w:rPr>
          <w:rFonts w:eastAsia="Times New Roman" w:cstheme="minorHAnsi"/>
          <w:color w:val="333333"/>
          <w:lang w:eastAsia="en-GB"/>
        </w:rPr>
        <w:t xml:space="preserve">eople strategies. The design of new reward structures aligned to the business objectives and visions is key to its success and HR can support the effective implementation of these across the estate </w:t>
      </w:r>
      <w:sdt>
        <w:sdtPr>
          <w:rPr>
            <w:rFonts w:eastAsia="Times New Roman" w:cstheme="minorHAnsi"/>
            <w:color w:val="333333"/>
            <w:lang w:eastAsia="en-GB"/>
          </w:rPr>
          <w:id w:val="547888169"/>
          <w:citation/>
        </w:sdtPr>
        <w:sdtContent>
          <w:r w:rsidR="00123107">
            <w:rPr>
              <w:rFonts w:eastAsia="Times New Roman" w:cstheme="minorHAnsi"/>
              <w:color w:val="333333"/>
              <w:lang w:eastAsia="en-GB"/>
            </w:rPr>
            <w:fldChar w:fldCharType="begin"/>
          </w:r>
          <w:r w:rsidR="00123107">
            <w:rPr>
              <w:rFonts w:eastAsia="Times New Roman" w:cstheme="minorHAnsi"/>
              <w:color w:val="333333"/>
              <w:lang w:eastAsia="en-GB"/>
            </w:rPr>
            <w:instrText xml:space="preserve"> CITATION CIP171 \l 2057 </w:instrText>
          </w:r>
          <w:r w:rsidR="00123107">
            <w:rPr>
              <w:rFonts w:eastAsia="Times New Roman" w:cstheme="minorHAnsi"/>
              <w:color w:val="333333"/>
              <w:lang w:eastAsia="en-GB"/>
            </w:rPr>
            <w:fldChar w:fldCharType="separate"/>
          </w:r>
          <w:r w:rsidR="00123107" w:rsidRPr="00123107">
            <w:rPr>
              <w:rFonts w:eastAsia="Times New Roman" w:cstheme="minorHAnsi"/>
              <w:noProof/>
              <w:color w:val="333333"/>
              <w:lang w:eastAsia="en-GB"/>
            </w:rPr>
            <w:t>(CIPD, 2017)</w:t>
          </w:r>
          <w:r w:rsidR="00123107">
            <w:rPr>
              <w:rFonts w:eastAsia="Times New Roman" w:cstheme="minorHAnsi"/>
              <w:color w:val="333333"/>
              <w:lang w:eastAsia="en-GB"/>
            </w:rPr>
            <w:fldChar w:fldCharType="end"/>
          </w:r>
        </w:sdtContent>
      </w:sdt>
      <w:r w:rsidR="00123107">
        <w:rPr>
          <w:rFonts w:eastAsia="Times New Roman" w:cstheme="minorHAnsi"/>
          <w:color w:val="333333"/>
          <w:lang w:eastAsia="en-GB"/>
        </w:rPr>
        <w:t>.</w:t>
      </w:r>
    </w:p>
    <w:p w14:paraId="37D9D6E4" w14:textId="4B13050A" w:rsidR="00123107" w:rsidRPr="00FC2851" w:rsidRDefault="00FC6C3F" w:rsidP="00123107">
      <w:pPr>
        <w:pStyle w:val="NormalWeb"/>
        <w:spacing w:before="300" w:beforeAutospacing="0" w:after="300" w:afterAutospacing="0"/>
        <w:rPr>
          <w:rFonts w:asciiTheme="minorHAnsi" w:hAnsiTheme="minorHAnsi" w:cs="Arial"/>
          <w:color w:val="333333"/>
          <w:sz w:val="22"/>
          <w:szCs w:val="22"/>
        </w:rPr>
      </w:pPr>
      <w:r w:rsidRPr="00FC2851">
        <w:rPr>
          <w:rFonts w:asciiTheme="minorHAnsi" w:hAnsiTheme="minorHAnsi"/>
          <w:color w:val="000000" w:themeColor="text1"/>
          <w:sz w:val="22"/>
          <w:szCs w:val="22"/>
        </w:rPr>
        <w:t>Strategy Evaluation</w:t>
      </w:r>
      <w:r w:rsidR="00123107" w:rsidRPr="00FC2851">
        <w:rPr>
          <w:rFonts w:asciiTheme="minorHAnsi" w:hAnsiTheme="minorHAnsi"/>
          <w:color w:val="000000" w:themeColor="text1"/>
          <w:sz w:val="22"/>
          <w:szCs w:val="22"/>
        </w:rPr>
        <w:t xml:space="preserve"> - </w:t>
      </w:r>
      <w:r w:rsidR="00123107" w:rsidRPr="00FC2851">
        <w:rPr>
          <w:rFonts w:asciiTheme="minorHAnsi" w:hAnsiTheme="minorHAnsi" w:cstheme="minorHAnsi"/>
          <w:color w:val="000000" w:themeColor="text1"/>
          <w:sz w:val="22"/>
          <w:szCs w:val="22"/>
        </w:rPr>
        <w:t xml:space="preserve">Evaluation must be monitored to be successful and aligned to the agreed goals set out during the formulation stage which will have agreed cost elements. Businesses must monitor both internal and external benchmarks and evaluate and adjust the tactics used rather than the strategy according to the results. It is important to evaluate the performance of the business with elements that are measurable and this is done in a time relevant manor to allow the business to change according to the results to achieve its goals </w:t>
      </w:r>
      <w:sdt>
        <w:sdtPr>
          <w:rPr>
            <w:rFonts w:asciiTheme="minorHAnsi" w:hAnsiTheme="minorHAnsi" w:cstheme="minorHAnsi"/>
            <w:color w:val="000000" w:themeColor="text1"/>
            <w:sz w:val="22"/>
            <w:szCs w:val="22"/>
          </w:rPr>
          <w:id w:val="-2008901767"/>
          <w:citation/>
        </w:sdtPr>
        <w:sdtContent>
          <w:r w:rsidR="00123107" w:rsidRPr="00FC2851">
            <w:rPr>
              <w:rFonts w:asciiTheme="minorHAnsi" w:hAnsiTheme="minorHAnsi" w:cstheme="minorHAnsi"/>
              <w:color w:val="000000" w:themeColor="text1"/>
              <w:sz w:val="22"/>
              <w:szCs w:val="22"/>
            </w:rPr>
            <w:fldChar w:fldCharType="begin"/>
          </w:r>
          <w:r w:rsidR="00123107" w:rsidRPr="00FC2851">
            <w:rPr>
              <w:rFonts w:asciiTheme="minorHAnsi" w:hAnsiTheme="minorHAnsi" w:cstheme="minorHAnsi"/>
              <w:color w:val="000000" w:themeColor="text1"/>
              <w:sz w:val="22"/>
              <w:szCs w:val="22"/>
            </w:rPr>
            <w:instrText xml:space="preserve"> CITATION Str13 \l 2057 </w:instrText>
          </w:r>
          <w:r w:rsidR="00123107" w:rsidRPr="00FC2851">
            <w:rPr>
              <w:rFonts w:asciiTheme="minorHAnsi" w:hAnsiTheme="minorHAnsi" w:cstheme="minorHAnsi"/>
              <w:color w:val="000000" w:themeColor="text1"/>
              <w:sz w:val="22"/>
              <w:szCs w:val="22"/>
            </w:rPr>
            <w:fldChar w:fldCharType="separate"/>
          </w:r>
          <w:r w:rsidR="00123107" w:rsidRPr="00FC2851">
            <w:rPr>
              <w:rFonts w:asciiTheme="minorHAnsi" w:hAnsiTheme="minorHAnsi" w:cstheme="minorHAnsi"/>
              <w:noProof/>
              <w:color w:val="000000" w:themeColor="text1"/>
              <w:sz w:val="22"/>
              <w:szCs w:val="22"/>
            </w:rPr>
            <w:t>(Strategic Management Insight, 2013)</w:t>
          </w:r>
          <w:r w:rsidR="00123107" w:rsidRPr="00FC2851">
            <w:rPr>
              <w:rFonts w:asciiTheme="minorHAnsi" w:hAnsiTheme="minorHAnsi" w:cstheme="minorHAnsi"/>
              <w:color w:val="000000" w:themeColor="text1"/>
              <w:sz w:val="22"/>
              <w:szCs w:val="22"/>
            </w:rPr>
            <w:fldChar w:fldCharType="end"/>
          </w:r>
        </w:sdtContent>
      </w:sdt>
      <w:r w:rsidR="00123107" w:rsidRPr="00FC2851">
        <w:rPr>
          <w:rFonts w:asciiTheme="minorHAnsi" w:hAnsiTheme="minorHAnsi" w:cstheme="minorHAnsi"/>
          <w:color w:val="000000" w:themeColor="text1"/>
          <w:sz w:val="22"/>
          <w:szCs w:val="22"/>
        </w:rPr>
        <w:t xml:space="preserve">. </w:t>
      </w:r>
      <w:r w:rsidR="00650A7D" w:rsidRPr="00FC2851">
        <w:rPr>
          <w:rFonts w:asciiTheme="minorHAnsi" w:hAnsiTheme="minorHAnsi" w:cstheme="minorHAnsi"/>
          <w:color w:val="000000" w:themeColor="text1"/>
          <w:sz w:val="22"/>
          <w:szCs w:val="22"/>
        </w:rPr>
        <w:t>HR can support with both quant</w:t>
      </w:r>
      <w:r w:rsidR="00BD3711">
        <w:rPr>
          <w:rFonts w:asciiTheme="minorHAnsi" w:hAnsiTheme="minorHAnsi" w:cstheme="minorHAnsi"/>
          <w:color w:val="000000" w:themeColor="text1"/>
          <w:sz w:val="22"/>
          <w:szCs w:val="22"/>
        </w:rPr>
        <w:t>it</w:t>
      </w:r>
      <w:r w:rsidR="00650A7D" w:rsidRPr="00FC2851">
        <w:rPr>
          <w:rFonts w:asciiTheme="minorHAnsi" w:hAnsiTheme="minorHAnsi" w:cstheme="minorHAnsi"/>
          <w:color w:val="000000" w:themeColor="text1"/>
          <w:sz w:val="22"/>
          <w:szCs w:val="22"/>
        </w:rPr>
        <w:t xml:space="preserve">ative and qualitative data to understand the people impact of the change through Employee engagement surveys which can help to support future decisions. Combining performance or productivity data can also determine the success or failure of reward structures and allow them to be changed to support the initial goals </w:t>
      </w:r>
      <w:sdt>
        <w:sdtPr>
          <w:rPr>
            <w:rFonts w:asciiTheme="minorHAnsi" w:hAnsiTheme="minorHAnsi" w:cstheme="minorHAnsi"/>
            <w:color w:val="000000" w:themeColor="text1"/>
            <w:sz w:val="22"/>
            <w:szCs w:val="22"/>
          </w:rPr>
          <w:id w:val="-715816423"/>
          <w:citation/>
        </w:sdtPr>
        <w:sdtContent>
          <w:r w:rsidR="00650A7D" w:rsidRPr="00FC2851">
            <w:rPr>
              <w:rFonts w:asciiTheme="minorHAnsi" w:hAnsiTheme="minorHAnsi" w:cstheme="minorHAnsi"/>
              <w:color w:val="000000" w:themeColor="text1"/>
              <w:sz w:val="22"/>
              <w:szCs w:val="22"/>
            </w:rPr>
            <w:fldChar w:fldCharType="begin"/>
          </w:r>
          <w:r w:rsidR="00650A7D" w:rsidRPr="00FC2851">
            <w:rPr>
              <w:rFonts w:asciiTheme="minorHAnsi" w:hAnsiTheme="minorHAnsi" w:cstheme="minorHAnsi"/>
              <w:color w:val="000000" w:themeColor="text1"/>
              <w:sz w:val="22"/>
              <w:szCs w:val="22"/>
            </w:rPr>
            <w:instrText xml:space="preserve"> CITATION CIP171 \l 2057 </w:instrText>
          </w:r>
          <w:r w:rsidR="00650A7D" w:rsidRPr="00FC2851">
            <w:rPr>
              <w:rFonts w:asciiTheme="minorHAnsi" w:hAnsiTheme="minorHAnsi" w:cstheme="minorHAnsi"/>
              <w:color w:val="000000" w:themeColor="text1"/>
              <w:sz w:val="22"/>
              <w:szCs w:val="22"/>
            </w:rPr>
            <w:fldChar w:fldCharType="separate"/>
          </w:r>
          <w:r w:rsidR="00650A7D" w:rsidRPr="00FC2851">
            <w:rPr>
              <w:rFonts w:asciiTheme="minorHAnsi" w:hAnsiTheme="minorHAnsi" w:cstheme="minorHAnsi"/>
              <w:noProof/>
              <w:color w:val="000000" w:themeColor="text1"/>
              <w:sz w:val="22"/>
              <w:szCs w:val="22"/>
            </w:rPr>
            <w:t>(CIPD, 2017)</w:t>
          </w:r>
          <w:r w:rsidR="00650A7D" w:rsidRPr="00FC2851">
            <w:rPr>
              <w:rFonts w:asciiTheme="minorHAnsi" w:hAnsiTheme="minorHAnsi" w:cstheme="minorHAnsi"/>
              <w:color w:val="000000" w:themeColor="text1"/>
              <w:sz w:val="22"/>
              <w:szCs w:val="22"/>
            </w:rPr>
            <w:fldChar w:fldCharType="end"/>
          </w:r>
        </w:sdtContent>
      </w:sdt>
      <w:r w:rsidR="00650A7D" w:rsidRPr="00FC2851">
        <w:rPr>
          <w:rFonts w:asciiTheme="minorHAnsi" w:hAnsiTheme="minorHAnsi" w:cstheme="minorHAnsi"/>
          <w:color w:val="000000" w:themeColor="text1"/>
          <w:sz w:val="22"/>
          <w:szCs w:val="22"/>
        </w:rPr>
        <w:t>.</w:t>
      </w:r>
    </w:p>
    <w:p w14:paraId="48922DDF" w14:textId="7B9AA6C7" w:rsidR="005244B2" w:rsidRPr="00FC2851" w:rsidRDefault="005244B2" w:rsidP="005244B2">
      <w:r w:rsidRPr="00FC2851">
        <w:t xml:space="preserve">Most businesses can be split into three </w:t>
      </w:r>
      <w:r w:rsidR="002C42A6" w:rsidRPr="00FC2851">
        <w:t>categories</w:t>
      </w:r>
      <w:r w:rsidRPr="00FC2851">
        <w:t xml:space="preserve"> private sector, public sector and the third sector and all have different stakeholders to whom they are accountable</w:t>
      </w:r>
    </w:p>
    <w:p w14:paraId="250121D1" w14:textId="77969EF2" w:rsidR="005244B2" w:rsidRPr="00FC2851" w:rsidRDefault="005244B2" w:rsidP="005244B2">
      <w:r w:rsidRPr="00FC2851">
        <w:t>Private sector – the key element is they compete in an open market and are answerable to shareholders. They are also accountable to employees, suppliers, consumers and the local communities they exist in due to state governance. In more recent times public opinion has become a bigger factor with the introduction of social media and lobbying groups and needs to be taken into consideration when making decisions</w:t>
      </w:r>
      <w:r w:rsidR="00BD3711">
        <w:t xml:space="preserve"> </w:t>
      </w:r>
      <w:sdt>
        <w:sdtPr>
          <w:id w:val="1547021934"/>
          <w:citation/>
        </w:sdtPr>
        <w:sdtContent>
          <w:r w:rsidR="00BD3711">
            <w:fldChar w:fldCharType="begin"/>
          </w:r>
          <w:r w:rsidR="00BD3711">
            <w:instrText xml:space="preserve"> CITATION Far16 \l 2057 </w:instrText>
          </w:r>
          <w:r w:rsidR="00BD3711">
            <w:fldChar w:fldCharType="separate"/>
          </w:r>
          <w:r w:rsidR="00BD3711">
            <w:rPr>
              <w:noProof/>
            </w:rPr>
            <w:t>(Farnham, 2016)</w:t>
          </w:r>
          <w:r w:rsidR="00BD3711">
            <w:fldChar w:fldCharType="end"/>
          </w:r>
        </w:sdtContent>
      </w:sdt>
      <w:r w:rsidRPr="00FC2851">
        <w:t>.</w:t>
      </w:r>
    </w:p>
    <w:p w14:paraId="7F72A928" w14:textId="2B29A5A5" w:rsidR="005244B2" w:rsidRPr="00FC2851" w:rsidRDefault="005244B2" w:rsidP="005244B2">
      <w:r w:rsidRPr="00FC2851">
        <w:t>Public sector – these are organisations created by the state and are accountable to the governing bodies they belong to but ultimately the public as this is where funding come from. Public sector accountability can be broadly divided into ‘legal, political, customer and professional’</w:t>
      </w:r>
      <w:sdt>
        <w:sdtPr>
          <w:id w:val="-25944052"/>
          <w:citation/>
        </w:sdtPr>
        <w:sdtContent>
          <w:r w:rsidRPr="00FC2851">
            <w:fldChar w:fldCharType="begin"/>
          </w:r>
          <w:r w:rsidRPr="00FC2851">
            <w:instrText xml:space="preserve"> CITATION Ros99 \l 2057 </w:instrText>
          </w:r>
          <w:r w:rsidRPr="00FC2851">
            <w:fldChar w:fldCharType="separate"/>
          </w:r>
          <w:r w:rsidRPr="00FC2851">
            <w:rPr>
              <w:noProof/>
            </w:rPr>
            <w:t xml:space="preserve"> (Rose &amp; Lawton , 1999)</w:t>
          </w:r>
          <w:r w:rsidRPr="00FC2851">
            <w:fldChar w:fldCharType="end"/>
          </w:r>
        </w:sdtContent>
      </w:sdt>
      <w:r w:rsidRPr="00FC2851">
        <w:t xml:space="preserve"> with all public officials accountable to a political person and only able to act in what the law specifically states known as ultra vires </w:t>
      </w:r>
      <w:sdt>
        <w:sdtPr>
          <w:id w:val="-1633855279"/>
          <w:citation/>
        </w:sdtPr>
        <w:sdtContent>
          <w:r w:rsidRPr="00FC2851">
            <w:fldChar w:fldCharType="begin"/>
          </w:r>
          <w:r w:rsidRPr="00FC2851">
            <w:instrText xml:space="preserve"> CITATION Far16 \l 2057 </w:instrText>
          </w:r>
          <w:r w:rsidRPr="00FC2851">
            <w:fldChar w:fldCharType="separate"/>
          </w:r>
          <w:r w:rsidRPr="00FC2851">
            <w:rPr>
              <w:noProof/>
            </w:rPr>
            <w:t>(Farnham, 2016)</w:t>
          </w:r>
          <w:r w:rsidRPr="00FC2851">
            <w:fldChar w:fldCharType="end"/>
          </w:r>
        </w:sdtContent>
      </w:sdt>
    </w:p>
    <w:p w14:paraId="14EE1EAC" w14:textId="6AC9363D" w:rsidR="005244B2" w:rsidRPr="00FC2851" w:rsidRDefault="005244B2" w:rsidP="005244B2">
      <w:pPr>
        <w:rPr>
          <w:rFonts w:eastAsia="Times New Roman" w:cs="Times New Roman"/>
          <w:lang w:eastAsia="en-GB"/>
        </w:rPr>
      </w:pPr>
      <w:r w:rsidRPr="00FC2851">
        <w:t>Third Sector – predominantly charity and voluntary organisations or community bodies and came together in 2005 to produce the charity governance code which sets out principles that should be adhered to including</w:t>
      </w:r>
      <w:r w:rsidRPr="00FC2851">
        <w:rPr>
          <w:rFonts w:eastAsia="Times New Roman" w:cs="Times New Roman"/>
          <w:lang w:eastAsia="en-GB"/>
        </w:rPr>
        <w:fldChar w:fldCharType="begin"/>
      </w:r>
      <w:r w:rsidRPr="00FC2851">
        <w:rPr>
          <w:rFonts w:eastAsia="Times New Roman" w:cs="Times New Roman"/>
          <w:lang w:eastAsia="en-GB"/>
        </w:rPr>
        <w:instrText xml:space="preserve"> HYPERLINK "https://www.charitygovernancecode.org/1-organisational-purpose" </w:instrText>
      </w:r>
      <w:r w:rsidRPr="00FC2851">
        <w:rPr>
          <w:rFonts w:eastAsia="Times New Roman" w:cs="Times New Roman"/>
          <w:lang w:eastAsia="en-GB"/>
        </w:rPr>
        <w:fldChar w:fldCharType="separate"/>
      </w:r>
    </w:p>
    <w:p w14:paraId="61DB8EB4" w14:textId="5847607C" w:rsidR="005244B2" w:rsidRPr="00FC2851" w:rsidRDefault="005244B2" w:rsidP="005244B2">
      <w:pPr>
        <w:pStyle w:val="ListParagraph"/>
        <w:numPr>
          <w:ilvl w:val="0"/>
          <w:numId w:val="7"/>
        </w:numPr>
        <w:spacing w:after="0" w:line="240" w:lineRule="auto"/>
        <w:outlineLvl w:val="2"/>
        <w:rPr>
          <w:rFonts w:eastAsia="Times New Roman" w:cs="Times New Roman"/>
          <w:lang w:eastAsia="en-GB"/>
        </w:rPr>
      </w:pPr>
      <w:r w:rsidRPr="00FC2851">
        <w:rPr>
          <w:rFonts w:eastAsia="Times New Roman" w:cs="Times New Roman"/>
          <w:spacing w:val="-4"/>
          <w:lang w:eastAsia="en-GB"/>
        </w:rPr>
        <w:t>Organisational purpose</w:t>
      </w:r>
      <w:r w:rsidRPr="00FC2851">
        <w:rPr>
          <w:rFonts w:eastAsia="Times New Roman" w:cs="Times New Roman"/>
          <w:lang w:eastAsia="en-GB"/>
        </w:rPr>
        <w:fldChar w:fldCharType="end"/>
      </w:r>
      <w:r w:rsidRPr="00FC2851">
        <w:rPr>
          <w:rFonts w:eastAsia="Times New Roman" w:cs="Times New Roman"/>
          <w:lang w:eastAsia="en-GB"/>
        </w:rPr>
        <w:fldChar w:fldCharType="begin"/>
      </w:r>
      <w:r w:rsidRPr="00FC2851">
        <w:rPr>
          <w:rFonts w:eastAsia="Times New Roman" w:cs="Times New Roman"/>
          <w:lang w:eastAsia="en-GB"/>
        </w:rPr>
        <w:instrText xml:space="preserve"> HYPERLINK "https://www.charitygovernancecode.org/2-leadership" </w:instrText>
      </w:r>
      <w:r w:rsidRPr="00FC2851">
        <w:rPr>
          <w:rFonts w:eastAsia="Times New Roman" w:cs="Times New Roman"/>
          <w:lang w:eastAsia="en-GB"/>
        </w:rPr>
        <w:fldChar w:fldCharType="separate"/>
      </w:r>
    </w:p>
    <w:p w14:paraId="6C5F2566" w14:textId="4119DF10" w:rsidR="005244B2" w:rsidRPr="00FC2851" w:rsidRDefault="005244B2" w:rsidP="005244B2">
      <w:pPr>
        <w:pStyle w:val="ListParagraph"/>
        <w:numPr>
          <w:ilvl w:val="0"/>
          <w:numId w:val="7"/>
        </w:numPr>
        <w:spacing w:after="0" w:line="240" w:lineRule="auto"/>
        <w:outlineLvl w:val="2"/>
        <w:rPr>
          <w:rFonts w:eastAsia="Times New Roman" w:cs="Times New Roman"/>
          <w:lang w:eastAsia="en-GB"/>
        </w:rPr>
      </w:pPr>
      <w:r w:rsidRPr="00FC2851">
        <w:rPr>
          <w:rFonts w:eastAsia="Times New Roman" w:cs="Times New Roman"/>
          <w:spacing w:val="-4"/>
          <w:lang w:eastAsia="en-GB"/>
        </w:rPr>
        <w:t>Leadership</w:t>
      </w:r>
      <w:r w:rsidRPr="00FC2851">
        <w:rPr>
          <w:rFonts w:eastAsia="Times New Roman" w:cs="Times New Roman"/>
          <w:lang w:eastAsia="en-GB"/>
        </w:rPr>
        <w:fldChar w:fldCharType="end"/>
      </w:r>
      <w:r w:rsidRPr="00FC2851">
        <w:rPr>
          <w:rFonts w:eastAsia="Times New Roman" w:cs="Times New Roman"/>
          <w:lang w:eastAsia="en-GB"/>
        </w:rPr>
        <w:fldChar w:fldCharType="begin"/>
      </w:r>
      <w:r w:rsidRPr="00FC2851">
        <w:rPr>
          <w:rFonts w:eastAsia="Times New Roman" w:cs="Times New Roman"/>
          <w:lang w:eastAsia="en-GB"/>
        </w:rPr>
        <w:instrText xml:space="preserve"> HYPERLINK "https://www.charitygovernancecode.org/3-integrity" </w:instrText>
      </w:r>
      <w:r w:rsidRPr="00FC2851">
        <w:rPr>
          <w:rFonts w:eastAsia="Times New Roman" w:cs="Times New Roman"/>
          <w:lang w:eastAsia="en-GB"/>
        </w:rPr>
        <w:fldChar w:fldCharType="separate"/>
      </w:r>
    </w:p>
    <w:p w14:paraId="5D4172B2" w14:textId="3CF6F023" w:rsidR="005244B2" w:rsidRPr="00FC2851" w:rsidRDefault="005244B2" w:rsidP="005244B2">
      <w:pPr>
        <w:pStyle w:val="ListParagraph"/>
        <w:numPr>
          <w:ilvl w:val="0"/>
          <w:numId w:val="7"/>
        </w:numPr>
        <w:spacing w:after="0" w:line="240" w:lineRule="auto"/>
        <w:outlineLvl w:val="2"/>
        <w:rPr>
          <w:rFonts w:eastAsia="Times New Roman" w:cs="Times New Roman"/>
          <w:lang w:eastAsia="en-GB"/>
        </w:rPr>
      </w:pPr>
      <w:r w:rsidRPr="00FC2851">
        <w:rPr>
          <w:rFonts w:eastAsia="Times New Roman" w:cs="Times New Roman"/>
          <w:spacing w:val="-4"/>
          <w:lang w:eastAsia="en-GB"/>
        </w:rPr>
        <w:t>Integrity</w:t>
      </w:r>
      <w:r w:rsidRPr="00FC2851">
        <w:rPr>
          <w:rFonts w:eastAsia="Times New Roman" w:cs="Times New Roman"/>
          <w:lang w:eastAsia="en-GB"/>
        </w:rPr>
        <w:fldChar w:fldCharType="end"/>
      </w:r>
      <w:r w:rsidRPr="00FC2851">
        <w:rPr>
          <w:rFonts w:eastAsia="Times New Roman" w:cs="Times New Roman"/>
          <w:lang w:eastAsia="en-GB"/>
        </w:rPr>
        <w:fldChar w:fldCharType="begin"/>
      </w:r>
      <w:r w:rsidRPr="00FC2851">
        <w:rPr>
          <w:rFonts w:eastAsia="Times New Roman" w:cs="Times New Roman"/>
          <w:lang w:eastAsia="en-GB"/>
        </w:rPr>
        <w:instrText xml:space="preserve"> HYPERLINK "https://www.charitygovernancecode.org/4-decision-making" </w:instrText>
      </w:r>
      <w:r w:rsidRPr="00FC2851">
        <w:rPr>
          <w:rFonts w:eastAsia="Times New Roman" w:cs="Times New Roman"/>
          <w:lang w:eastAsia="en-GB"/>
        </w:rPr>
        <w:fldChar w:fldCharType="separate"/>
      </w:r>
    </w:p>
    <w:p w14:paraId="7F769F8E" w14:textId="58B7283F" w:rsidR="005244B2" w:rsidRPr="00FC2851" w:rsidRDefault="005244B2" w:rsidP="005244B2">
      <w:pPr>
        <w:pStyle w:val="ListParagraph"/>
        <w:numPr>
          <w:ilvl w:val="0"/>
          <w:numId w:val="7"/>
        </w:numPr>
        <w:spacing w:after="0" w:line="240" w:lineRule="auto"/>
        <w:outlineLvl w:val="2"/>
        <w:rPr>
          <w:rFonts w:eastAsia="Times New Roman" w:cs="Times New Roman"/>
          <w:lang w:eastAsia="en-GB"/>
        </w:rPr>
      </w:pPr>
      <w:r w:rsidRPr="00FC2851">
        <w:rPr>
          <w:rFonts w:eastAsia="Times New Roman" w:cs="Times New Roman"/>
          <w:spacing w:val="-4"/>
          <w:lang w:eastAsia="en-GB"/>
        </w:rPr>
        <w:t>Decision-making, risk and control</w:t>
      </w:r>
      <w:r w:rsidRPr="00FC2851">
        <w:rPr>
          <w:rFonts w:eastAsia="Times New Roman" w:cs="Times New Roman"/>
          <w:lang w:eastAsia="en-GB"/>
        </w:rPr>
        <w:fldChar w:fldCharType="end"/>
      </w:r>
      <w:r w:rsidRPr="00FC2851">
        <w:rPr>
          <w:rFonts w:eastAsia="Times New Roman" w:cs="Times New Roman"/>
          <w:lang w:eastAsia="en-GB"/>
        </w:rPr>
        <w:fldChar w:fldCharType="begin"/>
      </w:r>
      <w:r w:rsidRPr="00FC2851">
        <w:rPr>
          <w:rFonts w:eastAsia="Times New Roman" w:cs="Times New Roman"/>
          <w:lang w:eastAsia="en-GB"/>
        </w:rPr>
        <w:instrText xml:space="preserve"> HYPERLINK "https://www.charitygovernancecode.org/5-board-effectiveness" </w:instrText>
      </w:r>
      <w:r w:rsidRPr="00FC2851">
        <w:rPr>
          <w:rFonts w:eastAsia="Times New Roman" w:cs="Times New Roman"/>
          <w:lang w:eastAsia="en-GB"/>
        </w:rPr>
        <w:fldChar w:fldCharType="separate"/>
      </w:r>
    </w:p>
    <w:p w14:paraId="793A14C3" w14:textId="2D280F73" w:rsidR="005244B2" w:rsidRPr="00FC2851" w:rsidRDefault="005244B2" w:rsidP="005244B2">
      <w:pPr>
        <w:pStyle w:val="ListParagraph"/>
        <w:numPr>
          <w:ilvl w:val="0"/>
          <w:numId w:val="7"/>
        </w:numPr>
        <w:spacing w:after="0" w:line="240" w:lineRule="auto"/>
        <w:outlineLvl w:val="2"/>
        <w:rPr>
          <w:rFonts w:eastAsia="Times New Roman" w:cs="Times New Roman"/>
          <w:lang w:eastAsia="en-GB"/>
        </w:rPr>
      </w:pPr>
      <w:r w:rsidRPr="00FC2851">
        <w:rPr>
          <w:rFonts w:eastAsia="Times New Roman" w:cs="Times New Roman"/>
          <w:spacing w:val="-4"/>
          <w:lang w:eastAsia="en-GB"/>
        </w:rPr>
        <w:t>Board effectiveness</w:t>
      </w:r>
      <w:r w:rsidRPr="00FC2851">
        <w:rPr>
          <w:rFonts w:eastAsia="Times New Roman" w:cs="Times New Roman"/>
          <w:lang w:eastAsia="en-GB"/>
        </w:rPr>
        <w:fldChar w:fldCharType="end"/>
      </w:r>
      <w:r w:rsidRPr="00FC2851">
        <w:rPr>
          <w:rFonts w:eastAsia="Times New Roman" w:cs="Times New Roman"/>
          <w:lang w:eastAsia="en-GB"/>
        </w:rPr>
        <w:fldChar w:fldCharType="begin"/>
      </w:r>
      <w:r w:rsidRPr="00FC2851">
        <w:rPr>
          <w:rFonts w:eastAsia="Times New Roman" w:cs="Times New Roman"/>
          <w:lang w:eastAsia="en-GB"/>
        </w:rPr>
        <w:instrText xml:space="preserve"> HYPERLINK "https://www.charitygovernancecode.org/6-diversity" </w:instrText>
      </w:r>
      <w:r w:rsidRPr="00FC2851">
        <w:rPr>
          <w:rFonts w:eastAsia="Times New Roman" w:cs="Times New Roman"/>
          <w:lang w:eastAsia="en-GB"/>
        </w:rPr>
        <w:fldChar w:fldCharType="separate"/>
      </w:r>
    </w:p>
    <w:p w14:paraId="5721F2B0" w14:textId="16EF5679" w:rsidR="005244B2" w:rsidRPr="00FC2851" w:rsidRDefault="005244B2" w:rsidP="005244B2">
      <w:pPr>
        <w:pStyle w:val="ListParagraph"/>
        <w:numPr>
          <w:ilvl w:val="0"/>
          <w:numId w:val="7"/>
        </w:numPr>
        <w:spacing w:after="0" w:line="240" w:lineRule="auto"/>
        <w:outlineLvl w:val="2"/>
        <w:rPr>
          <w:rFonts w:eastAsia="Times New Roman" w:cs="Times New Roman"/>
          <w:lang w:eastAsia="en-GB"/>
        </w:rPr>
      </w:pPr>
      <w:r w:rsidRPr="00FC2851">
        <w:rPr>
          <w:rFonts w:eastAsia="Times New Roman" w:cs="Times New Roman"/>
          <w:spacing w:val="-4"/>
          <w:lang w:eastAsia="en-GB"/>
        </w:rPr>
        <w:t>Diversity</w:t>
      </w:r>
      <w:r w:rsidRPr="00FC2851">
        <w:rPr>
          <w:rFonts w:eastAsia="Times New Roman" w:cs="Times New Roman"/>
          <w:lang w:eastAsia="en-GB"/>
        </w:rPr>
        <w:fldChar w:fldCharType="end"/>
      </w:r>
      <w:r w:rsidRPr="00FC2851">
        <w:rPr>
          <w:rFonts w:eastAsia="Times New Roman" w:cs="Times New Roman"/>
          <w:lang w:eastAsia="en-GB"/>
        </w:rPr>
        <w:fldChar w:fldCharType="begin"/>
      </w:r>
      <w:r w:rsidRPr="00FC2851">
        <w:rPr>
          <w:rFonts w:eastAsia="Times New Roman" w:cs="Times New Roman"/>
          <w:lang w:eastAsia="en-GB"/>
        </w:rPr>
        <w:instrText xml:space="preserve"> HYPERLINK "https://www.charitygovernancecode.org/7-openness-and-accountability" </w:instrText>
      </w:r>
      <w:r w:rsidRPr="00FC2851">
        <w:rPr>
          <w:rFonts w:eastAsia="Times New Roman" w:cs="Times New Roman"/>
          <w:lang w:eastAsia="en-GB"/>
        </w:rPr>
        <w:fldChar w:fldCharType="separate"/>
      </w:r>
    </w:p>
    <w:p w14:paraId="4C681CA8" w14:textId="61B28B38" w:rsidR="005244B2" w:rsidRPr="00FC2851" w:rsidRDefault="005244B2" w:rsidP="005244B2">
      <w:pPr>
        <w:pStyle w:val="ListParagraph"/>
        <w:numPr>
          <w:ilvl w:val="0"/>
          <w:numId w:val="7"/>
        </w:numPr>
        <w:spacing w:after="0" w:line="240" w:lineRule="auto"/>
        <w:outlineLvl w:val="2"/>
        <w:rPr>
          <w:rFonts w:eastAsia="Times New Roman" w:cs="Times New Roman"/>
          <w:spacing w:val="-4"/>
          <w:lang w:eastAsia="en-GB"/>
        </w:rPr>
      </w:pPr>
      <w:r w:rsidRPr="00FC2851">
        <w:rPr>
          <w:rFonts w:eastAsia="Times New Roman" w:cs="Times New Roman"/>
          <w:spacing w:val="-4"/>
          <w:lang w:eastAsia="en-GB"/>
        </w:rPr>
        <w:t>Openness and accountability</w:t>
      </w:r>
    </w:p>
    <w:p w14:paraId="5E5A4381" w14:textId="6CE1261F" w:rsidR="005244B2" w:rsidRPr="00FC2851" w:rsidRDefault="005244B2" w:rsidP="005244B2">
      <w:pPr>
        <w:spacing w:after="0" w:line="240" w:lineRule="auto"/>
        <w:rPr>
          <w:rFonts w:eastAsia="Times New Roman" w:cs="Times New Roman"/>
          <w:color w:val="222527"/>
          <w:lang w:eastAsia="en-GB"/>
        </w:rPr>
      </w:pPr>
      <w:r w:rsidRPr="00FC2851">
        <w:rPr>
          <w:rFonts w:eastAsia="Times New Roman" w:cs="Times New Roman"/>
          <w:lang w:eastAsia="en-GB"/>
        </w:rPr>
        <w:fldChar w:fldCharType="end"/>
      </w:r>
      <w:sdt>
        <w:sdtPr>
          <w:rPr>
            <w:rFonts w:eastAsia="Times New Roman" w:cs="Times New Roman"/>
            <w:lang w:eastAsia="en-GB"/>
          </w:rPr>
          <w:id w:val="-378943532"/>
          <w:citation/>
        </w:sdtPr>
        <w:sdtContent>
          <w:r w:rsidRPr="00FC2851">
            <w:rPr>
              <w:rFonts w:eastAsia="Times New Roman" w:cs="Times New Roman"/>
              <w:lang w:eastAsia="en-GB"/>
            </w:rPr>
            <w:fldChar w:fldCharType="begin"/>
          </w:r>
          <w:r w:rsidRPr="00FC2851">
            <w:rPr>
              <w:rFonts w:eastAsia="Times New Roman" w:cs="Times New Roman"/>
              <w:lang w:eastAsia="en-GB"/>
            </w:rPr>
            <w:instrText xml:space="preserve"> CITATION Cha17 \l 2057 </w:instrText>
          </w:r>
          <w:r w:rsidRPr="00FC2851">
            <w:rPr>
              <w:rFonts w:eastAsia="Times New Roman" w:cs="Times New Roman"/>
              <w:lang w:eastAsia="en-GB"/>
            </w:rPr>
            <w:fldChar w:fldCharType="separate"/>
          </w:r>
          <w:r w:rsidRPr="00FC2851">
            <w:rPr>
              <w:rFonts w:eastAsia="Times New Roman" w:cs="Times New Roman"/>
              <w:noProof/>
              <w:lang w:eastAsia="en-GB"/>
            </w:rPr>
            <w:t xml:space="preserve"> (Charity Governace Code, 2017)</w:t>
          </w:r>
          <w:r w:rsidRPr="00FC2851">
            <w:rPr>
              <w:rFonts w:eastAsia="Times New Roman" w:cs="Times New Roman"/>
              <w:lang w:eastAsia="en-GB"/>
            </w:rPr>
            <w:fldChar w:fldCharType="end"/>
          </w:r>
        </w:sdtContent>
      </w:sdt>
    </w:p>
    <w:bookmarkEnd w:id="2"/>
    <w:p w14:paraId="42CD6C6D" w14:textId="14806A7A" w:rsidR="005244B2" w:rsidRPr="00FC2851" w:rsidRDefault="005244B2" w:rsidP="005244B2"/>
    <w:p w14:paraId="1FCDCDF6" w14:textId="77777777" w:rsidR="00C61B50" w:rsidRDefault="00C61B50" w:rsidP="005244B2">
      <w:pPr>
        <w:rPr>
          <w:b/>
          <w:color w:val="00B0F0"/>
          <w:u w:val="single"/>
        </w:rPr>
      </w:pPr>
    </w:p>
    <w:p w14:paraId="3720CB3D" w14:textId="77777777" w:rsidR="00C61B50" w:rsidRDefault="00C61B50" w:rsidP="005244B2">
      <w:pPr>
        <w:rPr>
          <w:b/>
          <w:color w:val="00B0F0"/>
          <w:u w:val="single"/>
        </w:rPr>
      </w:pPr>
    </w:p>
    <w:p w14:paraId="1D817D80" w14:textId="0F5B3D73" w:rsidR="005244B2" w:rsidRDefault="005244B2" w:rsidP="005244B2">
      <w:pPr>
        <w:rPr>
          <w:b/>
          <w:color w:val="00B0F0"/>
          <w:u w:val="single"/>
        </w:rPr>
      </w:pPr>
      <w:r w:rsidRPr="005244B2">
        <w:rPr>
          <w:b/>
          <w:color w:val="00B0F0"/>
          <w:u w:val="single"/>
        </w:rPr>
        <w:lastRenderedPageBreak/>
        <w:t>Analysis Models</w:t>
      </w:r>
    </w:p>
    <w:p w14:paraId="19E5145C" w14:textId="13DBE2EB" w:rsidR="005244B2" w:rsidRPr="005244B2" w:rsidRDefault="005244B2" w:rsidP="005244B2">
      <w:r>
        <w:t>Three tools used to analyse business environment to shape strategies are shown in the diagram below fig 2</w:t>
      </w:r>
    </w:p>
    <w:p w14:paraId="21033BF6" w14:textId="77D145BD" w:rsidR="005244B2" w:rsidRDefault="005244B2" w:rsidP="005244B2">
      <w:r>
        <w:rPr>
          <w:noProof/>
        </w:rPr>
        <w:drawing>
          <wp:inline distT="0" distB="0" distL="0" distR="0" wp14:anchorId="67D504FA" wp14:editId="3F37D9E9">
            <wp:extent cx="6604483" cy="4136497"/>
            <wp:effectExtent l="0" t="0" r="6350" b="0"/>
            <wp:docPr id="358394303" name="Picture 358394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6604483" cy="4136497"/>
                    </a:xfrm>
                    <a:prstGeom prst="rect">
                      <a:avLst/>
                    </a:prstGeom>
                  </pic:spPr>
                </pic:pic>
              </a:graphicData>
            </a:graphic>
          </wp:inline>
        </w:drawing>
      </w:r>
    </w:p>
    <w:p w14:paraId="326D4BA9" w14:textId="2CC7DD63" w:rsidR="005244B2" w:rsidRDefault="005244B2" w:rsidP="005244B2">
      <w:r>
        <w:t>Fig 2 three models of business analysis tools</w:t>
      </w:r>
      <w:sdt>
        <w:sdtPr>
          <w:id w:val="501242745"/>
          <w:citation/>
        </w:sdtPr>
        <w:sdtContent>
          <w:r>
            <w:fldChar w:fldCharType="begin"/>
          </w:r>
          <w:r>
            <w:instrText xml:space="preserve"> CITATION Min19 \l 2057 </w:instrText>
          </w:r>
          <w:r>
            <w:fldChar w:fldCharType="separate"/>
          </w:r>
          <w:r>
            <w:rPr>
              <w:noProof/>
            </w:rPr>
            <w:t xml:space="preserve"> (Mindtools team, 2019)</w:t>
          </w:r>
          <w:r>
            <w:fldChar w:fldCharType="end"/>
          </w:r>
        </w:sdtContent>
      </w:sdt>
      <w:sdt>
        <w:sdtPr>
          <w:id w:val="761261110"/>
          <w:citation/>
        </w:sdtPr>
        <w:sdtContent>
          <w:r>
            <w:fldChar w:fldCharType="begin"/>
          </w:r>
          <w:r>
            <w:instrText xml:space="preserve"> CITATION Spa18 \l 2057 </w:instrText>
          </w:r>
          <w:r>
            <w:fldChar w:fldCharType="separate"/>
          </w:r>
          <w:r>
            <w:rPr>
              <w:noProof/>
            </w:rPr>
            <w:t xml:space="preserve"> (Spark rail, 2018)</w:t>
          </w:r>
          <w:r>
            <w:fldChar w:fldCharType="end"/>
          </w:r>
        </w:sdtContent>
      </w:sdt>
      <w:sdt>
        <w:sdtPr>
          <w:id w:val="1103688018"/>
          <w:citation/>
        </w:sdtPr>
        <w:sdtContent>
          <w:r>
            <w:fldChar w:fldCharType="begin"/>
          </w:r>
          <w:r>
            <w:instrText xml:space="preserve"> CITATION Hea17 \l 2057 </w:instrText>
          </w:r>
          <w:r>
            <w:fldChar w:fldCharType="separate"/>
          </w:r>
          <w:r>
            <w:rPr>
              <w:noProof/>
            </w:rPr>
            <w:t xml:space="preserve"> (Healthcare success, 2017)</w:t>
          </w:r>
          <w:r>
            <w:fldChar w:fldCharType="end"/>
          </w:r>
        </w:sdtContent>
      </w:sdt>
    </w:p>
    <w:p w14:paraId="0A84DEBB" w14:textId="1EFFA3AC" w:rsidR="005244B2" w:rsidRPr="00BA5A97" w:rsidRDefault="00C61B50" w:rsidP="005244B2">
      <w:pPr>
        <w:rPr>
          <w:i/>
        </w:rPr>
      </w:pPr>
      <w:r w:rsidRPr="00BA5A97">
        <w:rPr>
          <w:i/>
        </w:rPr>
        <w:t>Pestle Analysis</w:t>
      </w:r>
    </w:p>
    <w:p w14:paraId="4C0A1FA9" w14:textId="0683216E" w:rsidR="00C61B50" w:rsidRDefault="00C61B50" w:rsidP="005244B2">
      <w:r>
        <w:t>This allows an organisation to look at what external factors may impact on their business and build strategies to support growth and maintain a competitive edge. It can be used for Strategic planning, workforce planning, marketing planning and or</w:t>
      </w:r>
      <w:r w:rsidR="00BA5A97">
        <w:t xml:space="preserve">ganisational change </w:t>
      </w:r>
      <w:sdt>
        <w:sdtPr>
          <w:id w:val="1355454654"/>
          <w:citation/>
        </w:sdtPr>
        <w:sdtContent>
          <w:r w:rsidR="00BA5A97">
            <w:fldChar w:fldCharType="begin"/>
          </w:r>
          <w:r w:rsidR="00BA5A97">
            <w:instrText xml:space="preserve"> CITATION CIP181 \l 2057 </w:instrText>
          </w:r>
          <w:r w:rsidR="00BA5A97">
            <w:fldChar w:fldCharType="separate"/>
          </w:r>
          <w:r w:rsidR="00BA5A97">
            <w:rPr>
              <w:noProof/>
            </w:rPr>
            <w:t>(CIPD, 2018)</w:t>
          </w:r>
          <w:r w:rsidR="00BA5A97">
            <w:fldChar w:fldCharType="end"/>
          </w:r>
        </w:sdtContent>
      </w:sdt>
      <w:r w:rsidR="00BA5A97">
        <w:t>.</w:t>
      </w:r>
    </w:p>
    <w:p w14:paraId="403B980A" w14:textId="12ADE4FF" w:rsidR="00BA5A97" w:rsidRPr="00BA5A97" w:rsidRDefault="00BA5A97" w:rsidP="005244B2">
      <w:pPr>
        <w:rPr>
          <w:i/>
        </w:rPr>
      </w:pPr>
      <w:r w:rsidRPr="00BA5A97">
        <w:rPr>
          <w:i/>
        </w:rPr>
        <w:t>SWOT Analysis</w:t>
      </w:r>
    </w:p>
    <w:p w14:paraId="3436CE26" w14:textId="0785859B" w:rsidR="00BA5A97" w:rsidRDefault="00BA5A97" w:rsidP="005244B2">
      <w:r>
        <w:t>Is a simple framework allowing the Strengths, Opportunities, Weaknesses and Threats to be assessed for an organisati</w:t>
      </w:r>
      <w:r w:rsidR="00C205E5">
        <w:t>on to support strategic planning</w:t>
      </w:r>
      <w:r>
        <w:t xml:space="preserve"> looking at both internal and external factors that impact a business or project</w:t>
      </w:r>
      <w:sdt>
        <w:sdtPr>
          <w:id w:val="-876628903"/>
          <w:citation/>
        </w:sdtPr>
        <w:sdtContent>
          <w:r>
            <w:fldChar w:fldCharType="begin"/>
          </w:r>
          <w:r>
            <w:instrText xml:space="preserve"> CITATION CIP15 \l 2057 </w:instrText>
          </w:r>
          <w:r>
            <w:fldChar w:fldCharType="separate"/>
          </w:r>
          <w:r>
            <w:rPr>
              <w:noProof/>
            </w:rPr>
            <w:t xml:space="preserve"> (CIPD, 2015)</w:t>
          </w:r>
          <w:r>
            <w:fldChar w:fldCharType="end"/>
          </w:r>
        </w:sdtContent>
      </w:sdt>
    </w:p>
    <w:p w14:paraId="5350FE90" w14:textId="26B599E1" w:rsidR="00BA5A97" w:rsidRPr="00BA5A97" w:rsidRDefault="00C4293C" w:rsidP="005244B2">
      <w:pPr>
        <w:rPr>
          <w:i/>
        </w:rPr>
      </w:pPr>
      <w:r>
        <w:rPr>
          <w:i/>
        </w:rPr>
        <w:t>P</w:t>
      </w:r>
      <w:r w:rsidR="00BA5A97" w:rsidRPr="00BA5A97">
        <w:rPr>
          <w:i/>
        </w:rPr>
        <w:t>orters 5 Forces</w:t>
      </w:r>
    </w:p>
    <w:p w14:paraId="7BEEF711" w14:textId="7819A1D1" w:rsidR="00650A7D" w:rsidRDefault="00BA5A97" w:rsidP="005244B2">
      <w:pPr>
        <w:rPr>
          <w:color w:val="222222"/>
        </w:rPr>
      </w:pPr>
      <w:r w:rsidRPr="00BA5A97">
        <w:rPr>
          <w:color w:val="222222"/>
        </w:rPr>
        <w:t xml:space="preserve">Looks predominantly at competitors and the influences they can have on an organisation which will allow you to head of future threats and stay </w:t>
      </w:r>
      <w:r w:rsidR="00C205E5">
        <w:rPr>
          <w:color w:val="222222"/>
        </w:rPr>
        <w:t>competitive in a</w:t>
      </w:r>
      <w:r w:rsidRPr="00BA5A97">
        <w:rPr>
          <w:color w:val="222222"/>
        </w:rPr>
        <w:t xml:space="preserve"> market. Competitors can be Customers, suppliers, potential entrants, and substitute products</w:t>
      </w:r>
      <w:r>
        <w:rPr>
          <w:color w:val="222222"/>
        </w:rPr>
        <w:t xml:space="preserve"> to the</w:t>
      </w:r>
      <w:r w:rsidR="00C205E5">
        <w:rPr>
          <w:color w:val="222222"/>
        </w:rPr>
        <w:t xml:space="preserve"> one you supply and all can</w:t>
      </w:r>
      <w:r>
        <w:rPr>
          <w:color w:val="222222"/>
        </w:rPr>
        <w:t xml:space="preserve"> be considered when reviewing the strategy of the business </w:t>
      </w:r>
      <w:sdt>
        <w:sdtPr>
          <w:rPr>
            <w:color w:val="222222"/>
          </w:rPr>
          <w:id w:val="-1502726301"/>
          <w:citation/>
        </w:sdtPr>
        <w:sdtContent>
          <w:r>
            <w:rPr>
              <w:color w:val="222222"/>
            </w:rPr>
            <w:fldChar w:fldCharType="begin"/>
          </w:r>
          <w:r>
            <w:rPr>
              <w:color w:val="222222"/>
            </w:rPr>
            <w:instrText xml:space="preserve"> CITATION Por79 \l 2057 </w:instrText>
          </w:r>
          <w:r>
            <w:rPr>
              <w:color w:val="222222"/>
            </w:rPr>
            <w:fldChar w:fldCharType="separate"/>
          </w:r>
          <w:r w:rsidRPr="00BA5A97">
            <w:rPr>
              <w:noProof/>
              <w:color w:val="222222"/>
            </w:rPr>
            <w:t>(Porter, 1979)</w:t>
          </w:r>
          <w:r>
            <w:rPr>
              <w:color w:val="222222"/>
            </w:rPr>
            <w:fldChar w:fldCharType="end"/>
          </w:r>
        </w:sdtContent>
      </w:sdt>
    </w:p>
    <w:p w14:paraId="2EF8A26B" w14:textId="2F2CB4AA" w:rsidR="00650A7D" w:rsidRPr="00650A7D" w:rsidRDefault="00650A7D" w:rsidP="005244B2">
      <w:pPr>
        <w:rPr>
          <w:b/>
          <w:color w:val="00B0F0"/>
          <w:u w:val="single"/>
        </w:rPr>
      </w:pPr>
      <w:r w:rsidRPr="00650A7D">
        <w:rPr>
          <w:b/>
          <w:color w:val="00B0F0"/>
          <w:u w:val="single"/>
        </w:rPr>
        <w:lastRenderedPageBreak/>
        <w:t>Comparing the three tools</w:t>
      </w:r>
    </w:p>
    <w:tbl>
      <w:tblPr>
        <w:tblStyle w:val="TableGrid"/>
        <w:tblW w:w="11340" w:type="dxa"/>
        <w:tblInd w:w="-1139" w:type="dxa"/>
        <w:tblLook w:val="04A0" w:firstRow="1" w:lastRow="0" w:firstColumn="1" w:lastColumn="0" w:noHBand="0" w:noVBand="1"/>
      </w:tblPr>
      <w:tblGrid>
        <w:gridCol w:w="1985"/>
        <w:gridCol w:w="5164"/>
        <w:gridCol w:w="4191"/>
      </w:tblGrid>
      <w:tr w:rsidR="00BA5A97" w14:paraId="4BD93D31" w14:textId="77777777" w:rsidTr="00C205E5">
        <w:tc>
          <w:tcPr>
            <w:tcW w:w="1985" w:type="dxa"/>
          </w:tcPr>
          <w:p w14:paraId="7071C40E" w14:textId="47427BEB" w:rsidR="00BA5A97" w:rsidRPr="00C4293C" w:rsidRDefault="00BA5A97" w:rsidP="005244B2">
            <w:pPr>
              <w:rPr>
                <w:b/>
              </w:rPr>
            </w:pPr>
            <w:r w:rsidRPr="00C4293C">
              <w:rPr>
                <w:b/>
              </w:rPr>
              <w:t>Tool</w:t>
            </w:r>
          </w:p>
        </w:tc>
        <w:tc>
          <w:tcPr>
            <w:tcW w:w="5164" w:type="dxa"/>
          </w:tcPr>
          <w:p w14:paraId="577B3BD4" w14:textId="332A0570" w:rsidR="00BA5A97" w:rsidRPr="00C4293C" w:rsidRDefault="00BA5A97" w:rsidP="005244B2">
            <w:pPr>
              <w:rPr>
                <w:b/>
              </w:rPr>
            </w:pPr>
            <w:r w:rsidRPr="00C4293C">
              <w:rPr>
                <w:b/>
              </w:rPr>
              <w:t>Advantages</w:t>
            </w:r>
          </w:p>
        </w:tc>
        <w:tc>
          <w:tcPr>
            <w:tcW w:w="4191" w:type="dxa"/>
          </w:tcPr>
          <w:p w14:paraId="2DB31FD7" w14:textId="66409BF5" w:rsidR="00BA5A97" w:rsidRPr="00C4293C" w:rsidRDefault="00BA5A97" w:rsidP="005244B2">
            <w:pPr>
              <w:rPr>
                <w:b/>
              </w:rPr>
            </w:pPr>
            <w:r w:rsidRPr="00C4293C">
              <w:rPr>
                <w:b/>
              </w:rPr>
              <w:t>Disadvantages</w:t>
            </w:r>
          </w:p>
        </w:tc>
      </w:tr>
      <w:tr w:rsidR="00BA5A97" w14:paraId="3A047ABF" w14:textId="77777777" w:rsidTr="00C4293C">
        <w:trPr>
          <w:trHeight w:val="3144"/>
        </w:trPr>
        <w:tc>
          <w:tcPr>
            <w:tcW w:w="1985" w:type="dxa"/>
          </w:tcPr>
          <w:p w14:paraId="06B8C516" w14:textId="6C3C2E4C" w:rsidR="00BA5A97" w:rsidRPr="00C4293C" w:rsidRDefault="00BA5A97" w:rsidP="005244B2">
            <w:pPr>
              <w:rPr>
                <w:b/>
              </w:rPr>
            </w:pPr>
            <w:r w:rsidRPr="00C4293C">
              <w:rPr>
                <w:b/>
              </w:rPr>
              <w:t>PESTLE</w:t>
            </w:r>
          </w:p>
        </w:tc>
        <w:tc>
          <w:tcPr>
            <w:tcW w:w="5164" w:type="dxa"/>
          </w:tcPr>
          <w:p w14:paraId="45FCA03F" w14:textId="78F0C8B4" w:rsidR="00C205E5" w:rsidRPr="00C4293C" w:rsidRDefault="00C205E5" w:rsidP="00C205E5">
            <w:pPr>
              <w:numPr>
                <w:ilvl w:val="0"/>
                <w:numId w:val="9"/>
              </w:numPr>
              <w:spacing w:before="100" w:beforeAutospacing="1" w:after="100" w:afterAutospacing="1" w:line="360" w:lineRule="atLeast"/>
              <w:rPr>
                <w:rFonts w:eastAsia="Times New Roman" w:cs="Times New Roman"/>
                <w:bCs/>
                <w:color w:val="000000" w:themeColor="text1"/>
                <w:lang w:eastAsia="en-GB"/>
              </w:rPr>
            </w:pPr>
            <w:r w:rsidRPr="00C4293C">
              <w:rPr>
                <w:rFonts w:eastAsia="Times New Roman" w:cs="Times New Roman"/>
                <w:bCs/>
                <w:color w:val="000000" w:themeColor="text1"/>
                <w:lang w:eastAsia="en-GB"/>
              </w:rPr>
              <w:t>It’s an easy framework to follow</w:t>
            </w:r>
          </w:p>
          <w:p w14:paraId="079C6DA7" w14:textId="1D4CF512" w:rsidR="00C205E5" w:rsidRPr="00C4293C" w:rsidRDefault="00C205E5" w:rsidP="00C205E5">
            <w:pPr>
              <w:numPr>
                <w:ilvl w:val="0"/>
                <w:numId w:val="9"/>
              </w:numPr>
              <w:spacing w:before="100" w:beforeAutospacing="1" w:after="100" w:afterAutospacing="1" w:line="360" w:lineRule="atLeast"/>
              <w:rPr>
                <w:rFonts w:eastAsia="Times New Roman" w:cs="Times New Roman"/>
                <w:bCs/>
                <w:color w:val="000000" w:themeColor="text1"/>
                <w:lang w:eastAsia="en-GB"/>
              </w:rPr>
            </w:pPr>
            <w:r w:rsidRPr="00C4293C">
              <w:rPr>
                <w:rFonts w:eastAsia="Times New Roman" w:cs="Times New Roman"/>
                <w:bCs/>
                <w:color w:val="000000" w:themeColor="text1"/>
                <w:lang w:eastAsia="en-GB"/>
              </w:rPr>
              <w:t>It supports greater awareness of the external environment </w:t>
            </w:r>
          </w:p>
          <w:p w14:paraId="17274E34" w14:textId="72331407" w:rsidR="00C205E5" w:rsidRPr="00C4293C" w:rsidRDefault="00C205E5" w:rsidP="00C205E5">
            <w:pPr>
              <w:numPr>
                <w:ilvl w:val="0"/>
                <w:numId w:val="9"/>
              </w:numPr>
              <w:spacing w:before="100" w:beforeAutospacing="1" w:after="100" w:afterAutospacing="1" w:line="360" w:lineRule="atLeast"/>
              <w:rPr>
                <w:rFonts w:eastAsia="Times New Roman" w:cs="Times New Roman"/>
                <w:bCs/>
                <w:color w:val="000000" w:themeColor="text1"/>
                <w:lang w:eastAsia="en-GB"/>
              </w:rPr>
            </w:pPr>
            <w:r w:rsidRPr="00C4293C">
              <w:rPr>
                <w:rFonts w:eastAsia="Times New Roman" w:cs="Times New Roman"/>
                <w:bCs/>
                <w:color w:val="000000" w:themeColor="text1"/>
                <w:lang w:eastAsia="en-GB"/>
              </w:rPr>
              <w:t>Its develops external strategic thinking</w:t>
            </w:r>
          </w:p>
          <w:p w14:paraId="59EFCCA6" w14:textId="0CED3757" w:rsidR="00C205E5" w:rsidRPr="00C4293C" w:rsidRDefault="00C205E5" w:rsidP="00C205E5">
            <w:pPr>
              <w:numPr>
                <w:ilvl w:val="0"/>
                <w:numId w:val="9"/>
              </w:numPr>
              <w:spacing w:before="100" w:beforeAutospacing="1" w:after="100" w:afterAutospacing="1" w:line="360" w:lineRule="atLeast"/>
              <w:rPr>
                <w:rFonts w:eastAsia="Times New Roman" w:cs="Times New Roman"/>
                <w:bCs/>
                <w:color w:val="000000" w:themeColor="text1"/>
                <w:lang w:eastAsia="en-GB"/>
              </w:rPr>
            </w:pPr>
            <w:r w:rsidRPr="00C4293C">
              <w:rPr>
                <w:rFonts w:eastAsia="Times New Roman" w:cs="Times New Roman"/>
                <w:bCs/>
                <w:color w:val="000000" w:themeColor="text1"/>
                <w:lang w:eastAsia="en-GB"/>
              </w:rPr>
              <w:t>It allows businesses to spot future impacts and act early</w:t>
            </w:r>
          </w:p>
          <w:p w14:paraId="5F8AD924" w14:textId="7CE7F5D3" w:rsidR="00C205E5" w:rsidRPr="00C4293C" w:rsidRDefault="00C205E5" w:rsidP="00C205E5">
            <w:pPr>
              <w:numPr>
                <w:ilvl w:val="0"/>
                <w:numId w:val="9"/>
              </w:numPr>
              <w:spacing w:before="100" w:beforeAutospacing="1" w:after="100" w:afterAutospacing="1" w:line="360" w:lineRule="atLeast"/>
              <w:rPr>
                <w:rFonts w:eastAsia="Times New Roman" w:cs="Times New Roman"/>
                <w:bCs/>
                <w:color w:val="000000" w:themeColor="text1"/>
                <w:lang w:eastAsia="en-GB"/>
              </w:rPr>
            </w:pPr>
            <w:r w:rsidRPr="00C4293C">
              <w:rPr>
                <w:rFonts w:eastAsia="Times New Roman" w:cs="Times New Roman"/>
                <w:bCs/>
                <w:color w:val="000000" w:themeColor="text1"/>
                <w:lang w:eastAsia="en-GB"/>
              </w:rPr>
              <w:t>It allows business to highlight opportunities and fulfil potential</w:t>
            </w:r>
          </w:p>
          <w:p w14:paraId="796D8CA5" w14:textId="77777777" w:rsidR="00BA5A97" w:rsidRPr="00C4293C" w:rsidRDefault="00BA5A97" w:rsidP="005244B2">
            <w:pPr>
              <w:rPr>
                <w:color w:val="000000" w:themeColor="text1"/>
              </w:rPr>
            </w:pPr>
          </w:p>
        </w:tc>
        <w:tc>
          <w:tcPr>
            <w:tcW w:w="4191" w:type="dxa"/>
          </w:tcPr>
          <w:p w14:paraId="756B7535" w14:textId="6E084B87" w:rsidR="00C205E5" w:rsidRPr="00C4293C" w:rsidRDefault="00C205E5" w:rsidP="00C205E5">
            <w:pPr>
              <w:numPr>
                <w:ilvl w:val="0"/>
                <w:numId w:val="10"/>
              </w:numPr>
              <w:spacing w:before="100" w:beforeAutospacing="1" w:after="100" w:afterAutospacing="1" w:line="360" w:lineRule="atLeast"/>
              <w:rPr>
                <w:rFonts w:eastAsia="Times New Roman" w:cs="Times New Roman"/>
                <w:bCs/>
                <w:color w:val="000000" w:themeColor="text1"/>
                <w:lang w:eastAsia="en-GB"/>
              </w:rPr>
            </w:pPr>
            <w:r w:rsidRPr="00C4293C">
              <w:rPr>
                <w:rFonts w:eastAsia="Times New Roman" w:cs="Times New Roman"/>
                <w:bCs/>
                <w:color w:val="000000" w:themeColor="text1"/>
                <w:lang w:eastAsia="en-GB"/>
              </w:rPr>
              <w:t>Not all data sources are considered</w:t>
            </w:r>
          </w:p>
          <w:p w14:paraId="367C7A2D" w14:textId="4F4670BB" w:rsidR="00C205E5" w:rsidRPr="00C4293C" w:rsidRDefault="00C205E5" w:rsidP="00C205E5">
            <w:pPr>
              <w:numPr>
                <w:ilvl w:val="0"/>
                <w:numId w:val="10"/>
              </w:numPr>
              <w:spacing w:before="100" w:beforeAutospacing="1" w:after="100" w:afterAutospacing="1" w:line="360" w:lineRule="atLeast"/>
              <w:rPr>
                <w:rFonts w:eastAsia="Times New Roman" w:cs="Times New Roman"/>
                <w:bCs/>
                <w:color w:val="000000" w:themeColor="text1"/>
                <w:lang w:eastAsia="en-GB"/>
              </w:rPr>
            </w:pPr>
            <w:r w:rsidRPr="00C4293C">
              <w:rPr>
                <w:rFonts w:eastAsia="Times New Roman" w:cs="Times New Roman"/>
                <w:bCs/>
                <w:color w:val="000000" w:themeColor="text1"/>
                <w:lang w:eastAsia="en-GB"/>
              </w:rPr>
              <w:t>too much data may lead to ‘paralysis by analysis’. </w:t>
            </w:r>
          </w:p>
          <w:p w14:paraId="6067D701" w14:textId="64AAB98A" w:rsidR="00C205E5" w:rsidRPr="00C4293C" w:rsidRDefault="00C205E5" w:rsidP="00C205E5">
            <w:pPr>
              <w:numPr>
                <w:ilvl w:val="0"/>
                <w:numId w:val="10"/>
              </w:numPr>
              <w:spacing w:before="100" w:beforeAutospacing="1" w:after="100" w:afterAutospacing="1" w:line="360" w:lineRule="atLeast"/>
              <w:rPr>
                <w:rFonts w:eastAsia="Times New Roman" w:cs="Times New Roman"/>
                <w:bCs/>
                <w:color w:val="000000" w:themeColor="text1"/>
                <w:lang w:eastAsia="en-GB"/>
              </w:rPr>
            </w:pPr>
            <w:r w:rsidRPr="00C4293C">
              <w:rPr>
                <w:rFonts w:eastAsia="Times New Roman" w:cs="Times New Roman"/>
                <w:bCs/>
                <w:color w:val="000000" w:themeColor="text1"/>
                <w:lang w:eastAsia="en-GB"/>
              </w:rPr>
              <w:t>Needs to be done regularly to be effective.</w:t>
            </w:r>
          </w:p>
          <w:p w14:paraId="22B6F88E" w14:textId="30F54DE6" w:rsidR="00C205E5" w:rsidRPr="00C4293C" w:rsidRDefault="00C205E5" w:rsidP="00C205E5">
            <w:pPr>
              <w:numPr>
                <w:ilvl w:val="0"/>
                <w:numId w:val="10"/>
              </w:numPr>
              <w:spacing w:before="100" w:beforeAutospacing="1" w:after="100" w:afterAutospacing="1" w:line="360" w:lineRule="atLeast"/>
              <w:rPr>
                <w:rFonts w:eastAsia="Times New Roman" w:cs="Times New Roman"/>
                <w:bCs/>
                <w:color w:val="000000" w:themeColor="text1"/>
                <w:lang w:eastAsia="en-GB"/>
              </w:rPr>
            </w:pPr>
            <w:r w:rsidRPr="00C4293C">
              <w:rPr>
                <w:rFonts w:eastAsia="Times New Roman" w:cs="Times New Roman"/>
                <w:bCs/>
                <w:color w:val="000000" w:themeColor="text1"/>
                <w:lang w:eastAsia="en-GB"/>
              </w:rPr>
              <w:t>Not effective being carried out on your own</w:t>
            </w:r>
          </w:p>
          <w:p w14:paraId="4DBA435A" w14:textId="36D244A0" w:rsidR="00C205E5" w:rsidRPr="00C4293C" w:rsidRDefault="00C205E5" w:rsidP="00C205E5">
            <w:pPr>
              <w:numPr>
                <w:ilvl w:val="0"/>
                <w:numId w:val="10"/>
              </w:numPr>
              <w:spacing w:before="100" w:beforeAutospacing="1" w:after="100" w:afterAutospacing="1" w:line="360" w:lineRule="atLeast"/>
              <w:rPr>
                <w:rFonts w:eastAsia="Times New Roman" w:cs="Times New Roman"/>
                <w:bCs/>
                <w:color w:val="000000" w:themeColor="text1"/>
                <w:lang w:eastAsia="en-GB"/>
              </w:rPr>
            </w:pPr>
            <w:r w:rsidRPr="00C4293C">
              <w:rPr>
                <w:rFonts w:eastAsia="Times New Roman" w:cs="Times New Roman"/>
                <w:bCs/>
                <w:color w:val="000000" w:themeColor="text1"/>
                <w:lang w:eastAsia="en-GB"/>
              </w:rPr>
              <w:t xml:space="preserve">Focuses mainly on external factors </w:t>
            </w:r>
          </w:p>
          <w:p w14:paraId="7AB983DC" w14:textId="77777777" w:rsidR="00BA5A97" w:rsidRPr="00C4293C" w:rsidRDefault="00BA5A97" w:rsidP="005244B2">
            <w:pPr>
              <w:rPr>
                <w:color w:val="000000" w:themeColor="text1"/>
              </w:rPr>
            </w:pPr>
          </w:p>
        </w:tc>
      </w:tr>
      <w:tr w:rsidR="00BA5A97" w14:paraId="1005564D" w14:textId="77777777" w:rsidTr="00C205E5">
        <w:tc>
          <w:tcPr>
            <w:tcW w:w="1985" w:type="dxa"/>
          </w:tcPr>
          <w:p w14:paraId="680D6295" w14:textId="01503D0C" w:rsidR="00BA5A97" w:rsidRPr="00C4293C" w:rsidRDefault="00BA5A97" w:rsidP="005244B2">
            <w:pPr>
              <w:rPr>
                <w:b/>
              </w:rPr>
            </w:pPr>
            <w:r w:rsidRPr="00C4293C">
              <w:rPr>
                <w:b/>
              </w:rPr>
              <w:t>SWOT</w:t>
            </w:r>
          </w:p>
        </w:tc>
        <w:tc>
          <w:tcPr>
            <w:tcW w:w="5164" w:type="dxa"/>
          </w:tcPr>
          <w:p w14:paraId="4ECFE3CF" w14:textId="6677571E" w:rsidR="00C205E5" w:rsidRPr="00C4293C" w:rsidRDefault="00C205E5" w:rsidP="00C205E5">
            <w:pPr>
              <w:numPr>
                <w:ilvl w:val="0"/>
                <w:numId w:val="11"/>
              </w:numPr>
              <w:spacing w:before="100" w:beforeAutospacing="1" w:after="100" w:afterAutospacing="1" w:line="360" w:lineRule="atLeast"/>
              <w:rPr>
                <w:rFonts w:eastAsia="Times New Roman" w:cs="Times New Roman"/>
                <w:bCs/>
                <w:color w:val="000000" w:themeColor="text1"/>
                <w:lang w:eastAsia="en-GB"/>
              </w:rPr>
            </w:pPr>
            <w:r w:rsidRPr="00C4293C">
              <w:rPr>
                <w:rFonts w:eastAsia="Times New Roman" w:cs="Times New Roman"/>
                <w:bCs/>
                <w:color w:val="000000" w:themeColor="text1"/>
                <w:lang w:eastAsia="en-GB"/>
              </w:rPr>
              <w:t>It is a simple framework.</w:t>
            </w:r>
          </w:p>
          <w:p w14:paraId="3613AD5E" w14:textId="661B6071" w:rsidR="00C205E5" w:rsidRPr="00C4293C" w:rsidRDefault="00C205E5" w:rsidP="00C205E5">
            <w:pPr>
              <w:numPr>
                <w:ilvl w:val="0"/>
                <w:numId w:val="11"/>
              </w:numPr>
              <w:spacing w:before="100" w:beforeAutospacing="1" w:after="100" w:afterAutospacing="1" w:line="360" w:lineRule="atLeast"/>
              <w:rPr>
                <w:rFonts w:eastAsia="Times New Roman" w:cs="Times New Roman"/>
                <w:bCs/>
                <w:color w:val="000000" w:themeColor="text1"/>
                <w:lang w:eastAsia="en-GB"/>
              </w:rPr>
            </w:pPr>
            <w:r w:rsidRPr="00C4293C">
              <w:rPr>
                <w:rFonts w:eastAsia="Times New Roman" w:cs="Times New Roman"/>
                <w:bCs/>
                <w:color w:val="000000" w:themeColor="text1"/>
                <w:lang w:eastAsia="en-GB"/>
              </w:rPr>
              <w:t>It develops both Internal and external strategic thinking</w:t>
            </w:r>
          </w:p>
          <w:p w14:paraId="2BEEB116" w14:textId="77777777" w:rsidR="00C205E5" w:rsidRPr="00C4293C" w:rsidRDefault="00C205E5" w:rsidP="00C205E5">
            <w:pPr>
              <w:numPr>
                <w:ilvl w:val="0"/>
                <w:numId w:val="11"/>
              </w:numPr>
              <w:spacing w:before="100" w:beforeAutospacing="1" w:after="100" w:afterAutospacing="1" w:line="360" w:lineRule="atLeast"/>
              <w:rPr>
                <w:rFonts w:eastAsia="Times New Roman" w:cs="Times New Roman"/>
                <w:bCs/>
                <w:color w:val="000000" w:themeColor="text1"/>
                <w:lang w:eastAsia="en-GB"/>
              </w:rPr>
            </w:pPr>
            <w:r w:rsidRPr="00C4293C">
              <w:rPr>
                <w:rFonts w:eastAsia="Times New Roman" w:cs="Times New Roman"/>
                <w:bCs/>
                <w:color w:val="000000" w:themeColor="text1"/>
                <w:lang w:eastAsia="en-GB"/>
              </w:rPr>
              <w:t>It enables a management team to focus on strengths and build opportunities.</w:t>
            </w:r>
          </w:p>
          <w:p w14:paraId="274BE003" w14:textId="09C87011" w:rsidR="00C205E5" w:rsidRPr="00C4293C" w:rsidRDefault="00C205E5" w:rsidP="00C205E5">
            <w:pPr>
              <w:numPr>
                <w:ilvl w:val="0"/>
                <w:numId w:val="11"/>
              </w:numPr>
              <w:spacing w:before="100" w:beforeAutospacing="1" w:after="100" w:afterAutospacing="1" w:line="360" w:lineRule="atLeast"/>
              <w:rPr>
                <w:rFonts w:eastAsia="Times New Roman" w:cs="Times New Roman"/>
                <w:bCs/>
                <w:color w:val="000000" w:themeColor="text1"/>
                <w:lang w:eastAsia="en-GB"/>
              </w:rPr>
            </w:pPr>
            <w:r w:rsidRPr="00C4293C">
              <w:rPr>
                <w:rFonts w:eastAsia="Times New Roman" w:cs="Times New Roman"/>
                <w:bCs/>
                <w:color w:val="000000" w:themeColor="text1"/>
                <w:lang w:eastAsia="en-GB"/>
              </w:rPr>
              <w:t>It can be flexible in its use</w:t>
            </w:r>
          </w:p>
          <w:p w14:paraId="648BC98A" w14:textId="61687B83" w:rsidR="00BA5A97" w:rsidRPr="00C4293C" w:rsidRDefault="00C205E5" w:rsidP="00880A8E">
            <w:pPr>
              <w:numPr>
                <w:ilvl w:val="0"/>
                <w:numId w:val="11"/>
              </w:numPr>
              <w:spacing w:before="100" w:beforeAutospacing="1" w:after="100" w:afterAutospacing="1" w:line="360" w:lineRule="atLeast"/>
              <w:rPr>
                <w:color w:val="000000" w:themeColor="text1"/>
              </w:rPr>
            </w:pPr>
            <w:r w:rsidRPr="00C4293C">
              <w:rPr>
                <w:rFonts w:eastAsia="Times New Roman" w:cs="Times New Roman"/>
                <w:bCs/>
                <w:color w:val="000000" w:themeColor="text1"/>
                <w:lang w:eastAsia="en-GB"/>
              </w:rPr>
              <w:t>It allows business to highlight opportunities and fulfil potential</w:t>
            </w:r>
          </w:p>
        </w:tc>
        <w:tc>
          <w:tcPr>
            <w:tcW w:w="4191" w:type="dxa"/>
          </w:tcPr>
          <w:p w14:paraId="02A6D7BF" w14:textId="156EA2D2" w:rsidR="00C205E5" w:rsidRPr="00C4293C" w:rsidRDefault="00C205E5" w:rsidP="00C205E5">
            <w:pPr>
              <w:numPr>
                <w:ilvl w:val="0"/>
                <w:numId w:val="12"/>
              </w:numPr>
              <w:spacing w:before="100" w:beforeAutospacing="1" w:after="100" w:afterAutospacing="1" w:line="360" w:lineRule="atLeast"/>
              <w:rPr>
                <w:rFonts w:eastAsia="Times New Roman" w:cs="Times New Roman"/>
                <w:bCs/>
                <w:color w:val="000000" w:themeColor="text1"/>
                <w:lang w:eastAsia="en-GB"/>
              </w:rPr>
            </w:pPr>
            <w:r w:rsidRPr="00C4293C">
              <w:rPr>
                <w:rFonts w:eastAsia="Times New Roman" w:cs="Times New Roman"/>
                <w:bCs/>
                <w:color w:val="000000" w:themeColor="text1"/>
                <w:lang w:eastAsia="en-GB"/>
              </w:rPr>
              <w:t>It is easy to not use enough data and make assumptions</w:t>
            </w:r>
          </w:p>
          <w:p w14:paraId="55AF5A01" w14:textId="117D8930" w:rsidR="00C205E5" w:rsidRPr="00C4293C" w:rsidRDefault="00C205E5" w:rsidP="00C205E5">
            <w:pPr>
              <w:numPr>
                <w:ilvl w:val="0"/>
                <w:numId w:val="12"/>
              </w:numPr>
              <w:spacing w:before="100" w:beforeAutospacing="1" w:after="100" w:afterAutospacing="1" w:line="360" w:lineRule="atLeast"/>
              <w:rPr>
                <w:rFonts w:eastAsia="Times New Roman" w:cs="Times New Roman"/>
                <w:bCs/>
                <w:color w:val="000000" w:themeColor="text1"/>
                <w:lang w:eastAsia="en-GB"/>
              </w:rPr>
            </w:pPr>
            <w:r w:rsidRPr="00C4293C">
              <w:rPr>
                <w:rFonts w:eastAsia="Times New Roman" w:cs="Times New Roman"/>
                <w:bCs/>
                <w:color w:val="000000" w:themeColor="text1"/>
                <w:lang w:eastAsia="en-GB"/>
              </w:rPr>
              <w:t>Needs to be done regularly to be effective</w:t>
            </w:r>
          </w:p>
          <w:p w14:paraId="431CCB3B" w14:textId="709A3EE4" w:rsidR="00C205E5" w:rsidRPr="00C4293C" w:rsidRDefault="00C205E5" w:rsidP="00C205E5">
            <w:pPr>
              <w:numPr>
                <w:ilvl w:val="0"/>
                <w:numId w:val="12"/>
              </w:numPr>
              <w:spacing w:before="100" w:beforeAutospacing="1" w:after="100" w:afterAutospacing="1" w:line="360" w:lineRule="atLeast"/>
              <w:rPr>
                <w:rFonts w:eastAsia="Times New Roman" w:cs="Times New Roman"/>
                <w:bCs/>
                <w:color w:val="000000" w:themeColor="text1"/>
                <w:lang w:eastAsia="en-GB"/>
              </w:rPr>
            </w:pPr>
            <w:r w:rsidRPr="00C4293C">
              <w:rPr>
                <w:rFonts w:eastAsia="Times New Roman" w:cs="Times New Roman"/>
                <w:bCs/>
                <w:color w:val="000000" w:themeColor="text1"/>
                <w:lang w:eastAsia="en-GB"/>
              </w:rPr>
              <w:t>Effective analysis requires multiple people with different viewpoints</w:t>
            </w:r>
          </w:p>
          <w:p w14:paraId="4D70B02D" w14:textId="4A1FFBA2" w:rsidR="00C205E5" w:rsidRPr="00C4293C" w:rsidRDefault="00C205E5" w:rsidP="00C205E5">
            <w:pPr>
              <w:numPr>
                <w:ilvl w:val="0"/>
                <w:numId w:val="12"/>
              </w:numPr>
              <w:spacing w:before="100" w:beforeAutospacing="1" w:after="100" w:afterAutospacing="1" w:line="360" w:lineRule="atLeast"/>
              <w:rPr>
                <w:rFonts w:eastAsia="Times New Roman" w:cs="Times New Roman"/>
                <w:bCs/>
                <w:color w:val="000000" w:themeColor="text1"/>
                <w:lang w:eastAsia="en-GB"/>
              </w:rPr>
            </w:pPr>
            <w:r w:rsidRPr="00C4293C">
              <w:rPr>
                <w:rFonts w:eastAsia="Times New Roman" w:cs="Times New Roman"/>
                <w:bCs/>
                <w:color w:val="000000" w:themeColor="text1"/>
                <w:lang w:eastAsia="en-GB"/>
              </w:rPr>
              <w:t>It is open to interpretation</w:t>
            </w:r>
          </w:p>
          <w:p w14:paraId="61BFA40C" w14:textId="77777777" w:rsidR="00BA5A97" w:rsidRPr="00C4293C" w:rsidRDefault="00BA5A97" w:rsidP="005244B2">
            <w:pPr>
              <w:rPr>
                <w:color w:val="000000" w:themeColor="text1"/>
              </w:rPr>
            </w:pPr>
          </w:p>
        </w:tc>
      </w:tr>
      <w:tr w:rsidR="00BA5A97" w14:paraId="2C7ED2B6" w14:textId="77777777" w:rsidTr="00C205E5">
        <w:tc>
          <w:tcPr>
            <w:tcW w:w="1985" w:type="dxa"/>
          </w:tcPr>
          <w:p w14:paraId="37CC77B4" w14:textId="73198901" w:rsidR="00BA5A97" w:rsidRPr="00C4293C" w:rsidRDefault="00BA5A97" w:rsidP="005244B2">
            <w:pPr>
              <w:rPr>
                <w:b/>
              </w:rPr>
            </w:pPr>
            <w:r w:rsidRPr="00C4293C">
              <w:rPr>
                <w:b/>
              </w:rPr>
              <w:t>Porters 5 Forces</w:t>
            </w:r>
          </w:p>
        </w:tc>
        <w:tc>
          <w:tcPr>
            <w:tcW w:w="5164" w:type="dxa"/>
          </w:tcPr>
          <w:p w14:paraId="703F0A64" w14:textId="77777777" w:rsidR="00BA5A97" w:rsidRPr="00C4293C" w:rsidRDefault="00C4293C" w:rsidP="00650A7D">
            <w:pPr>
              <w:pStyle w:val="ListParagraph"/>
              <w:numPr>
                <w:ilvl w:val="0"/>
                <w:numId w:val="16"/>
              </w:numPr>
              <w:rPr>
                <w:color w:val="000000" w:themeColor="text1"/>
              </w:rPr>
            </w:pPr>
            <w:r w:rsidRPr="00C4293C">
              <w:rPr>
                <w:color w:val="000000" w:themeColor="text1"/>
              </w:rPr>
              <w:t>Helps evaluate current market environment</w:t>
            </w:r>
          </w:p>
          <w:p w14:paraId="468F0ED9" w14:textId="77777777" w:rsidR="00C4293C" w:rsidRPr="00C4293C" w:rsidRDefault="00C4293C" w:rsidP="00650A7D">
            <w:pPr>
              <w:pStyle w:val="ListParagraph"/>
              <w:numPr>
                <w:ilvl w:val="0"/>
                <w:numId w:val="16"/>
              </w:numPr>
              <w:rPr>
                <w:color w:val="000000" w:themeColor="text1"/>
              </w:rPr>
            </w:pPr>
            <w:r w:rsidRPr="00C4293C">
              <w:rPr>
                <w:color w:val="000000" w:themeColor="text1"/>
              </w:rPr>
              <w:t>Provides a strong point from which to understand areas of further research</w:t>
            </w:r>
          </w:p>
          <w:p w14:paraId="3A1902EB" w14:textId="49A310F6" w:rsidR="00C4293C" w:rsidRPr="00C4293C" w:rsidRDefault="00C4293C" w:rsidP="00650A7D">
            <w:pPr>
              <w:pStyle w:val="ListParagraph"/>
              <w:numPr>
                <w:ilvl w:val="0"/>
                <w:numId w:val="16"/>
              </w:numPr>
              <w:rPr>
                <w:color w:val="000000" w:themeColor="text1"/>
              </w:rPr>
            </w:pPr>
            <w:r w:rsidRPr="00C4293C">
              <w:rPr>
                <w:color w:val="000000" w:themeColor="text1"/>
              </w:rPr>
              <w:t>Is multi functional and can be used to understand how to stay ahead in the market alongside new strategy.</w:t>
            </w:r>
          </w:p>
        </w:tc>
        <w:tc>
          <w:tcPr>
            <w:tcW w:w="4191" w:type="dxa"/>
          </w:tcPr>
          <w:p w14:paraId="6E489F31" w14:textId="77777777" w:rsidR="00BA5A97" w:rsidRPr="00C4293C" w:rsidRDefault="00650A7D" w:rsidP="00650A7D">
            <w:pPr>
              <w:pStyle w:val="ListParagraph"/>
              <w:numPr>
                <w:ilvl w:val="0"/>
                <w:numId w:val="16"/>
              </w:numPr>
            </w:pPr>
            <w:r w:rsidRPr="00C4293C">
              <w:t>The model was desined when markets were static and only provides a moment in time analysis so needs to be completed regularly.</w:t>
            </w:r>
          </w:p>
          <w:p w14:paraId="48410881" w14:textId="77777777" w:rsidR="00650A7D" w:rsidRPr="00C4293C" w:rsidRDefault="00C4293C" w:rsidP="00650A7D">
            <w:pPr>
              <w:pStyle w:val="ListParagraph"/>
              <w:numPr>
                <w:ilvl w:val="0"/>
                <w:numId w:val="16"/>
              </w:numPr>
            </w:pPr>
            <w:r w:rsidRPr="00C4293C">
              <w:t>Non market forces are not considered in the model</w:t>
            </w:r>
          </w:p>
          <w:p w14:paraId="1C993D2C" w14:textId="77777777" w:rsidR="00C4293C" w:rsidRPr="00C4293C" w:rsidRDefault="00C4293C" w:rsidP="00650A7D">
            <w:pPr>
              <w:pStyle w:val="ListParagraph"/>
              <w:numPr>
                <w:ilvl w:val="0"/>
                <w:numId w:val="16"/>
              </w:numPr>
            </w:pPr>
            <w:r w:rsidRPr="00C4293C">
              <w:t>The model is predominately basedon the conception of competition and more basic market structures</w:t>
            </w:r>
          </w:p>
          <w:p w14:paraId="6C91B2A2" w14:textId="2BB6BDB9" w:rsidR="00C4293C" w:rsidRPr="00C4293C" w:rsidRDefault="00C4293C" w:rsidP="00C4293C">
            <w:pPr>
              <w:pStyle w:val="ListParagraph"/>
            </w:pPr>
          </w:p>
        </w:tc>
      </w:tr>
    </w:tbl>
    <w:p w14:paraId="03A282F6" w14:textId="57AC02E9" w:rsidR="00BA5A97" w:rsidRDefault="00BA5A97" w:rsidP="005244B2"/>
    <w:p w14:paraId="2E560F68" w14:textId="77777777" w:rsidR="005B4DB0" w:rsidRDefault="005B4DB0" w:rsidP="005244B2">
      <w:pPr>
        <w:rPr>
          <w:b/>
          <w:color w:val="00B0F0"/>
          <w:u w:val="single"/>
        </w:rPr>
      </w:pPr>
    </w:p>
    <w:p w14:paraId="48BA3DE2" w14:textId="77777777" w:rsidR="005B4DB0" w:rsidRDefault="005B4DB0" w:rsidP="005244B2">
      <w:pPr>
        <w:rPr>
          <w:b/>
          <w:color w:val="00B0F0"/>
          <w:u w:val="single"/>
        </w:rPr>
      </w:pPr>
    </w:p>
    <w:p w14:paraId="04DBA325" w14:textId="77777777" w:rsidR="005B4DB0" w:rsidRDefault="005B4DB0" w:rsidP="005244B2">
      <w:pPr>
        <w:rPr>
          <w:b/>
          <w:color w:val="00B0F0"/>
          <w:u w:val="single"/>
        </w:rPr>
      </w:pPr>
    </w:p>
    <w:p w14:paraId="7CF8769D" w14:textId="2BE4D567" w:rsidR="00BA5A97" w:rsidRDefault="00C205E5" w:rsidP="005244B2">
      <w:pPr>
        <w:rPr>
          <w:b/>
          <w:color w:val="00B0F0"/>
          <w:u w:val="single"/>
        </w:rPr>
      </w:pPr>
      <w:r w:rsidRPr="00C205E5">
        <w:rPr>
          <w:b/>
          <w:color w:val="00B0F0"/>
          <w:u w:val="single"/>
        </w:rPr>
        <w:lastRenderedPageBreak/>
        <w:t>Looking at 4 elements o</w:t>
      </w:r>
      <w:r>
        <w:rPr>
          <w:b/>
          <w:color w:val="00B0F0"/>
          <w:u w:val="single"/>
        </w:rPr>
        <w:t>f PESTLE in detail</w:t>
      </w:r>
      <w:r w:rsidRPr="00C205E5">
        <w:rPr>
          <w:b/>
          <w:color w:val="00B0F0"/>
          <w:u w:val="single"/>
        </w:rPr>
        <w:t xml:space="preserve"> and their impacts on businesses and HR functions</w:t>
      </w:r>
    </w:p>
    <w:p w14:paraId="58666C86" w14:textId="2EED91CB" w:rsidR="00C205E5" w:rsidRPr="002D23DA" w:rsidRDefault="002D23DA" w:rsidP="005244B2">
      <w:pPr>
        <w:rPr>
          <w:i/>
        </w:rPr>
      </w:pPr>
      <w:r w:rsidRPr="002D23DA">
        <w:rPr>
          <w:i/>
        </w:rPr>
        <w:t>Political</w:t>
      </w:r>
    </w:p>
    <w:p w14:paraId="77F29E12" w14:textId="11FF796B" w:rsidR="002D23DA" w:rsidRDefault="002D23DA" w:rsidP="73D2BBF0">
      <w:pPr>
        <w:rPr>
          <w:color w:val="58595B"/>
        </w:rPr>
      </w:pPr>
      <w:r>
        <w:t>Political influences can have a significant impact on a business with elements such as ‘</w:t>
      </w:r>
      <w:r w:rsidRPr="73D2BBF0">
        <w:rPr>
          <w:color w:val="58595B"/>
        </w:rPr>
        <w:t>Tax policy; environmental regulations; trade restriction/reform; tariffs and political stability’ all combining in decisions that are made</w:t>
      </w:r>
      <w:sdt>
        <w:sdtPr>
          <w:rPr>
            <w:bCs/>
            <w:color w:val="58595B"/>
          </w:rPr>
          <w:id w:val="-1635944086"/>
          <w:citation/>
        </w:sdtPr>
        <w:sdtContent>
          <w:r>
            <w:rPr>
              <w:bCs/>
              <w:color w:val="58595B"/>
            </w:rPr>
            <w:fldChar w:fldCharType="begin"/>
          </w:r>
          <w:r>
            <w:rPr>
              <w:bCs/>
              <w:color w:val="58595B"/>
            </w:rPr>
            <w:instrText xml:space="preserve"> CITATION CIP181 \l 2057 </w:instrText>
          </w:r>
          <w:r>
            <w:rPr>
              <w:bCs/>
              <w:color w:val="58595B"/>
            </w:rPr>
            <w:fldChar w:fldCharType="separate"/>
          </w:r>
          <w:r>
            <w:rPr>
              <w:bCs/>
              <w:noProof/>
              <w:color w:val="58595B"/>
            </w:rPr>
            <w:t xml:space="preserve"> </w:t>
          </w:r>
          <w:r w:rsidRPr="002D23DA">
            <w:rPr>
              <w:noProof/>
              <w:color w:val="58595B"/>
            </w:rPr>
            <w:t>(CIPD, 2018)</w:t>
          </w:r>
          <w:r>
            <w:rPr>
              <w:bCs/>
              <w:color w:val="58595B"/>
            </w:rPr>
            <w:fldChar w:fldCharType="end"/>
          </w:r>
        </w:sdtContent>
      </w:sdt>
      <w:r w:rsidRPr="73D2BBF0">
        <w:rPr>
          <w:color w:val="58595B"/>
        </w:rPr>
        <w:t>. Taking political instability as an example recently in Catalonia Sabadell bank moved their headquarters from inside Catalonia to Alicante due to the political instability in Spain around Catalonian independence and wanting to be able to operate freely within the European Union</w:t>
      </w:r>
      <w:sdt>
        <w:sdtPr>
          <w:rPr>
            <w:bCs/>
            <w:color w:val="58595B"/>
          </w:rPr>
          <w:id w:val="647475603"/>
          <w:citation/>
        </w:sdtPr>
        <w:sdtContent>
          <w:r>
            <w:rPr>
              <w:bCs/>
              <w:color w:val="58595B"/>
            </w:rPr>
            <w:fldChar w:fldCharType="begin"/>
          </w:r>
          <w:r>
            <w:rPr>
              <w:bCs/>
              <w:color w:val="58595B"/>
            </w:rPr>
            <w:instrText xml:space="preserve"> CITATION Mic17 \l 2057 </w:instrText>
          </w:r>
          <w:r>
            <w:rPr>
              <w:bCs/>
              <w:color w:val="58595B"/>
            </w:rPr>
            <w:fldChar w:fldCharType="separate"/>
          </w:r>
          <w:r>
            <w:rPr>
              <w:bCs/>
              <w:noProof/>
              <w:color w:val="58595B"/>
            </w:rPr>
            <w:t xml:space="preserve"> </w:t>
          </w:r>
          <w:r w:rsidRPr="002D23DA">
            <w:rPr>
              <w:noProof/>
              <w:color w:val="58595B"/>
            </w:rPr>
            <w:t>(Financial Times, 2017)</w:t>
          </w:r>
          <w:r>
            <w:rPr>
              <w:bCs/>
              <w:color w:val="58595B"/>
            </w:rPr>
            <w:fldChar w:fldCharType="end"/>
          </w:r>
        </w:sdtContent>
      </w:sdt>
      <w:r w:rsidRPr="73D2BBF0">
        <w:rPr>
          <w:color w:val="58595B"/>
        </w:rPr>
        <w:t>.</w:t>
      </w:r>
    </w:p>
    <w:p w14:paraId="199697FD" w14:textId="77777777" w:rsidR="002D23DA" w:rsidRDefault="002D23DA" w:rsidP="005244B2">
      <w:pPr>
        <w:rPr>
          <w:rStyle w:val="Strong"/>
          <w:b w:val="0"/>
          <w:color w:val="58595B"/>
        </w:rPr>
      </w:pPr>
      <w:r w:rsidRPr="002D23DA">
        <w:rPr>
          <w:rStyle w:val="Strong"/>
          <w:b w:val="0"/>
          <w:color w:val="58595B"/>
        </w:rPr>
        <w:t>Sociological</w:t>
      </w:r>
    </w:p>
    <w:p w14:paraId="7247A486" w14:textId="71AD3170" w:rsidR="002D23DA" w:rsidRDefault="002D23DA" w:rsidP="005244B2">
      <w:pPr>
        <w:rPr>
          <w:bCs/>
          <w:color w:val="58595B"/>
        </w:rPr>
      </w:pPr>
      <w:r>
        <w:rPr>
          <w:rStyle w:val="Strong"/>
          <w:b w:val="0"/>
          <w:color w:val="58595B"/>
        </w:rPr>
        <w:t>Sociological influences such as ‘</w:t>
      </w:r>
      <w:r w:rsidRPr="002D23DA">
        <w:rPr>
          <w:bCs/>
          <w:color w:val="58595B"/>
        </w:rPr>
        <w:t xml:space="preserve">Cultural norms and expectations; health consciousness; population growth rates; age </w:t>
      </w:r>
      <w:r>
        <w:rPr>
          <w:bCs/>
          <w:color w:val="58595B"/>
        </w:rPr>
        <w:t xml:space="preserve">distribution; career attitudes and </w:t>
      </w:r>
      <w:r w:rsidRPr="002D23DA">
        <w:rPr>
          <w:bCs/>
          <w:color w:val="58595B"/>
        </w:rPr>
        <w:t>health and safety</w:t>
      </w:r>
      <w:r>
        <w:rPr>
          <w:bCs/>
          <w:color w:val="58595B"/>
        </w:rPr>
        <w:t xml:space="preserve"> issues’ </w:t>
      </w:r>
      <w:sdt>
        <w:sdtPr>
          <w:rPr>
            <w:bCs/>
            <w:color w:val="58595B"/>
          </w:rPr>
          <w:id w:val="1295333657"/>
          <w:citation/>
        </w:sdtPr>
        <w:sdtContent>
          <w:r>
            <w:rPr>
              <w:bCs/>
              <w:color w:val="58595B"/>
            </w:rPr>
            <w:fldChar w:fldCharType="begin"/>
          </w:r>
          <w:r>
            <w:rPr>
              <w:bCs/>
              <w:color w:val="58595B"/>
            </w:rPr>
            <w:instrText xml:space="preserve"> CITATION CIP181 \l 2057 </w:instrText>
          </w:r>
          <w:r>
            <w:rPr>
              <w:bCs/>
              <w:color w:val="58595B"/>
            </w:rPr>
            <w:fldChar w:fldCharType="separate"/>
          </w:r>
          <w:r w:rsidRPr="002D23DA">
            <w:rPr>
              <w:noProof/>
              <w:color w:val="58595B"/>
            </w:rPr>
            <w:t>(CIPD, 2018)</w:t>
          </w:r>
          <w:r>
            <w:rPr>
              <w:bCs/>
              <w:color w:val="58595B"/>
            </w:rPr>
            <w:fldChar w:fldCharType="end"/>
          </w:r>
        </w:sdtContent>
      </w:sdt>
      <w:r>
        <w:rPr>
          <w:bCs/>
          <w:color w:val="58595B"/>
        </w:rPr>
        <w:t xml:space="preserve">. In western countries the population age is increasing in 1991 the age of the labour force over 65 was 1%,currently it is 6% and projected to be 9% by late 2029. Business and in particular HR strategies will need to look at how we retain expertise of staff and utilise skills to benefit new recruits alongside flexible working policies and phased retirement initiatives </w:t>
      </w:r>
      <w:sdt>
        <w:sdtPr>
          <w:rPr>
            <w:bCs/>
            <w:color w:val="58595B"/>
          </w:rPr>
          <w:id w:val="2010792675"/>
          <w:citation/>
        </w:sdtPr>
        <w:sdtContent>
          <w:r>
            <w:rPr>
              <w:bCs/>
              <w:color w:val="58595B"/>
            </w:rPr>
            <w:fldChar w:fldCharType="begin"/>
          </w:r>
          <w:r>
            <w:rPr>
              <w:bCs/>
              <w:color w:val="58595B"/>
            </w:rPr>
            <w:instrText xml:space="preserve"> CITATION Sta17 \l 2057 </w:instrText>
          </w:r>
          <w:r>
            <w:rPr>
              <w:bCs/>
              <w:color w:val="58595B"/>
            </w:rPr>
            <w:fldChar w:fldCharType="separate"/>
          </w:r>
          <w:r w:rsidRPr="002D23DA">
            <w:rPr>
              <w:noProof/>
              <w:color w:val="58595B"/>
            </w:rPr>
            <w:t>(Stats.gov, 2017)</w:t>
          </w:r>
          <w:r>
            <w:rPr>
              <w:bCs/>
              <w:color w:val="58595B"/>
            </w:rPr>
            <w:fldChar w:fldCharType="end"/>
          </w:r>
        </w:sdtContent>
      </w:sdt>
      <w:r>
        <w:rPr>
          <w:bCs/>
          <w:color w:val="58595B"/>
        </w:rPr>
        <w:t>.</w:t>
      </w:r>
    </w:p>
    <w:p w14:paraId="1C4E954B" w14:textId="6E6E55DC" w:rsidR="002D23DA" w:rsidRDefault="002D23DA" w:rsidP="005244B2">
      <w:pPr>
        <w:rPr>
          <w:bCs/>
          <w:color w:val="58595B"/>
        </w:rPr>
      </w:pPr>
      <w:r>
        <w:rPr>
          <w:bCs/>
          <w:color w:val="58595B"/>
        </w:rPr>
        <w:t>Technology</w:t>
      </w:r>
    </w:p>
    <w:p w14:paraId="19E0C9B1" w14:textId="1538FB0A" w:rsidR="002D23DA" w:rsidRDefault="002D23DA" w:rsidP="005244B2">
      <w:pPr>
        <w:rPr>
          <w:bCs/>
          <w:color w:val="58595B"/>
        </w:rPr>
      </w:pPr>
      <w:r w:rsidRPr="73D2BBF0">
        <w:rPr>
          <w:color w:val="58595B"/>
        </w:rPr>
        <w:t>Technology will have one of the biggest impacts on how we do business moving forward and includes</w:t>
      </w:r>
      <w:r w:rsidR="00BD3711">
        <w:rPr>
          <w:color w:val="58595B"/>
        </w:rPr>
        <w:t xml:space="preserve"> elements such as robotics and Artificial I</w:t>
      </w:r>
      <w:r w:rsidRPr="73D2BBF0">
        <w:rPr>
          <w:color w:val="58595B"/>
        </w:rPr>
        <w:t xml:space="preserve">ntelligence and the speed at which new technologies are emerging is ever increasing </w:t>
      </w:r>
      <w:sdt>
        <w:sdtPr>
          <w:rPr>
            <w:bCs/>
            <w:color w:val="58595B"/>
          </w:rPr>
          <w:id w:val="-1867668451"/>
          <w:citation/>
        </w:sdtPr>
        <w:sdtContent>
          <w:r>
            <w:rPr>
              <w:bCs/>
              <w:color w:val="58595B"/>
            </w:rPr>
            <w:fldChar w:fldCharType="begin"/>
          </w:r>
          <w:r>
            <w:rPr>
              <w:bCs/>
              <w:color w:val="58595B"/>
            </w:rPr>
            <w:instrText xml:space="preserve"> CITATION CIP181 \l 2057 </w:instrText>
          </w:r>
          <w:r>
            <w:rPr>
              <w:bCs/>
              <w:color w:val="58595B"/>
            </w:rPr>
            <w:fldChar w:fldCharType="separate"/>
          </w:r>
          <w:r w:rsidRPr="002D23DA">
            <w:rPr>
              <w:noProof/>
              <w:color w:val="58595B"/>
            </w:rPr>
            <w:t>(CIPD, 2018)</w:t>
          </w:r>
          <w:r>
            <w:rPr>
              <w:bCs/>
              <w:color w:val="58595B"/>
            </w:rPr>
            <w:fldChar w:fldCharType="end"/>
          </w:r>
        </w:sdtContent>
      </w:sdt>
      <w:r w:rsidRPr="73D2BBF0">
        <w:rPr>
          <w:color w:val="58595B"/>
        </w:rPr>
        <w:t xml:space="preserve">. Technology has improved efficiency within business and different theories exist at present with some debating large wholesale job losses and others with a more moderate view citing some job loses but not on the same scale. One of the key roles of HR within this will be how technology and people can work together to mutually benefit business need whilst valuing all employees </w:t>
      </w:r>
      <w:sdt>
        <w:sdtPr>
          <w:rPr>
            <w:bCs/>
            <w:color w:val="58595B"/>
          </w:rPr>
          <w:id w:val="1402325295"/>
          <w:citation/>
        </w:sdtPr>
        <w:sdtContent>
          <w:r>
            <w:rPr>
              <w:bCs/>
              <w:color w:val="58595B"/>
            </w:rPr>
            <w:fldChar w:fldCharType="begin"/>
          </w:r>
          <w:r>
            <w:rPr>
              <w:bCs/>
              <w:color w:val="58595B"/>
            </w:rPr>
            <w:instrText xml:space="preserve"> CITATION CIP182 \l 2057 </w:instrText>
          </w:r>
          <w:r>
            <w:rPr>
              <w:bCs/>
              <w:color w:val="58595B"/>
            </w:rPr>
            <w:fldChar w:fldCharType="separate"/>
          </w:r>
          <w:r w:rsidRPr="002D23DA">
            <w:rPr>
              <w:noProof/>
              <w:color w:val="58595B"/>
            </w:rPr>
            <w:t>(CIPD, 2018)</w:t>
          </w:r>
          <w:r>
            <w:rPr>
              <w:bCs/>
              <w:color w:val="58595B"/>
            </w:rPr>
            <w:fldChar w:fldCharType="end"/>
          </w:r>
        </w:sdtContent>
      </w:sdt>
      <w:r w:rsidR="00880A8E" w:rsidRPr="73D2BBF0">
        <w:rPr>
          <w:color w:val="58595B"/>
        </w:rPr>
        <w:t xml:space="preserve"> In a recent article describing technological growth in the USA over the last 100 years 90% of roles that were undertaken by humans are now automated with machinery</w:t>
      </w:r>
      <w:r w:rsidR="00BD3711">
        <w:rPr>
          <w:color w:val="58595B"/>
        </w:rPr>
        <w:t>,</w:t>
      </w:r>
      <w:r w:rsidR="00880A8E" w:rsidRPr="73D2BBF0">
        <w:rPr>
          <w:color w:val="58595B"/>
        </w:rPr>
        <w:t xml:space="preserve"> yet we have a lower unemployment rate now than then </w:t>
      </w:r>
      <w:sdt>
        <w:sdtPr>
          <w:rPr>
            <w:bCs/>
            <w:color w:val="58595B"/>
          </w:rPr>
          <w:id w:val="-1624683868"/>
          <w:citation/>
        </w:sdtPr>
        <w:sdtContent>
          <w:r w:rsidR="00880A8E">
            <w:rPr>
              <w:bCs/>
              <w:color w:val="58595B"/>
            </w:rPr>
            <w:fldChar w:fldCharType="begin"/>
          </w:r>
          <w:r w:rsidR="00880A8E">
            <w:rPr>
              <w:bCs/>
              <w:color w:val="58595B"/>
            </w:rPr>
            <w:instrText xml:space="preserve"> CITATION For18 \l 2057 </w:instrText>
          </w:r>
          <w:r w:rsidR="00880A8E">
            <w:rPr>
              <w:bCs/>
              <w:color w:val="58595B"/>
            </w:rPr>
            <w:fldChar w:fldCharType="separate"/>
          </w:r>
          <w:r w:rsidR="00880A8E" w:rsidRPr="00880A8E">
            <w:rPr>
              <w:noProof/>
              <w:color w:val="58595B"/>
            </w:rPr>
            <w:t>(Forbes, 2018)</w:t>
          </w:r>
          <w:r w:rsidR="00880A8E">
            <w:rPr>
              <w:bCs/>
              <w:color w:val="58595B"/>
            </w:rPr>
            <w:fldChar w:fldCharType="end"/>
          </w:r>
        </w:sdtContent>
      </w:sdt>
    </w:p>
    <w:p w14:paraId="3455A9F6" w14:textId="5278872D" w:rsidR="73D2BBF0" w:rsidRDefault="73D2BBF0" w:rsidP="73D2BBF0">
      <w:pPr>
        <w:rPr>
          <w:color w:val="58595B"/>
        </w:rPr>
      </w:pPr>
    </w:p>
    <w:p w14:paraId="4AA298E9" w14:textId="076048DE" w:rsidR="73D2BBF0" w:rsidRDefault="73D2BBF0" w:rsidP="73D2BBF0">
      <w:pPr>
        <w:rPr>
          <w:color w:val="58595B"/>
        </w:rPr>
      </w:pPr>
    </w:p>
    <w:p w14:paraId="2F8D8489" w14:textId="01E59C48" w:rsidR="73D2BBF0" w:rsidRDefault="73D2BBF0" w:rsidP="73D2BBF0">
      <w:pPr>
        <w:rPr>
          <w:color w:val="58595B"/>
        </w:rPr>
      </w:pPr>
    </w:p>
    <w:p w14:paraId="00A01DC2" w14:textId="27494578" w:rsidR="73D2BBF0" w:rsidRDefault="73D2BBF0" w:rsidP="73D2BBF0">
      <w:pPr>
        <w:rPr>
          <w:color w:val="58595B"/>
        </w:rPr>
      </w:pPr>
    </w:p>
    <w:p w14:paraId="5C26119B" w14:textId="59F90ADD" w:rsidR="73D2BBF0" w:rsidRDefault="73D2BBF0" w:rsidP="73D2BBF0">
      <w:pPr>
        <w:rPr>
          <w:color w:val="58595B"/>
        </w:rPr>
      </w:pPr>
    </w:p>
    <w:p w14:paraId="6A0DF651" w14:textId="5CB89339" w:rsidR="73D2BBF0" w:rsidRDefault="73D2BBF0" w:rsidP="73D2BBF0">
      <w:pPr>
        <w:rPr>
          <w:color w:val="58595B"/>
        </w:rPr>
      </w:pPr>
    </w:p>
    <w:p w14:paraId="730D4335" w14:textId="1EB417DA" w:rsidR="73D2BBF0" w:rsidRDefault="73D2BBF0" w:rsidP="73D2BBF0">
      <w:pPr>
        <w:rPr>
          <w:color w:val="58595B"/>
        </w:rPr>
      </w:pPr>
    </w:p>
    <w:p w14:paraId="03B124E3" w14:textId="3AE82681" w:rsidR="73D2BBF0" w:rsidRDefault="73D2BBF0" w:rsidP="73D2BBF0">
      <w:pPr>
        <w:rPr>
          <w:color w:val="58595B"/>
        </w:rPr>
      </w:pPr>
    </w:p>
    <w:p w14:paraId="08029D3A" w14:textId="540E4FAA" w:rsidR="73D2BBF0" w:rsidRDefault="73D2BBF0" w:rsidP="73D2BBF0">
      <w:pPr>
        <w:rPr>
          <w:color w:val="58595B"/>
        </w:rPr>
      </w:pPr>
    </w:p>
    <w:p w14:paraId="34D9B124" w14:textId="21235BCB" w:rsidR="00880A8E" w:rsidRDefault="00880A8E" w:rsidP="005244B2">
      <w:pPr>
        <w:rPr>
          <w:bCs/>
          <w:color w:val="58595B"/>
        </w:rPr>
      </w:pPr>
      <w:r>
        <w:rPr>
          <w:bCs/>
          <w:color w:val="58595B"/>
        </w:rPr>
        <w:lastRenderedPageBreak/>
        <w:t>Financial health</w:t>
      </w:r>
    </w:p>
    <w:p w14:paraId="6485467F" w14:textId="10F9889E" w:rsidR="00880A8E" w:rsidRDefault="00880A8E" w:rsidP="005244B2">
      <w:pPr>
        <w:rPr>
          <w:bCs/>
          <w:color w:val="58595B"/>
        </w:rPr>
      </w:pPr>
      <w:r>
        <w:rPr>
          <w:noProof/>
        </w:rPr>
        <w:drawing>
          <wp:inline distT="0" distB="0" distL="0" distR="0" wp14:anchorId="4FFAE113" wp14:editId="2CA4EC95">
            <wp:extent cx="3209157" cy="2137897"/>
            <wp:effectExtent l="0" t="0" r="0" b="0"/>
            <wp:docPr id="506163607" name="Picture 506163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209157" cy="2137897"/>
                    </a:xfrm>
                    <a:prstGeom prst="rect">
                      <a:avLst/>
                    </a:prstGeom>
                  </pic:spPr>
                </pic:pic>
              </a:graphicData>
            </a:graphic>
          </wp:inline>
        </w:drawing>
      </w:r>
    </w:p>
    <w:p w14:paraId="70F881F2" w14:textId="72287D3D" w:rsidR="002D23DA" w:rsidRDefault="00880A8E" w:rsidP="005244B2">
      <w:pPr>
        <w:rPr>
          <w:b/>
        </w:rPr>
      </w:pPr>
      <w:r>
        <w:rPr>
          <w:b/>
        </w:rPr>
        <w:t xml:space="preserve">Fig 3 financial health model </w:t>
      </w:r>
      <w:sdt>
        <w:sdtPr>
          <w:rPr>
            <w:b/>
          </w:rPr>
          <w:id w:val="-145357900"/>
          <w:citation/>
        </w:sdtPr>
        <w:sdtContent>
          <w:r>
            <w:rPr>
              <w:b/>
            </w:rPr>
            <w:fldChar w:fldCharType="begin"/>
          </w:r>
          <w:r>
            <w:rPr>
              <w:b/>
            </w:rPr>
            <w:instrText xml:space="preserve"> CITATION Cor16 \l 2057 </w:instrText>
          </w:r>
          <w:r>
            <w:rPr>
              <w:b/>
            </w:rPr>
            <w:fldChar w:fldCharType="separate"/>
          </w:r>
          <w:r>
            <w:rPr>
              <w:noProof/>
            </w:rPr>
            <w:t>(Corporate finance Institute, 2016)</w:t>
          </w:r>
          <w:r>
            <w:rPr>
              <w:b/>
            </w:rPr>
            <w:fldChar w:fldCharType="end"/>
          </w:r>
        </w:sdtContent>
      </w:sdt>
    </w:p>
    <w:p w14:paraId="16598426" w14:textId="17C43CCA" w:rsidR="00880A8E" w:rsidRDefault="00880A8E" w:rsidP="005244B2">
      <w:r w:rsidRPr="00880A8E">
        <w:t xml:space="preserve">As shown above most businesses </w:t>
      </w:r>
      <w:r>
        <w:t xml:space="preserve">will go through a life cycle and the companies financial health within this will determine the business strategy and aligned to this the key roles HR will play with in it. In the initial growth stage if the financial health is strong HR policies will be based around recruitment and identifying appropriate talent and skills to support the growth. As the business builds towards maturity focus will move to the retention of staff with strategies around recognition and performance and if the financial health of the company declines the business and in turn HR will look towards cost saving measures and implementation within the business </w:t>
      </w:r>
      <w:sdt>
        <w:sdtPr>
          <w:id w:val="1637448607"/>
          <w:citation/>
        </w:sdtPr>
        <w:sdtContent>
          <w:r>
            <w:fldChar w:fldCharType="begin"/>
          </w:r>
          <w:r>
            <w:instrText xml:space="preserve"> CITATION Cor16 \l 2057 </w:instrText>
          </w:r>
          <w:r>
            <w:fldChar w:fldCharType="separate"/>
          </w:r>
          <w:r>
            <w:rPr>
              <w:noProof/>
            </w:rPr>
            <w:t>(Corporate finance Institute, 2016)</w:t>
          </w:r>
          <w:r>
            <w:fldChar w:fldCharType="end"/>
          </w:r>
        </w:sdtContent>
      </w:sdt>
      <w:r>
        <w:t>.</w:t>
      </w:r>
    </w:p>
    <w:p w14:paraId="5E5CC90E" w14:textId="2899F65A" w:rsidR="002C42A6" w:rsidRDefault="002C42A6" w:rsidP="005244B2"/>
    <w:p w14:paraId="358CB37C" w14:textId="71CE7F40" w:rsidR="002C42A6" w:rsidRDefault="002C42A6" w:rsidP="005244B2"/>
    <w:p w14:paraId="19F4A6F9" w14:textId="04574C61" w:rsidR="002C42A6" w:rsidRDefault="002C42A6" w:rsidP="005244B2"/>
    <w:p w14:paraId="16798225" w14:textId="0FF8BCC0" w:rsidR="73D2BBF0" w:rsidRDefault="73D2BBF0" w:rsidP="73D2BBF0"/>
    <w:p w14:paraId="1F5F002F" w14:textId="44F69B15" w:rsidR="73D2BBF0" w:rsidRDefault="73D2BBF0">
      <w:pPr>
        <w:rPr>
          <w:noProof/>
        </w:rPr>
      </w:pPr>
    </w:p>
    <w:p w14:paraId="43A83FB5" w14:textId="68F2CBFF" w:rsidR="00650A7D" w:rsidRDefault="00650A7D">
      <w:pPr>
        <w:rPr>
          <w:noProof/>
        </w:rPr>
      </w:pPr>
    </w:p>
    <w:p w14:paraId="4588EAF9" w14:textId="30AB3D88" w:rsidR="00650A7D" w:rsidRDefault="00650A7D">
      <w:pPr>
        <w:rPr>
          <w:noProof/>
        </w:rPr>
      </w:pPr>
    </w:p>
    <w:p w14:paraId="3464538A" w14:textId="07E59367" w:rsidR="00650A7D" w:rsidRDefault="00650A7D">
      <w:pPr>
        <w:rPr>
          <w:noProof/>
        </w:rPr>
      </w:pPr>
    </w:p>
    <w:p w14:paraId="0D5487B9" w14:textId="7EE78B9C" w:rsidR="00650A7D" w:rsidRDefault="00650A7D">
      <w:pPr>
        <w:rPr>
          <w:noProof/>
        </w:rPr>
      </w:pPr>
    </w:p>
    <w:p w14:paraId="13E3E3D9" w14:textId="28A8BF32" w:rsidR="00650A7D" w:rsidRDefault="00650A7D">
      <w:pPr>
        <w:rPr>
          <w:noProof/>
        </w:rPr>
      </w:pPr>
    </w:p>
    <w:p w14:paraId="6CBB9FF4" w14:textId="74F435B8" w:rsidR="00650A7D" w:rsidRDefault="00650A7D">
      <w:pPr>
        <w:rPr>
          <w:noProof/>
        </w:rPr>
      </w:pPr>
    </w:p>
    <w:p w14:paraId="57BDCB34" w14:textId="77777777" w:rsidR="00650A7D" w:rsidRDefault="00650A7D"/>
    <w:p w14:paraId="15A4EC7A" w14:textId="77777777" w:rsidR="00C4293C" w:rsidRDefault="00C4293C" w:rsidP="005244B2">
      <w:pPr>
        <w:rPr>
          <w:b/>
          <w:color w:val="00B0F0"/>
          <w:u w:val="single"/>
        </w:rPr>
      </w:pPr>
    </w:p>
    <w:p w14:paraId="2A6A7CDB" w14:textId="115F71FF" w:rsidR="002C42A6" w:rsidRDefault="002C42A6" w:rsidP="005244B2">
      <w:pPr>
        <w:rPr>
          <w:b/>
          <w:color w:val="00B0F0"/>
          <w:u w:val="single"/>
        </w:rPr>
      </w:pPr>
      <w:r w:rsidRPr="002C42A6">
        <w:rPr>
          <w:b/>
          <w:color w:val="00B0F0"/>
          <w:u w:val="single"/>
        </w:rPr>
        <w:lastRenderedPageBreak/>
        <w:t>Evaluating business performance</w:t>
      </w:r>
    </w:p>
    <w:p w14:paraId="6F976201" w14:textId="3B6BD13E" w:rsidR="002C42A6" w:rsidRDefault="002C42A6" w:rsidP="005244B2">
      <w:r>
        <w:t>Businesses use many methods to evaluate performance including</w:t>
      </w:r>
    </w:p>
    <w:p w14:paraId="324704C7" w14:textId="02D11BFC" w:rsidR="002C42A6" w:rsidRDefault="002C42A6" w:rsidP="005244B2">
      <w:r>
        <w:t xml:space="preserve">Key performance Indicators are a traditional method of measuring business performance and allow a business to understand how they are performing against pre-defined Indicators relevant to success. KPI have to be reported by companies in their end of year financial reporting as set out in the companies act 2006 giving reference to the financial performance of the company. KPI are often agreed by pre-defined measures in relation to a company’s strategy and are reviewed at set timeframes to understand progress and impact. Disadvantages of KPI are the inflexibility they can bring and if not reviewed regularly can slow reaction rates </w:t>
      </w:r>
      <w:sdt>
        <w:sdtPr>
          <w:id w:val="-491950254"/>
          <w:citation/>
        </w:sdtPr>
        <w:sdtContent>
          <w:r>
            <w:fldChar w:fldCharType="begin"/>
          </w:r>
          <w:r>
            <w:instrText xml:space="preserve"> CITATION Pri14 \l 2057 </w:instrText>
          </w:r>
          <w:r>
            <w:fldChar w:fldCharType="separate"/>
          </w:r>
          <w:r>
            <w:rPr>
              <w:noProof/>
            </w:rPr>
            <w:t>(Pricewaterhouse coopers, 2014)</w:t>
          </w:r>
          <w:r>
            <w:fldChar w:fldCharType="end"/>
          </w:r>
        </w:sdtContent>
      </w:sdt>
      <w:r>
        <w:t>.</w:t>
      </w:r>
    </w:p>
    <w:p w14:paraId="2B2B3FF4" w14:textId="200AEC0A" w:rsidR="002C42A6" w:rsidRDefault="002C42A6" w:rsidP="005244B2">
      <w:r>
        <w:t xml:space="preserve">Balance Scorecards are an advance </w:t>
      </w:r>
      <w:r w:rsidRPr="002C42A6">
        <w:t xml:space="preserve">of the traditional short term KPI measurement and a series of measures including KPIs brought together to provide greater cohesion between the ‘strategy elements of a business, vision, core values, operational elements, targets and initiatives </w:t>
      </w:r>
      <w:sdt>
        <w:sdtPr>
          <w:id w:val="18825897"/>
          <w:citation/>
        </w:sdtPr>
        <w:sdtContent>
          <w:r w:rsidRPr="002C42A6">
            <w:fldChar w:fldCharType="begin"/>
          </w:r>
          <w:r w:rsidRPr="002C42A6">
            <w:instrText xml:space="preserve"> CITATION Str18 \l 2057 </w:instrText>
          </w:r>
          <w:r w:rsidRPr="002C42A6">
            <w:fldChar w:fldCharType="separate"/>
          </w:r>
          <w:r w:rsidRPr="002C42A6">
            <w:rPr>
              <w:noProof/>
            </w:rPr>
            <w:t>(Strategy management balancedscorecard, 2018)</w:t>
          </w:r>
          <w:r w:rsidRPr="002C42A6">
            <w:fldChar w:fldCharType="end"/>
          </w:r>
        </w:sdtContent>
      </w:sdt>
      <w:r w:rsidRPr="002C42A6">
        <w:t xml:space="preserve">.’ </w:t>
      </w:r>
      <w:r>
        <w:t>The scorecard supports the communication of what a business is aiming to achieve aligned with the day to day operations of the business. It provides a balanced approach to a business and ensures a more rounded approach is taken by employees and allows progress against these to be measured and monitored.</w:t>
      </w:r>
      <w:sdt>
        <w:sdtPr>
          <w:id w:val="1555580017"/>
          <w:citation/>
        </w:sdtPr>
        <w:sdtContent>
          <w:r>
            <w:fldChar w:fldCharType="begin"/>
          </w:r>
          <w:r>
            <w:instrText xml:space="preserve"> CITATION Str18 \l 2057 </w:instrText>
          </w:r>
          <w:r>
            <w:fldChar w:fldCharType="separate"/>
          </w:r>
          <w:r>
            <w:rPr>
              <w:noProof/>
            </w:rPr>
            <w:t xml:space="preserve"> (Strategy management balancedscorecard, 2018)</w:t>
          </w:r>
          <w:r>
            <w:fldChar w:fldCharType="end"/>
          </w:r>
        </w:sdtContent>
      </w:sdt>
    </w:p>
    <w:p w14:paraId="5E0DFFE4" w14:textId="63971E40" w:rsidR="002C42A6" w:rsidRPr="002C42A6" w:rsidRDefault="002C42A6" w:rsidP="005244B2">
      <w:r w:rsidRPr="002C42A6">
        <w:t>Service level agreements</w:t>
      </w:r>
      <w:r>
        <w:t xml:space="preserve"> (SLA) and service level management (SLM) are traditionally a way of agreeing how the relationship will work between two parties that enter into an agreement. The SLA is typically the agreement of how services will be provided and the level of service that has been agreed whereas the SLM involves the agreed monitoring and reporting on the agreement. This type of initiative is used where there is a service need that has to be delivered more so than a product </w:t>
      </w:r>
      <w:sdt>
        <w:sdtPr>
          <w:id w:val="-263153736"/>
          <w:citation/>
        </w:sdtPr>
        <w:sdtContent>
          <w:r>
            <w:fldChar w:fldCharType="begin"/>
          </w:r>
          <w:r>
            <w:instrText xml:space="preserve"> CITATION ITG18 \l 2057 </w:instrText>
          </w:r>
          <w:r>
            <w:fldChar w:fldCharType="separate"/>
          </w:r>
          <w:r>
            <w:rPr>
              <w:noProof/>
            </w:rPr>
            <w:t>(IT Governance, 2018)</w:t>
          </w:r>
          <w:r>
            <w:fldChar w:fldCharType="end"/>
          </w:r>
        </w:sdtContent>
      </w:sdt>
    </w:p>
    <w:p w14:paraId="532B381C" w14:textId="7458C50D" w:rsidR="002C42A6" w:rsidRDefault="002C42A6" w:rsidP="005244B2">
      <w:pPr>
        <w:rPr>
          <w:rFonts w:ascii="Verdana" w:hAnsi="Verdana"/>
          <w:color w:val="626262"/>
          <w:sz w:val="18"/>
          <w:szCs w:val="18"/>
        </w:rPr>
      </w:pPr>
      <w:r>
        <w:rPr>
          <w:rFonts w:ascii="Verdana" w:hAnsi="Verdana"/>
          <w:color w:val="626262"/>
          <w:sz w:val="18"/>
          <w:szCs w:val="18"/>
        </w:rPr>
        <w:t>HR role in business planning and change management</w:t>
      </w:r>
    </w:p>
    <w:p w14:paraId="7847567D" w14:textId="4A165D0D" w:rsidR="002C42A6" w:rsidRDefault="002C42A6" w:rsidP="005244B2">
      <w:r>
        <w:t xml:space="preserve">HR can play a key role in business planning and change management by being involved at the initial stage of development supporting key leaders with existing skillsets within the organisation and any gaps that are required to support outcomes being discussed. HR can also support in negotiating across functions and supporting in understanding the impact decisions will have across multiple business units. The final key element of support is the design and delivery of the communication of the proposed change as well as supporting people through the change faster to promote motivation and success </w:t>
      </w:r>
      <w:sdt>
        <w:sdtPr>
          <w:id w:val="487985532"/>
          <w:citation/>
        </w:sdtPr>
        <w:sdtContent>
          <w:r>
            <w:fldChar w:fldCharType="begin"/>
          </w:r>
          <w:r>
            <w:instrText xml:space="preserve"> CITATION Ree14 \l 2057 </w:instrText>
          </w:r>
          <w:r>
            <w:fldChar w:fldCharType="separate"/>
          </w:r>
          <w:r>
            <w:rPr>
              <w:noProof/>
            </w:rPr>
            <w:t>(Rees &amp; French, 2014)</w:t>
          </w:r>
          <w:r>
            <w:fldChar w:fldCharType="end"/>
          </w:r>
        </w:sdtContent>
      </w:sdt>
      <w:r>
        <w:t xml:space="preserve">. Within TSB HR support strategic decision making with a monthly people pack which supports decision making by providing FTE numbers, disciplinary, absence, salary, new starters, leavers, maternity and a glidepath a future attrition </w:t>
      </w:r>
      <w:sdt>
        <w:sdtPr>
          <w:id w:val="-1789427972"/>
          <w:citation/>
        </w:sdtPr>
        <w:sdtContent>
          <w:r>
            <w:fldChar w:fldCharType="begin"/>
          </w:r>
          <w:r>
            <w:instrText xml:space="preserve"> CITATION TSB19 \l 2057 </w:instrText>
          </w:r>
          <w:r>
            <w:fldChar w:fldCharType="separate"/>
          </w:r>
          <w:r>
            <w:rPr>
              <w:noProof/>
            </w:rPr>
            <w:t>(TSB, 2019)</w:t>
          </w:r>
          <w:r>
            <w:fldChar w:fldCharType="end"/>
          </w:r>
        </w:sdtContent>
      </w:sdt>
      <w:r>
        <w:t>.</w:t>
      </w:r>
    </w:p>
    <w:p w14:paraId="24DF1D23" w14:textId="6136C891" w:rsidR="002C42A6" w:rsidRDefault="002C42A6" w:rsidP="005244B2"/>
    <w:p w14:paraId="0DB9497B" w14:textId="1844AF41" w:rsidR="002C42A6" w:rsidRDefault="002C42A6" w:rsidP="005244B2"/>
    <w:p w14:paraId="381CA915" w14:textId="77777777" w:rsidR="005B4DB0" w:rsidRDefault="005B4DB0" w:rsidP="005244B2">
      <w:pPr>
        <w:rPr>
          <w:b/>
          <w:color w:val="00B0F0"/>
          <w:u w:val="single"/>
        </w:rPr>
      </w:pPr>
    </w:p>
    <w:p w14:paraId="1CC0B045" w14:textId="77777777" w:rsidR="005B4DB0" w:rsidRDefault="005B4DB0" w:rsidP="005244B2">
      <w:pPr>
        <w:rPr>
          <w:b/>
          <w:color w:val="00B0F0"/>
          <w:u w:val="single"/>
        </w:rPr>
      </w:pPr>
    </w:p>
    <w:p w14:paraId="05CB9A6D" w14:textId="77777777" w:rsidR="005B4DB0" w:rsidRDefault="005B4DB0" w:rsidP="005244B2">
      <w:pPr>
        <w:rPr>
          <w:b/>
          <w:color w:val="00B0F0"/>
          <w:u w:val="single"/>
        </w:rPr>
      </w:pPr>
    </w:p>
    <w:p w14:paraId="09195D4E" w14:textId="27370BC7" w:rsidR="002C42A6" w:rsidRDefault="002C42A6" w:rsidP="005244B2">
      <w:pPr>
        <w:rPr>
          <w:b/>
          <w:color w:val="00B0F0"/>
          <w:u w:val="single"/>
        </w:rPr>
      </w:pPr>
      <w:r w:rsidRPr="002C42A6">
        <w:rPr>
          <w:b/>
          <w:color w:val="00B0F0"/>
          <w:u w:val="single"/>
        </w:rPr>
        <w:lastRenderedPageBreak/>
        <w:t>Sources of data to support planning</w:t>
      </w:r>
    </w:p>
    <w:p w14:paraId="59589448" w14:textId="6B1B128A" w:rsidR="002C42A6" w:rsidRDefault="002C42A6" w:rsidP="005244B2">
      <w:r w:rsidRPr="002C42A6">
        <w:rPr>
          <w:b/>
        </w:rPr>
        <w:t>Attrition</w:t>
      </w:r>
      <w:r>
        <w:t xml:space="preserve"> is defined as </w:t>
      </w:r>
      <w:r>
        <w:rPr>
          <w:rFonts w:ascii="gt_americaregular" w:hAnsi="gt_americaregular"/>
          <w:color w:val="6B7C93"/>
          <w:sz w:val="27"/>
          <w:szCs w:val="27"/>
        </w:rPr>
        <w:t>‘</w:t>
      </w:r>
      <w:r w:rsidRPr="002C42A6">
        <w:rPr>
          <w:i/>
        </w:rPr>
        <w:t>a calculation of the number of individuals or items that vacate or move out of a larger, collective group over a specified time frame.’</w:t>
      </w:r>
      <w:r>
        <w:rPr>
          <w:i/>
        </w:rPr>
        <w:t xml:space="preserve"> </w:t>
      </w:r>
      <w:sdt>
        <w:sdtPr>
          <w:rPr>
            <w:i/>
          </w:rPr>
          <w:id w:val="1675920659"/>
          <w:citation/>
        </w:sdtPr>
        <w:sdtContent>
          <w:r>
            <w:rPr>
              <w:i/>
            </w:rPr>
            <w:fldChar w:fldCharType="begin"/>
          </w:r>
          <w:r>
            <w:rPr>
              <w:i/>
            </w:rPr>
            <w:instrText xml:space="preserve"> CITATION NGD15 \l 2057 </w:instrText>
          </w:r>
          <w:r>
            <w:rPr>
              <w:i/>
            </w:rPr>
            <w:fldChar w:fldCharType="separate"/>
          </w:r>
          <w:r>
            <w:rPr>
              <w:noProof/>
            </w:rPr>
            <w:t>(NGDATA, 2015)</w:t>
          </w:r>
          <w:r>
            <w:rPr>
              <w:i/>
            </w:rPr>
            <w:fldChar w:fldCharType="end"/>
          </w:r>
        </w:sdtContent>
      </w:sdt>
      <w:r>
        <w:rPr>
          <w:i/>
        </w:rPr>
        <w:t xml:space="preserve"> </w:t>
      </w:r>
      <w:r>
        <w:t xml:space="preserve">This is an important metric for a business to understand as it can support planning of key initiatives and will also drive priorities for a business and in particular HR. A high attrition rate will lead a business to understand further the reasons behind this with exit strategies key to this alongside ensuring appropriate recruitment is happening to ensure the business can achieve it key priorities </w:t>
      </w:r>
      <w:sdt>
        <w:sdtPr>
          <w:id w:val="-804079916"/>
          <w:citation/>
        </w:sdtPr>
        <w:sdtContent>
          <w:r>
            <w:fldChar w:fldCharType="begin"/>
          </w:r>
          <w:r>
            <w:instrText xml:space="preserve"> CITATION Ara18 \l 2057 </w:instrText>
          </w:r>
          <w:r>
            <w:fldChar w:fldCharType="separate"/>
          </w:r>
          <w:r>
            <w:rPr>
              <w:noProof/>
            </w:rPr>
            <w:t>(Sekar, 2018)</w:t>
          </w:r>
          <w:r>
            <w:fldChar w:fldCharType="end"/>
          </w:r>
        </w:sdtContent>
      </w:sdt>
    </w:p>
    <w:p w14:paraId="6AABBF2F" w14:textId="6271AE5D" w:rsidR="002C42A6" w:rsidRDefault="002C42A6" w:rsidP="005244B2">
      <w:r>
        <w:t xml:space="preserve">Understanding and the management of </w:t>
      </w:r>
      <w:r w:rsidRPr="002C42A6">
        <w:rPr>
          <w:b/>
        </w:rPr>
        <w:t>costs</w:t>
      </w:r>
      <w:r>
        <w:t xml:space="preserve"> is extremely important within business both in terms of knowing historical costs of projects which will support in planning and sign off initiatives and the base for cost calculations. The monitoring of costs throughout a project or plan will ensure that the relative impact of the project is still relevant and allow elements to be re-evaluated as appropriate to understand success or failure. Relative costs throughout the business split into segments including design, analysis, people and development allow for standards to be drawn up through real life examples necessary to gain accurate cost predictions </w:t>
      </w:r>
      <w:sdt>
        <w:sdtPr>
          <w:id w:val="-1445067354"/>
          <w:citation/>
        </w:sdtPr>
        <w:sdtContent>
          <w:r>
            <w:fldChar w:fldCharType="begin"/>
          </w:r>
          <w:r>
            <w:instrText xml:space="preserve"> CITATION Phi12 \l 2057 </w:instrText>
          </w:r>
          <w:r>
            <w:fldChar w:fldCharType="separate"/>
          </w:r>
          <w:r>
            <w:rPr>
              <w:noProof/>
            </w:rPr>
            <w:t>(Phillips &amp; Phillips, 2012)</w:t>
          </w:r>
          <w:r>
            <w:fldChar w:fldCharType="end"/>
          </w:r>
        </w:sdtContent>
      </w:sdt>
      <w:r>
        <w:t>.</w:t>
      </w:r>
    </w:p>
    <w:p w14:paraId="3E3B094A" w14:textId="51A86595" w:rsidR="002C42A6" w:rsidRDefault="002C42A6" w:rsidP="005244B2">
      <w:r w:rsidRPr="002C42A6">
        <w:rPr>
          <w:b/>
        </w:rPr>
        <w:t>ACAS and new legislation</w:t>
      </w:r>
      <w:r>
        <w:t xml:space="preserve"> are key sources required to be referenced in planning what is required in the future. An recent example being the requirement for any business with more than 250 employees to publish an annual report on the pay gap between the Chief executive and their average UK worker. It is also important that all internal policies are in adherence to new legislation and there is usually an implementation period which businesses have to plan and then implement the change. This also ensure that the business mitigate their exposure to any risk that could be created through non adherence </w:t>
      </w:r>
      <w:sdt>
        <w:sdtPr>
          <w:id w:val="138546445"/>
          <w:citation/>
        </w:sdtPr>
        <w:sdtContent>
          <w:r>
            <w:fldChar w:fldCharType="begin"/>
          </w:r>
          <w:r>
            <w:instrText xml:space="preserve"> CITATION ACA19 \l 2057 </w:instrText>
          </w:r>
          <w:r>
            <w:fldChar w:fldCharType="separate"/>
          </w:r>
          <w:r>
            <w:rPr>
              <w:noProof/>
            </w:rPr>
            <w:t>(ACAS, 2019)</w:t>
          </w:r>
          <w:r>
            <w:fldChar w:fldCharType="end"/>
          </w:r>
        </w:sdtContent>
      </w:sdt>
      <w:r>
        <w:t>.</w:t>
      </w:r>
    </w:p>
    <w:p w14:paraId="7C389B21" w14:textId="3193B486" w:rsidR="002C42A6" w:rsidRDefault="002C42A6" w:rsidP="005244B2">
      <w:pPr>
        <w:rPr>
          <w:b/>
          <w:color w:val="00B0F0"/>
          <w:u w:val="single"/>
        </w:rPr>
      </w:pPr>
      <w:r w:rsidRPr="008230E0">
        <w:rPr>
          <w:b/>
          <w:color w:val="494949"/>
        </w:rPr>
        <w:t>Office of National Statistics</w:t>
      </w:r>
      <w:r>
        <w:rPr>
          <w:color w:val="494949"/>
        </w:rPr>
        <w:t xml:space="preserve"> is a vital source of information useful as a credible source of data for businesses. They survey approx. 325,000 business with different survey with the information used by government sources and critically by businesses to identify any emerging trends in the market and alongside market performance and development. This will then support planning and setting of strategy and direction for a business from the external benchmarking that can take place </w:t>
      </w:r>
      <w:sdt>
        <w:sdtPr>
          <w:rPr>
            <w:color w:val="494949"/>
          </w:rPr>
          <w:id w:val="-1781178590"/>
          <w:citation/>
        </w:sdtPr>
        <w:sdtContent>
          <w:r>
            <w:rPr>
              <w:color w:val="494949"/>
            </w:rPr>
            <w:fldChar w:fldCharType="begin"/>
          </w:r>
          <w:r>
            <w:rPr>
              <w:color w:val="494949"/>
            </w:rPr>
            <w:instrText xml:space="preserve"> CITATION ONS17 \l 2057 </w:instrText>
          </w:r>
          <w:r>
            <w:rPr>
              <w:color w:val="494949"/>
            </w:rPr>
            <w:fldChar w:fldCharType="separate"/>
          </w:r>
          <w:r w:rsidRPr="002C42A6">
            <w:rPr>
              <w:noProof/>
              <w:color w:val="494949"/>
            </w:rPr>
            <w:t>(ONS, 2017)</w:t>
          </w:r>
          <w:r>
            <w:rPr>
              <w:color w:val="494949"/>
            </w:rPr>
            <w:fldChar w:fldCharType="end"/>
          </w:r>
        </w:sdtContent>
      </w:sdt>
      <w:r w:rsidRPr="002C42A6">
        <w:rPr>
          <w:color w:val="494949"/>
        </w:rPr>
        <w:br/>
      </w:r>
      <w:r w:rsidRPr="002C42A6">
        <w:rPr>
          <w:color w:val="494949"/>
        </w:rPr>
        <w:br/>
      </w:r>
      <w:r w:rsidR="00065807">
        <w:rPr>
          <w:b/>
          <w:color w:val="00B0F0"/>
          <w:u w:val="single"/>
        </w:rPr>
        <w:t>What’s</w:t>
      </w:r>
      <w:r w:rsidR="00C4293C">
        <w:rPr>
          <w:b/>
          <w:color w:val="00B0F0"/>
          <w:u w:val="single"/>
        </w:rPr>
        <w:t xml:space="preserve"> next</w:t>
      </w:r>
    </w:p>
    <w:p w14:paraId="1B1C9572" w14:textId="4FC6867D" w:rsidR="00C4293C" w:rsidRPr="00C4293C" w:rsidRDefault="00C4293C" w:rsidP="005244B2">
      <w:pPr>
        <w:rPr>
          <w:color w:val="000000" w:themeColor="text1"/>
        </w:rPr>
      </w:pPr>
      <w:r>
        <w:rPr>
          <w:color w:val="000000" w:themeColor="text1"/>
        </w:rPr>
        <w:t xml:space="preserve">Having looked </w:t>
      </w:r>
      <w:r w:rsidR="00F50AAC">
        <w:rPr>
          <w:color w:val="000000" w:themeColor="text1"/>
        </w:rPr>
        <w:t>at how we have and currently operate it is also important to look forward particularly with the impact of technology and how this will impact HR and the role it plays. By 2020 35% of the UK workforce will be classed as millennials with research suggesting 35% of current roles could be automated within 20 years</w:t>
      </w:r>
      <w:r w:rsidR="00065807">
        <w:rPr>
          <w:color w:val="000000" w:themeColor="text1"/>
        </w:rPr>
        <w:t xml:space="preserve"> </w:t>
      </w:r>
      <w:sdt>
        <w:sdtPr>
          <w:rPr>
            <w:color w:val="000000" w:themeColor="text1"/>
          </w:rPr>
          <w:id w:val="704835892"/>
          <w:citation/>
        </w:sdtPr>
        <w:sdtContent>
          <w:r w:rsidR="00065807">
            <w:rPr>
              <w:color w:val="000000" w:themeColor="text1"/>
            </w:rPr>
            <w:fldChar w:fldCharType="begin"/>
          </w:r>
          <w:r w:rsidR="00065807">
            <w:rPr>
              <w:color w:val="000000" w:themeColor="text1"/>
            </w:rPr>
            <w:instrText xml:space="preserve"> CITATION CIP172 \l 2057 </w:instrText>
          </w:r>
          <w:r w:rsidR="00065807">
            <w:rPr>
              <w:color w:val="000000" w:themeColor="text1"/>
            </w:rPr>
            <w:fldChar w:fldCharType="separate"/>
          </w:r>
          <w:r w:rsidR="00065807" w:rsidRPr="00065807">
            <w:rPr>
              <w:noProof/>
              <w:color w:val="000000" w:themeColor="text1"/>
            </w:rPr>
            <w:t>(CIPD, 2017)</w:t>
          </w:r>
          <w:r w:rsidR="00065807">
            <w:rPr>
              <w:color w:val="000000" w:themeColor="text1"/>
            </w:rPr>
            <w:fldChar w:fldCharType="end"/>
          </w:r>
        </w:sdtContent>
      </w:sdt>
      <w:r w:rsidR="00F50AAC">
        <w:rPr>
          <w:color w:val="000000" w:themeColor="text1"/>
        </w:rPr>
        <w:t>.</w:t>
      </w:r>
      <w:r w:rsidR="00F50AAC">
        <w:rPr>
          <w:color w:val="FF0000"/>
        </w:rPr>
        <w:t xml:space="preserve"> </w:t>
      </w:r>
      <w:r w:rsidR="00F50AAC" w:rsidRPr="00F50AAC">
        <w:t>Technology will be able to support</w:t>
      </w:r>
      <w:r w:rsidR="00F50AAC">
        <w:t xml:space="preserve"> the removal of labour intensive mundane HR tasks digitalising processes particularly around recruitment however increasing the need for more strategic </w:t>
      </w:r>
      <w:r w:rsidR="00065807">
        <w:t xml:space="preserve">HRM activities to support growth and policies. Employee wellbeing will be key with the emergence of the gig economy it is more common for people to have more than 1 job at a time alongside the introduction of more short term contracts of employment. Ensuring this is aligned to business need will be key and HR will have a significant role to play in implementing this into the working models of organisations, designing contracts and reward strategies to support attaining the relevant talent to succeed </w:t>
      </w:r>
      <w:sdt>
        <w:sdtPr>
          <w:id w:val="1651252862"/>
          <w:citation/>
        </w:sdtPr>
        <w:sdtContent>
          <w:r w:rsidR="00065807">
            <w:fldChar w:fldCharType="begin"/>
          </w:r>
          <w:r w:rsidR="00065807">
            <w:instrText xml:space="preserve"> CITATION CIP172 \l 2057 </w:instrText>
          </w:r>
          <w:r w:rsidR="00065807">
            <w:fldChar w:fldCharType="separate"/>
          </w:r>
          <w:r w:rsidR="00065807">
            <w:rPr>
              <w:noProof/>
            </w:rPr>
            <w:t>(CIPD, 2017)</w:t>
          </w:r>
          <w:r w:rsidR="00065807">
            <w:fldChar w:fldCharType="end"/>
          </w:r>
        </w:sdtContent>
      </w:sdt>
      <w:r w:rsidR="00065807">
        <w:t>.</w:t>
      </w:r>
    </w:p>
    <w:p w14:paraId="3C1DDA0B" w14:textId="606B5055" w:rsidR="00F91CD3" w:rsidRDefault="00F91CD3" w:rsidP="005244B2"/>
    <w:sdt>
      <w:sdtPr>
        <w:id w:val="-762295298"/>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75460EE7" w14:textId="2847E5D4" w:rsidR="00F91CD3" w:rsidRDefault="00F91CD3">
          <w:pPr>
            <w:pStyle w:val="Heading1"/>
          </w:pPr>
          <w:r>
            <w:t>References</w:t>
          </w:r>
        </w:p>
        <w:sdt>
          <w:sdtPr>
            <w:id w:val="-573587230"/>
            <w:bibliography/>
          </w:sdtPr>
          <w:sdtContent>
            <w:p w14:paraId="20F5E54E" w14:textId="77777777" w:rsidR="00F91CD3" w:rsidRDefault="00F91CD3" w:rsidP="00F91CD3">
              <w:pPr>
                <w:pStyle w:val="Bibliography"/>
                <w:ind w:left="720" w:hanging="720"/>
                <w:rPr>
                  <w:noProof/>
                  <w:sz w:val="24"/>
                  <w:szCs w:val="24"/>
                  <w:lang w:val="en-US"/>
                </w:rPr>
              </w:pPr>
              <w:r>
                <w:fldChar w:fldCharType="begin"/>
              </w:r>
              <w:r>
                <w:instrText xml:space="preserve"> BIBLIOGRAPHY </w:instrText>
              </w:r>
              <w:r>
                <w:fldChar w:fldCharType="separate"/>
              </w:r>
              <w:r>
                <w:rPr>
                  <w:noProof/>
                  <w:lang w:val="en-US"/>
                </w:rPr>
                <w:t xml:space="preserve">ACAS. (2019, Jan). </w:t>
              </w:r>
              <w:r>
                <w:rPr>
                  <w:i/>
                  <w:iCs/>
                  <w:noProof/>
                  <w:lang w:val="en-US"/>
                </w:rPr>
                <w:t>Employment Law Update</w:t>
              </w:r>
              <w:r>
                <w:rPr>
                  <w:noProof/>
                  <w:lang w:val="en-US"/>
                </w:rPr>
                <w:t>. Retrieved from ACAS: http://www.acas.org.uk/index.aspx?articleid=3909</w:t>
              </w:r>
            </w:p>
            <w:p w14:paraId="146AAED1" w14:textId="77777777" w:rsidR="00F91CD3" w:rsidRDefault="00F91CD3" w:rsidP="00F91CD3">
              <w:pPr>
                <w:pStyle w:val="Bibliography"/>
                <w:ind w:left="720" w:hanging="720"/>
                <w:rPr>
                  <w:noProof/>
                  <w:lang w:val="en-US"/>
                </w:rPr>
              </w:pPr>
              <w:r>
                <w:rPr>
                  <w:noProof/>
                  <w:lang w:val="en-US"/>
                </w:rPr>
                <w:t xml:space="preserve">Armstrong, M. (2006). </w:t>
              </w:r>
              <w:r>
                <w:rPr>
                  <w:i/>
                  <w:iCs/>
                  <w:noProof/>
                  <w:lang w:val="en-US"/>
                </w:rPr>
                <w:t>A Handbook of Human Resouce Practice.</w:t>
              </w:r>
              <w:r>
                <w:rPr>
                  <w:noProof/>
                  <w:lang w:val="en-US"/>
                </w:rPr>
                <w:t xml:space="preserve"> Kogan Page.</w:t>
              </w:r>
            </w:p>
            <w:p w14:paraId="5BC1345B" w14:textId="77777777" w:rsidR="00F91CD3" w:rsidRDefault="00F91CD3" w:rsidP="00F91CD3">
              <w:pPr>
                <w:pStyle w:val="Bibliography"/>
                <w:ind w:left="720" w:hanging="720"/>
                <w:rPr>
                  <w:noProof/>
                  <w:lang w:val="en-US"/>
                </w:rPr>
              </w:pPr>
              <w:r>
                <w:rPr>
                  <w:noProof/>
                  <w:lang w:val="en-US"/>
                </w:rPr>
                <w:t xml:space="preserve">Barney, J. (1991). Firm resources and sustainable competitive adavantage. </w:t>
              </w:r>
              <w:r>
                <w:rPr>
                  <w:i/>
                  <w:iCs/>
                  <w:noProof/>
                  <w:lang w:val="en-US"/>
                </w:rPr>
                <w:t>Journal of Management</w:t>
              </w:r>
              <w:r>
                <w:rPr>
                  <w:noProof/>
                  <w:lang w:val="en-US"/>
                </w:rPr>
                <w:t>, 99-129.</w:t>
              </w:r>
            </w:p>
            <w:p w14:paraId="1E027C40" w14:textId="77777777" w:rsidR="00F91CD3" w:rsidRDefault="00F91CD3" w:rsidP="00F91CD3">
              <w:pPr>
                <w:pStyle w:val="Bibliography"/>
                <w:ind w:left="720" w:hanging="720"/>
                <w:rPr>
                  <w:noProof/>
                  <w:lang w:val="en-US"/>
                </w:rPr>
              </w:pPr>
              <w:r>
                <w:rPr>
                  <w:noProof/>
                  <w:lang w:val="en-US"/>
                </w:rPr>
                <w:t xml:space="preserve">Beer, M., Spector, B., Lawrence, P., Quinn Mills, D., &amp; Walton, R. (1985). </w:t>
              </w:r>
              <w:r>
                <w:rPr>
                  <w:i/>
                  <w:iCs/>
                  <w:noProof/>
                  <w:lang w:val="en-US"/>
                </w:rPr>
                <w:t>Human Resource Management: a general managers perspective.</w:t>
              </w:r>
              <w:r>
                <w:rPr>
                  <w:noProof/>
                  <w:lang w:val="en-US"/>
                </w:rPr>
                <w:t xml:space="preserve"> Glencoe Illinois: Free Press.</w:t>
              </w:r>
            </w:p>
            <w:p w14:paraId="60655A05" w14:textId="77777777" w:rsidR="00F91CD3" w:rsidRDefault="00F91CD3" w:rsidP="00F91CD3">
              <w:pPr>
                <w:pStyle w:val="Bibliography"/>
                <w:ind w:left="720" w:hanging="720"/>
                <w:rPr>
                  <w:noProof/>
                  <w:lang w:val="en-US"/>
                </w:rPr>
              </w:pPr>
              <w:r>
                <w:rPr>
                  <w:noProof/>
                  <w:lang w:val="en-US"/>
                </w:rPr>
                <w:t xml:space="preserve">Charity Governace Code. (2017). </w:t>
              </w:r>
              <w:r>
                <w:rPr>
                  <w:i/>
                  <w:iCs/>
                  <w:noProof/>
                  <w:lang w:val="en-US"/>
                </w:rPr>
                <w:t>Charity Governance Code - About the Code</w:t>
              </w:r>
              <w:r>
                <w:rPr>
                  <w:noProof/>
                  <w:lang w:val="en-US"/>
                </w:rPr>
                <w:t>. Retrieved from Charity Governance Code: https://www.charitygovernancecode.org/en/about-the-code-1/using-the-code</w:t>
              </w:r>
            </w:p>
            <w:p w14:paraId="2B3B698E" w14:textId="77777777" w:rsidR="00F91CD3" w:rsidRDefault="00F91CD3" w:rsidP="00F91CD3">
              <w:pPr>
                <w:pStyle w:val="Bibliography"/>
                <w:ind w:left="720" w:hanging="720"/>
                <w:rPr>
                  <w:noProof/>
                  <w:lang w:val="en-US"/>
                </w:rPr>
              </w:pPr>
              <w:r>
                <w:rPr>
                  <w:noProof/>
                  <w:lang w:val="en-US"/>
                </w:rPr>
                <w:t xml:space="preserve">CIPD. (2015, October 15). </w:t>
              </w:r>
              <w:r>
                <w:rPr>
                  <w:i/>
                  <w:iCs/>
                  <w:noProof/>
                  <w:lang w:val="en-US"/>
                </w:rPr>
                <w:t>SWOT Analysis</w:t>
              </w:r>
              <w:r>
                <w:rPr>
                  <w:noProof/>
                  <w:lang w:val="en-US"/>
                </w:rPr>
                <w:t>. Retrieved from CIPD: https://www.cipd.co.uk/knowledge/strategy/organisational-development/swot-analysis-factsheet</w:t>
              </w:r>
            </w:p>
            <w:p w14:paraId="214D2A1B" w14:textId="77777777" w:rsidR="00F91CD3" w:rsidRDefault="00F91CD3" w:rsidP="00F91CD3">
              <w:pPr>
                <w:pStyle w:val="Bibliography"/>
                <w:ind w:left="720" w:hanging="720"/>
                <w:rPr>
                  <w:noProof/>
                  <w:lang w:val="en-US"/>
                </w:rPr>
              </w:pPr>
              <w:r>
                <w:rPr>
                  <w:noProof/>
                  <w:lang w:val="en-US"/>
                </w:rPr>
                <w:t xml:space="preserve">CIPD. (2017, May 02). </w:t>
              </w:r>
              <w:r>
                <w:rPr>
                  <w:i/>
                  <w:iCs/>
                  <w:noProof/>
                  <w:lang w:val="en-US"/>
                </w:rPr>
                <w:t>HR tech revolution: friend or foe?</w:t>
              </w:r>
              <w:r>
                <w:rPr>
                  <w:noProof/>
                  <w:lang w:val="en-US"/>
                </w:rPr>
                <w:t xml:space="preserve"> Retrieved from CIPD: https://www.cipd.co.uk/podcasts/hr-technology</w:t>
              </w:r>
            </w:p>
            <w:p w14:paraId="28550628" w14:textId="77777777" w:rsidR="00F91CD3" w:rsidRDefault="00F91CD3" w:rsidP="00F91CD3">
              <w:pPr>
                <w:pStyle w:val="Bibliography"/>
                <w:ind w:left="720" w:hanging="720"/>
                <w:rPr>
                  <w:noProof/>
                  <w:lang w:val="en-US"/>
                </w:rPr>
              </w:pPr>
              <w:r>
                <w:rPr>
                  <w:noProof/>
                  <w:lang w:val="en-US"/>
                </w:rPr>
                <w:t xml:space="preserve">CIPD. (2017, Nov 8). </w:t>
              </w:r>
              <w:r>
                <w:rPr>
                  <w:i/>
                  <w:iCs/>
                  <w:noProof/>
                  <w:lang w:val="en-US"/>
                </w:rPr>
                <w:t>Strategic HRM</w:t>
              </w:r>
              <w:r>
                <w:rPr>
                  <w:noProof/>
                  <w:lang w:val="en-US"/>
                </w:rPr>
                <w:t>. Retrieved from CIPD: https://www.cipd.co.uk/knowledge/strategy/hr/strategic-hrm-factsheet</w:t>
              </w:r>
            </w:p>
            <w:p w14:paraId="60D9F6C9" w14:textId="77777777" w:rsidR="00F91CD3" w:rsidRDefault="00F91CD3" w:rsidP="00F91CD3">
              <w:pPr>
                <w:pStyle w:val="Bibliography"/>
                <w:ind w:left="720" w:hanging="720"/>
                <w:rPr>
                  <w:noProof/>
                  <w:lang w:val="en-US"/>
                </w:rPr>
              </w:pPr>
              <w:r>
                <w:rPr>
                  <w:noProof/>
                  <w:lang w:val="en-US"/>
                </w:rPr>
                <w:t xml:space="preserve">CIPD. (2018, April 12). </w:t>
              </w:r>
              <w:r>
                <w:rPr>
                  <w:i/>
                  <w:iCs/>
                  <w:noProof/>
                  <w:lang w:val="en-US"/>
                </w:rPr>
                <w:t>Emerging technology and the future of work</w:t>
              </w:r>
              <w:r>
                <w:rPr>
                  <w:noProof/>
                  <w:lang w:val="en-US"/>
                </w:rPr>
                <w:t>. Retrieved from CIPD: https://www.cipd.co.uk/knowledge/work/technology/emerging-future-work-factsheet</w:t>
              </w:r>
            </w:p>
            <w:p w14:paraId="24DD5716" w14:textId="77777777" w:rsidR="00F91CD3" w:rsidRDefault="00F91CD3" w:rsidP="00F91CD3">
              <w:pPr>
                <w:pStyle w:val="Bibliography"/>
                <w:ind w:left="720" w:hanging="720"/>
                <w:rPr>
                  <w:noProof/>
                  <w:lang w:val="en-US"/>
                </w:rPr>
              </w:pPr>
              <w:r>
                <w:rPr>
                  <w:noProof/>
                  <w:lang w:val="en-US"/>
                </w:rPr>
                <w:t xml:space="preserve">CIPD. (2018, June 13). </w:t>
              </w:r>
              <w:r>
                <w:rPr>
                  <w:i/>
                  <w:iCs/>
                  <w:noProof/>
                  <w:lang w:val="en-US"/>
                </w:rPr>
                <w:t>HR Analytics CIPD.</w:t>
              </w:r>
              <w:r>
                <w:rPr>
                  <w:noProof/>
                  <w:lang w:val="en-US"/>
                </w:rPr>
                <w:t xml:space="preserve"> Retrieved from CIPD: https://www.cipd.co.uk/knowledge/strategy/analytics/factsheet</w:t>
              </w:r>
            </w:p>
            <w:p w14:paraId="5A62A734" w14:textId="77777777" w:rsidR="00F91CD3" w:rsidRDefault="00F91CD3" w:rsidP="00F91CD3">
              <w:pPr>
                <w:pStyle w:val="Bibliography"/>
                <w:ind w:left="720" w:hanging="720"/>
                <w:rPr>
                  <w:noProof/>
                  <w:lang w:val="en-US"/>
                </w:rPr>
              </w:pPr>
              <w:r>
                <w:rPr>
                  <w:noProof/>
                  <w:lang w:val="en-US"/>
                </w:rPr>
                <w:t xml:space="preserve">CIPD. (2018, December 17). </w:t>
              </w:r>
              <w:r>
                <w:rPr>
                  <w:i/>
                  <w:iCs/>
                  <w:noProof/>
                  <w:lang w:val="en-US"/>
                </w:rPr>
                <w:t>PESTLE Analysis</w:t>
              </w:r>
              <w:r>
                <w:rPr>
                  <w:noProof/>
                  <w:lang w:val="en-US"/>
                </w:rPr>
                <w:t>. Retrieved from CIPD: https://www.cipd.co.uk/knowledge/strategy/organisational-development/pestle-analysis-factsheet</w:t>
              </w:r>
            </w:p>
            <w:p w14:paraId="15B56948" w14:textId="77777777" w:rsidR="00F91CD3" w:rsidRDefault="00F91CD3" w:rsidP="00F91CD3">
              <w:pPr>
                <w:pStyle w:val="Bibliography"/>
                <w:ind w:left="720" w:hanging="720"/>
                <w:rPr>
                  <w:noProof/>
                  <w:lang w:val="en-US"/>
                </w:rPr>
              </w:pPr>
              <w:r>
                <w:rPr>
                  <w:noProof/>
                  <w:lang w:val="en-US"/>
                </w:rPr>
                <w:t xml:space="preserve">Corporate finance Institute. (2016). </w:t>
              </w:r>
              <w:r>
                <w:rPr>
                  <w:i/>
                  <w:iCs/>
                  <w:noProof/>
                  <w:lang w:val="en-US"/>
                </w:rPr>
                <w:t>business life cycle</w:t>
              </w:r>
              <w:r>
                <w:rPr>
                  <w:noProof/>
                  <w:lang w:val="en-US"/>
                </w:rPr>
                <w:t>. Retrieved from corporatefinanceinstitute: https://corporatefinanceinstitute.com/resources/knowledge/finance/business-life-cycle/</w:t>
              </w:r>
            </w:p>
            <w:p w14:paraId="6B94BE81" w14:textId="77777777" w:rsidR="00F91CD3" w:rsidRDefault="00F91CD3" w:rsidP="00F91CD3">
              <w:pPr>
                <w:pStyle w:val="Bibliography"/>
                <w:ind w:left="720" w:hanging="720"/>
                <w:rPr>
                  <w:noProof/>
                  <w:lang w:val="en-US"/>
                </w:rPr>
              </w:pPr>
              <w:r>
                <w:rPr>
                  <w:noProof/>
                  <w:lang w:val="en-US"/>
                </w:rPr>
                <w:t xml:space="preserve">David, F. (2009). </w:t>
              </w:r>
              <w:r>
                <w:rPr>
                  <w:i/>
                  <w:iCs/>
                  <w:noProof/>
                  <w:lang w:val="en-US"/>
                </w:rPr>
                <w:t>Strategic MAnagement Concepts and Cases.</w:t>
              </w:r>
              <w:r>
                <w:rPr>
                  <w:noProof/>
                  <w:lang w:val="en-US"/>
                </w:rPr>
                <w:t xml:space="preserve"> Prentence Hall. Retrieved from David, F.R. (2009). Strategic Management: Concepts and Cases. 12th ed. FT Prentice Hall, p. 36-37, 45-47, 93</w:t>
              </w:r>
            </w:p>
            <w:p w14:paraId="445D426A" w14:textId="77777777" w:rsidR="00F91CD3" w:rsidRDefault="00F91CD3" w:rsidP="00F91CD3">
              <w:pPr>
                <w:pStyle w:val="Bibliography"/>
                <w:ind w:left="720" w:hanging="720"/>
                <w:rPr>
                  <w:noProof/>
                  <w:lang w:val="en-US"/>
                </w:rPr>
              </w:pPr>
              <w:r>
                <w:rPr>
                  <w:noProof/>
                  <w:lang w:val="en-US"/>
                </w:rPr>
                <w:t xml:space="preserve">Farnham, D. (2016). </w:t>
              </w:r>
              <w:r>
                <w:rPr>
                  <w:i/>
                  <w:iCs/>
                  <w:noProof/>
                  <w:lang w:val="en-US"/>
                </w:rPr>
                <w:t>Human Resource Management in context.</w:t>
              </w:r>
              <w:r>
                <w:rPr>
                  <w:noProof/>
                  <w:lang w:val="en-US"/>
                </w:rPr>
                <w:t xml:space="preserve"> London: CIPD.</w:t>
              </w:r>
            </w:p>
            <w:p w14:paraId="48C9B78C" w14:textId="77777777" w:rsidR="00F91CD3" w:rsidRDefault="00F91CD3" w:rsidP="00F91CD3">
              <w:pPr>
                <w:pStyle w:val="Bibliography"/>
                <w:ind w:left="720" w:hanging="720"/>
                <w:rPr>
                  <w:noProof/>
                  <w:lang w:val="en-US"/>
                </w:rPr>
              </w:pPr>
              <w:r>
                <w:rPr>
                  <w:noProof/>
                  <w:lang w:val="en-US"/>
                </w:rPr>
                <w:t xml:space="preserve">Financial Times. (2017, October 5th). </w:t>
              </w:r>
              <w:r>
                <w:rPr>
                  <w:i/>
                  <w:iCs/>
                  <w:noProof/>
                  <w:lang w:val="en-US"/>
                </w:rPr>
                <w:t>Big bank to move headquarters out of Catalonia Financial Times</w:t>
              </w:r>
              <w:r>
                <w:rPr>
                  <w:noProof/>
                  <w:lang w:val="en-US"/>
                </w:rPr>
                <w:t>. Retrieved from Financial Times: https://www.ft.com/content/daada4cc-a9b4-11e7-93c5-648314d2c72c</w:t>
              </w:r>
            </w:p>
            <w:p w14:paraId="7D9343EE" w14:textId="77777777" w:rsidR="00F91CD3" w:rsidRDefault="00F91CD3" w:rsidP="00F91CD3">
              <w:pPr>
                <w:pStyle w:val="Bibliography"/>
                <w:ind w:left="720" w:hanging="720"/>
                <w:rPr>
                  <w:noProof/>
                  <w:lang w:val="en-US"/>
                </w:rPr>
              </w:pPr>
              <w:r>
                <w:rPr>
                  <w:noProof/>
                  <w:lang w:val="en-US"/>
                </w:rPr>
                <w:lastRenderedPageBreak/>
                <w:t xml:space="preserve">Forbes. (2018, January 18). </w:t>
              </w:r>
              <w:r>
                <w:rPr>
                  <w:i/>
                  <w:iCs/>
                  <w:noProof/>
                  <w:lang w:val="en-US"/>
                </w:rPr>
                <w:t>Technology has already taken 905 of jobs</w:t>
              </w:r>
              <w:r>
                <w:rPr>
                  <w:noProof/>
                  <w:lang w:val="en-US"/>
                </w:rPr>
                <w:t>. Retrieved from Forbes: https://www.forbes.com/sites/quora/2018/01/18/technology-has-already-taken-over-90-of-the-jobs-humans-used-to-do/#4e4ec9aa1bdd</w:t>
              </w:r>
            </w:p>
            <w:p w14:paraId="15A20C02" w14:textId="77777777" w:rsidR="00F91CD3" w:rsidRDefault="00F91CD3" w:rsidP="00F91CD3">
              <w:pPr>
                <w:pStyle w:val="Bibliography"/>
                <w:ind w:left="720" w:hanging="720"/>
                <w:rPr>
                  <w:noProof/>
                  <w:lang w:val="en-US"/>
                </w:rPr>
              </w:pPr>
              <w:r>
                <w:rPr>
                  <w:noProof/>
                  <w:lang w:val="en-US"/>
                </w:rPr>
                <w:t xml:space="preserve">Harrison, L. (2015, December 01). </w:t>
              </w:r>
              <w:r>
                <w:rPr>
                  <w:i/>
                  <w:iCs/>
                  <w:noProof/>
                  <w:lang w:val="en-US"/>
                </w:rPr>
                <w:t>HR and Business Ethics CIPD.</w:t>
              </w:r>
              <w:r>
                <w:rPr>
                  <w:noProof/>
                  <w:lang w:val="en-US"/>
                </w:rPr>
                <w:t xml:space="preserve"> Retrieved from CIPD: https://www.cipd.co.uk/podcasts/hr-business-ethics</w:t>
              </w:r>
            </w:p>
            <w:p w14:paraId="04B356A9" w14:textId="77777777" w:rsidR="00F91CD3" w:rsidRDefault="00F91CD3" w:rsidP="00F91CD3">
              <w:pPr>
                <w:pStyle w:val="Bibliography"/>
                <w:ind w:left="720" w:hanging="720"/>
                <w:rPr>
                  <w:noProof/>
                  <w:lang w:val="en-US"/>
                </w:rPr>
              </w:pPr>
              <w:r>
                <w:rPr>
                  <w:noProof/>
                  <w:lang w:val="en-US"/>
                </w:rPr>
                <w:t xml:space="preserve">Healthcare success. (2017). </w:t>
              </w:r>
              <w:r>
                <w:rPr>
                  <w:i/>
                  <w:iCs/>
                  <w:noProof/>
                  <w:lang w:val="en-US"/>
                </w:rPr>
                <w:t>Blog SWOT</w:t>
              </w:r>
              <w:r>
                <w:rPr>
                  <w:noProof/>
                  <w:lang w:val="en-US"/>
                </w:rPr>
                <w:t>. Retrieved from Healthcare success: https://www.healthcaresuccess.com/blog/medical-advertising-agency/swot.html</w:t>
              </w:r>
            </w:p>
            <w:p w14:paraId="6F105221" w14:textId="77777777" w:rsidR="00F91CD3" w:rsidRDefault="00F91CD3" w:rsidP="00F91CD3">
              <w:pPr>
                <w:pStyle w:val="Bibliography"/>
                <w:ind w:left="720" w:hanging="720"/>
                <w:rPr>
                  <w:noProof/>
                  <w:lang w:val="en-US"/>
                </w:rPr>
              </w:pPr>
              <w:r>
                <w:rPr>
                  <w:i/>
                  <w:iCs/>
                  <w:noProof/>
                  <w:lang w:val="en-US"/>
                </w:rPr>
                <w:t>HRMwordpress.</w:t>
              </w:r>
              <w:r>
                <w:rPr>
                  <w:noProof/>
                  <w:lang w:val="en-US"/>
                </w:rPr>
                <w:t xml:space="preserve"> (2016, March 8). Retrieved from WordPress: https://hrm024209.wordpress.com/2016/03/18/2/</w:t>
              </w:r>
            </w:p>
            <w:p w14:paraId="602BB9CB" w14:textId="77777777" w:rsidR="00F91CD3" w:rsidRDefault="00F91CD3" w:rsidP="00F91CD3">
              <w:pPr>
                <w:pStyle w:val="Bibliography"/>
                <w:ind w:left="720" w:hanging="720"/>
                <w:rPr>
                  <w:noProof/>
                  <w:lang w:val="en-US"/>
                </w:rPr>
              </w:pPr>
              <w:r>
                <w:rPr>
                  <w:noProof/>
                  <w:lang w:val="en-US"/>
                </w:rPr>
                <w:t xml:space="preserve">IT Governance. (2018). </w:t>
              </w:r>
              <w:r>
                <w:rPr>
                  <w:i/>
                  <w:iCs/>
                  <w:noProof/>
                  <w:lang w:val="en-US"/>
                </w:rPr>
                <w:t>SLA</w:t>
              </w:r>
              <w:r>
                <w:rPr>
                  <w:noProof/>
                  <w:lang w:val="en-US"/>
                </w:rPr>
                <w:t>. Retrieved from IT Governance: https://www.itgovernance.co.uk/sla</w:t>
              </w:r>
            </w:p>
            <w:p w14:paraId="088379B1" w14:textId="77777777" w:rsidR="00F91CD3" w:rsidRDefault="00F91CD3" w:rsidP="00F91CD3">
              <w:pPr>
                <w:pStyle w:val="Bibliography"/>
                <w:ind w:left="720" w:hanging="720"/>
                <w:rPr>
                  <w:noProof/>
                  <w:lang w:val="en-US"/>
                </w:rPr>
              </w:pPr>
              <w:r>
                <w:rPr>
                  <w:noProof/>
                  <w:lang w:val="en-US"/>
                </w:rPr>
                <w:t xml:space="preserve">Kew, J., &amp; Stedwick, J. (2014). </w:t>
              </w:r>
              <w:r>
                <w:rPr>
                  <w:i/>
                  <w:iCs/>
                  <w:noProof/>
                  <w:lang w:val="en-US"/>
                </w:rPr>
                <w:t>Human Resource Management in a busines context.</w:t>
              </w:r>
              <w:r>
                <w:rPr>
                  <w:noProof/>
                  <w:lang w:val="en-US"/>
                </w:rPr>
                <w:t xml:space="preserve"> London: CIPD.</w:t>
              </w:r>
            </w:p>
            <w:p w14:paraId="36E01FB8" w14:textId="77777777" w:rsidR="00F91CD3" w:rsidRDefault="00F91CD3" w:rsidP="00F91CD3">
              <w:pPr>
                <w:pStyle w:val="Bibliography"/>
                <w:ind w:left="720" w:hanging="720"/>
                <w:rPr>
                  <w:noProof/>
                  <w:lang w:val="en-US"/>
                </w:rPr>
              </w:pPr>
              <w:r>
                <w:rPr>
                  <w:noProof/>
                  <w:lang w:val="en-US"/>
                </w:rPr>
                <w:t xml:space="preserve">Kramer. (1963). </w:t>
              </w:r>
              <w:r>
                <w:rPr>
                  <w:i/>
                  <w:iCs/>
                  <w:noProof/>
                  <w:lang w:val="en-US"/>
                </w:rPr>
                <w:t>The Sumerians.</w:t>
              </w:r>
              <w:r>
                <w:rPr>
                  <w:noProof/>
                  <w:lang w:val="en-US"/>
                </w:rPr>
                <w:t xml:space="preserve"> Chicago: University of Chicago Press.</w:t>
              </w:r>
            </w:p>
            <w:p w14:paraId="4F2D93F5" w14:textId="77777777" w:rsidR="00F91CD3" w:rsidRDefault="00F91CD3" w:rsidP="00F91CD3">
              <w:pPr>
                <w:pStyle w:val="Bibliography"/>
                <w:ind w:left="720" w:hanging="720"/>
                <w:rPr>
                  <w:noProof/>
                  <w:lang w:val="en-US"/>
                </w:rPr>
              </w:pPr>
              <w:r>
                <w:rPr>
                  <w:noProof/>
                  <w:lang w:val="en-US"/>
                </w:rPr>
                <w:t xml:space="preserve">Lawton. (1998). </w:t>
              </w:r>
              <w:r>
                <w:rPr>
                  <w:i/>
                  <w:iCs/>
                  <w:noProof/>
                  <w:lang w:val="en-US"/>
                </w:rPr>
                <w:t>Ethical Management for the public services.</w:t>
              </w:r>
              <w:r>
                <w:rPr>
                  <w:noProof/>
                  <w:lang w:val="en-US"/>
                </w:rPr>
                <w:t xml:space="preserve"> Buckingham: Open University Press.</w:t>
              </w:r>
            </w:p>
            <w:p w14:paraId="22920E19" w14:textId="77777777" w:rsidR="00F91CD3" w:rsidRDefault="00F91CD3" w:rsidP="00F91CD3">
              <w:pPr>
                <w:pStyle w:val="Bibliography"/>
                <w:ind w:left="720" w:hanging="720"/>
                <w:rPr>
                  <w:noProof/>
                  <w:lang w:val="en-US"/>
                </w:rPr>
              </w:pPr>
              <w:r>
                <w:rPr>
                  <w:i/>
                  <w:iCs/>
                  <w:noProof/>
                  <w:lang w:val="en-US"/>
                </w:rPr>
                <w:t>Managing HR role David Ulrichs model</w:t>
              </w:r>
              <w:r>
                <w:rPr>
                  <w:noProof/>
                  <w:lang w:val="en-US"/>
                </w:rPr>
                <w:t>. (2018, May 14). Retrieved from Mettle blog: https://blog.mettl.com/talent-hub/managing-hr-roles-david-ulrich-model</w:t>
              </w:r>
            </w:p>
            <w:p w14:paraId="5833A4BB" w14:textId="77777777" w:rsidR="00F91CD3" w:rsidRDefault="00F91CD3" w:rsidP="00F91CD3">
              <w:pPr>
                <w:pStyle w:val="Bibliography"/>
                <w:ind w:left="720" w:hanging="720"/>
                <w:rPr>
                  <w:noProof/>
                  <w:lang w:val="en-US"/>
                </w:rPr>
              </w:pPr>
              <w:r>
                <w:rPr>
                  <w:noProof/>
                  <w:lang w:val="en-US"/>
                </w:rPr>
                <w:t xml:space="preserve">Mindtools team. (2019, Jan 03). </w:t>
              </w:r>
              <w:r>
                <w:rPr>
                  <w:i/>
                  <w:iCs/>
                  <w:noProof/>
                  <w:lang w:val="en-US"/>
                </w:rPr>
                <w:t>Porters 5 forces</w:t>
              </w:r>
              <w:r>
                <w:rPr>
                  <w:noProof/>
                  <w:lang w:val="en-US"/>
                </w:rPr>
                <w:t>. Retrieved from Mindtools: https://www.mindtools.com/pages/article/newTMC_08.htm</w:t>
              </w:r>
            </w:p>
            <w:p w14:paraId="504376FE" w14:textId="77777777" w:rsidR="00F91CD3" w:rsidRDefault="00F91CD3" w:rsidP="00F91CD3">
              <w:pPr>
                <w:pStyle w:val="Bibliography"/>
                <w:ind w:left="720" w:hanging="720"/>
                <w:rPr>
                  <w:noProof/>
                  <w:lang w:val="en-US"/>
                </w:rPr>
              </w:pPr>
              <w:r>
                <w:rPr>
                  <w:noProof/>
                  <w:lang w:val="en-US"/>
                </w:rPr>
                <w:t xml:space="preserve">NGDATA. (2015, July 09). </w:t>
              </w:r>
              <w:r>
                <w:rPr>
                  <w:i/>
                  <w:iCs/>
                  <w:noProof/>
                  <w:lang w:val="en-US"/>
                </w:rPr>
                <w:t>what is attrition rate</w:t>
              </w:r>
              <w:r>
                <w:rPr>
                  <w:noProof/>
                  <w:lang w:val="en-US"/>
                </w:rPr>
                <w:t>. Retrieved from NGDATA: https://www.ngdata.com/what-is-attrition-rate/</w:t>
              </w:r>
            </w:p>
            <w:p w14:paraId="4738DF0A" w14:textId="77777777" w:rsidR="00F91CD3" w:rsidRDefault="00F91CD3" w:rsidP="00F91CD3">
              <w:pPr>
                <w:pStyle w:val="Bibliography"/>
                <w:ind w:left="720" w:hanging="720"/>
                <w:rPr>
                  <w:noProof/>
                  <w:lang w:val="en-US"/>
                </w:rPr>
              </w:pPr>
              <w:r>
                <w:rPr>
                  <w:noProof/>
                  <w:lang w:val="en-US"/>
                </w:rPr>
                <w:t xml:space="preserve">ONS. (2017). </w:t>
              </w:r>
              <w:r>
                <w:rPr>
                  <w:i/>
                  <w:iCs/>
                  <w:noProof/>
                  <w:lang w:val="en-US"/>
                </w:rPr>
                <w:t>about business surveys</w:t>
              </w:r>
              <w:r>
                <w:rPr>
                  <w:noProof/>
                  <w:lang w:val="en-US"/>
                </w:rPr>
                <w:t>. Retrieved from Office National Statistics: https://www.ons.gov.uk/surveys/informationforbusinesses/aboutonsbusinesssurveys</w:t>
              </w:r>
            </w:p>
            <w:p w14:paraId="6BD16AA2" w14:textId="77777777" w:rsidR="00F91CD3" w:rsidRDefault="00F91CD3" w:rsidP="00F91CD3">
              <w:pPr>
                <w:pStyle w:val="Bibliography"/>
                <w:ind w:left="720" w:hanging="720"/>
                <w:rPr>
                  <w:noProof/>
                  <w:lang w:val="en-US"/>
                </w:rPr>
              </w:pPr>
              <w:r>
                <w:rPr>
                  <w:noProof/>
                  <w:lang w:val="en-US"/>
                </w:rPr>
                <w:t xml:space="preserve">Phillips, J., &amp; Phillips, P. (2012, Feb 23). </w:t>
              </w:r>
              <w:r>
                <w:rPr>
                  <w:i/>
                  <w:iCs/>
                  <w:noProof/>
                  <w:lang w:val="en-US"/>
                </w:rPr>
                <w:t>Proving the Value of HR: How and Why to Measure.</w:t>
              </w:r>
              <w:r>
                <w:rPr>
                  <w:noProof/>
                  <w:lang w:val="en-US"/>
                </w:rPr>
                <w:t xml:space="preserve"> ROI: SHRM. Retrieved from Society for Human Resource Management: https://www.shrm.org/resourcesandtools/hr-topics/behavioral-competencies/business-acumen/pages/measuring-hr-costs.aspx</w:t>
              </w:r>
            </w:p>
            <w:p w14:paraId="5BF4A72F" w14:textId="77777777" w:rsidR="00F91CD3" w:rsidRDefault="00F91CD3" w:rsidP="00F91CD3">
              <w:pPr>
                <w:pStyle w:val="Bibliography"/>
                <w:ind w:left="720" w:hanging="720"/>
                <w:rPr>
                  <w:noProof/>
                  <w:lang w:val="en-US"/>
                </w:rPr>
              </w:pPr>
              <w:r>
                <w:rPr>
                  <w:noProof/>
                  <w:lang w:val="en-US"/>
                </w:rPr>
                <w:t xml:space="preserve">Porter, M. (1979, March). </w:t>
              </w:r>
              <w:r>
                <w:rPr>
                  <w:i/>
                  <w:iCs/>
                  <w:noProof/>
                  <w:lang w:val="en-US"/>
                </w:rPr>
                <w:t>How competitive forces shape strategy.</w:t>
              </w:r>
              <w:r>
                <w:rPr>
                  <w:noProof/>
                  <w:lang w:val="en-US"/>
                </w:rPr>
                <w:t xml:space="preserve"> Retrieved from Harvard Business Review: https://hbr.org/1979/03/how-competitive-forces-shape-strategy</w:t>
              </w:r>
            </w:p>
            <w:p w14:paraId="53BEAA4A" w14:textId="77777777" w:rsidR="00F91CD3" w:rsidRDefault="00F91CD3" w:rsidP="00F91CD3">
              <w:pPr>
                <w:pStyle w:val="Bibliography"/>
                <w:ind w:left="720" w:hanging="720"/>
                <w:rPr>
                  <w:noProof/>
                  <w:lang w:val="en-US"/>
                </w:rPr>
              </w:pPr>
              <w:r>
                <w:rPr>
                  <w:noProof/>
                  <w:lang w:val="en-US"/>
                </w:rPr>
                <w:t xml:space="preserve">Price, A. (2007). </w:t>
              </w:r>
              <w:r>
                <w:rPr>
                  <w:i/>
                  <w:iCs/>
                  <w:noProof/>
                  <w:lang w:val="en-US"/>
                </w:rPr>
                <w:t>Human Resource Management in a business context.</w:t>
              </w:r>
              <w:r>
                <w:rPr>
                  <w:noProof/>
                  <w:lang w:val="en-US"/>
                </w:rPr>
                <w:t xml:space="preserve"> London: Thomas Learning.</w:t>
              </w:r>
            </w:p>
            <w:p w14:paraId="5497A828" w14:textId="77777777" w:rsidR="00F91CD3" w:rsidRDefault="00F91CD3" w:rsidP="00F91CD3">
              <w:pPr>
                <w:pStyle w:val="Bibliography"/>
                <w:ind w:left="720" w:hanging="720"/>
                <w:rPr>
                  <w:noProof/>
                  <w:lang w:val="en-US"/>
                </w:rPr>
              </w:pPr>
              <w:r>
                <w:rPr>
                  <w:noProof/>
                  <w:lang w:val="en-US"/>
                </w:rPr>
                <w:t xml:space="preserve">Pricewaterhouse coopers. (2014). </w:t>
              </w:r>
              <w:r>
                <w:rPr>
                  <w:i/>
                  <w:iCs/>
                  <w:noProof/>
                  <w:lang w:val="en-US"/>
                </w:rPr>
                <w:t>KPI</w:t>
              </w:r>
              <w:r>
                <w:rPr>
                  <w:noProof/>
                  <w:lang w:val="en-US"/>
                </w:rPr>
                <w:t>. Retrieved from Price Waterhouse Coopers: https://www.pwc.com/gx/en/audit-services/corporate-reporting/assets/pdfs/uk_kpi_guide.pdf</w:t>
              </w:r>
            </w:p>
            <w:p w14:paraId="591AE71D" w14:textId="77777777" w:rsidR="00F91CD3" w:rsidRDefault="00F91CD3" w:rsidP="00F91CD3">
              <w:pPr>
                <w:pStyle w:val="Bibliography"/>
                <w:ind w:left="720" w:hanging="720"/>
                <w:rPr>
                  <w:noProof/>
                  <w:lang w:val="en-US"/>
                </w:rPr>
              </w:pPr>
              <w:r>
                <w:rPr>
                  <w:noProof/>
                  <w:lang w:val="en-US"/>
                </w:rPr>
                <w:t xml:space="preserve">Redmond, T., &amp; Wilkinson, A. (2009). </w:t>
              </w:r>
              <w:r>
                <w:rPr>
                  <w:i/>
                  <w:iCs/>
                  <w:noProof/>
                  <w:lang w:val="en-US"/>
                </w:rPr>
                <w:t>Contemporary human resource management.</w:t>
              </w:r>
              <w:r>
                <w:rPr>
                  <w:noProof/>
                  <w:lang w:val="en-US"/>
                </w:rPr>
                <w:t xml:space="preserve"> Prentice Hall- Financial times.</w:t>
              </w:r>
            </w:p>
            <w:p w14:paraId="7821228B" w14:textId="77777777" w:rsidR="00F91CD3" w:rsidRDefault="00F91CD3" w:rsidP="00F91CD3">
              <w:pPr>
                <w:pStyle w:val="Bibliography"/>
                <w:ind w:left="720" w:hanging="720"/>
                <w:rPr>
                  <w:noProof/>
                  <w:lang w:val="en-US"/>
                </w:rPr>
              </w:pPr>
              <w:r>
                <w:rPr>
                  <w:noProof/>
                  <w:lang w:val="en-US"/>
                </w:rPr>
                <w:t xml:space="preserve">Rees, G., &amp; French, R. (2014). </w:t>
              </w:r>
              <w:r>
                <w:rPr>
                  <w:i/>
                  <w:iCs/>
                  <w:noProof/>
                  <w:lang w:val="en-US"/>
                </w:rPr>
                <w:t>Leading Managing and developing people.</w:t>
              </w:r>
              <w:r>
                <w:rPr>
                  <w:noProof/>
                  <w:lang w:val="en-US"/>
                </w:rPr>
                <w:t xml:space="preserve"> London: CIPD.</w:t>
              </w:r>
            </w:p>
            <w:p w14:paraId="2A3714A0" w14:textId="77777777" w:rsidR="00F91CD3" w:rsidRDefault="00F91CD3" w:rsidP="00F91CD3">
              <w:pPr>
                <w:pStyle w:val="Bibliography"/>
                <w:ind w:left="720" w:hanging="720"/>
                <w:rPr>
                  <w:noProof/>
                  <w:lang w:val="en-US"/>
                </w:rPr>
              </w:pPr>
              <w:r>
                <w:rPr>
                  <w:noProof/>
                  <w:lang w:val="en-US"/>
                </w:rPr>
                <w:lastRenderedPageBreak/>
                <w:t xml:space="preserve">Rose, A., &amp; Lawton , A. (1999). </w:t>
              </w:r>
              <w:r>
                <w:rPr>
                  <w:i/>
                  <w:iCs/>
                  <w:noProof/>
                  <w:lang w:val="en-US"/>
                </w:rPr>
                <w:t>Public services management.</w:t>
              </w:r>
              <w:r>
                <w:rPr>
                  <w:noProof/>
                  <w:lang w:val="en-US"/>
                </w:rPr>
                <w:t xml:space="preserve"> Harlow: Prentice Hall.</w:t>
              </w:r>
            </w:p>
            <w:p w14:paraId="1E1F07C8" w14:textId="77777777" w:rsidR="00F91CD3" w:rsidRDefault="00F91CD3" w:rsidP="00F91CD3">
              <w:pPr>
                <w:pStyle w:val="Bibliography"/>
                <w:ind w:left="720" w:hanging="720"/>
                <w:rPr>
                  <w:noProof/>
                  <w:lang w:val="en-US"/>
                </w:rPr>
              </w:pPr>
              <w:r>
                <w:rPr>
                  <w:noProof/>
                  <w:lang w:val="en-US"/>
                </w:rPr>
                <w:t xml:space="preserve">Sekar, A. (2018, Nov 30). </w:t>
              </w:r>
              <w:r>
                <w:rPr>
                  <w:i/>
                  <w:iCs/>
                  <w:noProof/>
                  <w:lang w:val="en-US"/>
                </w:rPr>
                <w:t>Use HR anylytics</w:t>
              </w:r>
              <w:r>
                <w:rPr>
                  <w:noProof/>
                  <w:lang w:val="en-US"/>
                </w:rPr>
                <w:t>. Retrieved from analyticstraining: https://analyticstraining.com/use-hr-analytics/</w:t>
              </w:r>
            </w:p>
            <w:p w14:paraId="277A4C57" w14:textId="77777777" w:rsidR="00F91CD3" w:rsidRDefault="00F91CD3" w:rsidP="00F91CD3">
              <w:pPr>
                <w:pStyle w:val="Bibliography"/>
                <w:ind w:left="720" w:hanging="720"/>
                <w:rPr>
                  <w:noProof/>
                  <w:lang w:val="en-US"/>
                </w:rPr>
              </w:pPr>
              <w:r>
                <w:rPr>
                  <w:noProof/>
                  <w:lang w:val="en-US"/>
                </w:rPr>
                <w:t xml:space="preserve">Spark rail. (2018, December). </w:t>
              </w:r>
              <w:r>
                <w:rPr>
                  <w:i/>
                  <w:iCs/>
                  <w:noProof/>
                  <w:lang w:val="en-US"/>
                </w:rPr>
                <w:t>Sparkrail Pestle Analysis</w:t>
              </w:r>
              <w:r>
                <w:rPr>
                  <w:noProof/>
                  <w:lang w:val="en-US"/>
                </w:rPr>
                <w:t>. Retrieved from Sparkrail: https://www.sparkrail.org/Pages/HSPestle.aspx</w:t>
              </w:r>
            </w:p>
            <w:p w14:paraId="19CF606D" w14:textId="77777777" w:rsidR="00F91CD3" w:rsidRDefault="00F91CD3" w:rsidP="00F91CD3">
              <w:pPr>
                <w:pStyle w:val="Bibliography"/>
                <w:ind w:left="720" w:hanging="720"/>
                <w:rPr>
                  <w:noProof/>
                  <w:lang w:val="en-US"/>
                </w:rPr>
              </w:pPr>
              <w:r>
                <w:rPr>
                  <w:noProof/>
                  <w:lang w:val="en-US"/>
                </w:rPr>
                <w:t xml:space="preserve">Stats.gov. (2017, Dec 14). </w:t>
              </w:r>
              <w:r>
                <w:rPr>
                  <w:i/>
                  <w:iCs/>
                  <w:noProof/>
                  <w:lang w:val="en-US"/>
                </w:rPr>
                <w:t>Labour force will grow and age</w:t>
              </w:r>
              <w:r>
                <w:rPr>
                  <w:noProof/>
                  <w:lang w:val="en-US"/>
                </w:rPr>
                <w:t>. Retrieved from stats.govt.nz: https://www.stats.govt.nz/news/labour-force-will-grow-and-age</w:t>
              </w:r>
            </w:p>
            <w:p w14:paraId="43B2FFA0" w14:textId="77777777" w:rsidR="00F91CD3" w:rsidRDefault="00F91CD3" w:rsidP="00F91CD3">
              <w:pPr>
                <w:pStyle w:val="Bibliography"/>
                <w:ind w:left="720" w:hanging="720"/>
                <w:rPr>
                  <w:noProof/>
                  <w:lang w:val="en-US"/>
                </w:rPr>
              </w:pPr>
              <w:r>
                <w:rPr>
                  <w:noProof/>
                  <w:lang w:val="en-US"/>
                </w:rPr>
                <w:t xml:space="preserve">Strategic Management Insight. (2013, Feb 13). </w:t>
              </w:r>
              <w:r>
                <w:rPr>
                  <w:i/>
                  <w:iCs/>
                  <w:noProof/>
                  <w:lang w:val="en-US"/>
                </w:rPr>
                <w:t>Strategic Planning Process</w:t>
              </w:r>
              <w:r>
                <w:rPr>
                  <w:noProof/>
                  <w:lang w:val="en-US"/>
                </w:rPr>
                <w:t>. Retrieved from Strategic Management Insight: https://www.strategicmanagementinsight.com/topics/strategic-planning-process.html</w:t>
              </w:r>
            </w:p>
            <w:p w14:paraId="450588A6" w14:textId="77777777" w:rsidR="00F91CD3" w:rsidRDefault="00F91CD3" w:rsidP="00F91CD3">
              <w:pPr>
                <w:pStyle w:val="Bibliography"/>
                <w:ind w:left="720" w:hanging="720"/>
                <w:rPr>
                  <w:noProof/>
                  <w:lang w:val="en-US"/>
                </w:rPr>
              </w:pPr>
              <w:r>
                <w:rPr>
                  <w:noProof/>
                  <w:lang w:val="en-US"/>
                </w:rPr>
                <w:t xml:space="preserve">Strategy management balancedscorecard. (2018, Jan 08). </w:t>
              </w:r>
              <w:r>
                <w:rPr>
                  <w:i/>
                  <w:iCs/>
                  <w:noProof/>
                  <w:lang w:val="en-US"/>
                </w:rPr>
                <w:t>About the balance scorecard</w:t>
              </w:r>
              <w:r>
                <w:rPr>
                  <w:noProof/>
                  <w:lang w:val="en-US"/>
                </w:rPr>
                <w:t>. Retrieved from balancedscorecard: https://www.balancedscorecard.org/BSC-Basics/About-the-Balanced-Scorecard</w:t>
              </w:r>
            </w:p>
            <w:p w14:paraId="005814E3" w14:textId="77777777" w:rsidR="00F91CD3" w:rsidRDefault="00F91CD3" w:rsidP="00F91CD3">
              <w:pPr>
                <w:pStyle w:val="Bibliography"/>
                <w:ind w:left="720" w:hanging="720"/>
                <w:rPr>
                  <w:noProof/>
                  <w:lang w:val="en-US"/>
                </w:rPr>
              </w:pPr>
              <w:r>
                <w:rPr>
                  <w:noProof/>
                  <w:lang w:val="en-US"/>
                </w:rPr>
                <w:t xml:space="preserve">Stratford, H. (2011, August 22). </w:t>
              </w:r>
              <w:r>
                <w:rPr>
                  <w:i/>
                  <w:iCs/>
                  <w:noProof/>
                  <w:lang w:val="en-US"/>
                </w:rPr>
                <w:t>Is best practice holding you back?</w:t>
              </w:r>
              <w:r>
                <w:rPr>
                  <w:noProof/>
                  <w:lang w:val="en-US"/>
                </w:rPr>
                <w:t xml:space="preserve"> Retrieved from HRmagazine: https://www.hrmagazine.co.uk/article-details/is-best-practice-holding-you-back</w:t>
              </w:r>
            </w:p>
            <w:p w14:paraId="4E25EE01" w14:textId="77777777" w:rsidR="00F91CD3" w:rsidRDefault="00F91CD3" w:rsidP="00F91CD3">
              <w:pPr>
                <w:pStyle w:val="Bibliography"/>
                <w:ind w:left="720" w:hanging="720"/>
                <w:rPr>
                  <w:noProof/>
                  <w:lang w:val="en-US"/>
                </w:rPr>
              </w:pPr>
              <w:r>
                <w:rPr>
                  <w:noProof/>
                  <w:lang w:val="en-US"/>
                </w:rPr>
                <w:t>TSB. (2019, Jan). HR Monthly People Pack. Edinburgh: TSB Internal document.</w:t>
              </w:r>
            </w:p>
            <w:p w14:paraId="20287648" w14:textId="77777777" w:rsidR="00F91CD3" w:rsidRDefault="00F91CD3" w:rsidP="00F91CD3">
              <w:pPr>
                <w:pStyle w:val="Bibliography"/>
                <w:ind w:left="720" w:hanging="720"/>
                <w:rPr>
                  <w:noProof/>
                  <w:lang w:val="en-US"/>
                </w:rPr>
              </w:pPr>
              <w:r>
                <w:rPr>
                  <w:noProof/>
                  <w:lang w:val="en-US"/>
                </w:rPr>
                <w:t xml:space="preserve">Tyson. (1989). The Management of the Personnel Function. </w:t>
              </w:r>
              <w:r>
                <w:rPr>
                  <w:i/>
                  <w:iCs/>
                  <w:noProof/>
                  <w:lang w:val="en-US"/>
                </w:rPr>
                <w:t>Journal of management studies</w:t>
              </w:r>
              <w:r>
                <w:rPr>
                  <w:noProof/>
                  <w:lang w:val="en-US"/>
                </w:rPr>
                <w:t>, 523.</w:t>
              </w:r>
            </w:p>
            <w:p w14:paraId="1BB6A97C" w14:textId="1A1810C4" w:rsidR="00F91CD3" w:rsidRDefault="00F91CD3" w:rsidP="00F91CD3">
              <w:r>
                <w:rPr>
                  <w:b/>
                  <w:bCs/>
                  <w:noProof/>
                </w:rPr>
                <w:fldChar w:fldCharType="end"/>
              </w:r>
            </w:p>
          </w:sdtContent>
        </w:sdt>
      </w:sdtContent>
    </w:sdt>
    <w:p w14:paraId="0FF5B362" w14:textId="77777777" w:rsidR="00F91CD3" w:rsidRPr="002C42A6" w:rsidRDefault="00F91CD3" w:rsidP="005244B2"/>
    <w:sectPr w:rsidR="00F91CD3" w:rsidRPr="002C42A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4DA92D" w14:textId="77777777" w:rsidR="00123107" w:rsidRDefault="00123107" w:rsidP="00D2787D">
      <w:pPr>
        <w:spacing w:after="0" w:line="240" w:lineRule="auto"/>
      </w:pPr>
      <w:r>
        <w:separator/>
      </w:r>
    </w:p>
  </w:endnote>
  <w:endnote w:type="continuationSeparator" w:id="0">
    <w:p w14:paraId="567EBA47" w14:textId="77777777" w:rsidR="00123107" w:rsidRDefault="00123107" w:rsidP="00D278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gt_americaregular">
    <w:altName w:val="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671CE13" w14:textId="77777777" w:rsidR="00123107" w:rsidRDefault="00123107" w:rsidP="00D2787D">
      <w:pPr>
        <w:spacing w:after="0" w:line="240" w:lineRule="auto"/>
      </w:pPr>
      <w:r>
        <w:separator/>
      </w:r>
    </w:p>
  </w:footnote>
  <w:footnote w:type="continuationSeparator" w:id="0">
    <w:p w14:paraId="5C99BD19" w14:textId="77777777" w:rsidR="00123107" w:rsidRDefault="00123107" w:rsidP="00D2787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9B0120"/>
    <w:multiLevelType w:val="multilevel"/>
    <w:tmpl w:val="C774580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303BC2"/>
    <w:multiLevelType w:val="multilevel"/>
    <w:tmpl w:val="A9940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FD3F7E"/>
    <w:multiLevelType w:val="hybridMultilevel"/>
    <w:tmpl w:val="04A21E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E80748"/>
    <w:multiLevelType w:val="hybridMultilevel"/>
    <w:tmpl w:val="2348E9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0C79A8"/>
    <w:multiLevelType w:val="hybridMultilevel"/>
    <w:tmpl w:val="E4564BBA"/>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1A5D15CA"/>
    <w:multiLevelType w:val="multilevel"/>
    <w:tmpl w:val="22C41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40A4E42"/>
    <w:multiLevelType w:val="hybridMultilevel"/>
    <w:tmpl w:val="F9EC8C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A02CC5"/>
    <w:multiLevelType w:val="multilevel"/>
    <w:tmpl w:val="8196C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1FD3DA6"/>
    <w:multiLevelType w:val="hybridMultilevel"/>
    <w:tmpl w:val="859892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3EF5876"/>
    <w:multiLevelType w:val="hybridMultilevel"/>
    <w:tmpl w:val="CD526B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54C4558"/>
    <w:multiLevelType w:val="hybridMultilevel"/>
    <w:tmpl w:val="F22893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B4B52E6"/>
    <w:multiLevelType w:val="multilevel"/>
    <w:tmpl w:val="14BCB5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73D176B"/>
    <w:multiLevelType w:val="multilevel"/>
    <w:tmpl w:val="14960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47F2371"/>
    <w:multiLevelType w:val="multilevel"/>
    <w:tmpl w:val="A412B0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6CD122B"/>
    <w:multiLevelType w:val="hybridMultilevel"/>
    <w:tmpl w:val="635C2C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5103235"/>
    <w:multiLevelType w:val="hybridMultilevel"/>
    <w:tmpl w:val="B4803808"/>
    <w:lvl w:ilvl="0" w:tplc="08090001">
      <w:start w:val="1"/>
      <w:numFmt w:val="bullet"/>
      <w:lvlText w:val=""/>
      <w:lvlJc w:val="left"/>
      <w:pPr>
        <w:ind w:left="1080" w:hanging="360"/>
      </w:pPr>
      <w:rPr>
        <w:rFonts w:ascii="Symbol" w:hAnsi="Symbol"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7C2A33B4"/>
    <w:multiLevelType w:val="multilevel"/>
    <w:tmpl w:val="7C1821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3"/>
  </w:num>
  <w:num w:numId="3">
    <w:abstractNumId w:val="6"/>
  </w:num>
  <w:num w:numId="4">
    <w:abstractNumId w:val="14"/>
  </w:num>
  <w:num w:numId="5">
    <w:abstractNumId w:val="11"/>
  </w:num>
  <w:num w:numId="6">
    <w:abstractNumId w:val="4"/>
  </w:num>
  <w:num w:numId="7">
    <w:abstractNumId w:val="8"/>
  </w:num>
  <w:num w:numId="8">
    <w:abstractNumId w:val="10"/>
  </w:num>
  <w:num w:numId="9">
    <w:abstractNumId w:val="13"/>
  </w:num>
  <w:num w:numId="10">
    <w:abstractNumId w:val="1"/>
  </w:num>
  <w:num w:numId="11">
    <w:abstractNumId w:val="16"/>
  </w:num>
  <w:num w:numId="12">
    <w:abstractNumId w:val="7"/>
  </w:num>
  <w:num w:numId="13">
    <w:abstractNumId w:val="0"/>
  </w:num>
  <w:num w:numId="14">
    <w:abstractNumId w:val="5"/>
  </w:num>
  <w:num w:numId="15">
    <w:abstractNumId w:val="12"/>
  </w:num>
  <w:num w:numId="16">
    <w:abstractNumId w:val="9"/>
  </w:num>
  <w:num w:numId="1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787D"/>
    <w:rsid w:val="00065807"/>
    <w:rsid w:val="00123107"/>
    <w:rsid w:val="00247368"/>
    <w:rsid w:val="002C42A6"/>
    <w:rsid w:val="002D23DA"/>
    <w:rsid w:val="003064CF"/>
    <w:rsid w:val="004A5B43"/>
    <w:rsid w:val="005244B2"/>
    <w:rsid w:val="005B4DB0"/>
    <w:rsid w:val="00650A7D"/>
    <w:rsid w:val="007C07D4"/>
    <w:rsid w:val="008230E0"/>
    <w:rsid w:val="00880A8E"/>
    <w:rsid w:val="009E07FB"/>
    <w:rsid w:val="009E2894"/>
    <w:rsid w:val="00AB35DA"/>
    <w:rsid w:val="00BA1631"/>
    <w:rsid w:val="00BA5A97"/>
    <w:rsid w:val="00BB4C12"/>
    <w:rsid w:val="00BD3711"/>
    <w:rsid w:val="00C205E5"/>
    <w:rsid w:val="00C4293C"/>
    <w:rsid w:val="00C61B50"/>
    <w:rsid w:val="00D2787D"/>
    <w:rsid w:val="00E45767"/>
    <w:rsid w:val="00EC1ABD"/>
    <w:rsid w:val="00F50AAC"/>
    <w:rsid w:val="00F91CD3"/>
    <w:rsid w:val="00FC2851"/>
    <w:rsid w:val="00FC6C3F"/>
    <w:rsid w:val="73D2BB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42961D"/>
  <w15:chartTrackingRefBased/>
  <w15:docId w15:val="{ACDCDCF6-D22C-4179-819F-3F6B5B2BD8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2787D"/>
    <w:pPr>
      <w:spacing w:after="200" w:line="276" w:lineRule="auto"/>
    </w:pPr>
  </w:style>
  <w:style w:type="paragraph" w:styleId="Heading1">
    <w:name w:val="heading 1"/>
    <w:basedOn w:val="Normal"/>
    <w:next w:val="Normal"/>
    <w:link w:val="Heading1Char"/>
    <w:uiPriority w:val="9"/>
    <w:qFormat/>
    <w:rsid w:val="00F91CD3"/>
    <w:pPr>
      <w:keepNext/>
      <w:keepLines/>
      <w:spacing w:before="240" w:after="0" w:line="259" w:lineRule="auto"/>
      <w:outlineLvl w:val="0"/>
    </w:pPr>
    <w:rPr>
      <w:rFonts w:asciiTheme="majorHAnsi" w:eastAsiaTheme="majorEastAsia" w:hAnsiTheme="majorHAnsi" w:cstheme="majorBidi"/>
      <w:color w:val="2F5496" w:themeColor="accent1" w:themeShade="BF"/>
      <w:sz w:val="32"/>
      <w:szCs w:val="32"/>
      <w:lang w:val="en-US"/>
    </w:rPr>
  </w:style>
  <w:style w:type="paragraph" w:styleId="Heading3">
    <w:name w:val="heading 3"/>
    <w:basedOn w:val="Normal"/>
    <w:link w:val="Heading3Char"/>
    <w:uiPriority w:val="9"/>
    <w:qFormat/>
    <w:rsid w:val="005244B2"/>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2787D"/>
    <w:pPr>
      <w:ind w:left="720"/>
      <w:contextualSpacing/>
    </w:pPr>
  </w:style>
  <w:style w:type="paragraph" w:styleId="NormalWeb">
    <w:name w:val="Normal (Web)"/>
    <w:basedOn w:val="Normal"/>
    <w:uiPriority w:val="99"/>
    <w:semiHidden/>
    <w:unhideWhenUsed/>
    <w:rsid w:val="005244B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5244B2"/>
    <w:rPr>
      <w:b/>
      <w:bCs/>
    </w:rPr>
  </w:style>
  <w:style w:type="character" w:customStyle="1" w:styleId="Heading3Char">
    <w:name w:val="Heading 3 Char"/>
    <w:basedOn w:val="DefaultParagraphFont"/>
    <w:link w:val="Heading3"/>
    <w:uiPriority w:val="9"/>
    <w:rsid w:val="005244B2"/>
    <w:rPr>
      <w:rFonts w:ascii="Times New Roman" w:eastAsia="Times New Roman" w:hAnsi="Times New Roman" w:cs="Times New Roman"/>
      <w:b/>
      <w:bCs/>
      <w:sz w:val="27"/>
      <w:szCs w:val="27"/>
      <w:lang w:eastAsia="en-GB"/>
    </w:rPr>
  </w:style>
  <w:style w:type="character" w:styleId="Hyperlink">
    <w:name w:val="Hyperlink"/>
    <w:basedOn w:val="DefaultParagraphFont"/>
    <w:uiPriority w:val="99"/>
    <w:semiHidden/>
    <w:unhideWhenUsed/>
    <w:rsid w:val="005244B2"/>
    <w:rPr>
      <w:color w:val="0000FF"/>
      <w:u w:val="single"/>
    </w:rPr>
  </w:style>
  <w:style w:type="table" w:styleId="TableGrid">
    <w:name w:val="Table Grid"/>
    <w:basedOn w:val="TableNormal"/>
    <w:uiPriority w:val="39"/>
    <w:rsid w:val="00BA5A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F91CD3"/>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F91C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292435">
      <w:bodyDiv w:val="1"/>
      <w:marLeft w:val="0"/>
      <w:marRight w:val="0"/>
      <w:marTop w:val="0"/>
      <w:marBottom w:val="0"/>
      <w:divBdr>
        <w:top w:val="none" w:sz="0" w:space="0" w:color="auto"/>
        <w:left w:val="none" w:sz="0" w:space="0" w:color="auto"/>
        <w:bottom w:val="none" w:sz="0" w:space="0" w:color="auto"/>
        <w:right w:val="none" w:sz="0" w:space="0" w:color="auto"/>
      </w:divBdr>
    </w:div>
    <w:div w:id="46759627">
      <w:bodyDiv w:val="1"/>
      <w:marLeft w:val="0"/>
      <w:marRight w:val="0"/>
      <w:marTop w:val="0"/>
      <w:marBottom w:val="0"/>
      <w:divBdr>
        <w:top w:val="none" w:sz="0" w:space="0" w:color="auto"/>
        <w:left w:val="none" w:sz="0" w:space="0" w:color="auto"/>
        <w:bottom w:val="none" w:sz="0" w:space="0" w:color="auto"/>
        <w:right w:val="none" w:sz="0" w:space="0" w:color="auto"/>
      </w:divBdr>
    </w:div>
    <w:div w:id="87238991">
      <w:bodyDiv w:val="1"/>
      <w:marLeft w:val="0"/>
      <w:marRight w:val="0"/>
      <w:marTop w:val="0"/>
      <w:marBottom w:val="0"/>
      <w:divBdr>
        <w:top w:val="none" w:sz="0" w:space="0" w:color="auto"/>
        <w:left w:val="none" w:sz="0" w:space="0" w:color="auto"/>
        <w:bottom w:val="none" w:sz="0" w:space="0" w:color="auto"/>
        <w:right w:val="none" w:sz="0" w:space="0" w:color="auto"/>
      </w:divBdr>
    </w:div>
    <w:div w:id="90123638">
      <w:bodyDiv w:val="1"/>
      <w:marLeft w:val="0"/>
      <w:marRight w:val="0"/>
      <w:marTop w:val="0"/>
      <w:marBottom w:val="0"/>
      <w:divBdr>
        <w:top w:val="none" w:sz="0" w:space="0" w:color="auto"/>
        <w:left w:val="none" w:sz="0" w:space="0" w:color="auto"/>
        <w:bottom w:val="none" w:sz="0" w:space="0" w:color="auto"/>
        <w:right w:val="none" w:sz="0" w:space="0" w:color="auto"/>
      </w:divBdr>
    </w:div>
    <w:div w:id="96605616">
      <w:bodyDiv w:val="1"/>
      <w:marLeft w:val="0"/>
      <w:marRight w:val="0"/>
      <w:marTop w:val="0"/>
      <w:marBottom w:val="0"/>
      <w:divBdr>
        <w:top w:val="none" w:sz="0" w:space="0" w:color="auto"/>
        <w:left w:val="none" w:sz="0" w:space="0" w:color="auto"/>
        <w:bottom w:val="none" w:sz="0" w:space="0" w:color="auto"/>
        <w:right w:val="none" w:sz="0" w:space="0" w:color="auto"/>
      </w:divBdr>
    </w:div>
    <w:div w:id="139854093">
      <w:bodyDiv w:val="1"/>
      <w:marLeft w:val="0"/>
      <w:marRight w:val="0"/>
      <w:marTop w:val="0"/>
      <w:marBottom w:val="0"/>
      <w:divBdr>
        <w:top w:val="none" w:sz="0" w:space="0" w:color="auto"/>
        <w:left w:val="none" w:sz="0" w:space="0" w:color="auto"/>
        <w:bottom w:val="none" w:sz="0" w:space="0" w:color="auto"/>
        <w:right w:val="none" w:sz="0" w:space="0" w:color="auto"/>
      </w:divBdr>
    </w:div>
    <w:div w:id="146241182">
      <w:bodyDiv w:val="1"/>
      <w:marLeft w:val="0"/>
      <w:marRight w:val="0"/>
      <w:marTop w:val="0"/>
      <w:marBottom w:val="0"/>
      <w:divBdr>
        <w:top w:val="none" w:sz="0" w:space="0" w:color="auto"/>
        <w:left w:val="none" w:sz="0" w:space="0" w:color="auto"/>
        <w:bottom w:val="none" w:sz="0" w:space="0" w:color="auto"/>
        <w:right w:val="none" w:sz="0" w:space="0" w:color="auto"/>
      </w:divBdr>
    </w:div>
    <w:div w:id="151063199">
      <w:bodyDiv w:val="1"/>
      <w:marLeft w:val="0"/>
      <w:marRight w:val="0"/>
      <w:marTop w:val="0"/>
      <w:marBottom w:val="0"/>
      <w:divBdr>
        <w:top w:val="none" w:sz="0" w:space="0" w:color="auto"/>
        <w:left w:val="none" w:sz="0" w:space="0" w:color="auto"/>
        <w:bottom w:val="none" w:sz="0" w:space="0" w:color="auto"/>
        <w:right w:val="none" w:sz="0" w:space="0" w:color="auto"/>
      </w:divBdr>
    </w:div>
    <w:div w:id="188615354">
      <w:bodyDiv w:val="1"/>
      <w:marLeft w:val="0"/>
      <w:marRight w:val="0"/>
      <w:marTop w:val="0"/>
      <w:marBottom w:val="0"/>
      <w:divBdr>
        <w:top w:val="none" w:sz="0" w:space="0" w:color="auto"/>
        <w:left w:val="none" w:sz="0" w:space="0" w:color="auto"/>
        <w:bottom w:val="none" w:sz="0" w:space="0" w:color="auto"/>
        <w:right w:val="none" w:sz="0" w:space="0" w:color="auto"/>
      </w:divBdr>
    </w:div>
    <w:div w:id="190463872">
      <w:bodyDiv w:val="1"/>
      <w:marLeft w:val="0"/>
      <w:marRight w:val="0"/>
      <w:marTop w:val="0"/>
      <w:marBottom w:val="0"/>
      <w:divBdr>
        <w:top w:val="none" w:sz="0" w:space="0" w:color="auto"/>
        <w:left w:val="none" w:sz="0" w:space="0" w:color="auto"/>
        <w:bottom w:val="none" w:sz="0" w:space="0" w:color="auto"/>
        <w:right w:val="none" w:sz="0" w:space="0" w:color="auto"/>
      </w:divBdr>
    </w:div>
    <w:div w:id="191572373">
      <w:bodyDiv w:val="1"/>
      <w:marLeft w:val="0"/>
      <w:marRight w:val="0"/>
      <w:marTop w:val="0"/>
      <w:marBottom w:val="0"/>
      <w:divBdr>
        <w:top w:val="none" w:sz="0" w:space="0" w:color="auto"/>
        <w:left w:val="none" w:sz="0" w:space="0" w:color="auto"/>
        <w:bottom w:val="none" w:sz="0" w:space="0" w:color="auto"/>
        <w:right w:val="none" w:sz="0" w:space="0" w:color="auto"/>
      </w:divBdr>
    </w:div>
    <w:div w:id="195050147">
      <w:bodyDiv w:val="1"/>
      <w:marLeft w:val="0"/>
      <w:marRight w:val="0"/>
      <w:marTop w:val="0"/>
      <w:marBottom w:val="0"/>
      <w:divBdr>
        <w:top w:val="none" w:sz="0" w:space="0" w:color="auto"/>
        <w:left w:val="none" w:sz="0" w:space="0" w:color="auto"/>
        <w:bottom w:val="none" w:sz="0" w:space="0" w:color="auto"/>
        <w:right w:val="none" w:sz="0" w:space="0" w:color="auto"/>
      </w:divBdr>
    </w:div>
    <w:div w:id="230504258">
      <w:bodyDiv w:val="1"/>
      <w:marLeft w:val="0"/>
      <w:marRight w:val="0"/>
      <w:marTop w:val="0"/>
      <w:marBottom w:val="0"/>
      <w:divBdr>
        <w:top w:val="none" w:sz="0" w:space="0" w:color="auto"/>
        <w:left w:val="none" w:sz="0" w:space="0" w:color="auto"/>
        <w:bottom w:val="none" w:sz="0" w:space="0" w:color="auto"/>
        <w:right w:val="none" w:sz="0" w:space="0" w:color="auto"/>
      </w:divBdr>
    </w:div>
    <w:div w:id="232816006">
      <w:bodyDiv w:val="1"/>
      <w:marLeft w:val="0"/>
      <w:marRight w:val="0"/>
      <w:marTop w:val="0"/>
      <w:marBottom w:val="0"/>
      <w:divBdr>
        <w:top w:val="none" w:sz="0" w:space="0" w:color="auto"/>
        <w:left w:val="none" w:sz="0" w:space="0" w:color="auto"/>
        <w:bottom w:val="none" w:sz="0" w:space="0" w:color="auto"/>
        <w:right w:val="none" w:sz="0" w:space="0" w:color="auto"/>
      </w:divBdr>
    </w:div>
    <w:div w:id="250356396">
      <w:bodyDiv w:val="1"/>
      <w:marLeft w:val="0"/>
      <w:marRight w:val="0"/>
      <w:marTop w:val="0"/>
      <w:marBottom w:val="0"/>
      <w:divBdr>
        <w:top w:val="none" w:sz="0" w:space="0" w:color="auto"/>
        <w:left w:val="none" w:sz="0" w:space="0" w:color="auto"/>
        <w:bottom w:val="none" w:sz="0" w:space="0" w:color="auto"/>
        <w:right w:val="none" w:sz="0" w:space="0" w:color="auto"/>
      </w:divBdr>
    </w:div>
    <w:div w:id="353650571">
      <w:bodyDiv w:val="1"/>
      <w:marLeft w:val="0"/>
      <w:marRight w:val="0"/>
      <w:marTop w:val="0"/>
      <w:marBottom w:val="0"/>
      <w:divBdr>
        <w:top w:val="none" w:sz="0" w:space="0" w:color="auto"/>
        <w:left w:val="none" w:sz="0" w:space="0" w:color="auto"/>
        <w:bottom w:val="none" w:sz="0" w:space="0" w:color="auto"/>
        <w:right w:val="none" w:sz="0" w:space="0" w:color="auto"/>
      </w:divBdr>
    </w:div>
    <w:div w:id="367142052">
      <w:bodyDiv w:val="1"/>
      <w:marLeft w:val="0"/>
      <w:marRight w:val="0"/>
      <w:marTop w:val="0"/>
      <w:marBottom w:val="0"/>
      <w:divBdr>
        <w:top w:val="none" w:sz="0" w:space="0" w:color="auto"/>
        <w:left w:val="none" w:sz="0" w:space="0" w:color="auto"/>
        <w:bottom w:val="none" w:sz="0" w:space="0" w:color="auto"/>
        <w:right w:val="none" w:sz="0" w:space="0" w:color="auto"/>
      </w:divBdr>
    </w:div>
    <w:div w:id="369186923">
      <w:bodyDiv w:val="1"/>
      <w:marLeft w:val="0"/>
      <w:marRight w:val="0"/>
      <w:marTop w:val="0"/>
      <w:marBottom w:val="0"/>
      <w:divBdr>
        <w:top w:val="none" w:sz="0" w:space="0" w:color="auto"/>
        <w:left w:val="none" w:sz="0" w:space="0" w:color="auto"/>
        <w:bottom w:val="none" w:sz="0" w:space="0" w:color="auto"/>
        <w:right w:val="none" w:sz="0" w:space="0" w:color="auto"/>
      </w:divBdr>
    </w:div>
    <w:div w:id="395782761">
      <w:bodyDiv w:val="1"/>
      <w:marLeft w:val="0"/>
      <w:marRight w:val="0"/>
      <w:marTop w:val="0"/>
      <w:marBottom w:val="0"/>
      <w:divBdr>
        <w:top w:val="none" w:sz="0" w:space="0" w:color="auto"/>
        <w:left w:val="none" w:sz="0" w:space="0" w:color="auto"/>
        <w:bottom w:val="none" w:sz="0" w:space="0" w:color="auto"/>
        <w:right w:val="none" w:sz="0" w:space="0" w:color="auto"/>
      </w:divBdr>
    </w:div>
    <w:div w:id="420759275">
      <w:bodyDiv w:val="1"/>
      <w:marLeft w:val="0"/>
      <w:marRight w:val="0"/>
      <w:marTop w:val="0"/>
      <w:marBottom w:val="0"/>
      <w:divBdr>
        <w:top w:val="none" w:sz="0" w:space="0" w:color="auto"/>
        <w:left w:val="none" w:sz="0" w:space="0" w:color="auto"/>
        <w:bottom w:val="none" w:sz="0" w:space="0" w:color="auto"/>
        <w:right w:val="none" w:sz="0" w:space="0" w:color="auto"/>
      </w:divBdr>
    </w:div>
    <w:div w:id="472912434">
      <w:bodyDiv w:val="1"/>
      <w:marLeft w:val="0"/>
      <w:marRight w:val="0"/>
      <w:marTop w:val="0"/>
      <w:marBottom w:val="0"/>
      <w:divBdr>
        <w:top w:val="none" w:sz="0" w:space="0" w:color="auto"/>
        <w:left w:val="none" w:sz="0" w:space="0" w:color="auto"/>
        <w:bottom w:val="none" w:sz="0" w:space="0" w:color="auto"/>
        <w:right w:val="none" w:sz="0" w:space="0" w:color="auto"/>
      </w:divBdr>
    </w:div>
    <w:div w:id="475345426">
      <w:bodyDiv w:val="1"/>
      <w:marLeft w:val="0"/>
      <w:marRight w:val="0"/>
      <w:marTop w:val="0"/>
      <w:marBottom w:val="0"/>
      <w:divBdr>
        <w:top w:val="none" w:sz="0" w:space="0" w:color="auto"/>
        <w:left w:val="none" w:sz="0" w:space="0" w:color="auto"/>
        <w:bottom w:val="none" w:sz="0" w:space="0" w:color="auto"/>
        <w:right w:val="none" w:sz="0" w:space="0" w:color="auto"/>
      </w:divBdr>
    </w:div>
    <w:div w:id="536356341">
      <w:bodyDiv w:val="1"/>
      <w:marLeft w:val="0"/>
      <w:marRight w:val="0"/>
      <w:marTop w:val="0"/>
      <w:marBottom w:val="0"/>
      <w:divBdr>
        <w:top w:val="none" w:sz="0" w:space="0" w:color="auto"/>
        <w:left w:val="none" w:sz="0" w:space="0" w:color="auto"/>
        <w:bottom w:val="none" w:sz="0" w:space="0" w:color="auto"/>
        <w:right w:val="none" w:sz="0" w:space="0" w:color="auto"/>
      </w:divBdr>
    </w:div>
    <w:div w:id="550462656">
      <w:bodyDiv w:val="1"/>
      <w:marLeft w:val="0"/>
      <w:marRight w:val="0"/>
      <w:marTop w:val="0"/>
      <w:marBottom w:val="0"/>
      <w:divBdr>
        <w:top w:val="none" w:sz="0" w:space="0" w:color="auto"/>
        <w:left w:val="none" w:sz="0" w:space="0" w:color="auto"/>
        <w:bottom w:val="none" w:sz="0" w:space="0" w:color="auto"/>
        <w:right w:val="none" w:sz="0" w:space="0" w:color="auto"/>
      </w:divBdr>
    </w:div>
    <w:div w:id="571814865">
      <w:bodyDiv w:val="1"/>
      <w:marLeft w:val="0"/>
      <w:marRight w:val="0"/>
      <w:marTop w:val="0"/>
      <w:marBottom w:val="0"/>
      <w:divBdr>
        <w:top w:val="none" w:sz="0" w:space="0" w:color="auto"/>
        <w:left w:val="none" w:sz="0" w:space="0" w:color="auto"/>
        <w:bottom w:val="none" w:sz="0" w:space="0" w:color="auto"/>
        <w:right w:val="none" w:sz="0" w:space="0" w:color="auto"/>
      </w:divBdr>
    </w:div>
    <w:div w:id="588924617">
      <w:bodyDiv w:val="1"/>
      <w:marLeft w:val="0"/>
      <w:marRight w:val="0"/>
      <w:marTop w:val="0"/>
      <w:marBottom w:val="0"/>
      <w:divBdr>
        <w:top w:val="none" w:sz="0" w:space="0" w:color="auto"/>
        <w:left w:val="none" w:sz="0" w:space="0" w:color="auto"/>
        <w:bottom w:val="none" w:sz="0" w:space="0" w:color="auto"/>
        <w:right w:val="none" w:sz="0" w:space="0" w:color="auto"/>
      </w:divBdr>
    </w:div>
    <w:div w:id="599413546">
      <w:bodyDiv w:val="1"/>
      <w:marLeft w:val="0"/>
      <w:marRight w:val="0"/>
      <w:marTop w:val="0"/>
      <w:marBottom w:val="0"/>
      <w:divBdr>
        <w:top w:val="none" w:sz="0" w:space="0" w:color="auto"/>
        <w:left w:val="none" w:sz="0" w:space="0" w:color="auto"/>
        <w:bottom w:val="none" w:sz="0" w:space="0" w:color="auto"/>
        <w:right w:val="none" w:sz="0" w:space="0" w:color="auto"/>
      </w:divBdr>
    </w:div>
    <w:div w:id="661785891">
      <w:bodyDiv w:val="1"/>
      <w:marLeft w:val="0"/>
      <w:marRight w:val="0"/>
      <w:marTop w:val="0"/>
      <w:marBottom w:val="0"/>
      <w:divBdr>
        <w:top w:val="none" w:sz="0" w:space="0" w:color="auto"/>
        <w:left w:val="none" w:sz="0" w:space="0" w:color="auto"/>
        <w:bottom w:val="none" w:sz="0" w:space="0" w:color="auto"/>
        <w:right w:val="none" w:sz="0" w:space="0" w:color="auto"/>
      </w:divBdr>
    </w:div>
    <w:div w:id="676809316">
      <w:bodyDiv w:val="1"/>
      <w:marLeft w:val="0"/>
      <w:marRight w:val="0"/>
      <w:marTop w:val="0"/>
      <w:marBottom w:val="0"/>
      <w:divBdr>
        <w:top w:val="none" w:sz="0" w:space="0" w:color="auto"/>
        <w:left w:val="none" w:sz="0" w:space="0" w:color="auto"/>
        <w:bottom w:val="none" w:sz="0" w:space="0" w:color="auto"/>
        <w:right w:val="none" w:sz="0" w:space="0" w:color="auto"/>
      </w:divBdr>
    </w:div>
    <w:div w:id="682517664">
      <w:bodyDiv w:val="1"/>
      <w:marLeft w:val="0"/>
      <w:marRight w:val="0"/>
      <w:marTop w:val="0"/>
      <w:marBottom w:val="0"/>
      <w:divBdr>
        <w:top w:val="none" w:sz="0" w:space="0" w:color="auto"/>
        <w:left w:val="none" w:sz="0" w:space="0" w:color="auto"/>
        <w:bottom w:val="none" w:sz="0" w:space="0" w:color="auto"/>
        <w:right w:val="none" w:sz="0" w:space="0" w:color="auto"/>
      </w:divBdr>
    </w:div>
    <w:div w:id="714695893">
      <w:bodyDiv w:val="1"/>
      <w:marLeft w:val="0"/>
      <w:marRight w:val="0"/>
      <w:marTop w:val="0"/>
      <w:marBottom w:val="0"/>
      <w:divBdr>
        <w:top w:val="none" w:sz="0" w:space="0" w:color="auto"/>
        <w:left w:val="none" w:sz="0" w:space="0" w:color="auto"/>
        <w:bottom w:val="none" w:sz="0" w:space="0" w:color="auto"/>
        <w:right w:val="none" w:sz="0" w:space="0" w:color="auto"/>
      </w:divBdr>
    </w:div>
    <w:div w:id="737635273">
      <w:bodyDiv w:val="1"/>
      <w:marLeft w:val="0"/>
      <w:marRight w:val="0"/>
      <w:marTop w:val="0"/>
      <w:marBottom w:val="0"/>
      <w:divBdr>
        <w:top w:val="none" w:sz="0" w:space="0" w:color="auto"/>
        <w:left w:val="none" w:sz="0" w:space="0" w:color="auto"/>
        <w:bottom w:val="none" w:sz="0" w:space="0" w:color="auto"/>
        <w:right w:val="none" w:sz="0" w:space="0" w:color="auto"/>
      </w:divBdr>
    </w:div>
    <w:div w:id="774329608">
      <w:bodyDiv w:val="1"/>
      <w:marLeft w:val="0"/>
      <w:marRight w:val="0"/>
      <w:marTop w:val="0"/>
      <w:marBottom w:val="0"/>
      <w:divBdr>
        <w:top w:val="none" w:sz="0" w:space="0" w:color="auto"/>
        <w:left w:val="none" w:sz="0" w:space="0" w:color="auto"/>
        <w:bottom w:val="none" w:sz="0" w:space="0" w:color="auto"/>
        <w:right w:val="none" w:sz="0" w:space="0" w:color="auto"/>
      </w:divBdr>
    </w:div>
    <w:div w:id="774711762">
      <w:bodyDiv w:val="1"/>
      <w:marLeft w:val="0"/>
      <w:marRight w:val="0"/>
      <w:marTop w:val="0"/>
      <w:marBottom w:val="0"/>
      <w:divBdr>
        <w:top w:val="none" w:sz="0" w:space="0" w:color="auto"/>
        <w:left w:val="none" w:sz="0" w:space="0" w:color="auto"/>
        <w:bottom w:val="none" w:sz="0" w:space="0" w:color="auto"/>
        <w:right w:val="none" w:sz="0" w:space="0" w:color="auto"/>
      </w:divBdr>
    </w:div>
    <w:div w:id="782307913">
      <w:bodyDiv w:val="1"/>
      <w:marLeft w:val="0"/>
      <w:marRight w:val="0"/>
      <w:marTop w:val="0"/>
      <w:marBottom w:val="0"/>
      <w:divBdr>
        <w:top w:val="none" w:sz="0" w:space="0" w:color="auto"/>
        <w:left w:val="none" w:sz="0" w:space="0" w:color="auto"/>
        <w:bottom w:val="none" w:sz="0" w:space="0" w:color="auto"/>
        <w:right w:val="none" w:sz="0" w:space="0" w:color="auto"/>
      </w:divBdr>
    </w:div>
    <w:div w:id="789401847">
      <w:bodyDiv w:val="1"/>
      <w:marLeft w:val="0"/>
      <w:marRight w:val="0"/>
      <w:marTop w:val="0"/>
      <w:marBottom w:val="0"/>
      <w:divBdr>
        <w:top w:val="none" w:sz="0" w:space="0" w:color="auto"/>
        <w:left w:val="none" w:sz="0" w:space="0" w:color="auto"/>
        <w:bottom w:val="none" w:sz="0" w:space="0" w:color="auto"/>
        <w:right w:val="none" w:sz="0" w:space="0" w:color="auto"/>
      </w:divBdr>
    </w:div>
    <w:div w:id="826213991">
      <w:bodyDiv w:val="1"/>
      <w:marLeft w:val="0"/>
      <w:marRight w:val="0"/>
      <w:marTop w:val="0"/>
      <w:marBottom w:val="0"/>
      <w:divBdr>
        <w:top w:val="none" w:sz="0" w:space="0" w:color="auto"/>
        <w:left w:val="none" w:sz="0" w:space="0" w:color="auto"/>
        <w:bottom w:val="none" w:sz="0" w:space="0" w:color="auto"/>
        <w:right w:val="none" w:sz="0" w:space="0" w:color="auto"/>
      </w:divBdr>
    </w:div>
    <w:div w:id="841433394">
      <w:bodyDiv w:val="1"/>
      <w:marLeft w:val="0"/>
      <w:marRight w:val="0"/>
      <w:marTop w:val="0"/>
      <w:marBottom w:val="0"/>
      <w:divBdr>
        <w:top w:val="none" w:sz="0" w:space="0" w:color="auto"/>
        <w:left w:val="none" w:sz="0" w:space="0" w:color="auto"/>
        <w:bottom w:val="none" w:sz="0" w:space="0" w:color="auto"/>
        <w:right w:val="none" w:sz="0" w:space="0" w:color="auto"/>
      </w:divBdr>
    </w:div>
    <w:div w:id="880290284">
      <w:bodyDiv w:val="1"/>
      <w:marLeft w:val="0"/>
      <w:marRight w:val="0"/>
      <w:marTop w:val="0"/>
      <w:marBottom w:val="0"/>
      <w:divBdr>
        <w:top w:val="none" w:sz="0" w:space="0" w:color="auto"/>
        <w:left w:val="none" w:sz="0" w:space="0" w:color="auto"/>
        <w:bottom w:val="none" w:sz="0" w:space="0" w:color="auto"/>
        <w:right w:val="none" w:sz="0" w:space="0" w:color="auto"/>
      </w:divBdr>
    </w:div>
    <w:div w:id="893855094">
      <w:bodyDiv w:val="1"/>
      <w:marLeft w:val="0"/>
      <w:marRight w:val="0"/>
      <w:marTop w:val="0"/>
      <w:marBottom w:val="0"/>
      <w:divBdr>
        <w:top w:val="none" w:sz="0" w:space="0" w:color="auto"/>
        <w:left w:val="none" w:sz="0" w:space="0" w:color="auto"/>
        <w:bottom w:val="none" w:sz="0" w:space="0" w:color="auto"/>
        <w:right w:val="none" w:sz="0" w:space="0" w:color="auto"/>
      </w:divBdr>
    </w:div>
    <w:div w:id="913662466">
      <w:bodyDiv w:val="1"/>
      <w:marLeft w:val="0"/>
      <w:marRight w:val="0"/>
      <w:marTop w:val="0"/>
      <w:marBottom w:val="0"/>
      <w:divBdr>
        <w:top w:val="none" w:sz="0" w:space="0" w:color="auto"/>
        <w:left w:val="none" w:sz="0" w:space="0" w:color="auto"/>
        <w:bottom w:val="none" w:sz="0" w:space="0" w:color="auto"/>
        <w:right w:val="none" w:sz="0" w:space="0" w:color="auto"/>
      </w:divBdr>
    </w:div>
    <w:div w:id="944340090">
      <w:bodyDiv w:val="1"/>
      <w:marLeft w:val="0"/>
      <w:marRight w:val="0"/>
      <w:marTop w:val="0"/>
      <w:marBottom w:val="0"/>
      <w:divBdr>
        <w:top w:val="none" w:sz="0" w:space="0" w:color="auto"/>
        <w:left w:val="none" w:sz="0" w:space="0" w:color="auto"/>
        <w:bottom w:val="none" w:sz="0" w:space="0" w:color="auto"/>
        <w:right w:val="none" w:sz="0" w:space="0" w:color="auto"/>
      </w:divBdr>
    </w:div>
    <w:div w:id="965086285">
      <w:bodyDiv w:val="1"/>
      <w:marLeft w:val="0"/>
      <w:marRight w:val="0"/>
      <w:marTop w:val="0"/>
      <w:marBottom w:val="0"/>
      <w:divBdr>
        <w:top w:val="none" w:sz="0" w:space="0" w:color="auto"/>
        <w:left w:val="none" w:sz="0" w:space="0" w:color="auto"/>
        <w:bottom w:val="none" w:sz="0" w:space="0" w:color="auto"/>
        <w:right w:val="none" w:sz="0" w:space="0" w:color="auto"/>
      </w:divBdr>
    </w:div>
    <w:div w:id="1008943557">
      <w:bodyDiv w:val="1"/>
      <w:marLeft w:val="0"/>
      <w:marRight w:val="0"/>
      <w:marTop w:val="0"/>
      <w:marBottom w:val="0"/>
      <w:divBdr>
        <w:top w:val="none" w:sz="0" w:space="0" w:color="auto"/>
        <w:left w:val="none" w:sz="0" w:space="0" w:color="auto"/>
        <w:bottom w:val="none" w:sz="0" w:space="0" w:color="auto"/>
        <w:right w:val="none" w:sz="0" w:space="0" w:color="auto"/>
      </w:divBdr>
    </w:div>
    <w:div w:id="1023825913">
      <w:bodyDiv w:val="1"/>
      <w:marLeft w:val="0"/>
      <w:marRight w:val="0"/>
      <w:marTop w:val="0"/>
      <w:marBottom w:val="0"/>
      <w:divBdr>
        <w:top w:val="none" w:sz="0" w:space="0" w:color="auto"/>
        <w:left w:val="none" w:sz="0" w:space="0" w:color="auto"/>
        <w:bottom w:val="none" w:sz="0" w:space="0" w:color="auto"/>
        <w:right w:val="none" w:sz="0" w:space="0" w:color="auto"/>
      </w:divBdr>
    </w:div>
    <w:div w:id="1061516511">
      <w:bodyDiv w:val="1"/>
      <w:marLeft w:val="0"/>
      <w:marRight w:val="0"/>
      <w:marTop w:val="0"/>
      <w:marBottom w:val="0"/>
      <w:divBdr>
        <w:top w:val="none" w:sz="0" w:space="0" w:color="auto"/>
        <w:left w:val="none" w:sz="0" w:space="0" w:color="auto"/>
        <w:bottom w:val="none" w:sz="0" w:space="0" w:color="auto"/>
        <w:right w:val="none" w:sz="0" w:space="0" w:color="auto"/>
      </w:divBdr>
    </w:div>
    <w:div w:id="1075278900">
      <w:bodyDiv w:val="1"/>
      <w:marLeft w:val="0"/>
      <w:marRight w:val="0"/>
      <w:marTop w:val="0"/>
      <w:marBottom w:val="0"/>
      <w:divBdr>
        <w:top w:val="none" w:sz="0" w:space="0" w:color="auto"/>
        <w:left w:val="none" w:sz="0" w:space="0" w:color="auto"/>
        <w:bottom w:val="none" w:sz="0" w:space="0" w:color="auto"/>
        <w:right w:val="none" w:sz="0" w:space="0" w:color="auto"/>
      </w:divBdr>
    </w:div>
    <w:div w:id="1080326993">
      <w:bodyDiv w:val="1"/>
      <w:marLeft w:val="0"/>
      <w:marRight w:val="0"/>
      <w:marTop w:val="0"/>
      <w:marBottom w:val="0"/>
      <w:divBdr>
        <w:top w:val="none" w:sz="0" w:space="0" w:color="auto"/>
        <w:left w:val="none" w:sz="0" w:space="0" w:color="auto"/>
        <w:bottom w:val="none" w:sz="0" w:space="0" w:color="auto"/>
        <w:right w:val="none" w:sz="0" w:space="0" w:color="auto"/>
      </w:divBdr>
    </w:div>
    <w:div w:id="1082292238">
      <w:bodyDiv w:val="1"/>
      <w:marLeft w:val="0"/>
      <w:marRight w:val="0"/>
      <w:marTop w:val="0"/>
      <w:marBottom w:val="0"/>
      <w:divBdr>
        <w:top w:val="none" w:sz="0" w:space="0" w:color="auto"/>
        <w:left w:val="none" w:sz="0" w:space="0" w:color="auto"/>
        <w:bottom w:val="none" w:sz="0" w:space="0" w:color="auto"/>
        <w:right w:val="none" w:sz="0" w:space="0" w:color="auto"/>
      </w:divBdr>
    </w:div>
    <w:div w:id="1170371341">
      <w:bodyDiv w:val="1"/>
      <w:marLeft w:val="0"/>
      <w:marRight w:val="0"/>
      <w:marTop w:val="0"/>
      <w:marBottom w:val="0"/>
      <w:divBdr>
        <w:top w:val="none" w:sz="0" w:space="0" w:color="auto"/>
        <w:left w:val="none" w:sz="0" w:space="0" w:color="auto"/>
        <w:bottom w:val="none" w:sz="0" w:space="0" w:color="auto"/>
        <w:right w:val="none" w:sz="0" w:space="0" w:color="auto"/>
      </w:divBdr>
    </w:div>
    <w:div w:id="1188834990">
      <w:bodyDiv w:val="1"/>
      <w:marLeft w:val="0"/>
      <w:marRight w:val="0"/>
      <w:marTop w:val="0"/>
      <w:marBottom w:val="0"/>
      <w:divBdr>
        <w:top w:val="none" w:sz="0" w:space="0" w:color="auto"/>
        <w:left w:val="none" w:sz="0" w:space="0" w:color="auto"/>
        <w:bottom w:val="none" w:sz="0" w:space="0" w:color="auto"/>
        <w:right w:val="none" w:sz="0" w:space="0" w:color="auto"/>
      </w:divBdr>
    </w:div>
    <w:div w:id="1196848010">
      <w:bodyDiv w:val="1"/>
      <w:marLeft w:val="0"/>
      <w:marRight w:val="0"/>
      <w:marTop w:val="0"/>
      <w:marBottom w:val="0"/>
      <w:divBdr>
        <w:top w:val="none" w:sz="0" w:space="0" w:color="auto"/>
        <w:left w:val="none" w:sz="0" w:space="0" w:color="auto"/>
        <w:bottom w:val="none" w:sz="0" w:space="0" w:color="auto"/>
        <w:right w:val="none" w:sz="0" w:space="0" w:color="auto"/>
      </w:divBdr>
    </w:div>
    <w:div w:id="1225144280">
      <w:bodyDiv w:val="1"/>
      <w:marLeft w:val="0"/>
      <w:marRight w:val="0"/>
      <w:marTop w:val="0"/>
      <w:marBottom w:val="0"/>
      <w:divBdr>
        <w:top w:val="none" w:sz="0" w:space="0" w:color="auto"/>
        <w:left w:val="none" w:sz="0" w:space="0" w:color="auto"/>
        <w:bottom w:val="none" w:sz="0" w:space="0" w:color="auto"/>
        <w:right w:val="none" w:sz="0" w:space="0" w:color="auto"/>
      </w:divBdr>
    </w:div>
    <w:div w:id="1234194008">
      <w:bodyDiv w:val="1"/>
      <w:marLeft w:val="0"/>
      <w:marRight w:val="0"/>
      <w:marTop w:val="0"/>
      <w:marBottom w:val="0"/>
      <w:divBdr>
        <w:top w:val="none" w:sz="0" w:space="0" w:color="auto"/>
        <w:left w:val="none" w:sz="0" w:space="0" w:color="auto"/>
        <w:bottom w:val="none" w:sz="0" w:space="0" w:color="auto"/>
        <w:right w:val="none" w:sz="0" w:space="0" w:color="auto"/>
      </w:divBdr>
    </w:div>
    <w:div w:id="1237663351">
      <w:bodyDiv w:val="1"/>
      <w:marLeft w:val="0"/>
      <w:marRight w:val="0"/>
      <w:marTop w:val="0"/>
      <w:marBottom w:val="0"/>
      <w:divBdr>
        <w:top w:val="none" w:sz="0" w:space="0" w:color="auto"/>
        <w:left w:val="none" w:sz="0" w:space="0" w:color="auto"/>
        <w:bottom w:val="none" w:sz="0" w:space="0" w:color="auto"/>
        <w:right w:val="none" w:sz="0" w:space="0" w:color="auto"/>
      </w:divBdr>
    </w:div>
    <w:div w:id="1246374552">
      <w:bodyDiv w:val="1"/>
      <w:marLeft w:val="0"/>
      <w:marRight w:val="0"/>
      <w:marTop w:val="0"/>
      <w:marBottom w:val="0"/>
      <w:divBdr>
        <w:top w:val="none" w:sz="0" w:space="0" w:color="auto"/>
        <w:left w:val="none" w:sz="0" w:space="0" w:color="auto"/>
        <w:bottom w:val="none" w:sz="0" w:space="0" w:color="auto"/>
        <w:right w:val="none" w:sz="0" w:space="0" w:color="auto"/>
      </w:divBdr>
    </w:div>
    <w:div w:id="1334720278">
      <w:bodyDiv w:val="1"/>
      <w:marLeft w:val="0"/>
      <w:marRight w:val="0"/>
      <w:marTop w:val="0"/>
      <w:marBottom w:val="0"/>
      <w:divBdr>
        <w:top w:val="none" w:sz="0" w:space="0" w:color="auto"/>
        <w:left w:val="none" w:sz="0" w:space="0" w:color="auto"/>
        <w:bottom w:val="none" w:sz="0" w:space="0" w:color="auto"/>
        <w:right w:val="none" w:sz="0" w:space="0" w:color="auto"/>
      </w:divBdr>
    </w:div>
    <w:div w:id="1364673914">
      <w:bodyDiv w:val="1"/>
      <w:marLeft w:val="0"/>
      <w:marRight w:val="0"/>
      <w:marTop w:val="0"/>
      <w:marBottom w:val="0"/>
      <w:divBdr>
        <w:top w:val="none" w:sz="0" w:space="0" w:color="auto"/>
        <w:left w:val="none" w:sz="0" w:space="0" w:color="auto"/>
        <w:bottom w:val="none" w:sz="0" w:space="0" w:color="auto"/>
        <w:right w:val="none" w:sz="0" w:space="0" w:color="auto"/>
      </w:divBdr>
    </w:div>
    <w:div w:id="1384910894">
      <w:bodyDiv w:val="1"/>
      <w:marLeft w:val="0"/>
      <w:marRight w:val="0"/>
      <w:marTop w:val="0"/>
      <w:marBottom w:val="0"/>
      <w:divBdr>
        <w:top w:val="none" w:sz="0" w:space="0" w:color="auto"/>
        <w:left w:val="none" w:sz="0" w:space="0" w:color="auto"/>
        <w:bottom w:val="none" w:sz="0" w:space="0" w:color="auto"/>
        <w:right w:val="none" w:sz="0" w:space="0" w:color="auto"/>
      </w:divBdr>
    </w:div>
    <w:div w:id="1394548578">
      <w:bodyDiv w:val="1"/>
      <w:marLeft w:val="0"/>
      <w:marRight w:val="0"/>
      <w:marTop w:val="0"/>
      <w:marBottom w:val="0"/>
      <w:divBdr>
        <w:top w:val="none" w:sz="0" w:space="0" w:color="auto"/>
        <w:left w:val="none" w:sz="0" w:space="0" w:color="auto"/>
        <w:bottom w:val="none" w:sz="0" w:space="0" w:color="auto"/>
        <w:right w:val="none" w:sz="0" w:space="0" w:color="auto"/>
      </w:divBdr>
    </w:div>
    <w:div w:id="1408990414">
      <w:bodyDiv w:val="1"/>
      <w:marLeft w:val="0"/>
      <w:marRight w:val="0"/>
      <w:marTop w:val="0"/>
      <w:marBottom w:val="0"/>
      <w:divBdr>
        <w:top w:val="none" w:sz="0" w:space="0" w:color="auto"/>
        <w:left w:val="none" w:sz="0" w:space="0" w:color="auto"/>
        <w:bottom w:val="none" w:sz="0" w:space="0" w:color="auto"/>
        <w:right w:val="none" w:sz="0" w:space="0" w:color="auto"/>
      </w:divBdr>
    </w:div>
    <w:div w:id="1419213374">
      <w:bodyDiv w:val="1"/>
      <w:marLeft w:val="0"/>
      <w:marRight w:val="0"/>
      <w:marTop w:val="0"/>
      <w:marBottom w:val="0"/>
      <w:divBdr>
        <w:top w:val="none" w:sz="0" w:space="0" w:color="auto"/>
        <w:left w:val="none" w:sz="0" w:space="0" w:color="auto"/>
        <w:bottom w:val="none" w:sz="0" w:space="0" w:color="auto"/>
        <w:right w:val="none" w:sz="0" w:space="0" w:color="auto"/>
      </w:divBdr>
    </w:div>
    <w:div w:id="1424688723">
      <w:bodyDiv w:val="1"/>
      <w:marLeft w:val="0"/>
      <w:marRight w:val="0"/>
      <w:marTop w:val="0"/>
      <w:marBottom w:val="0"/>
      <w:divBdr>
        <w:top w:val="none" w:sz="0" w:space="0" w:color="auto"/>
        <w:left w:val="none" w:sz="0" w:space="0" w:color="auto"/>
        <w:bottom w:val="none" w:sz="0" w:space="0" w:color="auto"/>
        <w:right w:val="none" w:sz="0" w:space="0" w:color="auto"/>
      </w:divBdr>
    </w:div>
    <w:div w:id="1448623514">
      <w:bodyDiv w:val="1"/>
      <w:marLeft w:val="0"/>
      <w:marRight w:val="0"/>
      <w:marTop w:val="0"/>
      <w:marBottom w:val="0"/>
      <w:divBdr>
        <w:top w:val="none" w:sz="0" w:space="0" w:color="auto"/>
        <w:left w:val="none" w:sz="0" w:space="0" w:color="auto"/>
        <w:bottom w:val="none" w:sz="0" w:space="0" w:color="auto"/>
        <w:right w:val="none" w:sz="0" w:space="0" w:color="auto"/>
      </w:divBdr>
    </w:div>
    <w:div w:id="1449618310">
      <w:bodyDiv w:val="1"/>
      <w:marLeft w:val="0"/>
      <w:marRight w:val="0"/>
      <w:marTop w:val="0"/>
      <w:marBottom w:val="0"/>
      <w:divBdr>
        <w:top w:val="none" w:sz="0" w:space="0" w:color="auto"/>
        <w:left w:val="none" w:sz="0" w:space="0" w:color="auto"/>
        <w:bottom w:val="none" w:sz="0" w:space="0" w:color="auto"/>
        <w:right w:val="none" w:sz="0" w:space="0" w:color="auto"/>
      </w:divBdr>
    </w:div>
    <w:div w:id="1477409408">
      <w:bodyDiv w:val="1"/>
      <w:marLeft w:val="0"/>
      <w:marRight w:val="0"/>
      <w:marTop w:val="0"/>
      <w:marBottom w:val="0"/>
      <w:divBdr>
        <w:top w:val="none" w:sz="0" w:space="0" w:color="auto"/>
        <w:left w:val="none" w:sz="0" w:space="0" w:color="auto"/>
        <w:bottom w:val="none" w:sz="0" w:space="0" w:color="auto"/>
        <w:right w:val="none" w:sz="0" w:space="0" w:color="auto"/>
      </w:divBdr>
    </w:div>
    <w:div w:id="1491404411">
      <w:bodyDiv w:val="1"/>
      <w:marLeft w:val="0"/>
      <w:marRight w:val="0"/>
      <w:marTop w:val="0"/>
      <w:marBottom w:val="0"/>
      <w:divBdr>
        <w:top w:val="none" w:sz="0" w:space="0" w:color="auto"/>
        <w:left w:val="none" w:sz="0" w:space="0" w:color="auto"/>
        <w:bottom w:val="none" w:sz="0" w:space="0" w:color="auto"/>
        <w:right w:val="none" w:sz="0" w:space="0" w:color="auto"/>
      </w:divBdr>
    </w:div>
    <w:div w:id="1517884481">
      <w:bodyDiv w:val="1"/>
      <w:marLeft w:val="0"/>
      <w:marRight w:val="0"/>
      <w:marTop w:val="0"/>
      <w:marBottom w:val="0"/>
      <w:divBdr>
        <w:top w:val="none" w:sz="0" w:space="0" w:color="auto"/>
        <w:left w:val="none" w:sz="0" w:space="0" w:color="auto"/>
        <w:bottom w:val="none" w:sz="0" w:space="0" w:color="auto"/>
        <w:right w:val="none" w:sz="0" w:space="0" w:color="auto"/>
      </w:divBdr>
    </w:div>
    <w:div w:id="1525753834">
      <w:bodyDiv w:val="1"/>
      <w:marLeft w:val="0"/>
      <w:marRight w:val="0"/>
      <w:marTop w:val="0"/>
      <w:marBottom w:val="0"/>
      <w:divBdr>
        <w:top w:val="none" w:sz="0" w:space="0" w:color="auto"/>
        <w:left w:val="none" w:sz="0" w:space="0" w:color="auto"/>
        <w:bottom w:val="none" w:sz="0" w:space="0" w:color="auto"/>
        <w:right w:val="none" w:sz="0" w:space="0" w:color="auto"/>
      </w:divBdr>
    </w:div>
    <w:div w:id="1557740672">
      <w:bodyDiv w:val="1"/>
      <w:marLeft w:val="0"/>
      <w:marRight w:val="0"/>
      <w:marTop w:val="0"/>
      <w:marBottom w:val="0"/>
      <w:divBdr>
        <w:top w:val="none" w:sz="0" w:space="0" w:color="auto"/>
        <w:left w:val="none" w:sz="0" w:space="0" w:color="auto"/>
        <w:bottom w:val="none" w:sz="0" w:space="0" w:color="auto"/>
        <w:right w:val="none" w:sz="0" w:space="0" w:color="auto"/>
      </w:divBdr>
    </w:div>
    <w:div w:id="1559124820">
      <w:bodyDiv w:val="1"/>
      <w:marLeft w:val="0"/>
      <w:marRight w:val="0"/>
      <w:marTop w:val="0"/>
      <w:marBottom w:val="0"/>
      <w:divBdr>
        <w:top w:val="none" w:sz="0" w:space="0" w:color="auto"/>
        <w:left w:val="none" w:sz="0" w:space="0" w:color="auto"/>
        <w:bottom w:val="none" w:sz="0" w:space="0" w:color="auto"/>
        <w:right w:val="none" w:sz="0" w:space="0" w:color="auto"/>
      </w:divBdr>
    </w:div>
    <w:div w:id="1564290458">
      <w:bodyDiv w:val="1"/>
      <w:marLeft w:val="0"/>
      <w:marRight w:val="0"/>
      <w:marTop w:val="0"/>
      <w:marBottom w:val="0"/>
      <w:divBdr>
        <w:top w:val="none" w:sz="0" w:space="0" w:color="auto"/>
        <w:left w:val="none" w:sz="0" w:space="0" w:color="auto"/>
        <w:bottom w:val="none" w:sz="0" w:space="0" w:color="auto"/>
        <w:right w:val="none" w:sz="0" w:space="0" w:color="auto"/>
      </w:divBdr>
    </w:div>
    <w:div w:id="1566796845">
      <w:bodyDiv w:val="1"/>
      <w:marLeft w:val="0"/>
      <w:marRight w:val="0"/>
      <w:marTop w:val="0"/>
      <w:marBottom w:val="0"/>
      <w:divBdr>
        <w:top w:val="none" w:sz="0" w:space="0" w:color="auto"/>
        <w:left w:val="none" w:sz="0" w:space="0" w:color="auto"/>
        <w:bottom w:val="none" w:sz="0" w:space="0" w:color="auto"/>
        <w:right w:val="none" w:sz="0" w:space="0" w:color="auto"/>
      </w:divBdr>
    </w:div>
    <w:div w:id="1581023135">
      <w:bodyDiv w:val="1"/>
      <w:marLeft w:val="0"/>
      <w:marRight w:val="0"/>
      <w:marTop w:val="0"/>
      <w:marBottom w:val="0"/>
      <w:divBdr>
        <w:top w:val="none" w:sz="0" w:space="0" w:color="auto"/>
        <w:left w:val="none" w:sz="0" w:space="0" w:color="auto"/>
        <w:bottom w:val="none" w:sz="0" w:space="0" w:color="auto"/>
        <w:right w:val="none" w:sz="0" w:space="0" w:color="auto"/>
      </w:divBdr>
    </w:div>
    <w:div w:id="1609391083">
      <w:bodyDiv w:val="1"/>
      <w:marLeft w:val="0"/>
      <w:marRight w:val="0"/>
      <w:marTop w:val="0"/>
      <w:marBottom w:val="0"/>
      <w:divBdr>
        <w:top w:val="none" w:sz="0" w:space="0" w:color="auto"/>
        <w:left w:val="none" w:sz="0" w:space="0" w:color="auto"/>
        <w:bottom w:val="none" w:sz="0" w:space="0" w:color="auto"/>
        <w:right w:val="none" w:sz="0" w:space="0" w:color="auto"/>
      </w:divBdr>
    </w:div>
    <w:div w:id="1617256040">
      <w:bodyDiv w:val="1"/>
      <w:marLeft w:val="0"/>
      <w:marRight w:val="0"/>
      <w:marTop w:val="0"/>
      <w:marBottom w:val="0"/>
      <w:divBdr>
        <w:top w:val="none" w:sz="0" w:space="0" w:color="auto"/>
        <w:left w:val="none" w:sz="0" w:space="0" w:color="auto"/>
        <w:bottom w:val="none" w:sz="0" w:space="0" w:color="auto"/>
        <w:right w:val="none" w:sz="0" w:space="0" w:color="auto"/>
      </w:divBdr>
    </w:div>
    <w:div w:id="1646933461">
      <w:bodyDiv w:val="1"/>
      <w:marLeft w:val="0"/>
      <w:marRight w:val="0"/>
      <w:marTop w:val="0"/>
      <w:marBottom w:val="0"/>
      <w:divBdr>
        <w:top w:val="none" w:sz="0" w:space="0" w:color="auto"/>
        <w:left w:val="none" w:sz="0" w:space="0" w:color="auto"/>
        <w:bottom w:val="none" w:sz="0" w:space="0" w:color="auto"/>
        <w:right w:val="none" w:sz="0" w:space="0" w:color="auto"/>
      </w:divBdr>
    </w:div>
    <w:div w:id="1672030523">
      <w:bodyDiv w:val="1"/>
      <w:marLeft w:val="0"/>
      <w:marRight w:val="0"/>
      <w:marTop w:val="0"/>
      <w:marBottom w:val="0"/>
      <w:divBdr>
        <w:top w:val="none" w:sz="0" w:space="0" w:color="auto"/>
        <w:left w:val="none" w:sz="0" w:space="0" w:color="auto"/>
        <w:bottom w:val="none" w:sz="0" w:space="0" w:color="auto"/>
        <w:right w:val="none" w:sz="0" w:space="0" w:color="auto"/>
      </w:divBdr>
    </w:div>
    <w:div w:id="1750494332">
      <w:bodyDiv w:val="1"/>
      <w:marLeft w:val="0"/>
      <w:marRight w:val="0"/>
      <w:marTop w:val="0"/>
      <w:marBottom w:val="0"/>
      <w:divBdr>
        <w:top w:val="none" w:sz="0" w:space="0" w:color="auto"/>
        <w:left w:val="none" w:sz="0" w:space="0" w:color="auto"/>
        <w:bottom w:val="none" w:sz="0" w:space="0" w:color="auto"/>
        <w:right w:val="none" w:sz="0" w:space="0" w:color="auto"/>
      </w:divBdr>
    </w:div>
    <w:div w:id="1788354976">
      <w:bodyDiv w:val="1"/>
      <w:marLeft w:val="0"/>
      <w:marRight w:val="0"/>
      <w:marTop w:val="0"/>
      <w:marBottom w:val="0"/>
      <w:divBdr>
        <w:top w:val="none" w:sz="0" w:space="0" w:color="auto"/>
        <w:left w:val="none" w:sz="0" w:space="0" w:color="auto"/>
        <w:bottom w:val="none" w:sz="0" w:space="0" w:color="auto"/>
        <w:right w:val="none" w:sz="0" w:space="0" w:color="auto"/>
      </w:divBdr>
    </w:div>
    <w:div w:id="1844124263">
      <w:bodyDiv w:val="1"/>
      <w:marLeft w:val="0"/>
      <w:marRight w:val="0"/>
      <w:marTop w:val="0"/>
      <w:marBottom w:val="0"/>
      <w:divBdr>
        <w:top w:val="none" w:sz="0" w:space="0" w:color="auto"/>
        <w:left w:val="none" w:sz="0" w:space="0" w:color="auto"/>
        <w:bottom w:val="none" w:sz="0" w:space="0" w:color="auto"/>
        <w:right w:val="none" w:sz="0" w:space="0" w:color="auto"/>
      </w:divBdr>
    </w:div>
    <w:div w:id="1845853154">
      <w:bodyDiv w:val="1"/>
      <w:marLeft w:val="0"/>
      <w:marRight w:val="0"/>
      <w:marTop w:val="0"/>
      <w:marBottom w:val="0"/>
      <w:divBdr>
        <w:top w:val="none" w:sz="0" w:space="0" w:color="auto"/>
        <w:left w:val="none" w:sz="0" w:space="0" w:color="auto"/>
        <w:bottom w:val="none" w:sz="0" w:space="0" w:color="auto"/>
        <w:right w:val="none" w:sz="0" w:space="0" w:color="auto"/>
      </w:divBdr>
    </w:div>
    <w:div w:id="1847790082">
      <w:bodyDiv w:val="1"/>
      <w:marLeft w:val="0"/>
      <w:marRight w:val="0"/>
      <w:marTop w:val="0"/>
      <w:marBottom w:val="0"/>
      <w:divBdr>
        <w:top w:val="none" w:sz="0" w:space="0" w:color="auto"/>
        <w:left w:val="none" w:sz="0" w:space="0" w:color="auto"/>
        <w:bottom w:val="none" w:sz="0" w:space="0" w:color="auto"/>
        <w:right w:val="none" w:sz="0" w:space="0" w:color="auto"/>
      </w:divBdr>
    </w:div>
    <w:div w:id="1917931496">
      <w:bodyDiv w:val="1"/>
      <w:marLeft w:val="0"/>
      <w:marRight w:val="0"/>
      <w:marTop w:val="0"/>
      <w:marBottom w:val="0"/>
      <w:divBdr>
        <w:top w:val="none" w:sz="0" w:space="0" w:color="auto"/>
        <w:left w:val="none" w:sz="0" w:space="0" w:color="auto"/>
        <w:bottom w:val="none" w:sz="0" w:space="0" w:color="auto"/>
        <w:right w:val="none" w:sz="0" w:space="0" w:color="auto"/>
      </w:divBdr>
    </w:div>
    <w:div w:id="1979600921">
      <w:bodyDiv w:val="1"/>
      <w:marLeft w:val="0"/>
      <w:marRight w:val="0"/>
      <w:marTop w:val="0"/>
      <w:marBottom w:val="0"/>
      <w:divBdr>
        <w:top w:val="none" w:sz="0" w:space="0" w:color="auto"/>
        <w:left w:val="none" w:sz="0" w:space="0" w:color="auto"/>
        <w:bottom w:val="none" w:sz="0" w:space="0" w:color="auto"/>
        <w:right w:val="none" w:sz="0" w:space="0" w:color="auto"/>
      </w:divBdr>
    </w:div>
    <w:div w:id="2006400888">
      <w:bodyDiv w:val="1"/>
      <w:marLeft w:val="0"/>
      <w:marRight w:val="0"/>
      <w:marTop w:val="0"/>
      <w:marBottom w:val="0"/>
      <w:divBdr>
        <w:top w:val="none" w:sz="0" w:space="0" w:color="auto"/>
        <w:left w:val="none" w:sz="0" w:space="0" w:color="auto"/>
        <w:bottom w:val="none" w:sz="0" w:space="0" w:color="auto"/>
        <w:right w:val="none" w:sz="0" w:space="0" w:color="auto"/>
      </w:divBdr>
    </w:div>
    <w:div w:id="2022127048">
      <w:bodyDiv w:val="1"/>
      <w:marLeft w:val="0"/>
      <w:marRight w:val="0"/>
      <w:marTop w:val="0"/>
      <w:marBottom w:val="0"/>
      <w:divBdr>
        <w:top w:val="none" w:sz="0" w:space="0" w:color="auto"/>
        <w:left w:val="none" w:sz="0" w:space="0" w:color="auto"/>
        <w:bottom w:val="none" w:sz="0" w:space="0" w:color="auto"/>
        <w:right w:val="none" w:sz="0" w:space="0" w:color="auto"/>
      </w:divBdr>
    </w:div>
    <w:div w:id="2025204709">
      <w:bodyDiv w:val="1"/>
      <w:marLeft w:val="0"/>
      <w:marRight w:val="0"/>
      <w:marTop w:val="0"/>
      <w:marBottom w:val="0"/>
      <w:divBdr>
        <w:top w:val="none" w:sz="0" w:space="0" w:color="auto"/>
        <w:left w:val="none" w:sz="0" w:space="0" w:color="auto"/>
        <w:bottom w:val="none" w:sz="0" w:space="0" w:color="auto"/>
        <w:right w:val="none" w:sz="0" w:space="0" w:color="auto"/>
      </w:divBdr>
    </w:div>
    <w:div w:id="2073236651">
      <w:bodyDiv w:val="1"/>
      <w:marLeft w:val="0"/>
      <w:marRight w:val="0"/>
      <w:marTop w:val="0"/>
      <w:marBottom w:val="0"/>
      <w:divBdr>
        <w:top w:val="none" w:sz="0" w:space="0" w:color="auto"/>
        <w:left w:val="none" w:sz="0" w:space="0" w:color="auto"/>
        <w:bottom w:val="none" w:sz="0" w:space="0" w:color="auto"/>
        <w:right w:val="none" w:sz="0" w:space="0" w:color="auto"/>
      </w:divBdr>
    </w:div>
    <w:div w:id="2096434232">
      <w:bodyDiv w:val="1"/>
      <w:marLeft w:val="0"/>
      <w:marRight w:val="0"/>
      <w:marTop w:val="0"/>
      <w:marBottom w:val="0"/>
      <w:divBdr>
        <w:top w:val="none" w:sz="0" w:space="0" w:color="auto"/>
        <w:left w:val="none" w:sz="0" w:space="0" w:color="auto"/>
        <w:bottom w:val="none" w:sz="0" w:space="0" w:color="auto"/>
        <w:right w:val="none" w:sz="0" w:space="0" w:color="auto"/>
      </w:divBdr>
    </w:div>
    <w:div w:id="2099936578">
      <w:bodyDiv w:val="1"/>
      <w:marLeft w:val="0"/>
      <w:marRight w:val="0"/>
      <w:marTop w:val="0"/>
      <w:marBottom w:val="0"/>
      <w:divBdr>
        <w:top w:val="none" w:sz="0" w:space="0" w:color="auto"/>
        <w:left w:val="none" w:sz="0" w:space="0" w:color="auto"/>
        <w:bottom w:val="none" w:sz="0" w:space="0" w:color="auto"/>
        <w:right w:val="none" w:sz="0" w:space="0" w:color="auto"/>
      </w:divBdr>
    </w:div>
    <w:div w:id="2103334147">
      <w:bodyDiv w:val="1"/>
      <w:marLeft w:val="0"/>
      <w:marRight w:val="0"/>
      <w:marTop w:val="0"/>
      <w:marBottom w:val="0"/>
      <w:divBdr>
        <w:top w:val="none" w:sz="0" w:space="0" w:color="auto"/>
        <w:left w:val="none" w:sz="0" w:space="0" w:color="auto"/>
        <w:bottom w:val="none" w:sz="0" w:space="0" w:color="auto"/>
        <w:right w:val="none" w:sz="0" w:space="0" w:color="auto"/>
      </w:divBdr>
    </w:div>
    <w:div w:id="2135321817">
      <w:bodyDiv w:val="1"/>
      <w:marLeft w:val="0"/>
      <w:marRight w:val="0"/>
      <w:marTop w:val="0"/>
      <w:marBottom w:val="0"/>
      <w:divBdr>
        <w:top w:val="none" w:sz="0" w:space="0" w:color="auto"/>
        <w:left w:val="none" w:sz="0" w:space="0" w:color="auto"/>
        <w:bottom w:val="none" w:sz="0" w:space="0" w:color="auto"/>
        <w:right w:val="none" w:sz="0" w:space="0" w:color="auto"/>
      </w:divBdr>
    </w:div>
    <w:div w:id="2139688142">
      <w:bodyDiv w:val="1"/>
      <w:marLeft w:val="0"/>
      <w:marRight w:val="0"/>
      <w:marTop w:val="0"/>
      <w:marBottom w:val="0"/>
      <w:divBdr>
        <w:top w:val="none" w:sz="0" w:space="0" w:color="auto"/>
        <w:left w:val="none" w:sz="0" w:space="0" w:color="auto"/>
        <w:bottom w:val="none" w:sz="0" w:space="0" w:color="auto"/>
        <w:right w:val="none" w:sz="0" w:space="0" w:color="auto"/>
      </w:divBdr>
    </w:div>
    <w:div w:id="2146850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gt_americaregular">
    <w:altName w:val="Cambria"/>
    <w:panose1 w:val="00000000000000000000"/>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AE09BB"/>
    <w:rsid w:val="00AE09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Kra63</b:Tag>
    <b:SourceType>Book</b:SourceType>
    <b:Guid>{7496364B-910E-4855-8448-E1AC65F0F6DF}</b:Guid>
    <b:Title>The Sumerians</b:Title>
    <b:Year>1963</b:Year>
    <b:City>Chicago</b:City>
    <b:Publisher>University of Chicago Press</b:Publisher>
    <b:Author>
      <b:Author>
        <b:NameList>
          <b:Person>
            <b:Last>Kramer</b:Last>
          </b:Person>
        </b:NameList>
      </b:Author>
    </b:Author>
    <b:Pages>105</b:Pages>
    <b:RefOrder>1</b:RefOrder>
  </b:Source>
  <b:Source>
    <b:Tag>Ala07</b:Tag>
    <b:SourceType>Book</b:SourceType>
    <b:Guid>{0879420C-1111-4EAC-9F9E-40FF10F90136}</b:Guid>
    <b:Title>Human Resource Management in a business context</b:Title>
    <b:Year>2007</b:Year>
    <b:City>London</b:City>
    <b:Publisher>Thomas Learning</b:Publisher>
    <b:Author>
      <b:Author>
        <b:NameList>
          <b:Person>
            <b:Last>Price</b:Last>
            <b:First>Alan</b:First>
          </b:Person>
        </b:NameList>
      </b:Author>
    </b:Author>
    <b:RefOrder>2</b:RefOrder>
  </b:Source>
  <b:Source>
    <b:Tag>Tys89</b:Tag>
    <b:SourceType>JournalArticle</b:SourceType>
    <b:Guid>{88414E1B-A97E-4604-A282-06C3030F03B6}</b:Guid>
    <b:Title>The Management of the Personnel Function</b:Title>
    <b:Year>1989</b:Year>
    <b:Author>
      <b:Author>
        <b:NameList>
          <b:Person>
            <b:Last>Tyson</b:Last>
          </b:Person>
        </b:NameList>
      </b:Author>
    </b:Author>
    <b:JournalName>Journal of management studies</b:JournalName>
    <b:Pages>523</b:Pages>
    <b:RefOrder>3</b:RefOrder>
  </b:Source>
  <b:Source>
    <b:Tag>Far16</b:Tag>
    <b:SourceType>Book</b:SourceType>
    <b:Guid>{E12E873D-7990-4559-AB88-4F2FB98D57C2}</b:Guid>
    <b:Author>
      <b:Author>
        <b:NameList>
          <b:Person>
            <b:Last>Farnham</b:Last>
            <b:First>David</b:First>
          </b:Person>
        </b:NameList>
      </b:Author>
    </b:Author>
    <b:Title>Human Resource Management in context</b:Title>
    <b:Year>2016</b:Year>
    <b:City>London</b:City>
    <b:Publisher>CIPD</b:Publisher>
    <b:RefOrder>4</b:RefOrder>
  </b:Source>
  <b:Source>
    <b:Tag>Kew14</b:Tag>
    <b:SourceType>Book</b:SourceType>
    <b:Guid>{2C0F748F-2729-4FC8-996F-CBC31FEA5162}</b:Guid>
    <b:Title>Human Resource Management in a busines context</b:Title>
    <b:Year>2014</b:Year>
    <b:City>London</b:City>
    <b:Publisher>CIPD</b:Publisher>
    <b:Author>
      <b:Author>
        <b:NameList>
          <b:Person>
            <b:Last>Kew</b:Last>
            <b:First>John</b:First>
          </b:Person>
          <b:Person>
            <b:Last>Stedwick</b:Last>
            <b:First>John</b:First>
          </b:Person>
        </b:NameList>
      </b:Author>
    </b:Author>
    <b:RefOrder>5</b:RefOrder>
  </b:Source>
  <b:Source>
    <b:Tag>Man18</b:Tag>
    <b:SourceType>InternetSite</b:SourceType>
    <b:Guid>{A0C42300-019E-4EF1-964B-9CA753D6749E}</b:Guid>
    <b:Title>Managing HR role David Ulrichs model</b:Title>
    <b:Year>2018</b:Year>
    <b:InternetSiteTitle>Mettle blog</b:InternetSiteTitle>
    <b:Month>May</b:Month>
    <b:Day>14</b:Day>
    <b:URL>https://blog.mettl.com/talent-hub/managing-hr-roles-david-ulrich-model</b:URL>
    <b:RefOrder>6</b:RefOrder>
  </b:Source>
  <b:Source>
    <b:Tag>Bee85</b:Tag>
    <b:SourceType>Book</b:SourceType>
    <b:Guid>{4CB31CC8-5EB6-43EE-8C72-51A54143FD2D}</b:Guid>
    <b:Title>Human Resource Management: a general managers perspective</b:Title>
    <b:Year>1985</b:Year>
    <b:City>Glencoe Illinois</b:City>
    <b:Publisher>Free Press</b:Publisher>
    <b:Author>
      <b:Author>
        <b:NameList>
          <b:Person>
            <b:Last>Beer</b:Last>
            <b:First>M</b:First>
          </b:Person>
          <b:Person>
            <b:Last>Spector</b:Last>
            <b:First>B</b:First>
          </b:Person>
          <b:Person>
            <b:Last>Lawrence</b:Last>
            <b:First>P</b:First>
          </b:Person>
          <b:Person>
            <b:Last>Quinn Mills</b:Last>
            <b:First>D</b:First>
          </b:Person>
          <b:Person>
            <b:Last>Walton</b:Last>
            <b:First>R</b:First>
          </b:Person>
        </b:NameList>
      </b:Author>
    </b:Author>
    <b:RefOrder>8</b:RefOrder>
  </b:Source>
  <b:Source>
    <b:Tag>Red09</b:Tag>
    <b:SourceType>Book</b:SourceType>
    <b:Guid>{ABC0ADE9-642D-4C25-9F96-E458DECBF3DD}</b:Guid>
    <b:Title>Contemporary human resource management</b:Title>
    <b:Year>2009</b:Year>
    <b:Publisher>Prentice Hall- Financial times</b:Publisher>
    <b:Author>
      <b:Author>
        <b:NameList>
          <b:Person>
            <b:Last>Redmond</b:Last>
            <b:First>T</b:First>
          </b:Person>
          <b:Person>
            <b:Last>Wilkinson</b:Last>
            <b:First>A</b:First>
          </b:Person>
        </b:NameList>
      </b:Author>
    </b:Author>
    <b:RefOrder>7</b:RefOrder>
  </b:Source>
  <b:Source>
    <b:Tag>HRM16</b:Tag>
    <b:SourceType>DocumentFromInternetSite</b:SourceType>
    <b:Guid>{82C8150A-1938-4586-9201-FD2A4868B1AE}</b:Guid>
    <b:Title>HRMwordpress</b:Title>
    <b:Year>2016</b:Year>
    <b:InternetSiteTitle>WordPress</b:InternetSiteTitle>
    <b:Month>March</b:Month>
    <b:Day>8</b:Day>
    <b:URL>https://hrm024209.wordpress.com/2016/03/18/2/</b:URL>
    <b:RefOrder>9</b:RefOrder>
  </b:Source>
  <b:Source>
    <b:Tag>MAr06</b:Tag>
    <b:SourceType>Book</b:SourceType>
    <b:Guid>{19B55883-A180-4D19-9254-EFAE68348957}</b:Guid>
    <b:Title>A Handbook of Human Resouce Practice</b:Title>
    <b:Year>2006</b:Year>
    <b:Author>
      <b:Author>
        <b:NameList>
          <b:Person>
            <b:Last>Armstrong</b:Last>
            <b:First>M</b:First>
          </b:Person>
        </b:NameList>
      </b:Author>
    </b:Author>
    <b:Publisher>Kogan Page</b:Publisher>
    <b:RefOrder>10</b:RefOrder>
  </b:Source>
  <b:Source>
    <b:Tag>Han11</b:Tag>
    <b:SourceType>InternetSite</b:SourceType>
    <b:Guid>{CEE85DC3-CBC8-4148-9C77-0BE105D8011C}</b:Guid>
    <b:Title>Is best practice holding you back?</b:Title>
    <b:Year>2011</b:Year>
    <b:InternetSiteTitle>HRmagazine</b:InternetSiteTitle>
    <b:Month>August</b:Month>
    <b:Day>22</b:Day>
    <b:URL>https://www.hrmagazine.co.uk/article-details/is-best-practice-holding-you-back</b:URL>
    <b:Author>
      <b:Author>
        <b:NameList>
          <b:Person>
            <b:Last>Stratford</b:Last>
            <b:First>Hannah</b:First>
          </b:Person>
        </b:NameList>
      </b:Author>
    </b:Author>
    <b:RefOrder>11</b:RefOrder>
  </b:Source>
  <b:Source>
    <b:Tag>Bar91</b:Tag>
    <b:SourceType>JournalArticle</b:SourceType>
    <b:Guid>{5F423877-7E5C-45E3-88B3-25663DE3BB2D}</b:Guid>
    <b:Title>Firm resources and  sustainable competitive adavantage</b:Title>
    <b:Year>1991</b:Year>
    <b:Author>
      <b:Author>
        <b:NameList>
          <b:Person>
            <b:Last>Barney</b:Last>
            <b:First>J</b:First>
          </b:Person>
        </b:NameList>
      </b:Author>
    </b:Author>
    <b:Pages>99-129</b:Pages>
    <b:JournalName>Journal of Management</b:JournalName>
    <b:RefOrder>12</b:RefOrder>
  </b:Source>
  <b:Source>
    <b:Tag>CIP18</b:Tag>
    <b:SourceType>DocumentFromInternetSite</b:SourceType>
    <b:Guid>{85594F92-7D0D-457F-9EFA-E506677E350A}</b:Guid>
    <b:Title>HR Analytics CIPD</b:Title>
    <b:Year>2018</b:Year>
    <b:Author>
      <b:Author>
        <b:Corporate>CIPD</b:Corporate>
      </b:Author>
    </b:Author>
    <b:InternetSiteTitle>CIPD</b:InternetSiteTitle>
    <b:Month>June</b:Month>
    <b:Day>13</b:Day>
    <b:URL>https://www.cipd.co.uk/knowledge/strategy/analytics/factsheet</b:URL>
    <b:RefOrder>13</b:RefOrder>
  </b:Source>
  <b:Source>
    <b:Tag>Har15</b:Tag>
    <b:SourceType>DocumentFromInternetSite</b:SourceType>
    <b:Guid>{BEA1BE19-8433-47CA-95E0-304022A9D95D}</b:Guid>
    <b:Author>
      <b:Author>
        <b:NameList>
          <b:Person>
            <b:Last>Harrison</b:Last>
            <b:First>Laura</b:First>
          </b:Person>
        </b:NameList>
      </b:Author>
    </b:Author>
    <b:Title>HR and Business Ethics CIPD</b:Title>
    <b:InternetSiteTitle>CIPD</b:InternetSiteTitle>
    <b:Year>2015</b:Year>
    <b:Month>December</b:Month>
    <b:Day>01</b:Day>
    <b:URL>https://www.cipd.co.uk/podcasts/hr-business-ethics</b:URL>
    <b:RefOrder>15</b:RefOrder>
  </b:Source>
  <b:Source>
    <b:Tag>Law98</b:Tag>
    <b:SourceType>Book</b:SourceType>
    <b:Guid>{86EC3A22-B0DC-43E4-9C71-594139280FA4}</b:Guid>
    <b:Title>Ethical Management for the public services</b:Title>
    <b:Year>1998</b:Year>
    <b:Author>
      <b:Author>
        <b:NameList>
          <b:Person>
            <b:Last>Lawton</b:Last>
          </b:Person>
        </b:NameList>
      </b:Author>
    </b:Author>
    <b:City>Buckingham</b:City>
    <b:Publisher>Open University Press</b:Publisher>
    <b:RefOrder>14</b:RefOrder>
  </b:Source>
  <b:Source>
    <b:Tag>Ros99</b:Tag>
    <b:SourceType>Book</b:SourceType>
    <b:Guid>{6F1D7830-54AC-4B93-AF83-5D5273BEEDFD}</b:Guid>
    <b:Title>Public services management</b:Title>
    <b:Year>1999</b:Year>
    <b:City>Harlow</b:City>
    <b:Publisher>Prentice Hall</b:Publisher>
    <b:Author>
      <b:Author>
        <b:NameList>
          <b:Person>
            <b:Last>Rose</b:Last>
            <b:First>A</b:First>
          </b:Person>
          <b:Person>
            <b:Last>Lawton </b:Last>
            <b:First>A</b:First>
          </b:Person>
        </b:NameList>
      </b:Author>
    </b:Author>
    <b:RefOrder>19</b:RefOrder>
  </b:Source>
  <b:Source>
    <b:Tag>Cha17</b:Tag>
    <b:SourceType>InternetSite</b:SourceType>
    <b:Guid>{5A3C9C76-94C8-46DD-9E17-73274D1B7184}</b:Guid>
    <b:Title>Charity Governance Code - About the Code</b:Title>
    <b:Year>2017</b:Year>
    <b:Author>
      <b:Author>
        <b:Corporate>Charity Governace Code</b:Corporate>
      </b:Author>
    </b:Author>
    <b:InternetSiteTitle>Charity Governance Code</b:InternetSiteTitle>
    <b:URL>https://www.charitygovernancecode.org/en/about-the-code-1/using-the-code</b:URL>
    <b:RefOrder>20</b:RefOrder>
  </b:Source>
  <b:Source>
    <b:Tag>Min19</b:Tag>
    <b:SourceType>InternetSite</b:SourceType>
    <b:Guid>{6A3CE327-BA9B-4B50-A333-11E23414888A}</b:Guid>
    <b:Author>
      <b:Author>
        <b:Corporate>Mindtools team</b:Corporate>
      </b:Author>
    </b:Author>
    <b:Title>Porters 5 forces</b:Title>
    <b:InternetSiteTitle>Mindtools</b:InternetSiteTitle>
    <b:Year>2019</b:Year>
    <b:Month>Jan</b:Month>
    <b:Day>03</b:Day>
    <b:URL>https://www.mindtools.com/pages/article/newTMC_08.htm</b:URL>
    <b:RefOrder>21</b:RefOrder>
  </b:Source>
  <b:Source>
    <b:Tag>Spa18</b:Tag>
    <b:SourceType>InternetSite</b:SourceType>
    <b:Guid>{299260FC-B842-4866-AD81-74AEBDA72EDC}</b:Guid>
    <b:Author>
      <b:Author>
        <b:Corporate>Spark rail</b:Corporate>
      </b:Author>
    </b:Author>
    <b:Title>Sparkrail Pestle Analysis</b:Title>
    <b:InternetSiteTitle>Sparkrail</b:InternetSiteTitle>
    <b:Year>2018</b:Year>
    <b:Month>December</b:Month>
    <b:URL>https://www.sparkrail.org/Pages/HSPestle.aspx</b:URL>
    <b:RefOrder>22</b:RefOrder>
  </b:Source>
  <b:Source>
    <b:Tag>Hea17</b:Tag>
    <b:SourceType>InternetSite</b:SourceType>
    <b:Guid>{4353C9AC-4672-4879-98F2-2AB01217E445}</b:Guid>
    <b:Author>
      <b:Author>
        <b:Corporate>Healthcare success</b:Corporate>
      </b:Author>
    </b:Author>
    <b:Title>Blog SWOT</b:Title>
    <b:InternetSiteTitle>Healthcare success</b:InternetSiteTitle>
    <b:Year>2017</b:Year>
    <b:URL>https://www.healthcaresuccess.com/blog/medical-advertising-agency/swot.html</b:URL>
    <b:RefOrder>23</b:RefOrder>
  </b:Source>
  <b:Source>
    <b:Tag>CIP181</b:Tag>
    <b:SourceType>InternetSite</b:SourceType>
    <b:Guid>{D7E0FDCA-E5C3-46D0-AECB-A1493E4F6098}</b:Guid>
    <b:Author>
      <b:Author>
        <b:Corporate>CIPD</b:Corporate>
      </b:Author>
    </b:Author>
    <b:Title>PESTLE Analysis</b:Title>
    <b:InternetSiteTitle>CIPD</b:InternetSiteTitle>
    <b:Year>2018</b:Year>
    <b:Month>December</b:Month>
    <b:Day>17</b:Day>
    <b:URL>https://www.cipd.co.uk/knowledge/strategy/organisational-development/pestle-analysis-factsheet</b:URL>
    <b:RefOrder>24</b:RefOrder>
  </b:Source>
  <b:Source>
    <b:Tag>CIP15</b:Tag>
    <b:SourceType>InternetSite</b:SourceType>
    <b:Guid>{75FC11E3-B116-4A86-B2A8-54FA6D9CD6BF}</b:Guid>
    <b:Author>
      <b:Author>
        <b:Corporate>CIPD</b:Corporate>
      </b:Author>
    </b:Author>
    <b:Title>SWOT Analysis</b:Title>
    <b:InternetSiteTitle>CIPD</b:InternetSiteTitle>
    <b:Year>2015</b:Year>
    <b:Month>October</b:Month>
    <b:Day>15</b:Day>
    <b:URL>https://www.cipd.co.uk/knowledge/strategy/organisational-development/swot-analysis-factsheet</b:URL>
    <b:RefOrder>25</b:RefOrder>
  </b:Source>
  <b:Source>
    <b:Tag>Por79</b:Tag>
    <b:SourceType>DocumentFromInternetSite</b:SourceType>
    <b:Guid>{7DFF5363-BE8C-4543-AB80-BEE92DFC94FC}</b:Guid>
    <b:Title>How competitive forces shape strategy</b:Title>
    <b:InternetSiteTitle>Harvard Business Review</b:InternetSiteTitle>
    <b:Year>1979</b:Year>
    <b:Month>March</b:Month>
    <b:URL>https://hbr.org/1979/03/how-competitive-forces-shape-strategy</b:URL>
    <b:Author>
      <b:Author>
        <b:NameList>
          <b:Person>
            <b:Last>Porter</b:Last>
            <b:First>Michael</b:First>
          </b:Person>
        </b:NameList>
      </b:Author>
    </b:Author>
    <b:RefOrder>26</b:RefOrder>
  </b:Source>
  <b:Source>
    <b:Tag>Mic17</b:Tag>
    <b:SourceType>InternetSite</b:SourceType>
    <b:Guid>{F41BB41A-08D5-4557-8B13-33E94A151F31}</b:Guid>
    <b:Title>Big bank to move headquarters out of Catalonia Financial Times</b:Title>
    <b:InternetSiteTitle>Financial Times</b:InternetSiteTitle>
    <b:Year>2017</b:Year>
    <b:Month>October</b:Month>
    <b:Day>5th</b:Day>
    <b:URL>https://www.ft.com/content/daada4cc-a9b4-11e7-93c5-648314d2c72c</b:URL>
    <b:Author>
      <b:Author>
        <b:Corporate>Financial Times</b:Corporate>
      </b:Author>
    </b:Author>
    <b:RefOrder>27</b:RefOrder>
  </b:Source>
  <b:Source>
    <b:Tag>Sta17</b:Tag>
    <b:SourceType>InternetSite</b:SourceType>
    <b:Guid>{A1559A0A-8A23-422A-825F-5CD2A2989292}</b:Guid>
    <b:Author>
      <b:Author>
        <b:Corporate>Stats.gov</b:Corporate>
      </b:Author>
    </b:Author>
    <b:Title>Labour force will grow and age</b:Title>
    <b:InternetSiteTitle>stats.govt.nz</b:InternetSiteTitle>
    <b:Year>2017</b:Year>
    <b:Month>Dec</b:Month>
    <b:Day>14</b:Day>
    <b:URL>https://www.stats.govt.nz/news/labour-force-will-grow-and-age</b:URL>
    <b:RefOrder>28</b:RefOrder>
  </b:Source>
  <b:Source>
    <b:Tag>CIP182</b:Tag>
    <b:SourceType>InternetSite</b:SourceType>
    <b:Guid>{A76A88C1-6BBD-4CE3-A9E8-4BACEA320091}</b:Guid>
    <b:Author>
      <b:Author>
        <b:Corporate>CIPD</b:Corporate>
      </b:Author>
    </b:Author>
    <b:Title>Emerging technology and the future of work</b:Title>
    <b:InternetSiteTitle>CIPD</b:InternetSiteTitle>
    <b:Year>2018</b:Year>
    <b:Month>April</b:Month>
    <b:Day>12</b:Day>
    <b:URL>https://www.cipd.co.uk/knowledge/work/technology/emerging-future-work-factsheet</b:URL>
    <b:RefOrder>29</b:RefOrder>
  </b:Source>
  <b:Source>
    <b:Tag>For18</b:Tag>
    <b:SourceType>InternetSite</b:SourceType>
    <b:Guid>{F676BA43-EC5A-442C-97D4-B816A3B57AAC}</b:Guid>
    <b:Author>
      <b:Author>
        <b:Corporate>Forbes</b:Corporate>
      </b:Author>
    </b:Author>
    <b:Title>Technology has already taken 905 of jobs</b:Title>
    <b:InternetSiteTitle>Forbes</b:InternetSiteTitle>
    <b:Year>2018</b:Year>
    <b:Month>January</b:Month>
    <b:Day>18</b:Day>
    <b:URL>https://www.forbes.com/sites/quora/2018/01/18/technology-has-already-taken-over-90-of-the-jobs-humans-used-to-do/#4e4ec9aa1bdd</b:URL>
    <b:RefOrder>30</b:RefOrder>
  </b:Source>
  <b:Source>
    <b:Tag>Cor16</b:Tag>
    <b:SourceType>InternetSite</b:SourceType>
    <b:Guid>{2955BE65-043C-4017-A38D-D9A85E8CF29E}</b:Guid>
    <b:Author>
      <b:Author>
        <b:Corporate>Corporate finance Institute</b:Corporate>
      </b:Author>
    </b:Author>
    <b:Title>business life cycle</b:Title>
    <b:InternetSiteTitle>corporatefinanceinstitute</b:InternetSiteTitle>
    <b:Year>2016</b:Year>
    <b:URL>https://corporatefinanceinstitute.com/resources/knowledge/finance/business-life-cycle/</b:URL>
    <b:RefOrder>31</b:RefOrder>
  </b:Source>
  <b:Source>
    <b:Tag>Pri14</b:Tag>
    <b:SourceType>InternetSite</b:SourceType>
    <b:Guid>{6651883D-7302-4C64-80A2-54A14E928387}</b:Guid>
    <b:Author>
      <b:Author>
        <b:Corporate>Pricewaterhouse coopers</b:Corporate>
      </b:Author>
    </b:Author>
    <b:Title>KPI</b:Title>
    <b:InternetSiteTitle>Price Waterhouse Coopers</b:InternetSiteTitle>
    <b:Year>2014</b:Year>
    <b:URL>https://www.pwc.com/gx/en/audit-services/corporate-reporting/assets/pdfs/uk_kpi_guide.pdf</b:URL>
    <b:RefOrder>32</b:RefOrder>
  </b:Source>
  <b:Source>
    <b:Tag>Str18</b:Tag>
    <b:SourceType>InternetSite</b:SourceType>
    <b:Guid>{1CEDDD83-C4D4-45AA-8EBA-F14635836CD5}</b:Guid>
    <b:Author>
      <b:Author>
        <b:Corporate>Strategy management balancedscorecard</b:Corporate>
      </b:Author>
    </b:Author>
    <b:Title>About the balance scorecard</b:Title>
    <b:InternetSiteTitle>balancedscorecard</b:InternetSiteTitle>
    <b:Year>2018</b:Year>
    <b:Month>Jan</b:Month>
    <b:Day>08</b:Day>
    <b:URL>https://www.balancedscorecard.org/BSC-Basics/About-the-Balanced-Scorecard</b:URL>
    <b:RefOrder>33</b:RefOrder>
  </b:Source>
  <b:Source>
    <b:Tag>ITG18</b:Tag>
    <b:SourceType>InternetSite</b:SourceType>
    <b:Guid>{0180EDA9-ECC6-4C16-9662-4EE5E82EB9B0}</b:Guid>
    <b:Author>
      <b:Author>
        <b:Corporate>IT Governance</b:Corporate>
      </b:Author>
    </b:Author>
    <b:Title>SLA</b:Title>
    <b:InternetSiteTitle>IT Governance</b:InternetSiteTitle>
    <b:Year>2018</b:Year>
    <b:URL>https://www.itgovernance.co.uk/sla</b:URL>
    <b:RefOrder>34</b:RefOrder>
  </b:Source>
  <b:Source>
    <b:Tag>Ree14</b:Tag>
    <b:SourceType>Book</b:SourceType>
    <b:Guid>{9815CB0B-61F0-48F4-98F9-7F2C760ED5B4}</b:Guid>
    <b:Title>Leading Managing and developing people</b:Title>
    <b:Year>2014</b:Year>
    <b:Author>
      <b:Author>
        <b:NameList>
          <b:Person>
            <b:Last>Rees</b:Last>
            <b:First>Gary</b:First>
          </b:Person>
          <b:Person>
            <b:Last>French</b:Last>
            <b:First>Ray</b:First>
          </b:Person>
        </b:NameList>
      </b:Author>
    </b:Author>
    <b:City>London</b:City>
    <b:Publisher>CIPD</b:Publisher>
    <b:RefOrder>35</b:RefOrder>
  </b:Source>
  <b:Source>
    <b:Tag>TSB19</b:Tag>
    <b:SourceType>Misc</b:SourceType>
    <b:Guid>{65D755E6-4ACE-41A6-AC51-B449E5A62EA7}</b:Guid>
    <b:Author>
      <b:Author>
        <b:Corporate>TSB</b:Corporate>
      </b:Author>
    </b:Author>
    <b:Title>HR Monthly People Pack</b:Title>
    <b:Year>2019</b:Year>
    <b:City>Edinburgh</b:City>
    <b:Publisher>TSB Internal document</b:Publisher>
    <b:Month>Jan</b:Month>
    <b:RefOrder>36</b:RefOrder>
  </b:Source>
  <b:Source>
    <b:Tag>NGD15</b:Tag>
    <b:SourceType>InternetSite</b:SourceType>
    <b:Guid>{5E4E675F-BD54-4DC3-8880-2DF815B4E4FE}</b:Guid>
    <b:Title>what is attrition rate</b:Title>
    <b:Year>2015</b:Year>
    <b:Month>July</b:Month>
    <b:Day>09</b:Day>
    <b:Author>
      <b:Author>
        <b:Corporate>NGDATA</b:Corporate>
      </b:Author>
    </b:Author>
    <b:InternetSiteTitle>NGDATA</b:InternetSiteTitle>
    <b:URL>https://www.ngdata.com/what-is-attrition-rate/</b:URL>
    <b:RefOrder>37</b:RefOrder>
  </b:Source>
  <b:Source>
    <b:Tag>Ara18</b:Tag>
    <b:SourceType>InternetSite</b:SourceType>
    <b:Guid>{C2858FEE-A4A1-4C12-8A70-CC5C24D99576}</b:Guid>
    <b:Author>
      <b:Author>
        <b:NameList>
          <b:Person>
            <b:Last>Sekar</b:Last>
            <b:First>Aravind</b:First>
          </b:Person>
        </b:NameList>
      </b:Author>
    </b:Author>
    <b:Title>Use HR anylytics</b:Title>
    <b:InternetSiteTitle>analyticstraining</b:InternetSiteTitle>
    <b:Year>2018</b:Year>
    <b:Month>Nov</b:Month>
    <b:Day>30</b:Day>
    <b:URL>https://analyticstraining.com/use-hr-analytics/</b:URL>
    <b:RefOrder>38</b:RefOrder>
  </b:Source>
  <b:Source>
    <b:Tag>Phi12</b:Tag>
    <b:SourceType>Book</b:SourceType>
    <b:Guid>{BC516CF7-DB7A-4D24-8016-B9C53A0FBC96}</b:Guid>
    <b:Title>Proving the Value of HR: How and Why to Measure</b:Title>
    <b:InternetSiteTitle>Society for Human Resource Management</b:InternetSiteTitle>
    <b:Year>2012</b:Year>
    <b:Month>Feb</b:Month>
    <b:Day>23</b:Day>
    <b:URL>https://www.shrm.org/resourcesandtools/hr-topics/behavioral-competencies/business-acumen/pages/measuring-hr-costs.aspx</b:URL>
    <b:City>ROI</b:City>
    <b:Publisher>SHRM</b:Publisher>
    <b:Author>
      <b:Author>
        <b:NameList>
          <b:Person>
            <b:Last>Phillips</b:Last>
            <b:First>Jack</b:First>
          </b:Person>
          <b:Person>
            <b:Last>Phillips</b:Last>
            <b:First>Patricia</b:First>
          </b:Person>
        </b:NameList>
      </b:Author>
    </b:Author>
    <b:RefOrder>39</b:RefOrder>
  </b:Source>
  <b:Source>
    <b:Tag>ACA19</b:Tag>
    <b:SourceType>InternetSite</b:SourceType>
    <b:Guid>{EAEC8F74-3824-4BCE-A0FC-0C984427E603}</b:Guid>
    <b:Title>Employment Law Update</b:Title>
    <b:Year>2019</b:Year>
    <b:Author>
      <b:Author>
        <b:Corporate>ACAS</b:Corporate>
      </b:Author>
    </b:Author>
    <b:InternetSiteTitle>ACAS</b:InternetSiteTitle>
    <b:Month>Jan</b:Month>
    <b:URL>http://www.acas.org.uk/index.aspx?articleid=3909</b:URL>
    <b:RefOrder>40</b:RefOrder>
  </b:Source>
  <b:Source>
    <b:Tag>ONS17</b:Tag>
    <b:SourceType>InternetSite</b:SourceType>
    <b:Guid>{769C5C54-FA58-405B-9F76-82095ED36360}</b:Guid>
    <b:Author>
      <b:Author>
        <b:Corporate>ONS</b:Corporate>
      </b:Author>
    </b:Author>
    <b:Title>about business surveys</b:Title>
    <b:InternetSiteTitle>Office National Statistics</b:InternetSiteTitle>
    <b:Year>2017</b:Year>
    <b:URL>https://www.ons.gov.uk/surveys/informationforbusinesses/aboutonsbusinesssurveys</b:URL>
    <b:RefOrder>41</b:RefOrder>
  </b:Source>
  <b:Source>
    <b:Tag>CIP171</b:Tag>
    <b:SourceType>InternetSite</b:SourceType>
    <b:Guid>{727948EB-305F-4680-991C-F3068259E37E}</b:Guid>
    <b:Title>Strategic HRM</b:Title>
    <b:Year>2017</b:Year>
    <b:Month>Nov</b:Month>
    <b:Day>8</b:Day>
    <b:Author>
      <b:Author>
        <b:Corporate>CIPD</b:Corporate>
      </b:Author>
    </b:Author>
    <b:InternetSiteTitle>CIPD</b:InternetSiteTitle>
    <b:URL>https://www.cipd.co.uk/knowledge/strategy/hr/strategic-hrm-factsheet</b:URL>
    <b:RefOrder>17</b:RefOrder>
  </b:Source>
  <b:Source>
    <b:Tag>Str13</b:Tag>
    <b:SourceType>InternetSite</b:SourceType>
    <b:Guid>{07CA9069-8E95-451A-93C2-6025C17FFD3A}</b:Guid>
    <b:Author>
      <b:Author>
        <b:Corporate>Strategic Management Insight</b:Corporate>
      </b:Author>
    </b:Author>
    <b:Title>Strategic Planning Process</b:Title>
    <b:InternetSiteTitle>Strategic Management Insight</b:InternetSiteTitle>
    <b:Year>2013</b:Year>
    <b:Month>Feb</b:Month>
    <b:Day>13</b:Day>
    <b:URL>https://www.strategicmanagementinsight.com/topics/strategic-planning-process.html</b:URL>
    <b:RefOrder>16</b:RefOrder>
  </b:Source>
  <b:Source>
    <b:Tag>Dav09</b:Tag>
    <b:SourceType>Book</b:SourceType>
    <b:Guid>{8D66080A-D9F9-4875-9306-A60551B7D6C4}</b:Guid>
    <b:Title>Strategic MAnagement Concepts and Cases</b:Title>
    <b:Year>2009</b:Year>
    <b:URL>David, F.R. (2009). Strategic Management: Concepts and Cases. 12th ed. FT Prentice Hall, p. 36-37, 45-47, 93</b:URL>
    <b:Author>
      <b:Author>
        <b:NameList>
          <b:Person>
            <b:Last>David</b:Last>
            <b:First>F</b:First>
          </b:Person>
        </b:NameList>
      </b:Author>
    </b:Author>
    <b:Publisher>Prentence Hall</b:Publisher>
    <b:RefOrder>18</b:RefOrder>
  </b:Source>
  <b:Source>
    <b:Tag>CIP172</b:Tag>
    <b:SourceType>InternetSite</b:SourceType>
    <b:Guid>{088018AD-6405-4A76-AC65-7BB5FFC854BD}</b:Guid>
    <b:Title>HR tech revolution: friend or foe?</b:Title>
    <b:Year>2017</b:Year>
    <b:Author>
      <b:Author>
        <b:Corporate>CIPD</b:Corporate>
      </b:Author>
    </b:Author>
    <b:InternetSiteTitle>CIPD</b:InternetSiteTitle>
    <b:Month>May</b:Month>
    <b:Day>02</b:Day>
    <b:URL>https://www.cipd.co.uk/podcasts/hr-technology</b:URL>
    <b:RefOrder>42</b:RefOrder>
  </b:Source>
</b:Sources>
</file>

<file path=customXml/itemProps1.xml><?xml version="1.0" encoding="utf-8"?>
<ds:datastoreItem xmlns:ds="http://schemas.openxmlformats.org/officeDocument/2006/customXml" ds:itemID="{70B0EC5B-5C67-4B31-8AFC-E71F179564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TotalTime>
  <Pages>17</Pages>
  <Words>5534</Words>
  <Characters>31549</Characters>
  <Application>Microsoft Office Word</Application>
  <DocSecurity>0</DocSecurity>
  <Lines>262</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Donovan, Owen</dc:creator>
  <cp:keywords/>
  <dc:description/>
  <cp:lastModifiedBy>Donovan, Owen</cp:lastModifiedBy>
  <cp:revision>17</cp:revision>
  <dcterms:created xsi:type="dcterms:W3CDTF">2019-01-03T09:57:00Z</dcterms:created>
  <dcterms:modified xsi:type="dcterms:W3CDTF">2019-01-09T21:58:00Z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bb75a21-2696-4c5d-bf62-37e3c3b3095c_Enabled">
    <vt:lpwstr>True</vt:lpwstr>
  </property>
  <property fmtid="{D5CDD505-2E9C-101B-9397-08002B2CF9AE}" pid="3" name="MSIP_Label_dbb75a21-2696-4c5d-bf62-37e3c3b3095c_SiteId">
    <vt:lpwstr>01fab9c0-5d9c-432e-825c-e5a335d03cdd</vt:lpwstr>
  </property>
  <property fmtid="{D5CDD505-2E9C-101B-9397-08002B2CF9AE}" pid="4" name="MSIP_Label_dbb75a21-2696-4c5d-bf62-37e3c3b3095c_Owner">
    <vt:lpwstr>owen.donovan@tsb.co.uk</vt:lpwstr>
  </property>
  <property fmtid="{D5CDD505-2E9C-101B-9397-08002B2CF9AE}" pid="5" name="MSIP_Label_dbb75a21-2696-4c5d-bf62-37e3c3b3095c_SetDate">
    <vt:lpwstr>2019-01-04T13:02:07.1027909Z</vt:lpwstr>
  </property>
  <property fmtid="{D5CDD505-2E9C-101B-9397-08002B2CF9AE}" pid="6" name="MSIP_Label_dbb75a21-2696-4c5d-bf62-37e3c3b3095c_Name">
    <vt:lpwstr>Internal</vt:lpwstr>
  </property>
  <property fmtid="{D5CDD505-2E9C-101B-9397-08002B2CF9AE}" pid="7" name="MSIP_Label_dbb75a21-2696-4c5d-bf62-37e3c3b3095c_Application">
    <vt:lpwstr>Microsoft Azure Information Protection</vt:lpwstr>
  </property>
  <property fmtid="{D5CDD505-2E9C-101B-9397-08002B2CF9AE}" pid="8" name="MSIP_Label_dbb75a21-2696-4c5d-bf62-37e3c3b3095c_Extended_MSFT_Method">
    <vt:lpwstr>Automatic</vt:lpwstr>
  </property>
  <property fmtid="{D5CDD505-2E9C-101B-9397-08002B2CF9AE}" pid="9" name="Sensitivity">
    <vt:lpwstr>Internal</vt:lpwstr>
  </property>
</Properties>
</file>