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97F16D" w14:textId="77777777" w:rsidR="00C6535C" w:rsidRDefault="00C6535C" w:rsidP="00C6535C">
      <w:pPr>
        <w:jc w:val="center"/>
        <w:rPr>
          <w:b/>
          <w:bCs/>
          <w:sz w:val="36"/>
          <w:szCs w:val="32"/>
        </w:rPr>
      </w:pPr>
    </w:p>
    <w:p w14:paraId="5F158CEE" w14:textId="77777777" w:rsidR="00C6535C" w:rsidRDefault="00C6535C" w:rsidP="00C6535C">
      <w:pPr>
        <w:jc w:val="center"/>
        <w:rPr>
          <w:b/>
          <w:bCs/>
          <w:sz w:val="36"/>
          <w:szCs w:val="32"/>
        </w:rPr>
      </w:pPr>
    </w:p>
    <w:p w14:paraId="58CC785A" w14:textId="77777777" w:rsidR="00C6535C" w:rsidRDefault="00C6535C" w:rsidP="00C6535C">
      <w:pPr>
        <w:jc w:val="center"/>
        <w:rPr>
          <w:b/>
          <w:bCs/>
          <w:sz w:val="36"/>
          <w:szCs w:val="32"/>
        </w:rPr>
      </w:pPr>
    </w:p>
    <w:p w14:paraId="3731F222" w14:textId="77777777" w:rsidR="00C6535C" w:rsidRDefault="00C6535C" w:rsidP="00C6535C">
      <w:pPr>
        <w:jc w:val="center"/>
        <w:rPr>
          <w:b/>
          <w:bCs/>
          <w:sz w:val="36"/>
          <w:szCs w:val="32"/>
        </w:rPr>
      </w:pPr>
    </w:p>
    <w:p w14:paraId="1222C93D" w14:textId="77777777" w:rsidR="00C6535C" w:rsidRDefault="00C6535C" w:rsidP="00C6535C">
      <w:pPr>
        <w:jc w:val="center"/>
        <w:rPr>
          <w:b/>
          <w:bCs/>
          <w:sz w:val="36"/>
          <w:szCs w:val="32"/>
        </w:rPr>
      </w:pPr>
      <w:r w:rsidRPr="00C6535C">
        <w:rPr>
          <w:b/>
          <w:bCs/>
          <w:sz w:val="36"/>
          <w:szCs w:val="32"/>
        </w:rPr>
        <w:t>Principles of Health and Social Care Practice</w:t>
      </w:r>
    </w:p>
    <w:p w14:paraId="5B8ED631" w14:textId="77777777" w:rsidR="00EC1AF1" w:rsidRDefault="00EC1AF1" w:rsidP="00EC1AF1">
      <w:pPr>
        <w:rPr>
          <w:b/>
          <w:bCs/>
        </w:rPr>
      </w:pPr>
    </w:p>
    <w:p w14:paraId="11BBF603" w14:textId="77777777" w:rsidR="00EC1AF1" w:rsidRDefault="00EC1AF1" w:rsidP="00EC1AF1">
      <w:pPr>
        <w:rPr>
          <w:b/>
          <w:bCs/>
        </w:rPr>
      </w:pPr>
    </w:p>
    <w:p w14:paraId="72D98D41" w14:textId="77777777" w:rsidR="00EC1AF1" w:rsidRDefault="00EC1AF1" w:rsidP="00EC1AF1">
      <w:pPr>
        <w:rPr>
          <w:b/>
          <w:bCs/>
        </w:rPr>
      </w:pPr>
    </w:p>
    <w:p w14:paraId="1F0CF159" w14:textId="77777777" w:rsidR="00EC1AF1" w:rsidRDefault="00EC1AF1" w:rsidP="00EC1AF1">
      <w:pPr>
        <w:rPr>
          <w:b/>
          <w:bCs/>
        </w:rPr>
      </w:pPr>
    </w:p>
    <w:p w14:paraId="4E93AB30" w14:textId="068149CB" w:rsidR="00EC1AF1" w:rsidRPr="00EC1AF1" w:rsidRDefault="00EC1AF1" w:rsidP="00EC1AF1">
      <w:r w:rsidRPr="00EC1AF1">
        <w:t>Student Name:</w:t>
      </w:r>
      <w:r w:rsidR="00D448FD">
        <w:t xml:space="preserve"> Bernice afriyie</w:t>
      </w:r>
    </w:p>
    <w:p w14:paraId="3518776F" w14:textId="77777777" w:rsidR="00D448FD" w:rsidRDefault="00EC1AF1" w:rsidP="00EC1AF1">
      <w:r w:rsidRPr="00EC1AF1">
        <w:t>Student ID:</w:t>
      </w:r>
      <w:r>
        <w:rPr>
          <w:b/>
          <w:bCs/>
        </w:rPr>
        <w:t xml:space="preserve"> </w:t>
      </w:r>
      <w:r w:rsidR="00D448FD" w:rsidRPr="00D448FD">
        <w:t>2435004</w:t>
      </w:r>
    </w:p>
    <w:p w14:paraId="22219228" w14:textId="77777777" w:rsidR="00D448FD" w:rsidRDefault="00D448FD" w:rsidP="00EC1AF1">
      <w:r>
        <w:t xml:space="preserve">Lecture Name: Lou Wells </w:t>
      </w:r>
    </w:p>
    <w:p w14:paraId="121B31B3" w14:textId="6FE8DEA9" w:rsidR="00C6535C" w:rsidRPr="00C6535C" w:rsidRDefault="00D448FD" w:rsidP="00EC1AF1">
      <w:pPr>
        <w:rPr>
          <w:b/>
          <w:bCs/>
        </w:rPr>
      </w:pPr>
      <w:r>
        <w:t>Assignment Tittle: C2 written assignment (Essay)</w:t>
      </w:r>
      <w:r w:rsidR="00C6535C" w:rsidRPr="00C6535C">
        <w:rPr>
          <w:b/>
          <w:bCs/>
        </w:rPr>
        <w:br w:type="page"/>
      </w:r>
    </w:p>
    <w:p w14:paraId="384E4AAA" w14:textId="77777777" w:rsidR="00C6535C" w:rsidRPr="00EC1AF1" w:rsidRDefault="00C6535C" w:rsidP="00C6535C">
      <w:pPr>
        <w:jc w:val="center"/>
        <w:rPr>
          <w:b/>
          <w:bCs/>
          <w:sz w:val="28"/>
          <w:szCs w:val="24"/>
        </w:rPr>
      </w:pPr>
      <w:r w:rsidRPr="00EC1AF1">
        <w:rPr>
          <w:b/>
          <w:bCs/>
          <w:sz w:val="28"/>
          <w:szCs w:val="24"/>
        </w:rPr>
        <w:lastRenderedPageBreak/>
        <w:t>A Critical Examination of the Social Model of Disability and its Application to Person-Centred Adult Social Care</w:t>
      </w:r>
    </w:p>
    <w:p w14:paraId="2E931CCC" w14:textId="77777777" w:rsidR="008928F6" w:rsidRDefault="008928F6" w:rsidP="008928F6">
      <w:r>
        <w:t xml:space="preserve">The values, preferences, strengths and desired outcomes of the individual are central to the planning and delivery of care in person-centred care, which allows meaningful choice and control (NHS England, </w:t>
      </w:r>
      <w:r w:rsidR="004A3FAA">
        <w:t>2023</w:t>
      </w:r>
      <w:r>
        <w:t xml:space="preserve">). The essay is a critical review of the social model of disability in adult social care. The model differentiates between impairment and disability by suggesting that it is environmental, organisational and attitudinal barriers that primarily disable people and not impairment (Office for Disability Issues, </w:t>
      </w:r>
      <w:r w:rsidR="004A3FAA">
        <w:t>2014</w:t>
      </w:r>
      <w:r>
        <w:t xml:space="preserve">). It is relevant in that it challenges professionally dominated and deficit-based practice and advocates for autonomy, inclusion and participation. The discussion will follow the development of the model, the evaluation of key criticisms and reactions and the impact the model has had on legislation, practice and policy. The main thesis is that the social model offers a solid foundation of person-centred care, but its successful implementation necessitates actual co-production, sufficient resources and responsible collaboration working. </w:t>
      </w:r>
    </w:p>
    <w:p w14:paraId="5CC48B0F" w14:textId="77777777" w:rsidR="008928F6" w:rsidRDefault="008928F6" w:rsidP="008928F6">
      <w:r>
        <w:t xml:space="preserve">The social model of disability developed in response to the British disabled people movement in the 1970s as a direct response to medical and charitable explanations that placed disability within an impairment of an individual. The Union of the Physically Impaired Against Segregation (UPIAS) persuaded by activists like Vic Finkelstein that exclusion was created through inaccessible environments, institutional structures and discriminatory attitudes. This understanding later became a practical instrument of collective action later on in the 1980s when it was developed by Mike Oliver and was introduced as the social model instead of a full-scale theory of the experience of all disabled people (Wright, 2024; Thorneycroft, 2024). The adult social care therefore had no longer considered treatment, dependency management, or professional protection as adequate. Services must evaluate disabling barriers and personal support needs and engage disabled people in designing services. </w:t>
      </w:r>
    </w:p>
    <w:p w14:paraId="7B17AD31" w14:textId="77777777" w:rsidR="008928F6" w:rsidRDefault="008928F6" w:rsidP="008928F6">
      <w:r>
        <w:t xml:space="preserve">The initial intention of the model was emancipatory: it decoupled the impairment and disability to enable disadvantage to be due to the removal of barriers, the independent living and civil rights. This was important as it questioned paternalistic services where professionals determined need and make decisions. This reasoning was later applied to human-rights practices by scholarship and activism, especially by the United Nations Convention on the Rights of Persons with Disabilities </w:t>
      </w:r>
      <w:r>
        <w:lastRenderedPageBreak/>
        <w:t xml:space="preserve">which views disabled individuals as rights-holders and decision-makers, not recipients of care (Lawson and Beckett, 2021; </w:t>
      </w:r>
      <w:r w:rsidR="00A62D68" w:rsidRPr="00A62D68">
        <w:t>Degener, 2024)</w:t>
      </w:r>
      <w:r w:rsidRPr="00A62D68">
        <w:t>.</w:t>
      </w:r>
      <w:r>
        <w:t xml:space="preserve"> The model can be reductive, however, when practitioners see all the hardships as external and ignore pain, changing conditions or clinical requirements. Combining barrier elimination with individualised assessment and assisted decision-making should therefore be practiced. </w:t>
      </w:r>
    </w:p>
    <w:p w14:paraId="565C1C79" w14:textId="77777777" w:rsidR="008928F6" w:rsidRDefault="008928F6" w:rsidP="008928F6">
      <w:r>
        <w:t xml:space="preserve">Throughout the years, the model has impacted the availability of communication, co-production, reasonable adjustment and community-based support. These advances favour person-centred care as they enhance autonomy, dignity, choice and participation as they arrange support around the goals of the person and not a professional convenience. WHO guidance also advocates the rights-based community service and meaningful decision involvement (WHO, 2021). However, policy language does not warrant implementation where funding limits, unreachable systems or risk-averse cultures circumscribe choice. Adult social care organisations are advised to audit barriers, invest in advocacy and/or accessibility, and evaluate success based on the control, participation and quality-of-life outcomes of service users as opposed to procedural compliance. </w:t>
      </w:r>
    </w:p>
    <w:p w14:paraId="26BD288C" w14:textId="77777777" w:rsidR="008928F6" w:rsidRDefault="008928F6" w:rsidP="008928F6">
      <w:r>
        <w:t>The most valuable input of the social model is that it shifts the character of disability to the disabling social structures, but critics believe that this di</w:t>
      </w:r>
      <w:r w:rsidR="006D4894">
        <w:t>stinction can be used to minimis</w:t>
      </w:r>
      <w:r>
        <w:t xml:space="preserve">e the pain, fatigue, intellectual problem and the constant requirement of therapy caused by impairment. Hogan (2019) demonstrates that medical and social explanations evolved as rival replies to reductionist practice, yet cautions against the ability to consider either of the models adequate. On the other hand, Adam and </w:t>
      </w:r>
      <w:proofErr w:type="spellStart"/>
      <w:r>
        <w:t>Koutsoklenis</w:t>
      </w:r>
      <w:proofErr w:type="spellEnd"/>
      <w:r>
        <w:t xml:space="preserve"> (2023), justify the social model since it reveals the material and cultural systems which deprive disabled individuals of dignity. Complementary position is thus the most persuasive, adult social care must eliminate obstacles without excluding clinical needs. The services should be based on accessibility and advocacy, as well as personal health evaluation and rehabilitation, which is the choice of the individual. </w:t>
      </w:r>
    </w:p>
    <w:p w14:paraId="41C94D7D" w14:textId="77777777" w:rsidR="008928F6" w:rsidRDefault="008928F6" w:rsidP="008928F6">
      <w:r>
        <w:t xml:space="preserve">Second is that the model can make disabled people to appear as a homogenous group, neglecting the interaction of disability with other factors, gender, ethnicity, migration, poverty, family expectations and cultural beliefs. Wickenden (2023) claims that disability identities are often detached, although they often have a cumulative effect on disadvantage and support opportunities. Proponents might counter that the social model already considers structural oppression; however, an overall emphasis on society may mask who is most likely to face the most significant barriers. </w:t>
      </w:r>
      <w:r>
        <w:lastRenderedPageBreak/>
        <w:t xml:space="preserve">Regarding person-centred care, standardised plans can consequently reproduce inequality. Culturally responsive, intersectional evaluations and the engagement of different disabled individuals in co-production of services should be used by the providers. </w:t>
      </w:r>
    </w:p>
    <w:p w14:paraId="62AE8AF3" w14:textId="77777777" w:rsidR="008928F6" w:rsidRDefault="008928F6" w:rsidP="008928F6">
      <w:r>
        <w:t>The call of choice can be inconsistent with the protection of duties in situations in which practitioners are judged to face significant risk, and paternalistic constraints can be justified by organisations that are risk-averse as safety</w:t>
      </w:r>
      <w:r w:rsidR="006D4894">
        <w:t>. The World Health Organisation</w:t>
      </w:r>
      <w:r>
        <w:t xml:space="preserve"> advocates the rights-based and person-centred services, which consider the will of people and substitutes the coercive methods with community-based support</w:t>
      </w:r>
      <w:r w:rsidR="006D4894">
        <w:t xml:space="preserve"> (WHO, 2021)</w:t>
      </w:r>
      <w:r>
        <w:t xml:space="preserve">. But independence should not imply ignoring individuals to take unjustified decisions. Proportional positive-risk assessment, available information and supported decision-making should be employed by practitioners, and the reasons why restrictions are required should be documented and discussed with the service user. </w:t>
      </w:r>
    </w:p>
    <w:p w14:paraId="5D15849C" w14:textId="77777777" w:rsidR="008928F6" w:rsidRDefault="008928F6" w:rsidP="008928F6">
      <w:r>
        <w:t>Lastly, the model might suggest that barriers can be easily eliminated, yet that meaningful choice would require personnel, finances, transportation, housing and service accessibility. McCausland et al. (2022) discovered that the person-centred planning could enhance the involvement of the community, yet this is possible only when the right support is provided. Adult social care organisations are recommended to match personal plans and sensible budgets, workforce capacity as well as partnership agreements, and audit realisation of promised results. The human-rights and biopsychosocial approaches address the shortcomings of the model by linking social obstacles, embodied needs and enforceable rights instead of substituting its anti-discriminatory essence (Lawson and Beckett, 2021).</w:t>
      </w:r>
    </w:p>
    <w:p w14:paraId="1D8D49F0" w14:textId="77777777" w:rsidR="008928F6" w:rsidRDefault="008928F6" w:rsidP="008928F6">
      <w:r>
        <w:t>The social model has been entrenched within Welsh social-care policy in the Social Services and Well-being (Wales) Act 2014 that supports well-being, voice and control, prevention, co-production and multi-agency working</w:t>
      </w:r>
      <w:r w:rsidR="00A62D68">
        <w:t xml:space="preserve"> (Andrews et al., 2023)</w:t>
      </w:r>
      <w:r>
        <w:t xml:space="preserve">. These precepts echo the argument of the model that exclusion is partially due to the inaccessibility of systems and professional power imbalances. Nevertheless, the national assessment found a disjuncture between political aspiration and practicality: the results were not uniform throughout Wales, and the resources were limited to implement and some individuals were still disempowered (Llewellyn et al., 2023). The tests can thus be termed as person-centred with limited real choices. Local authorities ought to audit the issue of whether the conversations of what matters are able to bring quantifiable changes of support instead of viewing participation as a procedural adherence. </w:t>
      </w:r>
    </w:p>
    <w:p w14:paraId="505A39EE" w14:textId="77777777" w:rsidR="008928F6" w:rsidRDefault="008928F6" w:rsidP="008928F6">
      <w:r>
        <w:lastRenderedPageBreak/>
        <w:t>This approach is supported by equality and human-rights legislation with its requirement of non-discrimination, reasonable adjustment, dignity and participation. Providers should be encouraged to make changes to buildings, communication and procedures as well as protect liberty and private life by the Equality Act 2010 and Human Rights Act 1998 respectively. However, the barriers of an organisation are not eliminated automatically by statutory rights; changes might be sluggish, unevenly or incompletely applied or constrained by economic constraints</w:t>
      </w:r>
      <w:r w:rsidR="00544C1C">
        <w:t xml:space="preserve"> (</w:t>
      </w:r>
      <w:r w:rsidR="00544C1C">
        <w:rPr>
          <w:rFonts w:eastAsia="Times New Roman" w:cs="Times New Roman"/>
          <w:color w:val="000000"/>
          <w:kern w:val="0"/>
          <w:szCs w:val="24"/>
          <w:lang w:eastAsia="en-GB" w:bidi="bn-BD"/>
          <w14:ligatures w14:val="none"/>
        </w:rPr>
        <w:t xml:space="preserve">Legislation.gov.uk, </w:t>
      </w:r>
      <w:r w:rsidR="00544C1C" w:rsidRPr="00544C1C">
        <w:rPr>
          <w:rFonts w:eastAsia="Times New Roman" w:cs="Times New Roman"/>
          <w:color w:val="000000"/>
          <w:kern w:val="0"/>
          <w:szCs w:val="24"/>
          <w:lang w:eastAsia="en-GB" w:bidi="bn-BD"/>
          <w14:ligatures w14:val="none"/>
        </w:rPr>
        <w:t>2026</w:t>
      </w:r>
      <w:r w:rsidR="00544C1C">
        <w:rPr>
          <w:rFonts w:eastAsia="Times New Roman" w:cs="Times New Roman"/>
          <w:color w:val="000000"/>
          <w:kern w:val="0"/>
          <w:szCs w:val="24"/>
          <w:lang w:eastAsia="en-GB" w:bidi="bn-BD"/>
          <w14:ligatures w14:val="none"/>
        </w:rPr>
        <w:t xml:space="preserve">a; Legislation.gov.uk, </w:t>
      </w:r>
      <w:r w:rsidR="00544C1C" w:rsidRPr="00544C1C">
        <w:rPr>
          <w:rFonts w:eastAsia="Times New Roman" w:cs="Times New Roman"/>
          <w:color w:val="000000"/>
          <w:kern w:val="0"/>
          <w:szCs w:val="24"/>
          <w:lang w:eastAsia="en-GB" w:bidi="bn-BD"/>
          <w14:ligatures w14:val="none"/>
        </w:rPr>
        <w:t>2026</w:t>
      </w:r>
      <w:r w:rsidR="00544C1C">
        <w:rPr>
          <w:rFonts w:eastAsia="Times New Roman" w:cs="Times New Roman"/>
          <w:color w:val="000000"/>
          <w:kern w:val="0"/>
          <w:szCs w:val="24"/>
          <w:lang w:eastAsia="en-GB" w:bidi="bn-BD"/>
          <w14:ligatures w14:val="none"/>
        </w:rPr>
        <w:t>b</w:t>
      </w:r>
      <w:r w:rsidR="00544C1C" w:rsidRPr="00544C1C">
        <w:rPr>
          <w:rFonts w:eastAsia="Times New Roman" w:cs="Times New Roman"/>
          <w:color w:val="000000"/>
          <w:kern w:val="0"/>
          <w:szCs w:val="24"/>
          <w:lang w:eastAsia="en-GB" w:bidi="bn-BD"/>
          <w14:ligatures w14:val="none"/>
        </w:rPr>
        <w:t>)</w:t>
      </w:r>
      <w:r>
        <w:t>. The providers are expected to keep adjustment records, review the accessibility with disabled individuals, and hold managers responsible in case the barriers cannot be overcome.</w:t>
      </w:r>
    </w:p>
    <w:p w14:paraId="306D2CB7" w14:textId="77777777" w:rsidR="008928F6" w:rsidRDefault="008928F6" w:rsidP="008928F6">
      <w:r>
        <w:t>Person-centred practice is also supported by the Mental Capacity Act 2005 since capacity is decision specific and people should be assisted where possible to make decisions</w:t>
      </w:r>
      <w:r w:rsidR="00544C1C">
        <w:t xml:space="preserve"> (</w:t>
      </w:r>
      <w:r w:rsidR="00544C1C">
        <w:rPr>
          <w:rFonts w:eastAsia="Times New Roman" w:cs="Times New Roman"/>
          <w:color w:val="000000"/>
          <w:kern w:val="0"/>
          <w:szCs w:val="24"/>
          <w:lang w:eastAsia="en-GB" w:bidi="bn-BD"/>
          <w14:ligatures w14:val="none"/>
        </w:rPr>
        <w:t xml:space="preserve">Legislation.gov.uk, </w:t>
      </w:r>
      <w:r w:rsidR="00544C1C" w:rsidRPr="00544C1C">
        <w:rPr>
          <w:rFonts w:eastAsia="Times New Roman" w:cs="Times New Roman"/>
          <w:color w:val="000000"/>
          <w:kern w:val="0"/>
          <w:szCs w:val="24"/>
          <w:lang w:eastAsia="en-GB" w:bidi="bn-BD"/>
          <w14:ligatures w14:val="none"/>
        </w:rPr>
        <w:t>2016)</w:t>
      </w:r>
      <w:r>
        <w:t>. Even in the case of impaired capacity, NICE (2018) points out the importance of having people at the centre of the decisions. But cultures of safeguarding and risk-management can promote a culture of professionals replacing their judgement with those of the person, to recreate the paternalism that th</w:t>
      </w:r>
      <w:r w:rsidR="006D4894">
        <w:t>e social model criticis</w:t>
      </w:r>
      <w:r>
        <w:t xml:space="preserve">es. Before restrictive best-interests action is taken, accessible information should be used by services, supported by independent advocacy and documented supported decision-making. </w:t>
      </w:r>
    </w:p>
    <w:p w14:paraId="6759265F" w14:textId="77777777" w:rsidR="008928F6" w:rsidRDefault="008928F6" w:rsidP="008928F6">
      <w:r>
        <w:t xml:space="preserve">Lastly, policy is more and more encouraging shared decision-making and co-production. NICE (2021) proposes staff training, decision aids and service-user champions, as well as organisational leadership. Nevertheless, Andrews et al. (2023) discovered that being involved may be similar to consultation, in which participants do not have the power to make decisions or feedback. The arrangements of partnerships thus do not imply equality or real influence. Adult social-care organisations are expected to provide service users with voting power, with access to preparation, costs and a clear demonstration of how their input to commissioning, care planning and evaluation. </w:t>
      </w:r>
    </w:p>
    <w:p w14:paraId="6221E5B3" w14:textId="77777777" w:rsidR="008928F6" w:rsidRDefault="008928F6" w:rsidP="008928F6">
      <w:r>
        <w:t xml:space="preserve">The social model must inform assessment and care planning in the adult social care setting by determining environmental, communication and organisational factors that limit access to the environment as well as personal requirements in support. The person is at the heart of person-centred planning on how people want to live and the assistance they need; McCausland et al. (2022) discovered that it can help the community to participate when the resources are available. But inclusion is not simply a product of a written plan, since poor transport, staffing or community </w:t>
      </w:r>
      <w:r>
        <w:lastRenderedPageBreak/>
        <w:t xml:space="preserve">opportunities can hinder agreed outcomes. This can </w:t>
      </w:r>
      <w:r w:rsidR="000778F0">
        <w:t>diminish trust and make choice</w:t>
      </w:r>
      <w:r>
        <w:t xml:space="preserve"> rhetoric. Services must connect every aim with identified actions, resources, timeframes and reviews that are service user driven. </w:t>
      </w:r>
    </w:p>
    <w:p w14:paraId="4975E00A" w14:textId="77777777" w:rsidR="008928F6" w:rsidRDefault="008928F6" w:rsidP="008928F6">
      <w:r>
        <w:t xml:space="preserve">Shared decision-making puts autonomy into practice by integrating professional evidence with the person, their values, preferences and lived experience. NICE (2021) suggests the use of simple language and description of choices and risks, decision aids, and engagement of family members, friends or advocates of the person. However, the family and practitioners can focus on safety and the individual on independence. This endangers paternalism and dignity. Accessible formats should be used, communication specialists and proportionate positive-risk planning, documenting the reasons and preferences of any restriction of the person. </w:t>
      </w:r>
    </w:p>
    <w:p w14:paraId="4A20BB92" w14:textId="77777777" w:rsidR="008928F6" w:rsidRDefault="008928F6" w:rsidP="008928F6">
      <w:r>
        <w:t xml:space="preserve">Continuity can be enhanced by partnership working as social workers, care providers, health professionals, families, advocates, housing services and voluntary organisations bring various knowledge and resources. The Welsh assessment of multi-agency working results in the fact that integrated, person-centred support relies on communication, role clarity and management accountability across organisations (Wallace and Garthwaite, 2023). However, partnership may also undermine accountability where agencies differ in terms of eligibility, funding and risk ownership or care coordination. Coordinated through a named person, agreed-upon results, information sharing with consent and planned multidisciplinary surveys are thus required so that individuals can no longer operate in </w:t>
      </w:r>
      <w:proofErr w:type="spellStart"/>
      <w:r>
        <w:t>disconnective</w:t>
      </w:r>
      <w:proofErr w:type="spellEnd"/>
      <w:r>
        <w:t xml:space="preserve"> systems. </w:t>
      </w:r>
    </w:p>
    <w:p w14:paraId="64C8A501" w14:textId="77777777" w:rsidR="008928F6" w:rsidRDefault="008928F6" w:rsidP="008928F6">
      <w:r>
        <w:t>Co-production extends the consultation to the power sh</w:t>
      </w:r>
      <w:r w:rsidR="006D4894">
        <w:t>aring with the people who utilis</w:t>
      </w:r>
      <w:r>
        <w:t>e services. SCIE (202</w:t>
      </w:r>
      <w:r w:rsidR="004A3FAA">
        <w:t>2</w:t>
      </w:r>
      <w:r>
        <w:t>) links the successful co-production to empowerment, confidence, trust and enhanced professional practice, yet unequal power, less evaluation, and lack of resources are noted as the weaknesses. Obstacles such as time, organisational culture, cost and communication, and the fear that co-production will become tokenistic or a space of familiar voices are also reported (SCIE, 202</w:t>
      </w:r>
      <w:r w:rsidR="004A3FAA">
        <w:t>3</w:t>
      </w:r>
      <w:r>
        <w:t xml:space="preserve">). Decisions can thus be legitimised by participation without alteration. Contributors should be rewarded by providers, a variety of participants recruited, preparation made accessible and evidence of clear you said we did should be published. Personal outcomes, inclusion and service-user control should be used to gauge success instead of attendance at meetings. </w:t>
      </w:r>
    </w:p>
    <w:p w14:paraId="006F16D2" w14:textId="77777777" w:rsidR="008928F6" w:rsidRDefault="008928F6" w:rsidP="008928F6">
      <w:r>
        <w:lastRenderedPageBreak/>
        <w:t xml:space="preserve">The first recommendation is to enhance co-produced care planning. Social care plans involving adults can document preferences and participation is tokenistic due to limited choices and professional control. The providers are to insist on accessible what matters conversations, the goals and responsibilities, resources, and review dates to be agreed with the person and, where available, family members or advocates. This would implement the social model to discuss barriers and intended results instead of deficits, enhance autonomy, trust and continuity. </w:t>
      </w:r>
    </w:p>
    <w:p w14:paraId="40CB28A4" w14:textId="77777777" w:rsidR="008928F6" w:rsidRDefault="008928F6" w:rsidP="008928F6">
      <w:r>
        <w:t>Second proposal would be to enhance staff competence and decision making. Safety over autonomy can be a result of risk-averse practice and communication barriers. Mandatory training, reflective supervision and case review of supported decision-making, positive risk-taking, reasonable adjustments and professional power should be provided by organisations. Before big decisions are made, accessible information, communication aids and independent advocacy must be available. However, training will not accomplish much unless managers will strengthen the expectations and staffing rates will allow meaningful interaction.</w:t>
      </w:r>
    </w:p>
    <w:p w14:paraId="4CE2F7D1" w14:textId="77777777" w:rsidR="008928F6" w:rsidRDefault="008928F6" w:rsidP="008928F6">
      <w:r>
        <w:t>Last but not the list, to establish integrated accountability and outcome auditing. Divided services may give rise to redundancy in assessments and blurred responsibilities and policy-practice disjunctions. Service-user control, accessibility and goal achievement of services should be measured by audits and not merely the completion of forms. This would enhance continuity, transparency and organisational learning. The shortcomings are implementation costs, data-protection issues and inter-agency resistance, hence, responsibilities, consent procedures and escalation paths should be well spelt out.</w:t>
      </w:r>
    </w:p>
    <w:p w14:paraId="3A49E2DF" w14:textId="77777777" w:rsidR="007E5460" w:rsidRDefault="008928F6" w:rsidP="008928F6">
      <w:r>
        <w:t>The social model of disability is relevant in that it takes away the focus on individual impairment and places it on the social, environmental and organisational constraints that limit participation. It enhances person-centred care, which includes dignity, autonomy, choice and decision making involvement. Policy is on the side of rights, co-production and inclusion but in practice, falls short. Collaboration at work is a requirement to align and balance duties. The care planning, staff capability, communication, accountability and outcome auditing improvements suggested could assist in translating policy principles into more consistent person-centred practice.</w:t>
      </w:r>
    </w:p>
    <w:p w14:paraId="3F91459A" w14:textId="77777777" w:rsidR="00A62D68" w:rsidRDefault="00A62D68">
      <w:pPr>
        <w:spacing w:line="259" w:lineRule="auto"/>
        <w:jc w:val="left"/>
      </w:pPr>
      <w:r>
        <w:br w:type="page"/>
      </w:r>
    </w:p>
    <w:p w14:paraId="4327EE73" w14:textId="77777777" w:rsidR="00A62D68" w:rsidRPr="006D4894" w:rsidRDefault="00A62D68" w:rsidP="006D4894">
      <w:pPr>
        <w:pStyle w:val="Heading1"/>
      </w:pPr>
      <w:r w:rsidRPr="006D4894">
        <w:lastRenderedPageBreak/>
        <w:t xml:space="preserve">References </w:t>
      </w:r>
    </w:p>
    <w:p w14:paraId="6DF392E2" w14:textId="77777777" w:rsidR="006D4894" w:rsidRPr="006D4894" w:rsidRDefault="006D4894" w:rsidP="006D4894">
      <w:pPr>
        <w:rPr>
          <w:shd w:val="clear" w:color="auto" w:fill="FFFFFF"/>
        </w:rPr>
      </w:pPr>
      <w:r w:rsidRPr="006D4894">
        <w:rPr>
          <w:shd w:val="clear" w:color="auto" w:fill="FFFFFF"/>
        </w:rPr>
        <w:t xml:space="preserve">Adam, S. and </w:t>
      </w:r>
      <w:proofErr w:type="spellStart"/>
      <w:r w:rsidRPr="006D4894">
        <w:rPr>
          <w:shd w:val="clear" w:color="auto" w:fill="FFFFFF"/>
        </w:rPr>
        <w:t>Koutsoklenis</w:t>
      </w:r>
      <w:proofErr w:type="spellEnd"/>
      <w:r w:rsidRPr="006D4894">
        <w:rPr>
          <w:shd w:val="clear" w:color="auto" w:fill="FFFFFF"/>
        </w:rPr>
        <w:t xml:space="preserve">, A., 2023. Who needs the social model of </w:t>
      </w:r>
      <w:proofErr w:type="gramStart"/>
      <w:r w:rsidRPr="006D4894">
        <w:rPr>
          <w:shd w:val="clear" w:color="auto" w:fill="FFFFFF"/>
        </w:rPr>
        <w:t>disability?.</w:t>
      </w:r>
      <w:proofErr w:type="gramEnd"/>
      <w:r w:rsidRPr="006D4894">
        <w:rPr>
          <w:shd w:val="clear" w:color="auto" w:fill="FFFFFF"/>
        </w:rPr>
        <w:t> </w:t>
      </w:r>
      <w:r w:rsidRPr="006D4894">
        <w:rPr>
          <w:i/>
          <w:iCs/>
          <w:shd w:val="clear" w:color="auto" w:fill="FFFFFF"/>
        </w:rPr>
        <w:t>Frontiers in Sociology</w:t>
      </w:r>
      <w:r w:rsidRPr="006D4894">
        <w:rPr>
          <w:shd w:val="clear" w:color="auto" w:fill="FFFFFF"/>
        </w:rPr>
        <w:t>, </w:t>
      </w:r>
      <w:r w:rsidRPr="006D4894">
        <w:rPr>
          <w:i/>
          <w:iCs/>
          <w:shd w:val="clear" w:color="auto" w:fill="FFFFFF"/>
        </w:rPr>
        <w:t>8</w:t>
      </w:r>
      <w:r w:rsidRPr="006D4894">
        <w:rPr>
          <w:shd w:val="clear" w:color="auto" w:fill="FFFFFF"/>
        </w:rPr>
        <w:t>, p.1305301.</w:t>
      </w:r>
    </w:p>
    <w:p w14:paraId="3456D187" w14:textId="77777777" w:rsidR="006D4894" w:rsidRDefault="006D4894" w:rsidP="006D4894">
      <w:r>
        <w:t xml:space="preserve">Andrews, N., Calder, G., Blanluet, N. and Baker, R. (2023) </w:t>
      </w:r>
      <w:r>
        <w:rPr>
          <w:rStyle w:val="Emphasis"/>
        </w:rPr>
        <w:t>Co-production: Research to support the Final Report of the Evaluation of the Social Services and Well-being (Wales) Act 2014</w:t>
      </w:r>
      <w:r>
        <w:t xml:space="preserve">. GSR Report 38/2023. Cardiff: Welsh Government. Available at: </w:t>
      </w:r>
      <w:hyperlink r:id="rId7" w:tgtFrame="_new" w:history="1">
        <w:r>
          <w:rPr>
            <w:rStyle w:val="Hyperlink"/>
          </w:rPr>
          <w:t>https://www.gov.wales/co-production-research-support-final-report-evaluation-social-services-and-well-being-wales-act-2014</w:t>
        </w:r>
      </w:hyperlink>
      <w:r>
        <w:t xml:space="preserve"> </w:t>
      </w:r>
      <w:r w:rsidRPr="006D4894">
        <w:rPr>
          <w:rFonts w:eastAsia="Times New Roman" w:cs="Times New Roman"/>
          <w:color w:val="000000"/>
          <w:kern w:val="0"/>
          <w:szCs w:val="24"/>
          <w:lang w:eastAsia="en-GB" w:bidi="bn-BD"/>
          <w14:ligatures w14:val="none"/>
        </w:rPr>
        <w:t>[Accessed 21 July 2026]</w:t>
      </w:r>
    </w:p>
    <w:p w14:paraId="01B0F167" w14:textId="77777777" w:rsidR="006D4894" w:rsidRPr="006D4894" w:rsidRDefault="006D4894" w:rsidP="006D4894">
      <w:pPr>
        <w:rPr>
          <w:shd w:val="clear" w:color="auto" w:fill="FFFFFF"/>
        </w:rPr>
      </w:pPr>
      <w:r w:rsidRPr="006D4894">
        <w:rPr>
          <w:shd w:val="clear" w:color="auto" w:fill="FFFFFF"/>
        </w:rPr>
        <w:t>Degener, T., 2024. The human rights model of disability in times of triage. </w:t>
      </w:r>
      <w:r w:rsidRPr="006D4894">
        <w:rPr>
          <w:i/>
          <w:iCs/>
          <w:shd w:val="clear" w:color="auto" w:fill="FFFFFF"/>
        </w:rPr>
        <w:t>Scandinavian Journal of Disability Research</w:t>
      </w:r>
      <w:r w:rsidRPr="006D4894">
        <w:rPr>
          <w:shd w:val="clear" w:color="auto" w:fill="FFFFFF"/>
        </w:rPr>
        <w:t>, </w:t>
      </w:r>
      <w:r w:rsidRPr="006D4894">
        <w:rPr>
          <w:i/>
          <w:iCs/>
          <w:shd w:val="clear" w:color="auto" w:fill="FFFFFF"/>
        </w:rPr>
        <w:t>26</w:t>
      </w:r>
      <w:r w:rsidRPr="006D4894">
        <w:rPr>
          <w:shd w:val="clear" w:color="auto" w:fill="FFFFFF"/>
        </w:rPr>
        <w:t>(1).</w:t>
      </w:r>
    </w:p>
    <w:p w14:paraId="7C29A939" w14:textId="77777777" w:rsidR="006D4894" w:rsidRPr="006D4894" w:rsidRDefault="006D4894" w:rsidP="006D4894">
      <w:pPr>
        <w:rPr>
          <w:rFonts w:eastAsia="Times New Roman" w:cs="Times New Roman"/>
          <w:color w:val="000000"/>
          <w:kern w:val="0"/>
          <w:szCs w:val="24"/>
          <w:lang w:eastAsia="en-GB" w:bidi="bn-BD"/>
          <w14:ligatures w14:val="none"/>
        </w:rPr>
      </w:pPr>
      <w:r w:rsidRPr="006D4894">
        <w:rPr>
          <w:shd w:val="clear" w:color="auto" w:fill="FFFFFF"/>
        </w:rPr>
        <w:t>Hogan, A.J., 2019. Social and medical models of disability and mental health: evolution and renewal. </w:t>
      </w:r>
      <w:proofErr w:type="spellStart"/>
      <w:r w:rsidRPr="006D4894">
        <w:rPr>
          <w:i/>
          <w:iCs/>
          <w:shd w:val="clear" w:color="auto" w:fill="FFFFFF"/>
        </w:rPr>
        <w:t>Cmaj</w:t>
      </w:r>
      <w:proofErr w:type="spellEnd"/>
      <w:r w:rsidRPr="006D4894">
        <w:rPr>
          <w:shd w:val="clear" w:color="auto" w:fill="FFFFFF"/>
        </w:rPr>
        <w:t>, </w:t>
      </w:r>
      <w:r w:rsidRPr="006D4894">
        <w:rPr>
          <w:i/>
          <w:iCs/>
          <w:shd w:val="clear" w:color="auto" w:fill="FFFFFF"/>
        </w:rPr>
        <w:t>191</w:t>
      </w:r>
      <w:r w:rsidRPr="006D4894">
        <w:rPr>
          <w:shd w:val="clear" w:color="auto" w:fill="FFFFFF"/>
        </w:rPr>
        <w:t>(1), pp.E16-E18.</w:t>
      </w:r>
    </w:p>
    <w:p w14:paraId="654DE160" w14:textId="77777777" w:rsidR="006D4894" w:rsidRPr="006D4894" w:rsidRDefault="006D4894" w:rsidP="006D4894">
      <w:pPr>
        <w:rPr>
          <w:shd w:val="clear" w:color="auto" w:fill="FFFFFF"/>
        </w:rPr>
      </w:pPr>
      <w:r w:rsidRPr="006D4894">
        <w:rPr>
          <w:rFonts w:eastAsia="Times New Roman" w:cs="Times New Roman"/>
          <w:color w:val="000000"/>
          <w:kern w:val="0"/>
          <w:szCs w:val="24"/>
          <w:lang w:eastAsia="en-GB" w:bidi="bn-BD"/>
          <w14:ligatures w14:val="none"/>
        </w:rPr>
        <w:t>‌</w:t>
      </w:r>
      <w:r w:rsidRPr="006D4894">
        <w:rPr>
          <w:shd w:val="clear" w:color="auto" w:fill="FFFFFF"/>
        </w:rPr>
        <w:t>Lawson, A. and Beckett, A.E., 2021. The social and human rights models of disability: towards a complementarity thesis. </w:t>
      </w:r>
      <w:r w:rsidRPr="006D4894">
        <w:rPr>
          <w:i/>
          <w:iCs/>
          <w:shd w:val="clear" w:color="auto" w:fill="FFFFFF"/>
        </w:rPr>
        <w:t>The International Journal of Human Rights</w:t>
      </w:r>
      <w:r w:rsidRPr="006D4894">
        <w:rPr>
          <w:shd w:val="clear" w:color="auto" w:fill="FFFFFF"/>
        </w:rPr>
        <w:t>, </w:t>
      </w:r>
      <w:r w:rsidRPr="006D4894">
        <w:rPr>
          <w:i/>
          <w:iCs/>
          <w:shd w:val="clear" w:color="auto" w:fill="FFFFFF"/>
        </w:rPr>
        <w:t>25</w:t>
      </w:r>
      <w:r w:rsidRPr="006D4894">
        <w:rPr>
          <w:shd w:val="clear" w:color="auto" w:fill="FFFFFF"/>
        </w:rPr>
        <w:t>(2), pp.348-379.</w:t>
      </w:r>
    </w:p>
    <w:p w14:paraId="77CBFF68" w14:textId="77777777" w:rsidR="006D4894" w:rsidRPr="006D4894" w:rsidRDefault="006D4894" w:rsidP="006D4894">
      <w:pPr>
        <w:rPr>
          <w:rFonts w:eastAsia="Times New Roman" w:cs="Times New Roman"/>
          <w:color w:val="000000"/>
          <w:kern w:val="0"/>
          <w:szCs w:val="24"/>
          <w:lang w:eastAsia="en-GB" w:bidi="bn-BD"/>
          <w14:ligatures w14:val="none"/>
        </w:rPr>
      </w:pPr>
      <w:r w:rsidRPr="006D4894">
        <w:rPr>
          <w:rFonts w:eastAsia="Times New Roman" w:cs="Times New Roman"/>
          <w:color w:val="000000"/>
          <w:kern w:val="0"/>
          <w:szCs w:val="24"/>
          <w:lang w:eastAsia="en-GB" w:bidi="bn-BD"/>
          <w14:ligatures w14:val="none"/>
        </w:rPr>
        <w:t>Legislation.gov.uk. (2016). </w:t>
      </w:r>
      <w:r w:rsidRPr="006D4894">
        <w:rPr>
          <w:rFonts w:eastAsia="Times New Roman" w:cs="Times New Roman"/>
          <w:i/>
          <w:iCs/>
          <w:color w:val="000000"/>
          <w:kern w:val="0"/>
          <w:szCs w:val="24"/>
          <w:lang w:eastAsia="en-GB" w:bidi="bn-BD"/>
          <w14:ligatures w14:val="none"/>
        </w:rPr>
        <w:t>Mental Capacity Act 2005</w:t>
      </w:r>
      <w:r w:rsidRPr="006D4894">
        <w:rPr>
          <w:rFonts w:eastAsia="Times New Roman" w:cs="Times New Roman"/>
          <w:color w:val="000000"/>
          <w:kern w:val="0"/>
          <w:szCs w:val="24"/>
          <w:lang w:eastAsia="en-GB" w:bidi="bn-BD"/>
          <w14:ligatures w14:val="none"/>
        </w:rPr>
        <w:t xml:space="preserve">. [online] Available at: </w:t>
      </w:r>
      <w:hyperlink r:id="rId8" w:history="1">
        <w:r w:rsidRPr="006D4894">
          <w:rPr>
            <w:rStyle w:val="Hyperlink"/>
            <w:rFonts w:eastAsia="Times New Roman" w:cs="Times New Roman"/>
            <w:kern w:val="0"/>
            <w:szCs w:val="24"/>
            <w:lang w:eastAsia="en-GB" w:bidi="bn-BD"/>
            <w14:ligatures w14:val="none"/>
          </w:rPr>
          <w:t>https://www.legislation.gov.uk/ukpga/2005/9/part/1</w:t>
        </w:r>
      </w:hyperlink>
      <w:r w:rsidRPr="006D4894">
        <w:rPr>
          <w:rFonts w:eastAsia="Times New Roman" w:cs="Times New Roman"/>
          <w:color w:val="000000"/>
          <w:kern w:val="0"/>
          <w:szCs w:val="24"/>
          <w:lang w:eastAsia="en-GB" w:bidi="bn-BD"/>
          <w14:ligatures w14:val="none"/>
        </w:rPr>
        <w:t xml:space="preserve">  [Accessed 21 July 2026].</w:t>
      </w:r>
    </w:p>
    <w:p w14:paraId="68122952" w14:textId="77777777" w:rsidR="006D4894" w:rsidRPr="006D4894" w:rsidRDefault="006D4894" w:rsidP="006D4894">
      <w:pPr>
        <w:rPr>
          <w:rFonts w:eastAsia="Times New Roman" w:cs="Times New Roman"/>
          <w:color w:val="000000"/>
          <w:kern w:val="0"/>
          <w:szCs w:val="24"/>
          <w:lang w:eastAsia="en-GB" w:bidi="bn-BD"/>
          <w14:ligatures w14:val="none"/>
        </w:rPr>
      </w:pPr>
      <w:r w:rsidRPr="006D4894">
        <w:rPr>
          <w:rFonts w:eastAsia="Times New Roman" w:cs="Times New Roman"/>
          <w:color w:val="000000"/>
          <w:kern w:val="0"/>
          <w:szCs w:val="24"/>
          <w:lang w:eastAsia="en-GB" w:bidi="bn-BD"/>
          <w14:ligatures w14:val="none"/>
        </w:rPr>
        <w:t>Legislation.gov.uk. (2026a). </w:t>
      </w:r>
      <w:r w:rsidRPr="006D4894">
        <w:rPr>
          <w:rFonts w:eastAsia="Times New Roman" w:cs="Times New Roman"/>
          <w:i/>
          <w:iCs/>
          <w:color w:val="000000"/>
          <w:kern w:val="0"/>
          <w:szCs w:val="24"/>
          <w:lang w:eastAsia="en-GB" w:bidi="bn-BD"/>
          <w14:ligatures w14:val="none"/>
        </w:rPr>
        <w:t>Human Rights Act 1998</w:t>
      </w:r>
      <w:r w:rsidRPr="006D4894">
        <w:rPr>
          <w:rFonts w:eastAsia="Times New Roman" w:cs="Times New Roman"/>
          <w:color w:val="000000"/>
          <w:kern w:val="0"/>
          <w:szCs w:val="24"/>
          <w:lang w:eastAsia="en-GB" w:bidi="bn-BD"/>
          <w14:ligatures w14:val="none"/>
        </w:rPr>
        <w:t>. [online] Available at: https://www.legislation.gov.uk/ukpga/1998/42/contents [Accessed 21 July 2026].</w:t>
      </w:r>
    </w:p>
    <w:p w14:paraId="1BC82866" w14:textId="77777777" w:rsidR="006D4894" w:rsidRPr="006D4894" w:rsidRDefault="006D4894" w:rsidP="006D4894">
      <w:pPr>
        <w:rPr>
          <w:rFonts w:eastAsia="Times New Roman" w:cs="Times New Roman"/>
          <w:color w:val="000000"/>
          <w:kern w:val="0"/>
          <w:szCs w:val="24"/>
          <w:lang w:eastAsia="en-GB" w:bidi="bn-BD"/>
          <w14:ligatures w14:val="none"/>
        </w:rPr>
      </w:pPr>
      <w:r w:rsidRPr="006D4894">
        <w:rPr>
          <w:rFonts w:eastAsia="Times New Roman" w:cs="Times New Roman"/>
          <w:color w:val="000000"/>
          <w:kern w:val="0"/>
          <w:szCs w:val="24"/>
          <w:lang w:eastAsia="en-GB" w:bidi="bn-BD"/>
          <w14:ligatures w14:val="none"/>
        </w:rPr>
        <w:t>Legislation.gov.uk. (2026b). </w:t>
      </w:r>
      <w:r w:rsidRPr="006D4894">
        <w:rPr>
          <w:rFonts w:eastAsia="Times New Roman" w:cs="Times New Roman"/>
          <w:i/>
          <w:iCs/>
          <w:color w:val="000000"/>
          <w:kern w:val="0"/>
          <w:szCs w:val="24"/>
          <w:lang w:eastAsia="en-GB" w:bidi="bn-BD"/>
          <w14:ligatures w14:val="none"/>
        </w:rPr>
        <w:t>Equality Act 2010</w:t>
      </w:r>
      <w:r w:rsidRPr="006D4894">
        <w:rPr>
          <w:rFonts w:eastAsia="Times New Roman" w:cs="Times New Roman"/>
          <w:color w:val="000000"/>
          <w:kern w:val="0"/>
          <w:szCs w:val="24"/>
          <w:lang w:eastAsia="en-GB" w:bidi="bn-BD"/>
          <w14:ligatures w14:val="none"/>
        </w:rPr>
        <w:t>. [online] Available at: https://www.legislation.gov.uk/ukpga/2010/15/contents [Accessed 21 July 2026].</w:t>
      </w:r>
    </w:p>
    <w:p w14:paraId="68C2A353" w14:textId="77777777" w:rsidR="006D4894" w:rsidRPr="006D4894" w:rsidRDefault="006D4894" w:rsidP="006D4894">
      <w:pPr>
        <w:rPr>
          <w:rFonts w:eastAsia="Times New Roman" w:cs="Times New Roman"/>
          <w:color w:val="000000"/>
          <w:kern w:val="0"/>
          <w:szCs w:val="24"/>
          <w:lang w:eastAsia="en-GB" w:bidi="bn-BD"/>
          <w14:ligatures w14:val="none"/>
        </w:rPr>
      </w:pPr>
      <w:r>
        <w:t xml:space="preserve">Llewellyn, M., Verity, F., Wallace, S., Calder, G., Garthwaite, T., Lyttleton-Smith, J. and Read, S. (2023) </w:t>
      </w:r>
      <w:r>
        <w:rPr>
          <w:rStyle w:val="Emphasis"/>
        </w:rPr>
        <w:t>From Act to Impact? Final Report of the Evaluation of the Social Services and Well-being (Wales) Act 2014</w:t>
      </w:r>
      <w:r>
        <w:t xml:space="preserve">. GSR Report 36/2023. Cardiff: Welsh Government. Available at: </w:t>
      </w:r>
      <w:hyperlink r:id="rId9" w:tgtFrame="_new" w:history="1">
        <w:r>
          <w:rPr>
            <w:rStyle w:val="Hyperlink"/>
          </w:rPr>
          <w:t>https://www.gov.wales/final-report-evaluation-social-services-and-well-being-wales-act-2014</w:t>
        </w:r>
      </w:hyperlink>
      <w:r>
        <w:t xml:space="preserve"> [Accessed: 21 July 2026].</w:t>
      </w:r>
    </w:p>
    <w:p w14:paraId="0E0091EE" w14:textId="77777777" w:rsidR="006D4894" w:rsidRPr="006D4894" w:rsidRDefault="006D4894" w:rsidP="006D4894">
      <w:pPr>
        <w:rPr>
          <w:shd w:val="clear" w:color="auto" w:fill="FFFFFF"/>
        </w:rPr>
      </w:pPr>
      <w:r w:rsidRPr="006D4894">
        <w:rPr>
          <w:shd w:val="clear" w:color="auto" w:fill="FFFFFF"/>
        </w:rPr>
        <w:lastRenderedPageBreak/>
        <w:t>McCausland, D., Murphy, E., McCarron, M. and McCallion, P., 2022. The potential for person-centred planning to support the community participation of adults with an intellectual disability. </w:t>
      </w:r>
      <w:r w:rsidRPr="006D4894">
        <w:rPr>
          <w:i/>
          <w:iCs/>
          <w:shd w:val="clear" w:color="auto" w:fill="FFFFFF"/>
        </w:rPr>
        <w:t>Journal of Intellectual Disabilities</w:t>
      </w:r>
      <w:r w:rsidRPr="006D4894">
        <w:rPr>
          <w:shd w:val="clear" w:color="auto" w:fill="FFFFFF"/>
        </w:rPr>
        <w:t>, </w:t>
      </w:r>
      <w:r w:rsidRPr="006D4894">
        <w:rPr>
          <w:i/>
          <w:iCs/>
          <w:shd w:val="clear" w:color="auto" w:fill="FFFFFF"/>
        </w:rPr>
        <w:t>26</w:t>
      </w:r>
      <w:r w:rsidRPr="006D4894">
        <w:rPr>
          <w:shd w:val="clear" w:color="auto" w:fill="FFFFFF"/>
        </w:rPr>
        <w:t>(3), pp.603-623.</w:t>
      </w:r>
    </w:p>
    <w:p w14:paraId="46EB04B8" w14:textId="77777777" w:rsidR="006D4894" w:rsidRPr="006D4894" w:rsidRDefault="006D4894" w:rsidP="006D4894">
      <w:pPr>
        <w:rPr>
          <w:rFonts w:eastAsia="Times New Roman" w:cs="Times New Roman"/>
          <w:color w:val="000000"/>
          <w:kern w:val="0"/>
          <w:szCs w:val="24"/>
          <w:lang w:eastAsia="en-GB" w:bidi="bn-BD"/>
          <w14:ligatures w14:val="none"/>
        </w:rPr>
      </w:pPr>
      <w:r w:rsidRPr="006D4894">
        <w:rPr>
          <w:rFonts w:eastAsia="Times New Roman" w:cs="Times New Roman"/>
          <w:color w:val="000000"/>
          <w:kern w:val="0"/>
          <w:szCs w:val="24"/>
          <w:lang w:eastAsia="en-GB" w:bidi="bn-BD"/>
          <w14:ligatures w14:val="none"/>
        </w:rPr>
        <w:t>NHS England (2023). </w:t>
      </w:r>
      <w:r w:rsidRPr="006D4894">
        <w:rPr>
          <w:rFonts w:eastAsia="Times New Roman" w:cs="Times New Roman"/>
          <w:i/>
          <w:iCs/>
          <w:color w:val="000000"/>
          <w:kern w:val="0"/>
          <w:szCs w:val="24"/>
          <w:lang w:eastAsia="en-GB" w:bidi="bn-BD"/>
          <w14:ligatures w14:val="none"/>
        </w:rPr>
        <w:t>NHS England » What is personalised care?</w:t>
      </w:r>
      <w:r w:rsidRPr="006D4894">
        <w:rPr>
          <w:rFonts w:eastAsia="Times New Roman" w:cs="Times New Roman"/>
          <w:color w:val="000000"/>
          <w:kern w:val="0"/>
          <w:szCs w:val="24"/>
          <w:lang w:eastAsia="en-GB" w:bidi="bn-BD"/>
          <w14:ligatures w14:val="none"/>
        </w:rPr>
        <w:t> [online] England.nhs.uk. Available at: https://www.england.nhs.uk/personalisedcare/what-is-personalised-care/ [Accessed 21 July 2026].</w:t>
      </w:r>
    </w:p>
    <w:p w14:paraId="4120D598" w14:textId="77777777" w:rsidR="006D4894" w:rsidRPr="006D4894" w:rsidRDefault="006D4894" w:rsidP="006D4894">
      <w:pPr>
        <w:rPr>
          <w:rFonts w:eastAsia="Times New Roman" w:cs="Times New Roman"/>
          <w:color w:val="000000"/>
          <w:kern w:val="0"/>
          <w:szCs w:val="24"/>
          <w:lang w:eastAsia="en-GB" w:bidi="bn-BD"/>
          <w14:ligatures w14:val="none"/>
        </w:rPr>
      </w:pPr>
      <w:r w:rsidRPr="006D4894">
        <w:rPr>
          <w:rFonts w:eastAsia="Times New Roman" w:cs="Times New Roman"/>
          <w:color w:val="000000"/>
          <w:kern w:val="0"/>
          <w:szCs w:val="24"/>
          <w:lang w:eastAsia="en-GB" w:bidi="bn-BD"/>
          <w14:ligatures w14:val="none"/>
        </w:rPr>
        <w:t>‌NICE (2018). </w:t>
      </w:r>
      <w:r w:rsidRPr="006D4894">
        <w:rPr>
          <w:rFonts w:eastAsia="Times New Roman" w:cs="Times New Roman"/>
          <w:i/>
          <w:iCs/>
          <w:color w:val="000000"/>
          <w:kern w:val="0"/>
          <w:szCs w:val="24"/>
          <w:lang w:eastAsia="en-GB" w:bidi="bn-BD"/>
          <w14:ligatures w14:val="none"/>
        </w:rPr>
        <w:t>Overview | Decision-making and mental capacity | Guidance | NICE</w:t>
      </w:r>
      <w:r w:rsidRPr="006D4894">
        <w:rPr>
          <w:rFonts w:eastAsia="Times New Roman" w:cs="Times New Roman"/>
          <w:color w:val="000000"/>
          <w:kern w:val="0"/>
          <w:szCs w:val="24"/>
          <w:lang w:eastAsia="en-GB" w:bidi="bn-BD"/>
          <w14:ligatures w14:val="none"/>
        </w:rPr>
        <w:t xml:space="preserve">. [online] Nice.org.uk. Available at: </w:t>
      </w:r>
      <w:hyperlink r:id="rId10" w:history="1">
        <w:r w:rsidRPr="006D4894">
          <w:rPr>
            <w:rStyle w:val="Hyperlink"/>
            <w:rFonts w:eastAsia="Times New Roman" w:cs="Times New Roman"/>
            <w:kern w:val="0"/>
            <w:szCs w:val="24"/>
            <w:lang w:eastAsia="en-GB" w:bidi="bn-BD"/>
            <w14:ligatures w14:val="none"/>
          </w:rPr>
          <w:t>https://www.nice.org.uk/guidance/ng108</w:t>
        </w:r>
      </w:hyperlink>
      <w:r w:rsidRPr="006D4894">
        <w:rPr>
          <w:rFonts w:eastAsia="Times New Roman" w:cs="Times New Roman"/>
          <w:color w:val="000000"/>
          <w:kern w:val="0"/>
          <w:szCs w:val="24"/>
          <w:lang w:eastAsia="en-GB" w:bidi="bn-BD"/>
          <w14:ligatures w14:val="none"/>
        </w:rPr>
        <w:t xml:space="preserve">  [Accessed 21 July 2026].</w:t>
      </w:r>
    </w:p>
    <w:p w14:paraId="23AEFE63" w14:textId="77777777" w:rsidR="006D4894" w:rsidRPr="006D4894" w:rsidRDefault="006D4894" w:rsidP="006D4894">
      <w:pPr>
        <w:rPr>
          <w:rFonts w:eastAsia="Times New Roman" w:cs="Times New Roman"/>
          <w:color w:val="000000"/>
          <w:kern w:val="0"/>
          <w:szCs w:val="24"/>
          <w:lang w:eastAsia="en-GB" w:bidi="bn-BD"/>
          <w14:ligatures w14:val="none"/>
        </w:rPr>
      </w:pPr>
      <w:r w:rsidRPr="006D4894">
        <w:rPr>
          <w:rFonts w:eastAsia="Times New Roman" w:cs="Times New Roman"/>
          <w:color w:val="000000"/>
          <w:kern w:val="0"/>
          <w:szCs w:val="24"/>
          <w:lang w:eastAsia="en-GB" w:bidi="bn-BD"/>
          <w14:ligatures w14:val="none"/>
        </w:rPr>
        <w:t>NICE (2021). </w:t>
      </w:r>
      <w:r w:rsidRPr="006D4894">
        <w:rPr>
          <w:rFonts w:eastAsia="Times New Roman" w:cs="Times New Roman"/>
          <w:i/>
          <w:iCs/>
          <w:color w:val="000000"/>
          <w:kern w:val="0"/>
          <w:szCs w:val="24"/>
          <w:lang w:eastAsia="en-GB" w:bidi="bn-BD"/>
          <w14:ligatures w14:val="none"/>
        </w:rPr>
        <w:t>Overview | Shared decision making | Guidance | NICE</w:t>
      </w:r>
      <w:r w:rsidRPr="006D4894">
        <w:rPr>
          <w:rFonts w:eastAsia="Times New Roman" w:cs="Times New Roman"/>
          <w:color w:val="000000"/>
          <w:kern w:val="0"/>
          <w:szCs w:val="24"/>
          <w:lang w:eastAsia="en-GB" w:bidi="bn-BD"/>
          <w14:ligatures w14:val="none"/>
        </w:rPr>
        <w:t xml:space="preserve">. [online] Nice.org.uk. Available at: </w:t>
      </w:r>
      <w:hyperlink r:id="rId11" w:history="1">
        <w:r w:rsidRPr="006D4894">
          <w:rPr>
            <w:rStyle w:val="Hyperlink"/>
            <w:rFonts w:eastAsia="Times New Roman" w:cs="Times New Roman"/>
            <w:kern w:val="0"/>
            <w:szCs w:val="24"/>
            <w:lang w:eastAsia="en-GB" w:bidi="bn-BD"/>
            <w14:ligatures w14:val="none"/>
          </w:rPr>
          <w:t>https://www.nice.org.uk/guidance/ng197</w:t>
        </w:r>
      </w:hyperlink>
      <w:r w:rsidRPr="006D4894">
        <w:rPr>
          <w:rFonts w:eastAsia="Times New Roman" w:cs="Times New Roman"/>
          <w:color w:val="000000"/>
          <w:kern w:val="0"/>
          <w:szCs w:val="24"/>
          <w:lang w:eastAsia="en-GB" w:bidi="bn-BD"/>
          <w14:ligatures w14:val="none"/>
        </w:rPr>
        <w:t xml:space="preserve">  [Accessed 21 July 2026].</w:t>
      </w:r>
    </w:p>
    <w:p w14:paraId="0B61F176" w14:textId="77777777" w:rsidR="006D4894" w:rsidRPr="006D4894" w:rsidRDefault="006D4894" w:rsidP="006D4894">
      <w:pPr>
        <w:rPr>
          <w:rFonts w:eastAsia="Times New Roman" w:cs="Times New Roman"/>
          <w:color w:val="000000"/>
          <w:kern w:val="0"/>
          <w:szCs w:val="24"/>
          <w:lang w:eastAsia="en-GB" w:bidi="bn-BD"/>
          <w14:ligatures w14:val="none"/>
        </w:rPr>
      </w:pPr>
      <w:r w:rsidRPr="006D4894">
        <w:rPr>
          <w:rFonts w:eastAsia="Times New Roman" w:cs="Times New Roman"/>
          <w:color w:val="000000"/>
          <w:kern w:val="0"/>
          <w:szCs w:val="24"/>
          <w:lang w:eastAsia="en-GB" w:bidi="bn-BD"/>
          <w14:ligatures w14:val="none"/>
        </w:rPr>
        <w:t>Office for Disability Issues (2014). </w:t>
      </w:r>
      <w:r w:rsidRPr="006D4894">
        <w:rPr>
          <w:rFonts w:eastAsia="Times New Roman" w:cs="Times New Roman"/>
          <w:i/>
          <w:iCs/>
          <w:color w:val="000000"/>
          <w:kern w:val="0"/>
          <w:szCs w:val="24"/>
          <w:lang w:eastAsia="en-GB" w:bidi="bn-BD"/>
          <w14:ligatures w14:val="none"/>
        </w:rPr>
        <w:t>About us</w:t>
      </w:r>
      <w:r w:rsidRPr="006D4894">
        <w:rPr>
          <w:rFonts w:eastAsia="Times New Roman" w:cs="Times New Roman"/>
          <w:color w:val="000000"/>
          <w:kern w:val="0"/>
          <w:szCs w:val="24"/>
          <w:lang w:eastAsia="en-GB" w:bidi="bn-BD"/>
          <w14:ligatures w14:val="none"/>
        </w:rPr>
        <w:t xml:space="preserve">. [online] GOV.UK. Available at: </w:t>
      </w:r>
      <w:hyperlink r:id="rId12" w:history="1">
        <w:r w:rsidRPr="006D4894">
          <w:rPr>
            <w:rStyle w:val="Hyperlink"/>
            <w:rFonts w:eastAsia="Times New Roman" w:cs="Times New Roman"/>
            <w:kern w:val="0"/>
            <w:szCs w:val="24"/>
            <w:lang w:eastAsia="en-GB" w:bidi="bn-BD"/>
            <w14:ligatures w14:val="none"/>
          </w:rPr>
          <w:t>https://www.gov.uk/government/organisations/office-for-disability-issues/about</w:t>
        </w:r>
      </w:hyperlink>
      <w:r w:rsidRPr="006D4894">
        <w:rPr>
          <w:rFonts w:eastAsia="Times New Roman" w:cs="Times New Roman"/>
          <w:color w:val="000000"/>
          <w:kern w:val="0"/>
          <w:szCs w:val="24"/>
          <w:lang w:eastAsia="en-GB" w:bidi="bn-BD"/>
          <w14:ligatures w14:val="none"/>
        </w:rPr>
        <w:t xml:space="preserve">  [Accessed 21 July 2026].</w:t>
      </w:r>
    </w:p>
    <w:p w14:paraId="4778F902" w14:textId="77777777" w:rsidR="006D4894" w:rsidRPr="006D4894" w:rsidRDefault="006D4894" w:rsidP="006D4894">
      <w:pPr>
        <w:rPr>
          <w:rFonts w:eastAsia="Times New Roman" w:cs="Times New Roman"/>
          <w:color w:val="000000"/>
          <w:kern w:val="0"/>
          <w:szCs w:val="24"/>
          <w:lang w:eastAsia="en-GB" w:bidi="bn-BD"/>
          <w14:ligatures w14:val="none"/>
        </w:rPr>
      </w:pPr>
      <w:r w:rsidRPr="006D4894">
        <w:rPr>
          <w:rFonts w:eastAsia="Times New Roman" w:cs="Times New Roman"/>
          <w:color w:val="000000"/>
          <w:kern w:val="0"/>
          <w:szCs w:val="24"/>
          <w:lang w:eastAsia="en-GB" w:bidi="bn-BD"/>
          <w14:ligatures w14:val="none"/>
        </w:rPr>
        <w:t>‌SCIE. (2022). </w:t>
      </w:r>
      <w:r w:rsidRPr="006D4894">
        <w:rPr>
          <w:rFonts w:eastAsia="Times New Roman" w:cs="Times New Roman"/>
          <w:i/>
          <w:iCs/>
          <w:color w:val="000000"/>
          <w:kern w:val="0"/>
          <w:szCs w:val="24"/>
          <w:lang w:eastAsia="en-GB" w:bidi="bn-BD"/>
          <w14:ligatures w14:val="none"/>
        </w:rPr>
        <w:t>Co-production: what it is and how to do it - SCIE</w:t>
      </w:r>
      <w:r w:rsidRPr="006D4894">
        <w:rPr>
          <w:rFonts w:eastAsia="Times New Roman" w:cs="Times New Roman"/>
          <w:color w:val="000000"/>
          <w:kern w:val="0"/>
          <w:szCs w:val="24"/>
          <w:lang w:eastAsia="en-GB" w:bidi="bn-BD"/>
          <w14:ligatures w14:val="none"/>
        </w:rPr>
        <w:t xml:space="preserve">. [online] Available at: </w:t>
      </w:r>
      <w:hyperlink r:id="rId13" w:history="1">
        <w:r w:rsidRPr="006D4894">
          <w:rPr>
            <w:rStyle w:val="Hyperlink"/>
            <w:rFonts w:eastAsia="Times New Roman" w:cs="Times New Roman"/>
            <w:kern w:val="0"/>
            <w:szCs w:val="24"/>
            <w:lang w:eastAsia="en-GB" w:bidi="bn-BD"/>
            <w14:ligatures w14:val="none"/>
          </w:rPr>
          <w:t>https://www.scie.org.uk/co-production/what-how/</w:t>
        </w:r>
      </w:hyperlink>
      <w:r w:rsidRPr="006D4894">
        <w:rPr>
          <w:rFonts w:eastAsia="Times New Roman" w:cs="Times New Roman"/>
          <w:color w:val="000000"/>
          <w:kern w:val="0"/>
          <w:szCs w:val="24"/>
          <w:lang w:eastAsia="en-GB" w:bidi="bn-BD"/>
          <w14:ligatures w14:val="none"/>
        </w:rPr>
        <w:t xml:space="preserve">  [Accessed 21 July 2026].</w:t>
      </w:r>
    </w:p>
    <w:p w14:paraId="06F5A3F6" w14:textId="77777777" w:rsidR="006D4894" w:rsidRPr="006D4894" w:rsidRDefault="006D4894" w:rsidP="006D4894">
      <w:pPr>
        <w:rPr>
          <w:rFonts w:eastAsia="Times New Roman" w:cs="Times New Roman"/>
          <w:color w:val="000000"/>
          <w:kern w:val="0"/>
          <w:szCs w:val="24"/>
          <w:lang w:eastAsia="en-GB" w:bidi="bn-BD"/>
          <w14:ligatures w14:val="none"/>
        </w:rPr>
      </w:pPr>
      <w:r w:rsidRPr="006D4894">
        <w:rPr>
          <w:rFonts w:eastAsia="Times New Roman" w:cs="Times New Roman"/>
          <w:color w:val="000000"/>
          <w:kern w:val="0"/>
          <w:szCs w:val="24"/>
          <w:lang w:eastAsia="en-GB" w:bidi="bn-BD"/>
          <w14:ligatures w14:val="none"/>
        </w:rPr>
        <w:t>‌SCIE. (2023). </w:t>
      </w:r>
      <w:r w:rsidRPr="006D4894">
        <w:rPr>
          <w:rFonts w:eastAsia="Times New Roman" w:cs="Times New Roman"/>
          <w:i/>
          <w:iCs/>
          <w:color w:val="000000"/>
          <w:kern w:val="0"/>
          <w:szCs w:val="24"/>
          <w:lang w:eastAsia="en-GB" w:bidi="bn-BD"/>
          <w14:ligatures w14:val="none"/>
        </w:rPr>
        <w:t>Developing our understanding of the difference co-production makes in social care - SCIE</w:t>
      </w:r>
      <w:r w:rsidRPr="006D4894">
        <w:rPr>
          <w:rFonts w:eastAsia="Times New Roman" w:cs="Times New Roman"/>
          <w:color w:val="000000"/>
          <w:kern w:val="0"/>
          <w:szCs w:val="24"/>
          <w:lang w:eastAsia="en-GB" w:bidi="bn-BD"/>
          <w14:ligatures w14:val="none"/>
        </w:rPr>
        <w:t>. [online] Available at: https://www.scie.org.uk/co-production/understanding-the-difference/ [Accessed 21 July 2026].</w:t>
      </w:r>
    </w:p>
    <w:p w14:paraId="189FCCDE" w14:textId="77777777" w:rsidR="006D4894" w:rsidRPr="006D4894" w:rsidRDefault="006D4894" w:rsidP="006D4894">
      <w:pPr>
        <w:rPr>
          <w:shd w:val="clear" w:color="auto" w:fill="FFFFFF"/>
        </w:rPr>
      </w:pPr>
      <w:r w:rsidRPr="006D4894">
        <w:rPr>
          <w:shd w:val="clear" w:color="auto" w:fill="FFFFFF"/>
        </w:rPr>
        <w:t>Thorneycroft, R., 2024. Screwing the social model of disability. </w:t>
      </w:r>
      <w:r w:rsidRPr="006D4894">
        <w:rPr>
          <w:i/>
          <w:iCs/>
          <w:shd w:val="clear" w:color="auto" w:fill="FFFFFF"/>
        </w:rPr>
        <w:t>Scandinavian Journal of Disability Research</w:t>
      </w:r>
      <w:r w:rsidRPr="006D4894">
        <w:rPr>
          <w:shd w:val="clear" w:color="auto" w:fill="FFFFFF"/>
        </w:rPr>
        <w:t>, </w:t>
      </w:r>
      <w:r w:rsidRPr="006D4894">
        <w:rPr>
          <w:i/>
          <w:iCs/>
          <w:shd w:val="clear" w:color="auto" w:fill="FFFFFF"/>
        </w:rPr>
        <w:t>26</w:t>
      </w:r>
      <w:r w:rsidRPr="006D4894">
        <w:rPr>
          <w:shd w:val="clear" w:color="auto" w:fill="FFFFFF"/>
        </w:rPr>
        <w:t>(1).</w:t>
      </w:r>
    </w:p>
    <w:p w14:paraId="4583127A" w14:textId="77777777" w:rsidR="006D4894" w:rsidRPr="006D4894" w:rsidRDefault="006D4894" w:rsidP="006D4894">
      <w:pPr>
        <w:rPr>
          <w:rFonts w:eastAsia="Times New Roman" w:cs="Times New Roman"/>
          <w:color w:val="000000"/>
          <w:kern w:val="0"/>
          <w:szCs w:val="24"/>
          <w:lang w:eastAsia="en-GB" w:bidi="bn-BD"/>
          <w14:ligatures w14:val="none"/>
        </w:rPr>
      </w:pPr>
      <w:r>
        <w:t xml:space="preserve">Wallace, C. and Garthwaite, T. (2023) </w:t>
      </w:r>
      <w:r>
        <w:rPr>
          <w:rStyle w:val="Emphasis"/>
        </w:rPr>
        <w:t>Multi-agency working: Research to support the Final Report of the Evaluation of the Social Services and Well-being (Wales) Act 2014</w:t>
      </w:r>
      <w:r>
        <w:t xml:space="preserve">. GSR Report 39/2023. Cardiff: Welsh Government. Available at: </w:t>
      </w:r>
      <w:hyperlink r:id="rId14" w:tgtFrame="_new" w:history="1">
        <w:r>
          <w:rPr>
            <w:rStyle w:val="Hyperlink"/>
          </w:rPr>
          <w:t>https://www.gov.wales/multi-agency-working-research-support-final-report-evaluation-social-services-and-well-being-wales-act-2014</w:t>
        </w:r>
      </w:hyperlink>
      <w:r>
        <w:t xml:space="preserve"> [Accessed: 21 July 2026].</w:t>
      </w:r>
    </w:p>
    <w:p w14:paraId="5068A424" w14:textId="77777777" w:rsidR="006D4894" w:rsidRPr="006D4894" w:rsidRDefault="006D4894" w:rsidP="006D4894">
      <w:pPr>
        <w:rPr>
          <w:rFonts w:eastAsia="Times New Roman" w:cs="Times New Roman"/>
          <w:color w:val="000000"/>
          <w:kern w:val="0"/>
          <w:szCs w:val="24"/>
          <w:lang w:eastAsia="en-GB" w:bidi="bn-BD"/>
          <w14:ligatures w14:val="none"/>
        </w:rPr>
      </w:pPr>
      <w:r w:rsidRPr="006D4894">
        <w:rPr>
          <w:rFonts w:eastAsia="Times New Roman" w:cs="Times New Roman"/>
          <w:color w:val="000000"/>
          <w:kern w:val="0"/>
          <w:szCs w:val="24"/>
          <w:lang w:eastAsia="en-GB" w:bidi="bn-BD"/>
          <w14:ligatures w14:val="none"/>
        </w:rPr>
        <w:lastRenderedPageBreak/>
        <w:t>WHO (2021). </w:t>
      </w:r>
      <w:r w:rsidRPr="006D4894">
        <w:rPr>
          <w:rFonts w:eastAsia="Times New Roman" w:cs="Times New Roman"/>
          <w:i/>
          <w:iCs/>
          <w:color w:val="000000"/>
          <w:kern w:val="0"/>
          <w:szCs w:val="24"/>
          <w:lang w:eastAsia="en-GB" w:bidi="bn-BD"/>
          <w14:ligatures w14:val="none"/>
        </w:rPr>
        <w:t>Guidance on community mental health services</w:t>
      </w:r>
      <w:r w:rsidRPr="006D4894">
        <w:rPr>
          <w:rFonts w:eastAsia="Times New Roman" w:cs="Times New Roman"/>
          <w:color w:val="000000"/>
          <w:kern w:val="0"/>
          <w:szCs w:val="24"/>
          <w:lang w:eastAsia="en-GB" w:bidi="bn-BD"/>
          <w14:ligatures w14:val="none"/>
        </w:rPr>
        <w:t xml:space="preserve">. [online] World Health Organization. Available at: </w:t>
      </w:r>
      <w:hyperlink r:id="rId15" w:history="1">
        <w:r w:rsidRPr="006D4894">
          <w:rPr>
            <w:rStyle w:val="Hyperlink"/>
            <w:rFonts w:eastAsia="Times New Roman" w:cs="Times New Roman"/>
            <w:kern w:val="0"/>
            <w:szCs w:val="24"/>
            <w:lang w:eastAsia="en-GB" w:bidi="bn-BD"/>
            <w14:ligatures w14:val="none"/>
          </w:rPr>
          <w:t>https://www.who.int/publications/i/item/9789240025707</w:t>
        </w:r>
      </w:hyperlink>
      <w:r w:rsidRPr="006D4894">
        <w:rPr>
          <w:rFonts w:eastAsia="Times New Roman" w:cs="Times New Roman"/>
          <w:color w:val="000000"/>
          <w:kern w:val="0"/>
          <w:szCs w:val="24"/>
          <w:lang w:eastAsia="en-GB" w:bidi="bn-BD"/>
          <w14:ligatures w14:val="none"/>
        </w:rPr>
        <w:t xml:space="preserve">  [Accessed 21 July 2026].</w:t>
      </w:r>
    </w:p>
    <w:p w14:paraId="596DE067" w14:textId="77777777" w:rsidR="006D4894" w:rsidRPr="006D4894" w:rsidRDefault="006D4894" w:rsidP="006D4894">
      <w:pPr>
        <w:rPr>
          <w:shd w:val="clear" w:color="auto" w:fill="FFFFFF"/>
        </w:rPr>
      </w:pPr>
      <w:r w:rsidRPr="006D4894">
        <w:rPr>
          <w:rFonts w:eastAsia="Times New Roman" w:cs="Times New Roman"/>
          <w:color w:val="000000"/>
          <w:kern w:val="0"/>
          <w:szCs w:val="24"/>
          <w:lang w:eastAsia="en-GB" w:bidi="bn-BD"/>
          <w14:ligatures w14:val="none"/>
        </w:rPr>
        <w:t>‌</w:t>
      </w:r>
      <w:r w:rsidRPr="006D4894">
        <w:rPr>
          <w:shd w:val="clear" w:color="auto" w:fill="FFFFFF"/>
        </w:rPr>
        <w:t xml:space="preserve">Wickenden, M., 2023. Disability and other </w:t>
      </w:r>
      <w:proofErr w:type="gramStart"/>
      <w:r w:rsidRPr="006D4894">
        <w:rPr>
          <w:shd w:val="clear" w:color="auto" w:fill="FFFFFF"/>
        </w:rPr>
        <w:t>identities?—</w:t>
      </w:r>
      <w:proofErr w:type="gramEnd"/>
      <w:r w:rsidRPr="006D4894">
        <w:rPr>
          <w:shd w:val="clear" w:color="auto" w:fill="FFFFFF"/>
        </w:rPr>
        <w:t xml:space="preserve">how do they </w:t>
      </w:r>
      <w:proofErr w:type="gramStart"/>
      <w:r w:rsidRPr="006D4894">
        <w:rPr>
          <w:shd w:val="clear" w:color="auto" w:fill="FFFFFF"/>
        </w:rPr>
        <w:t>intersect?.</w:t>
      </w:r>
      <w:proofErr w:type="gramEnd"/>
      <w:r w:rsidRPr="006D4894">
        <w:rPr>
          <w:shd w:val="clear" w:color="auto" w:fill="FFFFFF"/>
        </w:rPr>
        <w:t> </w:t>
      </w:r>
      <w:r w:rsidRPr="006D4894">
        <w:rPr>
          <w:i/>
          <w:iCs/>
          <w:shd w:val="clear" w:color="auto" w:fill="FFFFFF"/>
        </w:rPr>
        <w:t>Frontiers in rehabilitation sciences</w:t>
      </w:r>
      <w:r w:rsidRPr="006D4894">
        <w:rPr>
          <w:shd w:val="clear" w:color="auto" w:fill="FFFFFF"/>
        </w:rPr>
        <w:t>, </w:t>
      </w:r>
      <w:r w:rsidRPr="006D4894">
        <w:rPr>
          <w:i/>
          <w:iCs/>
          <w:shd w:val="clear" w:color="auto" w:fill="FFFFFF"/>
        </w:rPr>
        <w:t>4</w:t>
      </w:r>
      <w:r w:rsidRPr="006D4894">
        <w:rPr>
          <w:shd w:val="clear" w:color="auto" w:fill="FFFFFF"/>
        </w:rPr>
        <w:t>, p.1200386.</w:t>
      </w:r>
    </w:p>
    <w:p w14:paraId="6746BBC3" w14:textId="77777777" w:rsidR="006D4894" w:rsidRPr="006D4894" w:rsidRDefault="006D4894" w:rsidP="006D4894">
      <w:pPr>
        <w:rPr>
          <w:rFonts w:eastAsia="Times New Roman" w:cs="Times New Roman"/>
          <w:color w:val="000000"/>
          <w:kern w:val="0"/>
          <w:szCs w:val="24"/>
          <w:lang w:eastAsia="en-GB" w:bidi="bn-BD"/>
          <w14:ligatures w14:val="none"/>
        </w:rPr>
      </w:pPr>
      <w:r w:rsidRPr="006D4894">
        <w:rPr>
          <w:rFonts w:eastAsia="Times New Roman" w:cs="Times New Roman"/>
          <w:color w:val="000000"/>
          <w:kern w:val="0"/>
          <w:szCs w:val="24"/>
          <w:lang w:eastAsia="en-GB" w:bidi="bn-BD"/>
          <w14:ligatures w14:val="none"/>
        </w:rPr>
        <w:t>‌</w:t>
      </w:r>
      <w:r w:rsidRPr="006D4894">
        <w:rPr>
          <w:shd w:val="clear" w:color="auto" w:fill="FFFFFF"/>
        </w:rPr>
        <w:t>Wright, K., 2024. Getting to Disability Justice: A Critical Conceptual Review of Disability Models in US Social Work. </w:t>
      </w:r>
      <w:r w:rsidRPr="006D4894">
        <w:rPr>
          <w:i/>
          <w:iCs/>
          <w:shd w:val="clear" w:color="auto" w:fill="FFFFFF"/>
        </w:rPr>
        <w:t>J. Soc. &amp; Soc. Welfare</w:t>
      </w:r>
      <w:r w:rsidRPr="006D4894">
        <w:rPr>
          <w:shd w:val="clear" w:color="auto" w:fill="FFFFFF"/>
        </w:rPr>
        <w:t>, </w:t>
      </w:r>
      <w:r w:rsidRPr="006D4894">
        <w:rPr>
          <w:i/>
          <w:iCs/>
          <w:shd w:val="clear" w:color="auto" w:fill="FFFFFF"/>
        </w:rPr>
        <w:t>51</w:t>
      </w:r>
      <w:r w:rsidRPr="006D4894">
        <w:rPr>
          <w:shd w:val="clear" w:color="auto" w:fill="FFFFFF"/>
        </w:rPr>
        <w:t>, p.63.</w:t>
      </w:r>
    </w:p>
    <w:p w14:paraId="1F9E1AB5" w14:textId="77777777" w:rsidR="004A3FAA" w:rsidRPr="004A3FAA" w:rsidRDefault="004A3FAA" w:rsidP="004A3FAA">
      <w:pPr>
        <w:spacing w:before="100" w:beforeAutospacing="1" w:after="100" w:afterAutospacing="1" w:line="240" w:lineRule="auto"/>
        <w:jc w:val="left"/>
        <w:rPr>
          <w:rFonts w:eastAsia="Times New Roman" w:cs="Times New Roman"/>
          <w:color w:val="000000"/>
          <w:kern w:val="0"/>
          <w:szCs w:val="24"/>
          <w:lang w:eastAsia="en-GB" w:bidi="bn-BD"/>
          <w14:ligatures w14:val="none"/>
        </w:rPr>
      </w:pPr>
      <w:r w:rsidRPr="004A3FAA">
        <w:rPr>
          <w:rFonts w:eastAsia="Times New Roman" w:cs="Times New Roman"/>
          <w:color w:val="000000"/>
          <w:kern w:val="0"/>
          <w:szCs w:val="24"/>
          <w:lang w:eastAsia="en-GB" w:bidi="bn-BD"/>
          <w14:ligatures w14:val="none"/>
        </w:rPr>
        <w:t>‌</w:t>
      </w:r>
    </w:p>
    <w:p w14:paraId="0F7356B1" w14:textId="77777777" w:rsidR="004A3FAA" w:rsidRPr="004A3FAA" w:rsidRDefault="004A3FAA" w:rsidP="004A3FAA">
      <w:pPr>
        <w:spacing w:line="360" w:lineRule="atLeast"/>
        <w:jc w:val="left"/>
        <w:rPr>
          <w:rFonts w:eastAsia="Times New Roman" w:cs="Times New Roman"/>
          <w:color w:val="000000"/>
          <w:kern w:val="0"/>
          <w:szCs w:val="24"/>
          <w:lang w:eastAsia="en-GB" w:bidi="bn-BD"/>
          <w14:ligatures w14:val="none"/>
        </w:rPr>
      </w:pPr>
    </w:p>
    <w:p w14:paraId="56D17BF9" w14:textId="77777777" w:rsidR="004A3FAA" w:rsidRPr="004A3FAA" w:rsidRDefault="004A3FAA" w:rsidP="004A3FAA">
      <w:pPr>
        <w:spacing w:before="100" w:beforeAutospacing="1" w:after="100" w:afterAutospacing="1" w:line="240" w:lineRule="auto"/>
        <w:jc w:val="left"/>
        <w:rPr>
          <w:rFonts w:eastAsia="Times New Roman" w:cs="Times New Roman"/>
          <w:color w:val="000000"/>
          <w:kern w:val="0"/>
          <w:szCs w:val="24"/>
          <w:lang w:eastAsia="en-GB" w:bidi="bn-BD"/>
          <w14:ligatures w14:val="none"/>
        </w:rPr>
      </w:pPr>
      <w:r w:rsidRPr="004A3FAA">
        <w:rPr>
          <w:rFonts w:eastAsia="Times New Roman" w:cs="Times New Roman"/>
          <w:color w:val="000000"/>
          <w:kern w:val="0"/>
          <w:szCs w:val="24"/>
          <w:lang w:eastAsia="en-GB" w:bidi="bn-BD"/>
          <w14:ligatures w14:val="none"/>
        </w:rPr>
        <w:t>‌</w:t>
      </w:r>
    </w:p>
    <w:p w14:paraId="3D8DD7B9" w14:textId="77777777" w:rsidR="004A3FAA" w:rsidRPr="004A3FAA" w:rsidRDefault="004A3FAA" w:rsidP="004A3FAA">
      <w:pPr>
        <w:spacing w:before="100" w:beforeAutospacing="1" w:after="100" w:afterAutospacing="1" w:line="240" w:lineRule="auto"/>
        <w:jc w:val="left"/>
        <w:rPr>
          <w:rFonts w:eastAsia="Times New Roman" w:cs="Times New Roman"/>
          <w:color w:val="000000"/>
          <w:kern w:val="0"/>
          <w:szCs w:val="24"/>
          <w:lang w:eastAsia="en-GB" w:bidi="bn-BD"/>
          <w14:ligatures w14:val="none"/>
        </w:rPr>
      </w:pPr>
    </w:p>
    <w:p w14:paraId="0599AD00" w14:textId="77777777" w:rsidR="00544C1C" w:rsidRPr="00544C1C" w:rsidRDefault="00544C1C" w:rsidP="00544C1C">
      <w:pPr>
        <w:spacing w:before="100" w:beforeAutospacing="1" w:after="100" w:afterAutospacing="1" w:line="240" w:lineRule="auto"/>
        <w:jc w:val="left"/>
        <w:rPr>
          <w:rFonts w:eastAsia="Times New Roman" w:cs="Times New Roman"/>
          <w:color w:val="000000"/>
          <w:kern w:val="0"/>
          <w:szCs w:val="24"/>
          <w:lang w:eastAsia="en-GB" w:bidi="bn-BD"/>
          <w14:ligatures w14:val="none"/>
        </w:rPr>
      </w:pPr>
      <w:r w:rsidRPr="00544C1C">
        <w:rPr>
          <w:rFonts w:eastAsia="Times New Roman" w:cs="Times New Roman"/>
          <w:color w:val="000000"/>
          <w:kern w:val="0"/>
          <w:szCs w:val="24"/>
          <w:lang w:eastAsia="en-GB" w:bidi="bn-BD"/>
          <w14:ligatures w14:val="none"/>
        </w:rPr>
        <w:t>‌</w:t>
      </w:r>
    </w:p>
    <w:p w14:paraId="738E95D7" w14:textId="77777777" w:rsidR="00544C1C" w:rsidRPr="00544C1C" w:rsidRDefault="00544C1C" w:rsidP="00544C1C">
      <w:pPr>
        <w:spacing w:line="360" w:lineRule="atLeast"/>
        <w:jc w:val="left"/>
        <w:rPr>
          <w:rFonts w:eastAsia="Times New Roman" w:cs="Times New Roman"/>
          <w:color w:val="000000"/>
          <w:kern w:val="0"/>
          <w:szCs w:val="24"/>
          <w:lang w:eastAsia="en-GB" w:bidi="bn-BD"/>
          <w14:ligatures w14:val="none"/>
        </w:rPr>
      </w:pPr>
    </w:p>
    <w:p w14:paraId="401745D4" w14:textId="77777777" w:rsidR="00544C1C" w:rsidRPr="00544C1C" w:rsidRDefault="00544C1C" w:rsidP="00544C1C">
      <w:pPr>
        <w:spacing w:before="100" w:beforeAutospacing="1" w:after="100" w:afterAutospacing="1" w:line="240" w:lineRule="auto"/>
        <w:jc w:val="left"/>
        <w:rPr>
          <w:rFonts w:eastAsia="Times New Roman" w:cs="Times New Roman"/>
          <w:color w:val="000000"/>
          <w:kern w:val="0"/>
          <w:szCs w:val="24"/>
          <w:lang w:eastAsia="en-GB" w:bidi="bn-BD"/>
          <w14:ligatures w14:val="none"/>
        </w:rPr>
      </w:pPr>
      <w:r w:rsidRPr="00544C1C">
        <w:rPr>
          <w:rFonts w:eastAsia="Times New Roman" w:cs="Times New Roman"/>
          <w:color w:val="000000"/>
          <w:kern w:val="0"/>
          <w:szCs w:val="24"/>
          <w:lang w:eastAsia="en-GB" w:bidi="bn-BD"/>
          <w14:ligatures w14:val="none"/>
        </w:rPr>
        <w:t>‌</w:t>
      </w:r>
    </w:p>
    <w:p w14:paraId="57DE9F12" w14:textId="77777777" w:rsidR="00544C1C" w:rsidRPr="00544C1C" w:rsidRDefault="00544C1C" w:rsidP="00544C1C">
      <w:pPr>
        <w:spacing w:line="360" w:lineRule="atLeast"/>
        <w:jc w:val="left"/>
        <w:rPr>
          <w:rFonts w:eastAsia="Times New Roman" w:cs="Times New Roman"/>
          <w:color w:val="000000"/>
          <w:kern w:val="0"/>
          <w:szCs w:val="24"/>
          <w:lang w:eastAsia="en-GB" w:bidi="bn-BD"/>
          <w14:ligatures w14:val="none"/>
        </w:rPr>
      </w:pPr>
    </w:p>
    <w:p w14:paraId="12895334" w14:textId="77777777" w:rsidR="00544C1C" w:rsidRPr="00544C1C" w:rsidRDefault="00544C1C" w:rsidP="00544C1C">
      <w:pPr>
        <w:spacing w:before="100" w:beforeAutospacing="1" w:after="100" w:afterAutospacing="1" w:line="240" w:lineRule="auto"/>
        <w:jc w:val="left"/>
        <w:rPr>
          <w:rFonts w:eastAsia="Times New Roman" w:cs="Times New Roman"/>
          <w:color w:val="000000"/>
          <w:kern w:val="0"/>
          <w:szCs w:val="24"/>
          <w:lang w:eastAsia="en-GB" w:bidi="bn-BD"/>
          <w14:ligatures w14:val="none"/>
        </w:rPr>
      </w:pPr>
      <w:r w:rsidRPr="00544C1C">
        <w:rPr>
          <w:rFonts w:eastAsia="Times New Roman" w:cs="Times New Roman"/>
          <w:color w:val="000000"/>
          <w:kern w:val="0"/>
          <w:szCs w:val="24"/>
          <w:lang w:eastAsia="en-GB" w:bidi="bn-BD"/>
          <w14:ligatures w14:val="none"/>
        </w:rPr>
        <w:t>‌</w:t>
      </w:r>
    </w:p>
    <w:p w14:paraId="3949A751" w14:textId="77777777" w:rsidR="00544C1C" w:rsidRPr="00A62D68" w:rsidRDefault="00544C1C" w:rsidP="008928F6">
      <w:pPr>
        <w:rPr>
          <w:b/>
          <w:bCs/>
        </w:rPr>
      </w:pPr>
    </w:p>
    <w:sectPr w:rsidR="00544C1C" w:rsidRPr="00A62D68" w:rsidSect="006F0F41">
      <w:headerReference w:type="even" r:id="rId16"/>
      <w:headerReference w:type="default" r:id="rId17"/>
      <w:footerReference w:type="even" r:id="rId18"/>
      <w:footerReference w:type="default" r:id="rId19"/>
      <w:headerReference w:type="first" r:id="rId20"/>
      <w:footerReference w:type="first" r:id="rId21"/>
      <w:pgSz w:w="12240" w:h="15840" w:code="1"/>
      <w:pgMar w:top="1440" w:right="1440" w:bottom="1440" w:left="1440" w:header="0" w:footer="994"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13A3BF" w14:textId="77777777" w:rsidR="00C52292" w:rsidRDefault="00C52292" w:rsidP="00D448FD">
      <w:pPr>
        <w:spacing w:after="0" w:line="240" w:lineRule="auto"/>
      </w:pPr>
      <w:r>
        <w:separator/>
      </w:r>
    </w:p>
  </w:endnote>
  <w:endnote w:type="continuationSeparator" w:id="0">
    <w:p w14:paraId="7987B417" w14:textId="77777777" w:rsidR="00C52292" w:rsidRDefault="00C52292" w:rsidP="00D44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96C9B7" w14:textId="77777777" w:rsidR="00D448FD" w:rsidRDefault="00D448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EF778B" w14:textId="2A6FD73D" w:rsidR="00D448FD" w:rsidRDefault="00D448FD">
    <w:pPr>
      <w:pStyle w:val="Footer"/>
      <w:rPr>
        <w:rFonts w:asciiTheme="majorHAnsi" w:eastAsiaTheme="majorEastAsia" w:hAnsiTheme="majorHAnsi" w:cstheme="majorBidi"/>
        <w:color w:val="4472C4" w:themeColor="accent1"/>
        <w:sz w:val="20"/>
        <w:szCs w:val="20"/>
      </w:rPr>
    </w:pPr>
    <w:r>
      <w:rPr>
        <w:noProof/>
        <w:color w:val="4472C4" w:themeColor="accent1"/>
      </w:rPr>
      <mc:AlternateContent>
        <mc:Choice Requires="wps">
          <w:drawing>
            <wp:anchor distT="0" distB="0" distL="114300" distR="114300" simplePos="0" relativeHeight="251659264" behindDoc="0" locked="0" layoutInCell="1" allowOverlap="1" wp14:anchorId="7CCE5FE7" wp14:editId="14421F1A">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2E3A3A"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2435004</w:t>
    </w:r>
  </w:p>
  <w:p w14:paraId="0026BF3F" w14:textId="77777777" w:rsidR="00D448FD" w:rsidRDefault="00D448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E978A9" w14:textId="77777777" w:rsidR="00D448FD" w:rsidRDefault="00D448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81CF36" w14:textId="77777777" w:rsidR="00C52292" w:rsidRDefault="00C52292" w:rsidP="00D448FD">
      <w:pPr>
        <w:spacing w:after="0" w:line="240" w:lineRule="auto"/>
      </w:pPr>
      <w:r>
        <w:separator/>
      </w:r>
    </w:p>
  </w:footnote>
  <w:footnote w:type="continuationSeparator" w:id="0">
    <w:p w14:paraId="2EFE0074" w14:textId="77777777" w:rsidR="00C52292" w:rsidRDefault="00C52292" w:rsidP="00D448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51277E" w14:textId="77777777" w:rsidR="00D448FD" w:rsidRDefault="00D448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00CEEA" w14:textId="77777777" w:rsidR="00D448FD" w:rsidRDefault="00D448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F25AF3" w14:textId="77777777" w:rsidR="00D448FD" w:rsidRDefault="00D448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665F55"/>
    <w:multiLevelType w:val="hybridMultilevel"/>
    <w:tmpl w:val="08867C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8364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rawingGridVerticalSpacing w:val="299"/>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0F41"/>
    <w:rsid w:val="000778F0"/>
    <w:rsid w:val="001041B3"/>
    <w:rsid w:val="003C5620"/>
    <w:rsid w:val="004A3FAA"/>
    <w:rsid w:val="00544C1C"/>
    <w:rsid w:val="005C7483"/>
    <w:rsid w:val="00637963"/>
    <w:rsid w:val="006D4894"/>
    <w:rsid w:val="006F0F41"/>
    <w:rsid w:val="007E5460"/>
    <w:rsid w:val="008928F6"/>
    <w:rsid w:val="00A62D68"/>
    <w:rsid w:val="00AD5F08"/>
    <w:rsid w:val="00C52292"/>
    <w:rsid w:val="00C6535C"/>
    <w:rsid w:val="00C671AF"/>
    <w:rsid w:val="00C97B81"/>
    <w:rsid w:val="00D448FD"/>
    <w:rsid w:val="00E61D77"/>
    <w:rsid w:val="00EC1AF1"/>
    <w:rsid w:val="00F153DD"/>
    <w:rsid w:val="00FF308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130208"/>
  <w15:chartTrackingRefBased/>
  <w15:docId w15:val="{CFAE1FE4-0CBC-40C2-8B71-4EDB781C2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F4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D5F0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AD5F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F08"/>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AD5F08"/>
    <w:rPr>
      <w:rFonts w:asciiTheme="majorHAnsi" w:eastAsiaTheme="majorEastAsia" w:hAnsiTheme="majorHAnsi" w:cstheme="majorBidi"/>
      <w:color w:val="2F5496" w:themeColor="accent1" w:themeShade="BF"/>
      <w:sz w:val="26"/>
      <w:szCs w:val="26"/>
      <w:lang w:val="en-GB"/>
    </w:rPr>
  </w:style>
  <w:style w:type="paragraph" w:styleId="NormalWeb">
    <w:name w:val="Normal (Web)"/>
    <w:basedOn w:val="Normal"/>
    <w:uiPriority w:val="99"/>
    <w:semiHidden/>
    <w:unhideWhenUsed/>
    <w:rsid w:val="00AD5F08"/>
    <w:pPr>
      <w:spacing w:before="100" w:beforeAutospacing="1" w:after="100" w:afterAutospacing="1" w:line="240" w:lineRule="auto"/>
      <w:jc w:val="left"/>
    </w:pPr>
    <w:rPr>
      <w:rFonts w:eastAsia="Times New Roman" w:cs="Times New Roman"/>
      <w:kern w:val="0"/>
      <w:szCs w:val="24"/>
      <w:lang w:eastAsia="en-GB" w:bidi="bn-BD"/>
      <w14:ligatures w14:val="none"/>
    </w:rPr>
  </w:style>
  <w:style w:type="character" w:styleId="Strong">
    <w:name w:val="Strong"/>
    <w:basedOn w:val="DefaultParagraphFont"/>
    <w:uiPriority w:val="22"/>
    <w:qFormat/>
    <w:rsid w:val="00C97B81"/>
    <w:rPr>
      <w:b/>
      <w:bCs/>
    </w:rPr>
  </w:style>
  <w:style w:type="character" w:styleId="Emphasis">
    <w:name w:val="Emphasis"/>
    <w:basedOn w:val="DefaultParagraphFont"/>
    <w:uiPriority w:val="20"/>
    <w:qFormat/>
    <w:rsid w:val="00A62D68"/>
    <w:rPr>
      <w:i/>
      <w:iCs/>
    </w:rPr>
  </w:style>
  <w:style w:type="character" w:styleId="Hyperlink">
    <w:name w:val="Hyperlink"/>
    <w:basedOn w:val="DefaultParagraphFont"/>
    <w:uiPriority w:val="99"/>
    <w:unhideWhenUsed/>
    <w:rsid w:val="00A62D68"/>
    <w:rPr>
      <w:color w:val="0000FF"/>
      <w:u w:val="single"/>
    </w:rPr>
  </w:style>
  <w:style w:type="paragraph" w:styleId="ListParagraph">
    <w:name w:val="List Paragraph"/>
    <w:basedOn w:val="Normal"/>
    <w:uiPriority w:val="34"/>
    <w:qFormat/>
    <w:rsid w:val="006D4894"/>
    <w:pPr>
      <w:ind w:left="720"/>
      <w:contextualSpacing/>
    </w:pPr>
  </w:style>
  <w:style w:type="paragraph" w:styleId="Header">
    <w:name w:val="header"/>
    <w:basedOn w:val="Normal"/>
    <w:link w:val="HeaderChar"/>
    <w:uiPriority w:val="99"/>
    <w:unhideWhenUsed/>
    <w:rsid w:val="00D44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8FD"/>
    <w:rPr>
      <w:rFonts w:ascii="Times New Roman" w:hAnsi="Times New Roman"/>
      <w:sz w:val="24"/>
      <w:lang w:val="en-GB"/>
    </w:rPr>
  </w:style>
  <w:style w:type="paragraph" w:styleId="Footer">
    <w:name w:val="footer"/>
    <w:basedOn w:val="Normal"/>
    <w:link w:val="FooterChar"/>
    <w:uiPriority w:val="99"/>
    <w:unhideWhenUsed/>
    <w:rsid w:val="00D44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8F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240577">
      <w:bodyDiv w:val="1"/>
      <w:marLeft w:val="0"/>
      <w:marRight w:val="0"/>
      <w:marTop w:val="0"/>
      <w:marBottom w:val="0"/>
      <w:divBdr>
        <w:top w:val="none" w:sz="0" w:space="0" w:color="auto"/>
        <w:left w:val="none" w:sz="0" w:space="0" w:color="auto"/>
        <w:bottom w:val="none" w:sz="0" w:space="0" w:color="auto"/>
        <w:right w:val="none" w:sz="0" w:space="0" w:color="auto"/>
      </w:divBdr>
      <w:divsChild>
        <w:div w:id="1654291191">
          <w:marLeft w:val="0"/>
          <w:marRight w:val="0"/>
          <w:marTop w:val="0"/>
          <w:marBottom w:val="240"/>
          <w:divBdr>
            <w:top w:val="none" w:sz="0" w:space="0" w:color="auto"/>
            <w:left w:val="none" w:sz="0" w:space="0" w:color="auto"/>
            <w:bottom w:val="none" w:sz="0" w:space="0" w:color="auto"/>
            <w:right w:val="none" w:sz="0" w:space="0" w:color="auto"/>
          </w:divBdr>
        </w:div>
      </w:divsChild>
    </w:div>
    <w:div w:id="284847442">
      <w:bodyDiv w:val="1"/>
      <w:marLeft w:val="0"/>
      <w:marRight w:val="0"/>
      <w:marTop w:val="0"/>
      <w:marBottom w:val="0"/>
      <w:divBdr>
        <w:top w:val="none" w:sz="0" w:space="0" w:color="auto"/>
        <w:left w:val="none" w:sz="0" w:space="0" w:color="auto"/>
        <w:bottom w:val="none" w:sz="0" w:space="0" w:color="auto"/>
        <w:right w:val="none" w:sz="0" w:space="0" w:color="auto"/>
      </w:divBdr>
    </w:div>
    <w:div w:id="357437443">
      <w:bodyDiv w:val="1"/>
      <w:marLeft w:val="0"/>
      <w:marRight w:val="0"/>
      <w:marTop w:val="0"/>
      <w:marBottom w:val="0"/>
      <w:divBdr>
        <w:top w:val="none" w:sz="0" w:space="0" w:color="auto"/>
        <w:left w:val="none" w:sz="0" w:space="0" w:color="auto"/>
        <w:bottom w:val="none" w:sz="0" w:space="0" w:color="auto"/>
        <w:right w:val="none" w:sz="0" w:space="0" w:color="auto"/>
      </w:divBdr>
      <w:divsChild>
        <w:div w:id="1319919113">
          <w:marLeft w:val="0"/>
          <w:marRight w:val="0"/>
          <w:marTop w:val="0"/>
          <w:marBottom w:val="0"/>
          <w:divBdr>
            <w:top w:val="none" w:sz="0" w:space="0" w:color="auto"/>
            <w:left w:val="none" w:sz="0" w:space="0" w:color="auto"/>
            <w:bottom w:val="none" w:sz="0" w:space="0" w:color="auto"/>
            <w:right w:val="none" w:sz="0" w:space="0" w:color="auto"/>
          </w:divBdr>
          <w:divsChild>
            <w:div w:id="2115205511">
              <w:marLeft w:val="0"/>
              <w:marRight w:val="0"/>
              <w:marTop w:val="0"/>
              <w:marBottom w:val="0"/>
              <w:divBdr>
                <w:top w:val="none" w:sz="0" w:space="0" w:color="auto"/>
                <w:left w:val="none" w:sz="0" w:space="0" w:color="auto"/>
                <w:bottom w:val="none" w:sz="0" w:space="0" w:color="auto"/>
                <w:right w:val="none" w:sz="0" w:space="0" w:color="auto"/>
              </w:divBdr>
              <w:divsChild>
                <w:div w:id="1960528464">
                  <w:marLeft w:val="0"/>
                  <w:marRight w:val="0"/>
                  <w:marTop w:val="0"/>
                  <w:marBottom w:val="0"/>
                  <w:divBdr>
                    <w:top w:val="none" w:sz="0" w:space="0" w:color="auto"/>
                    <w:left w:val="none" w:sz="0" w:space="0" w:color="auto"/>
                    <w:bottom w:val="none" w:sz="0" w:space="0" w:color="auto"/>
                    <w:right w:val="none" w:sz="0" w:space="0" w:color="auto"/>
                  </w:divBdr>
                  <w:divsChild>
                    <w:div w:id="499001420">
                      <w:marLeft w:val="0"/>
                      <w:marRight w:val="0"/>
                      <w:marTop w:val="0"/>
                      <w:marBottom w:val="0"/>
                      <w:divBdr>
                        <w:top w:val="none" w:sz="0" w:space="0" w:color="auto"/>
                        <w:left w:val="none" w:sz="0" w:space="0" w:color="auto"/>
                        <w:bottom w:val="none" w:sz="0" w:space="0" w:color="auto"/>
                        <w:right w:val="none" w:sz="0" w:space="0" w:color="auto"/>
                      </w:divBdr>
                      <w:divsChild>
                        <w:div w:id="1483081062">
                          <w:marLeft w:val="0"/>
                          <w:marRight w:val="0"/>
                          <w:marTop w:val="0"/>
                          <w:marBottom w:val="0"/>
                          <w:divBdr>
                            <w:top w:val="none" w:sz="0" w:space="0" w:color="auto"/>
                            <w:left w:val="none" w:sz="0" w:space="0" w:color="auto"/>
                            <w:bottom w:val="none" w:sz="0" w:space="0" w:color="auto"/>
                            <w:right w:val="none" w:sz="0" w:space="0" w:color="auto"/>
                          </w:divBdr>
                          <w:divsChild>
                            <w:div w:id="1868785814">
                              <w:marLeft w:val="0"/>
                              <w:marRight w:val="0"/>
                              <w:marTop w:val="0"/>
                              <w:marBottom w:val="0"/>
                              <w:divBdr>
                                <w:top w:val="none" w:sz="0" w:space="0" w:color="auto"/>
                                <w:left w:val="none" w:sz="0" w:space="0" w:color="auto"/>
                                <w:bottom w:val="none" w:sz="0" w:space="0" w:color="auto"/>
                                <w:right w:val="none" w:sz="0" w:space="0" w:color="auto"/>
                              </w:divBdr>
                              <w:divsChild>
                                <w:div w:id="1200239666">
                                  <w:marLeft w:val="0"/>
                                  <w:marRight w:val="0"/>
                                  <w:marTop w:val="0"/>
                                  <w:marBottom w:val="0"/>
                                  <w:divBdr>
                                    <w:top w:val="none" w:sz="0" w:space="0" w:color="auto"/>
                                    <w:left w:val="none" w:sz="0" w:space="0" w:color="auto"/>
                                    <w:bottom w:val="none" w:sz="0" w:space="0" w:color="auto"/>
                                    <w:right w:val="none" w:sz="0" w:space="0" w:color="auto"/>
                                  </w:divBdr>
                                  <w:divsChild>
                                    <w:div w:id="27433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3451850">
      <w:bodyDiv w:val="1"/>
      <w:marLeft w:val="0"/>
      <w:marRight w:val="0"/>
      <w:marTop w:val="0"/>
      <w:marBottom w:val="0"/>
      <w:divBdr>
        <w:top w:val="none" w:sz="0" w:space="0" w:color="auto"/>
        <w:left w:val="none" w:sz="0" w:space="0" w:color="auto"/>
        <w:bottom w:val="none" w:sz="0" w:space="0" w:color="auto"/>
        <w:right w:val="none" w:sz="0" w:space="0" w:color="auto"/>
      </w:divBdr>
      <w:divsChild>
        <w:div w:id="1107196076">
          <w:marLeft w:val="0"/>
          <w:marRight w:val="0"/>
          <w:marTop w:val="0"/>
          <w:marBottom w:val="240"/>
          <w:divBdr>
            <w:top w:val="none" w:sz="0" w:space="0" w:color="auto"/>
            <w:left w:val="none" w:sz="0" w:space="0" w:color="auto"/>
            <w:bottom w:val="none" w:sz="0" w:space="0" w:color="auto"/>
            <w:right w:val="none" w:sz="0" w:space="0" w:color="auto"/>
          </w:divBdr>
        </w:div>
      </w:divsChild>
    </w:div>
    <w:div w:id="520124079">
      <w:bodyDiv w:val="1"/>
      <w:marLeft w:val="0"/>
      <w:marRight w:val="0"/>
      <w:marTop w:val="0"/>
      <w:marBottom w:val="0"/>
      <w:divBdr>
        <w:top w:val="none" w:sz="0" w:space="0" w:color="auto"/>
        <w:left w:val="none" w:sz="0" w:space="0" w:color="auto"/>
        <w:bottom w:val="none" w:sz="0" w:space="0" w:color="auto"/>
        <w:right w:val="none" w:sz="0" w:space="0" w:color="auto"/>
      </w:divBdr>
      <w:divsChild>
        <w:div w:id="1387148482">
          <w:marLeft w:val="0"/>
          <w:marRight w:val="0"/>
          <w:marTop w:val="0"/>
          <w:marBottom w:val="0"/>
          <w:divBdr>
            <w:top w:val="none" w:sz="0" w:space="0" w:color="auto"/>
            <w:left w:val="none" w:sz="0" w:space="0" w:color="auto"/>
            <w:bottom w:val="none" w:sz="0" w:space="0" w:color="auto"/>
            <w:right w:val="none" w:sz="0" w:space="0" w:color="auto"/>
          </w:divBdr>
          <w:divsChild>
            <w:div w:id="2082360981">
              <w:marLeft w:val="0"/>
              <w:marRight w:val="0"/>
              <w:marTop w:val="0"/>
              <w:marBottom w:val="0"/>
              <w:divBdr>
                <w:top w:val="none" w:sz="0" w:space="0" w:color="auto"/>
                <w:left w:val="none" w:sz="0" w:space="0" w:color="auto"/>
                <w:bottom w:val="none" w:sz="0" w:space="0" w:color="auto"/>
                <w:right w:val="none" w:sz="0" w:space="0" w:color="auto"/>
              </w:divBdr>
              <w:divsChild>
                <w:div w:id="92554695">
                  <w:marLeft w:val="0"/>
                  <w:marRight w:val="0"/>
                  <w:marTop w:val="0"/>
                  <w:marBottom w:val="0"/>
                  <w:divBdr>
                    <w:top w:val="none" w:sz="0" w:space="0" w:color="auto"/>
                    <w:left w:val="none" w:sz="0" w:space="0" w:color="auto"/>
                    <w:bottom w:val="none" w:sz="0" w:space="0" w:color="auto"/>
                    <w:right w:val="none" w:sz="0" w:space="0" w:color="auto"/>
                  </w:divBdr>
                  <w:divsChild>
                    <w:div w:id="1456679629">
                      <w:marLeft w:val="0"/>
                      <w:marRight w:val="0"/>
                      <w:marTop w:val="0"/>
                      <w:marBottom w:val="0"/>
                      <w:divBdr>
                        <w:top w:val="none" w:sz="0" w:space="0" w:color="auto"/>
                        <w:left w:val="none" w:sz="0" w:space="0" w:color="auto"/>
                        <w:bottom w:val="none" w:sz="0" w:space="0" w:color="auto"/>
                        <w:right w:val="none" w:sz="0" w:space="0" w:color="auto"/>
                      </w:divBdr>
                      <w:divsChild>
                        <w:div w:id="1625693969">
                          <w:marLeft w:val="0"/>
                          <w:marRight w:val="0"/>
                          <w:marTop w:val="0"/>
                          <w:marBottom w:val="0"/>
                          <w:divBdr>
                            <w:top w:val="none" w:sz="0" w:space="0" w:color="auto"/>
                            <w:left w:val="none" w:sz="0" w:space="0" w:color="auto"/>
                            <w:bottom w:val="none" w:sz="0" w:space="0" w:color="auto"/>
                            <w:right w:val="none" w:sz="0" w:space="0" w:color="auto"/>
                          </w:divBdr>
                          <w:divsChild>
                            <w:div w:id="1873689246">
                              <w:marLeft w:val="0"/>
                              <w:marRight w:val="0"/>
                              <w:marTop w:val="0"/>
                              <w:marBottom w:val="0"/>
                              <w:divBdr>
                                <w:top w:val="none" w:sz="0" w:space="0" w:color="auto"/>
                                <w:left w:val="none" w:sz="0" w:space="0" w:color="auto"/>
                                <w:bottom w:val="none" w:sz="0" w:space="0" w:color="auto"/>
                                <w:right w:val="none" w:sz="0" w:space="0" w:color="auto"/>
                              </w:divBdr>
                              <w:divsChild>
                                <w:div w:id="2040272310">
                                  <w:marLeft w:val="0"/>
                                  <w:marRight w:val="0"/>
                                  <w:marTop w:val="0"/>
                                  <w:marBottom w:val="0"/>
                                  <w:divBdr>
                                    <w:top w:val="none" w:sz="0" w:space="0" w:color="auto"/>
                                    <w:left w:val="none" w:sz="0" w:space="0" w:color="auto"/>
                                    <w:bottom w:val="none" w:sz="0" w:space="0" w:color="auto"/>
                                    <w:right w:val="none" w:sz="0" w:space="0" w:color="auto"/>
                                  </w:divBdr>
                                  <w:divsChild>
                                    <w:div w:id="24661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0991481">
      <w:bodyDiv w:val="1"/>
      <w:marLeft w:val="0"/>
      <w:marRight w:val="0"/>
      <w:marTop w:val="0"/>
      <w:marBottom w:val="0"/>
      <w:divBdr>
        <w:top w:val="none" w:sz="0" w:space="0" w:color="auto"/>
        <w:left w:val="none" w:sz="0" w:space="0" w:color="auto"/>
        <w:bottom w:val="none" w:sz="0" w:space="0" w:color="auto"/>
        <w:right w:val="none" w:sz="0" w:space="0" w:color="auto"/>
      </w:divBdr>
      <w:divsChild>
        <w:div w:id="1615090725">
          <w:marLeft w:val="0"/>
          <w:marRight w:val="0"/>
          <w:marTop w:val="0"/>
          <w:marBottom w:val="240"/>
          <w:divBdr>
            <w:top w:val="none" w:sz="0" w:space="0" w:color="auto"/>
            <w:left w:val="none" w:sz="0" w:space="0" w:color="auto"/>
            <w:bottom w:val="none" w:sz="0" w:space="0" w:color="auto"/>
            <w:right w:val="none" w:sz="0" w:space="0" w:color="auto"/>
          </w:divBdr>
        </w:div>
      </w:divsChild>
    </w:div>
    <w:div w:id="754013500">
      <w:bodyDiv w:val="1"/>
      <w:marLeft w:val="0"/>
      <w:marRight w:val="0"/>
      <w:marTop w:val="0"/>
      <w:marBottom w:val="0"/>
      <w:divBdr>
        <w:top w:val="none" w:sz="0" w:space="0" w:color="auto"/>
        <w:left w:val="none" w:sz="0" w:space="0" w:color="auto"/>
        <w:bottom w:val="none" w:sz="0" w:space="0" w:color="auto"/>
        <w:right w:val="none" w:sz="0" w:space="0" w:color="auto"/>
      </w:divBdr>
      <w:divsChild>
        <w:div w:id="1985425129">
          <w:marLeft w:val="0"/>
          <w:marRight w:val="0"/>
          <w:marTop w:val="0"/>
          <w:marBottom w:val="240"/>
          <w:divBdr>
            <w:top w:val="none" w:sz="0" w:space="0" w:color="auto"/>
            <w:left w:val="none" w:sz="0" w:space="0" w:color="auto"/>
            <w:bottom w:val="none" w:sz="0" w:space="0" w:color="auto"/>
            <w:right w:val="none" w:sz="0" w:space="0" w:color="auto"/>
          </w:divBdr>
        </w:div>
      </w:divsChild>
    </w:div>
    <w:div w:id="858812549">
      <w:bodyDiv w:val="1"/>
      <w:marLeft w:val="0"/>
      <w:marRight w:val="0"/>
      <w:marTop w:val="0"/>
      <w:marBottom w:val="0"/>
      <w:divBdr>
        <w:top w:val="none" w:sz="0" w:space="0" w:color="auto"/>
        <w:left w:val="none" w:sz="0" w:space="0" w:color="auto"/>
        <w:bottom w:val="none" w:sz="0" w:space="0" w:color="auto"/>
        <w:right w:val="none" w:sz="0" w:space="0" w:color="auto"/>
      </w:divBdr>
      <w:divsChild>
        <w:div w:id="500707012">
          <w:marLeft w:val="0"/>
          <w:marRight w:val="0"/>
          <w:marTop w:val="0"/>
          <w:marBottom w:val="0"/>
          <w:divBdr>
            <w:top w:val="none" w:sz="0" w:space="0" w:color="auto"/>
            <w:left w:val="none" w:sz="0" w:space="0" w:color="auto"/>
            <w:bottom w:val="none" w:sz="0" w:space="0" w:color="auto"/>
            <w:right w:val="none" w:sz="0" w:space="0" w:color="auto"/>
          </w:divBdr>
          <w:divsChild>
            <w:div w:id="1321545679">
              <w:marLeft w:val="0"/>
              <w:marRight w:val="0"/>
              <w:marTop w:val="0"/>
              <w:marBottom w:val="0"/>
              <w:divBdr>
                <w:top w:val="none" w:sz="0" w:space="0" w:color="auto"/>
                <w:left w:val="none" w:sz="0" w:space="0" w:color="auto"/>
                <w:bottom w:val="none" w:sz="0" w:space="0" w:color="auto"/>
                <w:right w:val="none" w:sz="0" w:space="0" w:color="auto"/>
              </w:divBdr>
              <w:divsChild>
                <w:div w:id="1809979332">
                  <w:marLeft w:val="0"/>
                  <w:marRight w:val="0"/>
                  <w:marTop w:val="0"/>
                  <w:marBottom w:val="0"/>
                  <w:divBdr>
                    <w:top w:val="none" w:sz="0" w:space="0" w:color="auto"/>
                    <w:left w:val="none" w:sz="0" w:space="0" w:color="auto"/>
                    <w:bottom w:val="none" w:sz="0" w:space="0" w:color="auto"/>
                    <w:right w:val="none" w:sz="0" w:space="0" w:color="auto"/>
                  </w:divBdr>
                  <w:divsChild>
                    <w:div w:id="267976994">
                      <w:marLeft w:val="0"/>
                      <w:marRight w:val="0"/>
                      <w:marTop w:val="0"/>
                      <w:marBottom w:val="0"/>
                      <w:divBdr>
                        <w:top w:val="none" w:sz="0" w:space="0" w:color="auto"/>
                        <w:left w:val="none" w:sz="0" w:space="0" w:color="auto"/>
                        <w:bottom w:val="none" w:sz="0" w:space="0" w:color="auto"/>
                        <w:right w:val="none" w:sz="0" w:space="0" w:color="auto"/>
                      </w:divBdr>
                      <w:divsChild>
                        <w:div w:id="2128692539">
                          <w:marLeft w:val="0"/>
                          <w:marRight w:val="0"/>
                          <w:marTop w:val="0"/>
                          <w:marBottom w:val="0"/>
                          <w:divBdr>
                            <w:top w:val="none" w:sz="0" w:space="0" w:color="auto"/>
                            <w:left w:val="none" w:sz="0" w:space="0" w:color="auto"/>
                            <w:bottom w:val="none" w:sz="0" w:space="0" w:color="auto"/>
                            <w:right w:val="none" w:sz="0" w:space="0" w:color="auto"/>
                          </w:divBdr>
                          <w:divsChild>
                            <w:div w:id="706178569">
                              <w:marLeft w:val="0"/>
                              <w:marRight w:val="0"/>
                              <w:marTop w:val="0"/>
                              <w:marBottom w:val="0"/>
                              <w:divBdr>
                                <w:top w:val="none" w:sz="0" w:space="0" w:color="auto"/>
                                <w:left w:val="none" w:sz="0" w:space="0" w:color="auto"/>
                                <w:bottom w:val="none" w:sz="0" w:space="0" w:color="auto"/>
                                <w:right w:val="none" w:sz="0" w:space="0" w:color="auto"/>
                              </w:divBdr>
                              <w:divsChild>
                                <w:div w:id="2054192581">
                                  <w:marLeft w:val="0"/>
                                  <w:marRight w:val="0"/>
                                  <w:marTop w:val="0"/>
                                  <w:marBottom w:val="0"/>
                                  <w:divBdr>
                                    <w:top w:val="none" w:sz="0" w:space="0" w:color="auto"/>
                                    <w:left w:val="none" w:sz="0" w:space="0" w:color="auto"/>
                                    <w:bottom w:val="none" w:sz="0" w:space="0" w:color="auto"/>
                                    <w:right w:val="none" w:sz="0" w:space="0" w:color="auto"/>
                                  </w:divBdr>
                                  <w:divsChild>
                                    <w:div w:id="61914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7418366">
      <w:bodyDiv w:val="1"/>
      <w:marLeft w:val="0"/>
      <w:marRight w:val="0"/>
      <w:marTop w:val="0"/>
      <w:marBottom w:val="0"/>
      <w:divBdr>
        <w:top w:val="none" w:sz="0" w:space="0" w:color="auto"/>
        <w:left w:val="none" w:sz="0" w:space="0" w:color="auto"/>
        <w:bottom w:val="none" w:sz="0" w:space="0" w:color="auto"/>
        <w:right w:val="none" w:sz="0" w:space="0" w:color="auto"/>
      </w:divBdr>
      <w:divsChild>
        <w:div w:id="607275094">
          <w:marLeft w:val="0"/>
          <w:marRight w:val="0"/>
          <w:marTop w:val="0"/>
          <w:marBottom w:val="0"/>
          <w:divBdr>
            <w:top w:val="none" w:sz="0" w:space="0" w:color="auto"/>
            <w:left w:val="none" w:sz="0" w:space="0" w:color="auto"/>
            <w:bottom w:val="none" w:sz="0" w:space="0" w:color="auto"/>
            <w:right w:val="none" w:sz="0" w:space="0" w:color="auto"/>
          </w:divBdr>
          <w:divsChild>
            <w:div w:id="943608448">
              <w:marLeft w:val="0"/>
              <w:marRight w:val="0"/>
              <w:marTop w:val="0"/>
              <w:marBottom w:val="0"/>
              <w:divBdr>
                <w:top w:val="none" w:sz="0" w:space="0" w:color="auto"/>
                <w:left w:val="none" w:sz="0" w:space="0" w:color="auto"/>
                <w:bottom w:val="none" w:sz="0" w:space="0" w:color="auto"/>
                <w:right w:val="none" w:sz="0" w:space="0" w:color="auto"/>
              </w:divBdr>
              <w:divsChild>
                <w:div w:id="1564875215">
                  <w:marLeft w:val="0"/>
                  <w:marRight w:val="0"/>
                  <w:marTop w:val="0"/>
                  <w:marBottom w:val="0"/>
                  <w:divBdr>
                    <w:top w:val="none" w:sz="0" w:space="0" w:color="auto"/>
                    <w:left w:val="none" w:sz="0" w:space="0" w:color="auto"/>
                    <w:bottom w:val="none" w:sz="0" w:space="0" w:color="auto"/>
                    <w:right w:val="none" w:sz="0" w:space="0" w:color="auto"/>
                  </w:divBdr>
                  <w:divsChild>
                    <w:div w:id="703529296">
                      <w:marLeft w:val="0"/>
                      <w:marRight w:val="0"/>
                      <w:marTop w:val="0"/>
                      <w:marBottom w:val="0"/>
                      <w:divBdr>
                        <w:top w:val="none" w:sz="0" w:space="0" w:color="auto"/>
                        <w:left w:val="none" w:sz="0" w:space="0" w:color="auto"/>
                        <w:bottom w:val="none" w:sz="0" w:space="0" w:color="auto"/>
                        <w:right w:val="none" w:sz="0" w:space="0" w:color="auto"/>
                      </w:divBdr>
                      <w:divsChild>
                        <w:div w:id="391929480">
                          <w:marLeft w:val="0"/>
                          <w:marRight w:val="0"/>
                          <w:marTop w:val="0"/>
                          <w:marBottom w:val="0"/>
                          <w:divBdr>
                            <w:top w:val="none" w:sz="0" w:space="0" w:color="auto"/>
                            <w:left w:val="none" w:sz="0" w:space="0" w:color="auto"/>
                            <w:bottom w:val="none" w:sz="0" w:space="0" w:color="auto"/>
                            <w:right w:val="none" w:sz="0" w:space="0" w:color="auto"/>
                          </w:divBdr>
                          <w:divsChild>
                            <w:div w:id="1838692777">
                              <w:marLeft w:val="0"/>
                              <w:marRight w:val="0"/>
                              <w:marTop w:val="0"/>
                              <w:marBottom w:val="0"/>
                              <w:divBdr>
                                <w:top w:val="none" w:sz="0" w:space="0" w:color="auto"/>
                                <w:left w:val="none" w:sz="0" w:space="0" w:color="auto"/>
                                <w:bottom w:val="none" w:sz="0" w:space="0" w:color="auto"/>
                                <w:right w:val="none" w:sz="0" w:space="0" w:color="auto"/>
                              </w:divBdr>
                              <w:divsChild>
                                <w:div w:id="1159879072">
                                  <w:marLeft w:val="0"/>
                                  <w:marRight w:val="0"/>
                                  <w:marTop w:val="0"/>
                                  <w:marBottom w:val="0"/>
                                  <w:divBdr>
                                    <w:top w:val="none" w:sz="0" w:space="0" w:color="auto"/>
                                    <w:left w:val="none" w:sz="0" w:space="0" w:color="auto"/>
                                    <w:bottom w:val="none" w:sz="0" w:space="0" w:color="auto"/>
                                    <w:right w:val="none" w:sz="0" w:space="0" w:color="auto"/>
                                  </w:divBdr>
                                  <w:divsChild>
                                    <w:div w:id="79968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0041332">
      <w:bodyDiv w:val="1"/>
      <w:marLeft w:val="0"/>
      <w:marRight w:val="0"/>
      <w:marTop w:val="0"/>
      <w:marBottom w:val="0"/>
      <w:divBdr>
        <w:top w:val="none" w:sz="0" w:space="0" w:color="auto"/>
        <w:left w:val="none" w:sz="0" w:space="0" w:color="auto"/>
        <w:bottom w:val="none" w:sz="0" w:space="0" w:color="auto"/>
        <w:right w:val="none" w:sz="0" w:space="0" w:color="auto"/>
      </w:divBdr>
      <w:divsChild>
        <w:div w:id="721831449">
          <w:marLeft w:val="0"/>
          <w:marRight w:val="0"/>
          <w:marTop w:val="0"/>
          <w:marBottom w:val="240"/>
          <w:divBdr>
            <w:top w:val="none" w:sz="0" w:space="0" w:color="auto"/>
            <w:left w:val="none" w:sz="0" w:space="0" w:color="auto"/>
            <w:bottom w:val="none" w:sz="0" w:space="0" w:color="auto"/>
            <w:right w:val="none" w:sz="0" w:space="0" w:color="auto"/>
          </w:divBdr>
        </w:div>
      </w:divsChild>
    </w:div>
    <w:div w:id="1333070017">
      <w:bodyDiv w:val="1"/>
      <w:marLeft w:val="0"/>
      <w:marRight w:val="0"/>
      <w:marTop w:val="0"/>
      <w:marBottom w:val="0"/>
      <w:divBdr>
        <w:top w:val="none" w:sz="0" w:space="0" w:color="auto"/>
        <w:left w:val="none" w:sz="0" w:space="0" w:color="auto"/>
        <w:bottom w:val="none" w:sz="0" w:space="0" w:color="auto"/>
        <w:right w:val="none" w:sz="0" w:space="0" w:color="auto"/>
      </w:divBdr>
      <w:divsChild>
        <w:div w:id="154341559">
          <w:marLeft w:val="0"/>
          <w:marRight w:val="0"/>
          <w:marTop w:val="0"/>
          <w:marBottom w:val="240"/>
          <w:divBdr>
            <w:top w:val="none" w:sz="0" w:space="0" w:color="auto"/>
            <w:left w:val="none" w:sz="0" w:space="0" w:color="auto"/>
            <w:bottom w:val="none" w:sz="0" w:space="0" w:color="auto"/>
            <w:right w:val="none" w:sz="0" w:space="0" w:color="auto"/>
          </w:divBdr>
        </w:div>
      </w:divsChild>
    </w:div>
    <w:div w:id="1356541856">
      <w:bodyDiv w:val="1"/>
      <w:marLeft w:val="0"/>
      <w:marRight w:val="0"/>
      <w:marTop w:val="0"/>
      <w:marBottom w:val="0"/>
      <w:divBdr>
        <w:top w:val="none" w:sz="0" w:space="0" w:color="auto"/>
        <w:left w:val="none" w:sz="0" w:space="0" w:color="auto"/>
        <w:bottom w:val="none" w:sz="0" w:space="0" w:color="auto"/>
        <w:right w:val="none" w:sz="0" w:space="0" w:color="auto"/>
      </w:divBdr>
      <w:divsChild>
        <w:div w:id="472528448">
          <w:marLeft w:val="0"/>
          <w:marRight w:val="0"/>
          <w:marTop w:val="0"/>
          <w:marBottom w:val="240"/>
          <w:divBdr>
            <w:top w:val="none" w:sz="0" w:space="0" w:color="auto"/>
            <w:left w:val="none" w:sz="0" w:space="0" w:color="auto"/>
            <w:bottom w:val="none" w:sz="0" w:space="0" w:color="auto"/>
            <w:right w:val="none" w:sz="0" w:space="0" w:color="auto"/>
          </w:divBdr>
        </w:div>
      </w:divsChild>
    </w:div>
    <w:div w:id="1371153191">
      <w:bodyDiv w:val="1"/>
      <w:marLeft w:val="0"/>
      <w:marRight w:val="0"/>
      <w:marTop w:val="0"/>
      <w:marBottom w:val="0"/>
      <w:divBdr>
        <w:top w:val="none" w:sz="0" w:space="0" w:color="auto"/>
        <w:left w:val="none" w:sz="0" w:space="0" w:color="auto"/>
        <w:bottom w:val="none" w:sz="0" w:space="0" w:color="auto"/>
        <w:right w:val="none" w:sz="0" w:space="0" w:color="auto"/>
      </w:divBdr>
      <w:divsChild>
        <w:div w:id="90395526">
          <w:marLeft w:val="0"/>
          <w:marRight w:val="0"/>
          <w:marTop w:val="0"/>
          <w:marBottom w:val="0"/>
          <w:divBdr>
            <w:top w:val="none" w:sz="0" w:space="0" w:color="auto"/>
            <w:left w:val="none" w:sz="0" w:space="0" w:color="auto"/>
            <w:bottom w:val="none" w:sz="0" w:space="0" w:color="auto"/>
            <w:right w:val="none" w:sz="0" w:space="0" w:color="auto"/>
          </w:divBdr>
          <w:divsChild>
            <w:div w:id="1820997296">
              <w:marLeft w:val="0"/>
              <w:marRight w:val="0"/>
              <w:marTop w:val="0"/>
              <w:marBottom w:val="0"/>
              <w:divBdr>
                <w:top w:val="none" w:sz="0" w:space="0" w:color="auto"/>
                <w:left w:val="none" w:sz="0" w:space="0" w:color="auto"/>
                <w:bottom w:val="none" w:sz="0" w:space="0" w:color="auto"/>
                <w:right w:val="none" w:sz="0" w:space="0" w:color="auto"/>
              </w:divBdr>
              <w:divsChild>
                <w:div w:id="1602491533">
                  <w:marLeft w:val="0"/>
                  <w:marRight w:val="0"/>
                  <w:marTop w:val="0"/>
                  <w:marBottom w:val="0"/>
                  <w:divBdr>
                    <w:top w:val="none" w:sz="0" w:space="0" w:color="auto"/>
                    <w:left w:val="none" w:sz="0" w:space="0" w:color="auto"/>
                    <w:bottom w:val="none" w:sz="0" w:space="0" w:color="auto"/>
                    <w:right w:val="none" w:sz="0" w:space="0" w:color="auto"/>
                  </w:divBdr>
                  <w:divsChild>
                    <w:div w:id="1745181892">
                      <w:marLeft w:val="0"/>
                      <w:marRight w:val="0"/>
                      <w:marTop w:val="0"/>
                      <w:marBottom w:val="0"/>
                      <w:divBdr>
                        <w:top w:val="none" w:sz="0" w:space="0" w:color="auto"/>
                        <w:left w:val="none" w:sz="0" w:space="0" w:color="auto"/>
                        <w:bottom w:val="none" w:sz="0" w:space="0" w:color="auto"/>
                        <w:right w:val="none" w:sz="0" w:space="0" w:color="auto"/>
                      </w:divBdr>
                      <w:divsChild>
                        <w:div w:id="421491085">
                          <w:marLeft w:val="0"/>
                          <w:marRight w:val="0"/>
                          <w:marTop w:val="0"/>
                          <w:marBottom w:val="0"/>
                          <w:divBdr>
                            <w:top w:val="none" w:sz="0" w:space="0" w:color="auto"/>
                            <w:left w:val="none" w:sz="0" w:space="0" w:color="auto"/>
                            <w:bottom w:val="none" w:sz="0" w:space="0" w:color="auto"/>
                            <w:right w:val="none" w:sz="0" w:space="0" w:color="auto"/>
                          </w:divBdr>
                          <w:divsChild>
                            <w:div w:id="1258712302">
                              <w:marLeft w:val="0"/>
                              <w:marRight w:val="0"/>
                              <w:marTop w:val="0"/>
                              <w:marBottom w:val="0"/>
                              <w:divBdr>
                                <w:top w:val="none" w:sz="0" w:space="0" w:color="auto"/>
                                <w:left w:val="none" w:sz="0" w:space="0" w:color="auto"/>
                                <w:bottom w:val="none" w:sz="0" w:space="0" w:color="auto"/>
                                <w:right w:val="none" w:sz="0" w:space="0" w:color="auto"/>
                              </w:divBdr>
                              <w:divsChild>
                                <w:div w:id="262035601">
                                  <w:marLeft w:val="0"/>
                                  <w:marRight w:val="0"/>
                                  <w:marTop w:val="0"/>
                                  <w:marBottom w:val="0"/>
                                  <w:divBdr>
                                    <w:top w:val="none" w:sz="0" w:space="0" w:color="auto"/>
                                    <w:left w:val="none" w:sz="0" w:space="0" w:color="auto"/>
                                    <w:bottom w:val="none" w:sz="0" w:space="0" w:color="auto"/>
                                    <w:right w:val="none" w:sz="0" w:space="0" w:color="auto"/>
                                  </w:divBdr>
                                  <w:divsChild>
                                    <w:div w:id="975911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2444713">
      <w:bodyDiv w:val="1"/>
      <w:marLeft w:val="0"/>
      <w:marRight w:val="0"/>
      <w:marTop w:val="0"/>
      <w:marBottom w:val="0"/>
      <w:divBdr>
        <w:top w:val="none" w:sz="0" w:space="0" w:color="auto"/>
        <w:left w:val="none" w:sz="0" w:space="0" w:color="auto"/>
        <w:bottom w:val="none" w:sz="0" w:space="0" w:color="auto"/>
        <w:right w:val="none" w:sz="0" w:space="0" w:color="auto"/>
      </w:divBdr>
      <w:divsChild>
        <w:div w:id="402410621">
          <w:marLeft w:val="0"/>
          <w:marRight w:val="0"/>
          <w:marTop w:val="0"/>
          <w:marBottom w:val="240"/>
          <w:divBdr>
            <w:top w:val="none" w:sz="0" w:space="0" w:color="auto"/>
            <w:left w:val="none" w:sz="0" w:space="0" w:color="auto"/>
            <w:bottom w:val="none" w:sz="0" w:space="0" w:color="auto"/>
            <w:right w:val="none" w:sz="0" w:space="0" w:color="auto"/>
          </w:divBdr>
        </w:div>
      </w:divsChild>
    </w:div>
    <w:div w:id="1820733478">
      <w:bodyDiv w:val="1"/>
      <w:marLeft w:val="0"/>
      <w:marRight w:val="0"/>
      <w:marTop w:val="0"/>
      <w:marBottom w:val="0"/>
      <w:divBdr>
        <w:top w:val="none" w:sz="0" w:space="0" w:color="auto"/>
        <w:left w:val="none" w:sz="0" w:space="0" w:color="auto"/>
        <w:bottom w:val="none" w:sz="0" w:space="0" w:color="auto"/>
        <w:right w:val="none" w:sz="0" w:space="0" w:color="auto"/>
      </w:divBdr>
      <w:divsChild>
        <w:div w:id="152992382">
          <w:marLeft w:val="0"/>
          <w:marRight w:val="0"/>
          <w:marTop w:val="0"/>
          <w:marBottom w:val="0"/>
          <w:divBdr>
            <w:top w:val="none" w:sz="0" w:space="0" w:color="auto"/>
            <w:left w:val="none" w:sz="0" w:space="0" w:color="auto"/>
            <w:bottom w:val="none" w:sz="0" w:space="0" w:color="auto"/>
            <w:right w:val="none" w:sz="0" w:space="0" w:color="auto"/>
          </w:divBdr>
          <w:divsChild>
            <w:div w:id="414782495">
              <w:marLeft w:val="0"/>
              <w:marRight w:val="0"/>
              <w:marTop w:val="0"/>
              <w:marBottom w:val="0"/>
              <w:divBdr>
                <w:top w:val="none" w:sz="0" w:space="0" w:color="auto"/>
                <w:left w:val="none" w:sz="0" w:space="0" w:color="auto"/>
                <w:bottom w:val="none" w:sz="0" w:space="0" w:color="auto"/>
                <w:right w:val="none" w:sz="0" w:space="0" w:color="auto"/>
              </w:divBdr>
              <w:divsChild>
                <w:div w:id="1185443541">
                  <w:marLeft w:val="0"/>
                  <w:marRight w:val="0"/>
                  <w:marTop w:val="0"/>
                  <w:marBottom w:val="0"/>
                  <w:divBdr>
                    <w:top w:val="none" w:sz="0" w:space="0" w:color="auto"/>
                    <w:left w:val="none" w:sz="0" w:space="0" w:color="auto"/>
                    <w:bottom w:val="none" w:sz="0" w:space="0" w:color="auto"/>
                    <w:right w:val="none" w:sz="0" w:space="0" w:color="auto"/>
                  </w:divBdr>
                  <w:divsChild>
                    <w:div w:id="1866094156">
                      <w:marLeft w:val="0"/>
                      <w:marRight w:val="0"/>
                      <w:marTop w:val="0"/>
                      <w:marBottom w:val="0"/>
                      <w:divBdr>
                        <w:top w:val="none" w:sz="0" w:space="0" w:color="auto"/>
                        <w:left w:val="none" w:sz="0" w:space="0" w:color="auto"/>
                        <w:bottom w:val="none" w:sz="0" w:space="0" w:color="auto"/>
                        <w:right w:val="none" w:sz="0" w:space="0" w:color="auto"/>
                      </w:divBdr>
                      <w:divsChild>
                        <w:div w:id="615258283">
                          <w:marLeft w:val="0"/>
                          <w:marRight w:val="0"/>
                          <w:marTop w:val="0"/>
                          <w:marBottom w:val="0"/>
                          <w:divBdr>
                            <w:top w:val="none" w:sz="0" w:space="0" w:color="auto"/>
                            <w:left w:val="none" w:sz="0" w:space="0" w:color="auto"/>
                            <w:bottom w:val="none" w:sz="0" w:space="0" w:color="auto"/>
                            <w:right w:val="none" w:sz="0" w:space="0" w:color="auto"/>
                          </w:divBdr>
                          <w:divsChild>
                            <w:div w:id="1371344738">
                              <w:marLeft w:val="0"/>
                              <w:marRight w:val="0"/>
                              <w:marTop w:val="0"/>
                              <w:marBottom w:val="0"/>
                              <w:divBdr>
                                <w:top w:val="none" w:sz="0" w:space="0" w:color="auto"/>
                                <w:left w:val="none" w:sz="0" w:space="0" w:color="auto"/>
                                <w:bottom w:val="none" w:sz="0" w:space="0" w:color="auto"/>
                                <w:right w:val="none" w:sz="0" w:space="0" w:color="auto"/>
                              </w:divBdr>
                              <w:divsChild>
                                <w:div w:id="9066628">
                                  <w:marLeft w:val="0"/>
                                  <w:marRight w:val="0"/>
                                  <w:marTop w:val="0"/>
                                  <w:marBottom w:val="0"/>
                                  <w:divBdr>
                                    <w:top w:val="none" w:sz="0" w:space="0" w:color="auto"/>
                                    <w:left w:val="none" w:sz="0" w:space="0" w:color="auto"/>
                                    <w:bottom w:val="none" w:sz="0" w:space="0" w:color="auto"/>
                                    <w:right w:val="none" w:sz="0" w:space="0" w:color="auto"/>
                                  </w:divBdr>
                                  <w:divsChild>
                                    <w:div w:id="2127893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2077200">
      <w:bodyDiv w:val="1"/>
      <w:marLeft w:val="0"/>
      <w:marRight w:val="0"/>
      <w:marTop w:val="0"/>
      <w:marBottom w:val="0"/>
      <w:divBdr>
        <w:top w:val="none" w:sz="0" w:space="0" w:color="auto"/>
        <w:left w:val="none" w:sz="0" w:space="0" w:color="auto"/>
        <w:bottom w:val="none" w:sz="0" w:space="0" w:color="auto"/>
        <w:right w:val="none" w:sz="0" w:space="0" w:color="auto"/>
      </w:divBdr>
      <w:divsChild>
        <w:div w:id="225720954">
          <w:marLeft w:val="0"/>
          <w:marRight w:val="0"/>
          <w:marTop w:val="0"/>
          <w:marBottom w:val="240"/>
          <w:divBdr>
            <w:top w:val="none" w:sz="0" w:space="0" w:color="auto"/>
            <w:left w:val="none" w:sz="0" w:space="0" w:color="auto"/>
            <w:bottom w:val="none" w:sz="0" w:space="0" w:color="auto"/>
            <w:right w:val="none" w:sz="0" w:space="0" w:color="auto"/>
          </w:divBdr>
        </w:div>
      </w:divsChild>
    </w:div>
    <w:div w:id="1993825632">
      <w:bodyDiv w:val="1"/>
      <w:marLeft w:val="0"/>
      <w:marRight w:val="0"/>
      <w:marTop w:val="0"/>
      <w:marBottom w:val="0"/>
      <w:divBdr>
        <w:top w:val="none" w:sz="0" w:space="0" w:color="auto"/>
        <w:left w:val="none" w:sz="0" w:space="0" w:color="auto"/>
        <w:bottom w:val="none" w:sz="0" w:space="0" w:color="auto"/>
        <w:right w:val="none" w:sz="0" w:space="0" w:color="auto"/>
      </w:divBdr>
      <w:divsChild>
        <w:div w:id="30305904">
          <w:marLeft w:val="0"/>
          <w:marRight w:val="0"/>
          <w:marTop w:val="0"/>
          <w:marBottom w:val="0"/>
          <w:divBdr>
            <w:top w:val="none" w:sz="0" w:space="0" w:color="auto"/>
            <w:left w:val="none" w:sz="0" w:space="0" w:color="auto"/>
            <w:bottom w:val="none" w:sz="0" w:space="0" w:color="auto"/>
            <w:right w:val="none" w:sz="0" w:space="0" w:color="auto"/>
          </w:divBdr>
          <w:divsChild>
            <w:div w:id="449788355">
              <w:marLeft w:val="0"/>
              <w:marRight w:val="0"/>
              <w:marTop w:val="0"/>
              <w:marBottom w:val="0"/>
              <w:divBdr>
                <w:top w:val="none" w:sz="0" w:space="0" w:color="auto"/>
                <w:left w:val="none" w:sz="0" w:space="0" w:color="auto"/>
                <w:bottom w:val="none" w:sz="0" w:space="0" w:color="auto"/>
                <w:right w:val="none" w:sz="0" w:space="0" w:color="auto"/>
              </w:divBdr>
              <w:divsChild>
                <w:div w:id="317195098">
                  <w:marLeft w:val="0"/>
                  <w:marRight w:val="0"/>
                  <w:marTop w:val="0"/>
                  <w:marBottom w:val="0"/>
                  <w:divBdr>
                    <w:top w:val="none" w:sz="0" w:space="0" w:color="auto"/>
                    <w:left w:val="none" w:sz="0" w:space="0" w:color="auto"/>
                    <w:bottom w:val="none" w:sz="0" w:space="0" w:color="auto"/>
                    <w:right w:val="none" w:sz="0" w:space="0" w:color="auto"/>
                  </w:divBdr>
                  <w:divsChild>
                    <w:div w:id="957949044">
                      <w:marLeft w:val="0"/>
                      <w:marRight w:val="0"/>
                      <w:marTop w:val="0"/>
                      <w:marBottom w:val="0"/>
                      <w:divBdr>
                        <w:top w:val="none" w:sz="0" w:space="0" w:color="auto"/>
                        <w:left w:val="none" w:sz="0" w:space="0" w:color="auto"/>
                        <w:bottom w:val="none" w:sz="0" w:space="0" w:color="auto"/>
                        <w:right w:val="none" w:sz="0" w:space="0" w:color="auto"/>
                      </w:divBdr>
                      <w:divsChild>
                        <w:div w:id="2098667614">
                          <w:marLeft w:val="0"/>
                          <w:marRight w:val="0"/>
                          <w:marTop w:val="0"/>
                          <w:marBottom w:val="0"/>
                          <w:divBdr>
                            <w:top w:val="none" w:sz="0" w:space="0" w:color="auto"/>
                            <w:left w:val="none" w:sz="0" w:space="0" w:color="auto"/>
                            <w:bottom w:val="none" w:sz="0" w:space="0" w:color="auto"/>
                            <w:right w:val="none" w:sz="0" w:space="0" w:color="auto"/>
                          </w:divBdr>
                          <w:divsChild>
                            <w:div w:id="1984196966">
                              <w:marLeft w:val="0"/>
                              <w:marRight w:val="0"/>
                              <w:marTop w:val="0"/>
                              <w:marBottom w:val="0"/>
                              <w:divBdr>
                                <w:top w:val="none" w:sz="0" w:space="0" w:color="auto"/>
                                <w:left w:val="none" w:sz="0" w:space="0" w:color="auto"/>
                                <w:bottom w:val="none" w:sz="0" w:space="0" w:color="auto"/>
                                <w:right w:val="none" w:sz="0" w:space="0" w:color="auto"/>
                              </w:divBdr>
                              <w:divsChild>
                                <w:div w:id="1479111798">
                                  <w:marLeft w:val="0"/>
                                  <w:marRight w:val="0"/>
                                  <w:marTop w:val="0"/>
                                  <w:marBottom w:val="0"/>
                                  <w:divBdr>
                                    <w:top w:val="none" w:sz="0" w:space="0" w:color="auto"/>
                                    <w:left w:val="none" w:sz="0" w:space="0" w:color="auto"/>
                                    <w:bottom w:val="none" w:sz="0" w:space="0" w:color="auto"/>
                                    <w:right w:val="none" w:sz="0" w:space="0" w:color="auto"/>
                                  </w:divBdr>
                                  <w:divsChild>
                                    <w:div w:id="175705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0501590">
      <w:bodyDiv w:val="1"/>
      <w:marLeft w:val="0"/>
      <w:marRight w:val="0"/>
      <w:marTop w:val="0"/>
      <w:marBottom w:val="0"/>
      <w:divBdr>
        <w:top w:val="none" w:sz="0" w:space="0" w:color="auto"/>
        <w:left w:val="none" w:sz="0" w:space="0" w:color="auto"/>
        <w:bottom w:val="none" w:sz="0" w:space="0" w:color="auto"/>
        <w:right w:val="none" w:sz="0" w:space="0" w:color="auto"/>
      </w:divBdr>
      <w:divsChild>
        <w:div w:id="785464788">
          <w:marLeft w:val="0"/>
          <w:marRight w:val="0"/>
          <w:marTop w:val="0"/>
          <w:marBottom w:val="240"/>
          <w:divBdr>
            <w:top w:val="none" w:sz="0" w:space="0" w:color="auto"/>
            <w:left w:val="none" w:sz="0" w:space="0" w:color="auto"/>
            <w:bottom w:val="none" w:sz="0" w:space="0" w:color="auto"/>
            <w:right w:val="none" w:sz="0" w:space="0" w:color="auto"/>
          </w:divBdr>
        </w:div>
      </w:divsChild>
    </w:div>
    <w:div w:id="2062248797">
      <w:bodyDiv w:val="1"/>
      <w:marLeft w:val="0"/>
      <w:marRight w:val="0"/>
      <w:marTop w:val="0"/>
      <w:marBottom w:val="0"/>
      <w:divBdr>
        <w:top w:val="none" w:sz="0" w:space="0" w:color="auto"/>
        <w:left w:val="none" w:sz="0" w:space="0" w:color="auto"/>
        <w:bottom w:val="none" w:sz="0" w:space="0" w:color="auto"/>
        <w:right w:val="none" w:sz="0" w:space="0" w:color="auto"/>
      </w:divBdr>
      <w:divsChild>
        <w:div w:id="509294929">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5/9/part/1" TargetMode="External"/><Relationship Id="rId13" Type="http://schemas.openxmlformats.org/officeDocument/2006/relationships/hyperlink" Target="https://www.scie.org.uk/co-production/what-how/"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www.gov.wales/co-production-research-support-final-report-evaluation-social-services-and-well-being-wales-act-2014" TargetMode="External"/><Relationship Id="rId12" Type="http://schemas.openxmlformats.org/officeDocument/2006/relationships/hyperlink" Target="https://www.gov.uk/government/organisations/office-for-disability-issues/about"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197" TargetMode="External"/><Relationship Id="rId5" Type="http://schemas.openxmlformats.org/officeDocument/2006/relationships/footnotes" Target="footnotes.xml"/><Relationship Id="rId15" Type="http://schemas.openxmlformats.org/officeDocument/2006/relationships/hyperlink" Target="https://www.who.int/publications/i/item/9789240025707" TargetMode="External"/><Relationship Id="rId23" Type="http://schemas.openxmlformats.org/officeDocument/2006/relationships/theme" Target="theme/theme1.xml"/><Relationship Id="rId10" Type="http://schemas.openxmlformats.org/officeDocument/2006/relationships/hyperlink" Target="https://www.nice.org.uk/guidance/ng108"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gov.wales/final-report-evaluation-social-services-and-well-being-wales-act-2014" TargetMode="External"/><Relationship Id="rId14" Type="http://schemas.openxmlformats.org/officeDocument/2006/relationships/hyperlink" Target="https://www.gov.wales/multi-agency-working-research-support-final-report-evaluation-social-services-and-well-being-wales-act-2014?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3142</Words>
  <Characters>17910</Characters>
  <Application>Microsoft Office Word</Application>
  <DocSecurity>0</DocSecurity>
  <Lines>149</Lines>
  <Paragraphs>42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 </vt:lpstr>
    </vt:vector>
  </TitlesOfParts>
  <Company/>
  <LinksUpToDate>false</LinksUpToDate>
  <CharactersWithSpaces>21010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bernice afriyie</cp:lastModifiedBy>
  <cp:revision>5</cp:revision>
  <dcterms:created xsi:type="dcterms:W3CDTF">2026-08-04T12:25:00Z</dcterms:created>
  <dcterms:modified xsi:type="dcterms:W3CDTF">2026-08-04T12:37:00Z</dcterms:modified>
</cp:coreProperties>
</file>